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E9951">
      <w:pPr>
        <w:pStyle w:val="11"/>
        <w:jc w:val="left"/>
        <w:rPr>
          <w:rFonts w:hint="eastAsia"/>
          <w:b/>
          <w:sz w:val="36"/>
          <w:lang w:val="en-US" w:eastAsia="zh-CN"/>
        </w:rPr>
      </w:pPr>
      <w:bookmarkStart w:id="0" w:name="_Hlk175304421"/>
      <w:r>
        <w:rPr>
          <w:rFonts w:hint="eastAsia"/>
          <w:b/>
          <w:bCs/>
          <w:sz w:val="32"/>
          <w:szCs w:val="32"/>
          <w:lang w:val="en-US" w:eastAsia="zh-CN"/>
        </w:rPr>
        <w:t>附件3</w:t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b/>
          <w:sz w:val="36"/>
          <w:lang w:val="en-US" w:eastAsia="zh-CN"/>
        </w:rPr>
        <w:t>韶关市中医院新院区护理门诊及治未病中心</w:t>
      </w:r>
    </w:p>
    <w:p w14:paraId="7710DC0A">
      <w:pPr>
        <w:pStyle w:val="11"/>
        <w:jc w:val="center"/>
        <w:rPr>
          <w:rFonts w:hint="default"/>
        </w:rPr>
      </w:pPr>
      <w:r>
        <w:rPr>
          <w:rFonts w:hint="eastAsia"/>
          <w:b/>
          <w:sz w:val="36"/>
          <w:lang w:val="en-US" w:eastAsia="zh-CN"/>
        </w:rPr>
        <w:t>防火隔帘</w:t>
      </w:r>
      <w:r>
        <w:rPr>
          <w:b/>
          <w:sz w:val="36"/>
        </w:rPr>
        <w:t>采购需求</w:t>
      </w:r>
    </w:p>
    <w:p w14:paraId="5CD671FA">
      <w:pPr>
        <w:pStyle w:val="11"/>
        <w:outlineLvl w:val="2"/>
        <w:rPr>
          <w:rFonts w:hint="default"/>
        </w:rPr>
      </w:pPr>
      <w:r>
        <w:rPr>
          <w:b/>
          <w:sz w:val="28"/>
        </w:rPr>
        <w:t>一、项目概况：</w:t>
      </w:r>
    </w:p>
    <w:p w14:paraId="29DF77E3">
      <w:pPr>
        <w:pStyle w:val="11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项目名称：韶关市</w:t>
      </w:r>
      <w:r>
        <w:rPr>
          <w:rFonts w:hint="eastAsia"/>
          <w:sz w:val="24"/>
          <w:szCs w:val="24"/>
          <w:lang w:val="en-US" w:eastAsia="zh-CN"/>
        </w:rPr>
        <w:t>中医院新院区护理门诊及治未病中心防火隔帘采购</w:t>
      </w:r>
    </w:p>
    <w:p w14:paraId="51B5D301">
      <w:pPr>
        <w:spacing w:line="360" w:lineRule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范围和内容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为新院区护理门诊及治未病中心治病区域采购及安装防火隔帘。</w:t>
      </w:r>
    </w:p>
    <w:p w14:paraId="35943C41">
      <w:pPr>
        <w:spacing w:line="360" w:lineRule="auto"/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预算金额（元）：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44000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元</w:t>
      </w:r>
    </w:p>
    <w:p w14:paraId="5F3DE257">
      <w:pPr>
        <w:pStyle w:val="11"/>
        <w:jc w:val="both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二、</w:t>
      </w:r>
      <w:r>
        <w:rPr>
          <w:b/>
          <w:sz w:val="28"/>
          <w:szCs w:val="28"/>
        </w:rPr>
        <w:t>技术标准与要求</w:t>
      </w:r>
      <w:r>
        <w:rPr>
          <w:rFonts w:hint="eastAsia"/>
          <w:b/>
          <w:sz w:val="28"/>
          <w:szCs w:val="28"/>
          <w:lang w:eastAsia="zh-CN"/>
        </w:rPr>
        <w:t>：</w:t>
      </w:r>
    </w:p>
    <w:bookmarkEnd w:id="0"/>
    <w:p w14:paraId="3B98D0A0">
      <w:pPr>
        <w:pStyle w:val="11"/>
        <w:rPr>
          <w:rFonts w:hint="eastAsia" w:eastAsiaTheme="minorEastAsia"/>
          <w:lang w:eastAsia="zh-CN"/>
        </w:rPr>
      </w:pPr>
      <w:r>
        <w:rPr>
          <w:b/>
        </w:rPr>
        <w:t>附表一：</w:t>
      </w:r>
      <w:r>
        <w:rPr>
          <w:rFonts w:hint="eastAsia"/>
          <w:b/>
          <w:lang w:eastAsia="zh-CN"/>
        </w:rPr>
        <w:t>防火隔帘</w:t>
      </w: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880"/>
      </w:tblGrid>
      <w:tr w14:paraId="6E17E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38B54BD4">
            <w:pPr>
              <w:pStyle w:val="11"/>
              <w:rPr>
                <w:rFonts w:hint="default"/>
              </w:rPr>
            </w:pPr>
            <w:r>
              <w:t>序号</w:t>
            </w:r>
          </w:p>
        </w:tc>
        <w:tc>
          <w:tcPr>
            <w:tcW w:w="7880" w:type="dxa"/>
          </w:tcPr>
          <w:p w14:paraId="1E2AE174">
            <w:pPr>
              <w:pStyle w:val="11"/>
              <w:rPr>
                <w:rFonts w:hint="default"/>
              </w:rPr>
            </w:pPr>
            <w:r>
              <w:t>具体技术(参数)要求</w:t>
            </w:r>
          </w:p>
        </w:tc>
      </w:tr>
      <w:tr w14:paraId="24E59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416" w:type="dxa"/>
          </w:tcPr>
          <w:p w14:paraId="2826B2B0">
            <w:pPr>
              <w:pStyle w:val="11"/>
              <w:rPr>
                <w:rFonts w:hint="default"/>
              </w:rPr>
            </w:pPr>
            <w:r>
              <w:t>1</w:t>
            </w:r>
          </w:p>
        </w:tc>
        <w:tc>
          <w:tcPr>
            <w:tcW w:w="7880" w:type="dxa"/>
          </w:tcPr>
          <w:p w14:paraId="6FA1CD12">
            <w:pPr>
              <w:pStyle w:val="11"/>
              <w:rPr>
                <w:rFonts w:hint="default"/>
              </w:rPr>
            </w:pPr>
            <w:r>
              <w:rPr>
                <w:b/>
                <w:sz w:val="21"/>
              </w:rPr>
              <w:t>采购清单：</w:t>
            </w:r>
          </w:p>
          <w:tbl>
            <w:tblPr>
              <w:tblStyle w:val="7"/>
              <w:tblW w:w="7627" w:type="dxa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2"/>
              <w:gridCol w:w="1395"/>
              <w:gridCol w:w="1100"/>
              <w:gridCol w:w="660"/>
              <w:gridCol w:w="3960"/>
            </w:tblGrid>
            <w:tr w14:paraId="5F285F3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D452227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b/>
                      <w:sz w:val="21"/>
                    </w:rPr>
                    <w:t>序号</w:t>
                  </w:r>
                </w:p>
              </w:tc>
              <w:tc>
                <w:tcPr>
                  <w:tcW w:w="13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03BFA53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b/>
                      <w:sz w:val="21"/>
                    </w:rPr>
                    <w:t>货物名称</w:t>
                  </w:r>
                </w:p>
              </w:tc>
              <w:tc>
                <w:tcPr>
                  <w:tcW w:w="1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7FF18EC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b/>
                      <w:sz w:val="21"/>
                    </w:rPr>
                    <w:t>计量单位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06BD640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b/>
                      <w:sz w:val="21"/>
                    </w:rPr>
                    <w:t>数量</w:t>
                  </w:r>
                </w:p>
              </w:tc>
              <w:tc>
                <w:tcPr>
                  <w:tcW w:w="3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40717C9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b/>
                      <w:sz w:val="21"/>
                    </w:rPr>
                    <w:t>所属区域</w:t>
                  </w:r>
                </w:p>
              </w:tc>
            </w:tr>
            <w:tr w14:paraId="75A20CF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ADAE867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B127C34">
                  <w:pPr>
                    <w:pStyle w:val="11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F33A6FC">
                  <w:pPr>
                    <w:pStyle w:val="11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B9A186A">
                  <w:pPr>
                    <w:pStyle w:val="11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9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1A798E9">
                  <w:pPr>
                    <w:pStyle w:val="11"/>
                    <w:jc w:val="center"/>
                    <w:rPr>
                      <w:rFonts w:hint="default"/>
                    </w:rPr>
                  </w:pPr>
                </w:p>
              </w:tc>
            </w:tr>
            <w:tr w14:paraId="154F20F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4D85644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A725654">
                  <w:pPr>
                    <w:pStyle w:val="11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lang w:eastAsia="zh-CN"/>
                    </w:rPr>
                    <w:t>防火隔帘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F66B65F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26F3CE4">
                  <w:pPr>
                    <w:pStyle w:val="11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394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07FE3B4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Cs w:val="2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护理门诊及治未病中心理疗区</w:t>
                  </w:r>
                </w:p>
              </w:tc>
            </w:tr>
            <w:tr w14:paraId="57DEA2E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7AFB25E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A5A7A71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布带（含钩）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C182708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59E198D">
                  <w:pPr>
                    <w:pStyle w:val="11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394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D47002D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与</w:t>
                  </w:r>
                  <w:r>
                    <w:rPr>
                      <w:rFonts w:hint="eastAsia"/>
                      <w:sz w:val="21"/>
                      <w:lang w:eastAsia="zh-CN"/>
                    </w:rPr>
                    <w:t>防火隔帘</w:t>
                  </w:r>
                  <w:r>
                    <w:rPr>
                      <w:sz w:val="21"/>
                    </w:rPr>
                    <w:t>配套使用。</w:t>
                  </w:r>
                </w:p>
              </w:tc>
            </w:tr>
            <w:tr w14:paraId="3E8AC0D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2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31C48C5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F2060AB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窗帘轨道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8295550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米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4BACC0F">
                  <w:pPr>
                    <w:pStyle w:val="11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197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D3327CD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与</w:t>
                  </w:r>
                  <w:r>
                    <w:rPr>
                      <w:rFonts w:hint="eastAsia"/>
                      <w:sz w:val="21"/>
                      <w:lang w:eastAsia="zh-CN"/>
                    </w:rPr>
                    <w:t>防火隔帘</w:t>
                  </w:r>
                  <w:r>
                    <w:rPr>
                      <w:sz w:val="21"/>
                    </w:rPr>
                    <w:t>配套使用。</w:t>
                  </w:r>
                </w:p>
              </w:tc>
            </w:tr>
            <w:tr w14:paraId="21C5375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2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ED4502D">
                  <w:pPr>
                    <w:pStyle w:val="11"/>
                    <w:jc w:val="center"/>
                    <w:rPr>
                      <w:rFonts w:hint="eastAsia" w:eastAsiaTheme="minorEastAsia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5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39C4499">
                  <w:pPr>
                    <w:pStyle w:val="11"/>
                    <w:jc w:val="center"/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>天花加固配件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C6EA8EF">
                  <w:pPr>
                    <w:pStyle w:val="11"/>
                    <w:jc w:val="center"/>
                    <w:rPr>
                      <w:rFonts w:hint="eastAsia" w:eastAsiaTheme="minorEastAsia"/>
                      <w:sz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lang w:eastAsia="zh-CN"/>
                    </w:rPr>
                    <w:t>套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2EC2EA4">
                  <w:pPr>
                    <w:pStyle w:val="11"/>
                    <w:jc w:val="center"/>
                    <w:rPr>
                      <w:rFonts w:hint="default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62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502C3B7">
                  <w:pPr>
                    <w:pStyle w:val="11"/>
                    <w:jc w:val="center"/>
                    <w:rPr>
                      <w:sz w:val="21"/>
                    </w:rPr>
                  </w:pPr>
                </w:p>
              </w:tc>
            </w:tr>
            <w:tr w14:paraId="7912DD6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8AA6714">
                  <w:pPr>
                    <w:pStyle w:val="11"/>
                    <w:jc w:val="center"/>
                    <w:rPr>
                      <w:rFonts w:hint="default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6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64597AC">
                  <w:pPr>
                    <w:pStyle w:val="11"/>
                    <w:jc w:val="center"/>
                    <w:rPr>
                      <w:rFonts w:hint="eastAsia"/>
                      <w:sz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lang w:eastAsia="zh-CN"/>
                    </w:rPr>
                    <w:t>支架吊杆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7AC181F">
                  <w:pPr>
                    <w:pStyle w:val="11"/>
                    <w:jc w:val="center"/>
                    <w:rPr>
                      <w:rFonts w:hint="eastAsia"/>
                      <w:sz w:val="21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lang w:eastAsia="zh-CN"/>
                    </w:rPr>
                    <w:t>支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8CAFEEB">
                  <w:pPr>
                    <w:pStyle w:val="11"/>
                    <w:jc w:val="center"/>
                    <w:rPr>
                      <w:rFonts w:hint="default"/>
                      <w:sz w:val="21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120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BC946BB">
                  <w:pPr>
                    <w:pStyle w:val="11"/>
                    <w:jc w:val="center"/>
                    <w:rPr>
                      <w:sz w:val="21"/>
                    </w:rPr>
                  </w:pPr>
                </w:p>
              </w:tc>
            </w:tr>
          </w:tbl>
          <w:p w14:paraId="229A4F48"/>
        </w:tc>
      </w:tr>
      <w:tr w14:paraId="067067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613EC233">
            <w:pPr>
              <w:pStyle w:val="11"/>
            </w:pPr>
          </w:p>
        </w:tc>
        <w:tc>
          <w:tcPr>
            <w:tcW w:w="7880" w:type="dxa"/>
          </w:tcPr>
          <w:p w14:paraId="5F4076D4"/>
        </w:tc>
      </w:tr>
      <w:tr w14:paraId="3F6DF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00A39C83">
            <w:pPr>
              <w:pStyle w:val="11"/>
              <w:rPr>
                <w:rFonts w:hint="default"/>
              </w:rPr>
            </w:pPr>
            <w:r>
              <w:t>2</w:t>
            </w:r>
          </w:p>
        </w:tc>
        <w:tc>
          <w:tcPr>
            <w:tcW w:w="7880" w:type="dxa"/>
          </w:tcPr>
          <w:p w14:paraId="1FB809E9">
            <w:pPr>
              <w:pStyle w:val="11"/>
              <w:rPr>
                <w:rFonts w:hint="default"/>
              </w:rPr>
            </w:pPr>
            <w:r>
              <w:rPr>
                <w:b/>
              </w:rPr>
              <w:t>技术参数要求：</w:t>
            </w:r>
          </w:p>
          <w:tbl>
            <w:tblPr>
              <w:tblStyle w:val="7"/>
              <w:tblW w:w="7637" w:type="dxa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8"/>
              <w:gridCol w:w="837"/>
              <w:gridCol w:w="6302"/>
            </w:tblGrid>
            <w:tr w14:paraId="7DFB182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260EB96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b/>
                      <w:sz w:val="21"/>
                    </w:rPr>
                    <w:t>序号</w:t>
                  </w:r>
                </w:p>
              </w:tc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B3ACAD3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b/>
                      <w:sz w:val="21"/>
                    </w:rPr>
                    <w:t>货物名称</w:t>
                  </w:r>
                </w:p>
              </w:tc>
              <w:tc>
                <w:tcPr>
                  <w:tcW w:w="63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983BD1E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b/>
                      <w:sz w:val="21"/>
                    </w:rPr>
                    <w:t>技术参数要求</w:t>
                  </w:r>
                </w:p>
              </w:tc>
            </w:tr>
            <w:tr w14:paraId="69A1799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4D9FAAA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1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97220A6">
                  <w:pPr>
                    <w:pStyle w:val="11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lang w:eastAsia="zh-CN"/>
                    </w:rPr>
                    <w:t>防火隔帘</w:t>
                  </w:r>
                </w:p>
              </w:tc>
              <w:tc>
                <w:tcPr>
                  <w:tcW w:w="63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98ACF68">
                  <w:pPr>
                    <w:spacing w:line="360" w:lineRule="auto"/>
                    <w:ind w:firstLine="480" w:firstLineChars="200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选用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2.8米幅宽隔帘布，面料色泽鲜明，无毒、无异味、不易褪色、不缩水，手感柔软形状记忆工艺，水洗后仍能保持原有的美观形态，高精密面料，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  <w:highlight w:val="none"/>
                      <w:lang w:val="en-US" w:eastAsia="zh-CN"/>
                    </w:rPr>
                    <w:t>可反复清洗不少于100次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  <w:lang w:val="en-US" w:eastAsia="zh-CN"/>
                    </w:rPr>
                    <w:t>，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耐高温洗涤，不变色，不起毛球，垂感好，不易被风吹起，主要技术要求符合国家强制性标准技术要求：</w:t>
                  </w:r>
                </w:p>
                <w:p w14:paraId="7D438326">
                  <w:pPr>
                    <w:spacing w:line="360" w:lineRule="auto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1、纤维含量：100%聚酯纤维；</w:t>
                  </w:r>
                  <w:bookmarkStart w:id="1" w:name="_GoBack"/>
                  <w:bookmarkEnd w:id="1"/>
                </w:p>
                <w:p w14:paraId="220B35C1">
                  <w:pPr>
                    <w:spacing w:line="360" w:lineRule="auto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2、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织物克重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（g/㎡）：≥2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4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0；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 xml:space="preserve"> </w:t>
                  </w:r>
                </w:p>
                <w:p w14:paraId="2319E4C9">
                  <w:pPr>
                    <w:spacing w:line="360" w:lineRule="auto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3、顶破强力（N）：≥1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3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00；检测标准：GB/T19976-2005；</w:t>
                  </w:r>
                </w:p>
                <w:p w14:paraId="336ACB49">
                  <w:pPr>
                    <w:spacing w:line="360" w:lineRule="auto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4、燃烧性能：符合 GB 8624-2012 （B1 级）标准（氧指数≥32、损毁长度≤150mm、续燃时间≤5S、阴燃时间≤5S、燃烧滴落物未引起脱脂棉燃烧或阴燃）；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 xml:space="preserve"> </w:t>
                  </w:r>
                </w:p>
                <w:p w14:paraId="264B21E8">
                  <w:pPr>
                    <w:spacing w:line="360" w:lineRule="auto"/>
                    <w:jc w:val="left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5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、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基本安全标准：符合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 GB18401-2010 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B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 类</w:t>
                  </w:r>
                </w:p>
                <w:p w14:paraId="2B6087A4">
                  <w:pPr>
                    <w:spacing w:line="360" w:lineRule="auto"/>
                    <w:jc w:val="left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(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instrText xml:space="preserve"> = 1 \* GB3 </w:instrTex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①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甲醛含量符合：GB/T 2912.1-2009(水萃取法：检出限：20mg/kg) 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，检测结果：未检出。</w:t>
                  </w:r>
                </w:p>
                <w:p w14:paraId="3140678F">
                  <w:pPr>
                    <w:spacing w:line="360" w:lineRule="auto"/>
                    <w:jc w:val="left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instrText xml:space="preserve"> = 2 \* GB3 </w:instrTex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②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PH 值符合 ：GB/T 7573-2009(萃取介质：氯化钾溶液) 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检测结果：4.0-9.0。</w:t>
                  </w:r>
                </w:p>
                <w:p w14:paraId="0ED1AFA5">
                  <w:pPr>
                    <w:spacing w:line="360" w:lineRule="auto"/>
                    <w:jc w:val="left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instrText xml:space="preserve"> = 3 \* GB3 </w:instrTex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③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异味符合：GB 18401-2010(第6.7条款) 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检测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结果：无异味；</w:t>
                  </w:r>
                </w:p>
                <w:p w14:paraId="1D4C067D">
                  <w:pPr>
                    <w:spacing w:line="360" w:lineRule="auto"/>
                    <w:jc w:val="left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instrText xml:space="preserve"> = 4 \* GB3 </w:instrTex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④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可分解致癌芳香胺染料符合：GB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18401-2010《国家纺织产品基本安全技术规范》A类,检测结果：未检出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 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instrText xml:space="preserve"> = 5 \* GB3 </w:instrTex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⑤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耐汗渍色牢度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（耐碱）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符合：BG/T 3922-2013,结果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：4-5级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；                                                                                                                                            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instrText xml:space="preserve"> = 6 \* GB3 </w:instrTex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⑥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耐汗渍色牢度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（耐酸）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符合：BG/T 3922-2013,结果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：4-5级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；                                                                                                                                              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instrText xml:space="preserve"> = 7 \* GB3 </w:instrTex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⑦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耐水色牢度符合：GB/T 5713-2013,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检测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结果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：4-5级。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instrText xml:space="preserve"> = 8 \* GB3 </w:instrTex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⑧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耐唾液色牢度符合：GB/T 18886-2019，检测结果：4-5级</w:t>
                  </w:r>
                </w:p>
                <w:p w14:paraId="08A1B012">
                  <w:pPr>
                    <w:spacing w:line="360" w:lineRule="auto"/>
                    <w:jc w:val="left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instrText xml:space="preserve"> = 9 \* GB3 </w:instrTex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⑨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耐摩擦色牢度符合：GB/T 3920-2008,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检测结果：直向4-5级，横向4-5级；</w:t>
                  </w:r>
                </w:p>
                <w:p w14:paraId="35BDCF36">
                  <w:pPr>
                    <w:spacing w:line="360" w:lineRule="auto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6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、抗菌性能：抑菌率(金黄色葡萄珠菌≥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99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%，大肠杆菌≥9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9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%，白色念珠菌≥98%,肺炎克雷白氏菌≥9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9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%，样品具有良好的抗菌效果；检测标准 GB/T20944.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3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-200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8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；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 xml:space="preserve"> </w:t>
                  </w:r>
                </w:p>
                <w:p w14:paraId="1D805F79">
                  <w:pPr>
                    <w:spacing w:line="360" w:lineRule="auto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7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、水洗尺寸变化率(%)：-1.0~+1.0；检测标准 GB/T862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9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-201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7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、GB/T86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30-2013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、GB/T86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28-2013</w:t>
                  </w:r>
                </w:p>
                <w:p w14:paraId="1FE64657">
                  <w:pPr>
                    <w:spacing w:line="360" w:lineRule="auto"/>
                    <w:rPr>
                      <w:sz w:val="21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8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、</w:t>
                  </w:r>
                  <w:r>
                    <w:rPr>
                      <w:sz w:val="21"/>
                    </w:rPr>
                    <w:t>防霉性能：霉菌覆盖面积为：0，防霉等级：0 级，在放大镜下无明显长霉；检测标准 GB/T24346-2009。</w:t>
                  </w:r>
                </w:p>
                <w:p w14:paraId="01BDCE56">
                  <w:pPr>
                    <w:pStyle w:val="11"/>
                    <w:rPr>
                      <w:rFonts w:hint="default"/>
                    </w:rPr>
                  </w:pPr>
                </w:p>
              </w:tc>
            </w:tr>
          </w:tbl>
          <w:p w14:paraId="72C30A45"/>
        </w:tc>
      </w:tr>
    </w:tbl>
    <w:p w14:paraId="655D46CD">
      <w:pPr>
        <w:pStyle w:val="11"/>
        <w:rPr>
          <w:rFonts w:hint="default"/>
        </w:rPr>
      </w:pPr>
      <w:r>
        <w:rPr>
          <w:b/>
        </w:rPr>
        <w:t>附表二：</w:t>
      </w:r>
      <w:r>
        <w:rPr>
          <w:rFonts w:hint="eastAsia"/>
          <w:b/>
          <w:lang w:val="en-US" w:eastAsia="zh-CN"/>
        </w:rPr>
        <w:t>布带、窗帘</w:t>
      </w:r>
      <w:r>
        <w:rPr>
          <w:b/>
        </w:rPr>
        <w:t>轨道</w:t>
      </w:r>
    </w:p>
    <w:tbl>
      <w:tblPr>
        <w:tblStyle w:val="7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890"/>
      </w:tblGrid>
      <w:tr w14:paraId="1DFF7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2328D932">
            <w:pPr>
              <w:pStyle w:val="11"/>
              <w:rPr>
                <w:rFonts w:hint="default"/>
              </w:rPr>
            </w:pPr>
            <w:r>
              <w:t>序号</w:t>
            </w:r>
          </w:p>
        </w:tc>
        <w:tc>
          <w:tcPr>
            <w:tcW w:w="7890" w:type="dxa"/>
          </w:tcPr>
          <w:p w14:paraId="71211A6B">
            <w:pPr>
              <w:pStyle w:val="11"/>
              <w:rPr>
                <w:rFonts w:hint="default"/>
              </w:rPr>
            </w:pPr>
            <w:r>
              <w:t>具体技术(参数)要求</w:t>
            </w:r>
          </w:p>
        </w:tc>
      </w:tr>
      <w:tr w14:paraId="66CD6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dxa"/>
          </w:tcPr>
          <w:p w14:paraId="68E6F213">
            <w:pPr>
              <w:pStyle w:val="11"/>
              <w:rPr>
                <w:rFonts w:hint="default"/>
              </w:rPr>
            </w:pPr>
            <w:r>
              <w:t>1</w:t>
            </w:r>
          </w:p>
        </w:tc>
        <w:tc>
          <w:tcPr>
            <w:tcW w:w="7890" w:type="dxa"/>
          </w:tcPr>
          <w:p w14:paraId="7EE1A3EE">
            <w:pPr>
              <w:pStyle w:val="11"/>
              <w:rPr>
                <w:rFonts w:hint="default"/>
              </w:rPr>
            </w:pPr>
            <w:r>
              <w:rPr>
                <w:b/>
              </w:rPr>
              <w:t>技术参数要求：</w:t>
            </w:r>
          </w:p>
          <w:tbl>
            <w:tblPr>
              <w:tblStyle w:val="7"/>
              <w:tblW w:w="7637" w:type="dxa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8"/>
              <w:gridCol w:w="810"/>
              <w:gridCol w:w="6339"/>
            </w:tblGrid>
            <w:tr w14:paraId="1C334F0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15AEA48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b/>
                      <w:sz w:val="21"/>
                    </w:rPr>
                    <w:t>序号</w:t>
                  </w:r>
                </w:p>
              </w:tc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7DA99B6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b/>
                      <w:sz w:val="21"/>
                    </w:rPr>
                    <w:t>货物名称</w:t>
                  </w:r>
                </w:p>
              </w:tc>
              <w:tc>
                <w:tcPr>
                  <w:tcW w:w="63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8478E84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b/>
                      <w:sz w:val="21"/>
                    </w:rPr>
                    <w:t>技术参数要求</w:t>
                  </w:r>
                </w:p>
              </w:tc>
            </w:tr>
            <w:tr w14:paraId="07869A1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5982E1E">
                  <w:pPr>
                    <w:pStyle w:val="11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A2DDEB6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布带（含钩）</w:t>
                  </w:r>
                </w:p>
              </w:tc>
              <w:tc>
                <w:tcPr>
                  <w:tcW w:w="633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CC5AD3C">
                  <w:pPr>
                    <w:pStyle w:val="11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1、选用优质宽度≥7.5cm,纯棉有纺布带，颜色根据现场实际情况搭配。</w:t>
                  </w:r>
                </w:p>
                <w:p w14:paraId="1693845B">
                  <w:pPr>
                    <w:pStyle w:val="11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2、甲醛含量(mg/kg)符合GB 18401-2010《国家纺织产品基本安全技术规范》。</w:t>
                  </w:r>
                </w:p>
                <w:p w14:paraId="34495B52">
                  <w:pPr>
                    <w:pStyle w:val="11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3、耐洗色牢度（级）：4-5级</w:t>
                  </w:r>
                </w:p>
                <w:p w14:paraId="7D411E78">
                  <w:pPr>
                    <w:pStyle w:val="11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4、耐光色牢度（级）：≥4</w:t>
                  </w:r>
                </w:p>
                <w:p w14:paraId="463ADEF3">
                  <w:pPr>
                    <w:pStyle w:val="11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5、布带用帘布包边，即帘布上下双包边，密度高、耐用、可反复清洗。</w:t>
                  </w:r>
                </w:p>
                <w:p w14:paraId="5B87E5C5">
                  <w:pPr>
                    <w:pStyle w:val="11"/>
                    <w:rPr>
                      <w:rFonts w:hint="default"/>
                    </w:rPr>
                  </w:pPr>
                  <w:r>
                    <w:rPr>
                      <w:sz w:val="21"/>
                    </w:rPr>
                    <w:t>6、选用优质POM材质可调节挂钩，耐高温、抗氧化。</w:t>
                  </w:r>
                </w:p>
              </w:tc>
            </w:tr>
            <w:tr w14:paraId="18A4D13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1D186C5">
                  <w:pPr>
                    <w:pStyle w:val="11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E2C126C">
                  <w:pPr>
                    <w:pStyle w:val="11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z w:val="21"/>
                      <w:lang w:val="en-US" w:eastAsia="zh-CN"/>
                    </w:rPr>
                    <w:t>隔</w:t>
                  </w:r>
                  <w:r>
                    <w:rPr>
                      <w:sz w:val="21"/>
                    </w:rPr>
                    <w:t>帘轨道</w:t>
                  </w:r>
                </w:p>
              </w:tc>
              <w:tc>
                <w:tcPr>
                  <w:tcW w:w="633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AF4B885">
                  <w:pPr>
                    <w:spacing w:line="360" w:lineRule="auto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隔帘轨道：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加厚铝合金工字型弯轨，顺滑静音不卡顿；</w:t>
                  </w:r>
                </w:p>
                <w:p w14:paraId="7957AF23">
                  <w:pPr>
                    <w:spacing w:line="360" w:lineRule="auto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检验依据：GB/T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5237.3-2017《铝合金建筑型材 第 3 部分：电泳涂漆型材》</w:t>
                  </w:r>
                </w:p>
                <w:p w14:paraId="39B98E90">
                  <w:pPr>
                    <w:spacing w:line="360" w:lineRule="auto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、规格：≥15mm*35mm； 壁厚≥1.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 xml:space="preserve">mm；带帘拉启时噪音小于45分贝，超静音；                                      </w:t>
                  </w:r>
                </w:p>
                <w:p w14:paraId="1E9F04AE">
                  <w:pPr>
                    <w:spacing w:line="360" w:lineRule="auto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2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、化学成分：（%）：Si/≥0.20～0.6;Fe/≤0.35;Cu/≤0.10;Mn/≤0.10;Mg/0.45～0.9;Cr/≤0.10;Zn/0.10; Ti/≤0.10；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 xml:space="preserve"> </w:t>
                  </w:r>
                </w:p>
                <w:p w14:paraId="55833CEF">
                  <w:pPr>
                    <w:spacing w:line="360" w:lineRule="auto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3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、膜层性能：[漆膜局部膜厚（μm）：≥7，漆膜干附着性：达到 0 级，漆膜湿附着性：达到 0 级，漆膜硬度：≥3H，耐磨性（g）：≥3300</w:t>
                  </w: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 xml:space="preserve">； </w:t>
                  </w:r>
                </w:p>
                <w:p w14:paraId="26C57FBB">
                  <w:pPr>
                    <w:spacing w:line="360" w:lineRule="auto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4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、锌合金卡扣式封口、高光电泳、表面光滑。</w:t>
                  </w:r>
                </w:p>
                <w:p w14:paraId="7AE5F7C0">
                  <w:pPr>
                    <w:rPr>
                      <w:rFonts w:hint="eastAsia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5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、选用锌合金弹簧扣安装码，表面电泳喷涂颜色与轨道一致。每米轨道不少于2个安装码，每米轨道不少于10粒走珠；</w:t>
                  </w:r>
                </w:p>
                <w:p w14:paraId="29929E3A">
                  <w:pPr>
                    <w:pStyle w:val="11"/>
                    <w:rPr>
                      <w:rFonts w:hint="default"/>
                    </w:rPr>
                  </w:pPr>
                </w:p>
              </w:tc>
            </w:tr>
          </w:tbl>
          <w:p w14:paraId="1CCC5B0B"/>
        </w:tc>
      </w:tr>
    </w:tbl>
    <w:p w14:paraId="246AA88C">
      <w:pPr>
        <w:pStyle w:val="11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mVkYjIzMDA3YjEwOWRiOGQ1YWE1Y2Y0ODBlNjEifQ=="/>
  </w:docVars>
  <w:rsids>
    <w:rsidRoot w:val="53B52B8D"/>
    <w:rsid w:val="00127B1D"/>
    <w:rsid w:val="001E2C7A"/>
    <w:rsid w:val="00292DA5"/>
    <w:rsid w:val="002B7C30"/>
    <w:rsid w:val="005C56BD"/>
    <w:rsid w:val="005E13B4"/>
    <w:rsid w:val="00666489"/>
    <w:rsid w:val="009F7147"/>
    <w:rsid w:val="00A53473"/>
    <w:rsid w:val="00E3395D"/>
    <w:rsid w:val="04BE505A"/>
    <w:rsid w:val="120B2C14"/>
    <w:rsid w:val="16EF53F7"/>
    <w:rsid w:val="177F50ED"/>
    <w:rsid w:val="1EF34663"/>
    <w:rsid w:val="1F154E28"/>
    <w:rsid w:val="3E126F93"/>
    <w:rsid w:val="42662AB6"/>
    <w:rsid w:val="53266F58"/>
    <w:rsid w:val="53B52B8D"/>
    <w:rsid w:val="53BF71DE"/>
    <w:rsid w:val="59C5232B"/>
    <w:rsid w:val="5DB527EA"/>
    <w:rsid w:val="65910800"/>
    <w:rsid w:val="66492147"/>
    <w:rsid w:val="76FA403C"/>
    <w:rsid w:val="77F79321"/>
    <w:rsid w:val="7BB0190F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1316</Words>
  <Characters>1718</Characters>
  <Lines>412</Lines>
  <Paragraphs>116</Paragraphs>
  <TotalTime>9</TotalTime>
  <ScaleCrop>false</ScaleCrop>
  <LinksUpToDate>false</LinksUpToDate>
  <CharactersWithSpaces>2655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赖静</cp:lastModifiedBy>
  <cp:lastPrinted>2024-10-09T06:42:00Z</cp:lastPrinted>
  <dcterms:modified xsi:type="dcterms:W3CDTF">2026-01-07T02:42:01Z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DD41730FEC294C728A2F0605E20CE19C_12</vt:lpwstr>
  </property>
  <property fmtid="{D5CDD505-2E9C-101B-9397-08002B2CF9AE}" pid="4" name="KSOTemplateDocerSaveRecord">
    <vt:lpwstr>eyJoZGlkIjoiNmE1Mzg4ZDY4OTU2NzY0ZTIwNWRmMWM0YmM3YTI1ZDYiLCJ1c2VySWQiOiIyOTgzNjc0NTIifQ==</vt:lpwstr>
  </property>
</Properties>
</file>