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C1" w:rsidRPr="00F34BC1" w:rsidRDefault="00F34BC1" w:rsidP="00F34BC1">
      <w:pPr>
        <w:jc w:val="left"/>
        <w:rPr>
          <w:sz w:val="28"/>
          <w:szCs w:val="28"/>
        </w:rPr>
      </w:pPr>
      <w:r w:rsidRPr="00F34BC1">
        <w:rPr>
          <w:rFonts w:hint="eastAsia"/>
          <w:sz w:val="28"/>
          <w:szCs w:val="28"/>
        </w:rPr>
        <w:t>附件：</w:t>
      </w:r>
    </w:p>
    <w:p w:rsidR="00C17D75" w:rsidRDefault="00C17D75" w:rsidP="00F34BC1">
      <w:pPr>
        <w:jc w:val="center"/>
        <w:rPr>
          <w:b/>
          <w:sz w:val="44"/>
          <w:szCs w:val="44"/>
        </w:rPr>
      </w:pPr>
      <w:r w:rsidRPr="00C17D75">
        <w:rPr>
          <w:rFonts w:hint="eastAsia"/>
          <w:b/>
          <w:sz w:val="44"/>
          <w:szCs w:val="44"/>
        </w:rPr>
        <w:t>第</w:t>
      </w:r>
      <w:r w:rsidR="00646AE2">
        <w:rPr>
          <w:rFonts w:hint="eastAsia"/>
          <w:b/>
          <w:sz w:val="44"/>
          <w:szCs w:val="44"/>
        </w:rPr>
        <w:t>五届广东</w:t>
      </w:r>
      <w:r w:rsidRPr="00C17D75">
        <w:rPr>
          <w:rFonts w:hint="eastAsia"/>
          <w:b/>
          <w:sz w:val="44"/>
          <w:szCs w:val="44"/>
        </w:rPr>
        <w:t>韶关大数据创新创业大赛</w:t>
      </w:r>
    </w:p>
    <w:p w:rsidR="00AC704E" w:rsidRDefault="00C17D75" w:rsidP="00F34BC1">
      <w:pPr>
        <w:jc w:val="center"/>
        <w:rPr>
          <w:b/>
          <w:sz w:val="44"/>
          <w:szCs w:val="44"/>
        </w:rPr>
      </w:pPr>
      <w:r w:rsidRPr="00F34BC1">
        <w:rPr>
          <w:rFonts w:hint="eastAsia"/>
          <w:b/>
          <w:sz w:val="44"/>
          <w:szCs w:val="44"/>
        </w:rPr>
        <w:t>晋级</w:t>
      </w:r>
      <w:r w:rsidR="00F34BC1" w:rsidRPr="00F34BC1">
        <w:rPr>
          <w:rFonts w:hint="eastAsia"/>
          <w:b/>
          <w:sz w:val="44"/>
          <w:szCs w:val="44"/>
        </w:rPr>
        <w:t>半决赛名单</w:t>
      </w:r>
    </w:p>
    <w:p w:rsidR="00F34BC1" w:rsidRDefault="00F34BC1" w:rsidP="00F34BC1">
      <w:pPr>
        <w:jc w:val="center"/>
        <w:rPr>
          <w:sz w:val="28"/>
          <w:szCs w:val="28"/>
        </w:rPr>
      </w:pPr>
      <w:r w:rsidRPr="00F34BC1">
        <w:rPr>
          <w:rFonts w:hint="eastAsia"/>
          <w:sz w:val="28"/>
          <w:szCs w:val="28"/>
        </w:rPr>
        <w:t>（以下排名不分先后）</w:t>
      </w:r>
    </w:p>
    <w:p w:rsidR="00F34BC1" w:rsidRDefault="00F34BC1" w:rsidP="00F34BC1">
      <w:pPr>
        <w:jc w:val="center"/>
        <w:rPr>
          <w:sz w:val="28"/>
          <w:szCs w:val="28"/>
        </w:rPr>
      </w:pPr>
    </w:p>
    <w:p w:rsidR="00F34BC1" w:rsidRPr="003D51B3" w:rsidRDefault="00F34BC1" w:rsidP="00F34BC1">
      <w:pPr>
        <w:jc w:val="left"/>
        <w:rPr>
          <w:b/>
          <w:sz w:val="36"/>
          <w:szCs w:val="44"/>
        </w:rPr>
      </w:pPr>
      <w:r w:rsidRPr="003D51B3">
        <w:rPr>
          <w:rFonts w:hint="eastAsia"/>
          <w:b/>
          <w:sz w:val="36"/>
          <w:szCs w:val="44"/>
        </w:rPr>
        <w:t>企业组：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F227FD" w:rsidTr="00F227FD">
        <w:tc>
          <w:tcPr>
            <w:tcW w:w="1242" w:type="dxa"/>
            <w:vAlign w:val="center"/>
          </w:tcPr>
          <w:p w:rsidR="00F227FD" w:rsidRPr="00CB06BB" w:rsidRDefault="00F227FD" w:rsidP="00F227F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B06BB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7280" w:type="dxa"/>
            <w:vAlign w:val="center"/>
          </w:tcPr>
          <w:p w:rsidR="00F227FD" w:rsidRPr="00CB06BB" w:rsidRDefault="00F227FD" w:rsidP="00F227F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B06BB">
              <w:rPr>
                <w:rFonts w:asciiTheme="minorEastAsia" w:hAnsiTheme="minorEastAsia"/>
                <w:b/>
                <w:sz w:val="28"/>
                <w:szCs w:val="28"/>
              </w:rPr>
              <w:t>企业名称</w:t>
            </w:r>
          </w:p>
        </w:tc>
      </w:tr>
      <w:tr w:rsidR="00CA618A" w:rsidRPr="00FC7EFE" w:rsidTr="00EB4AD1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广东科荣水产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创新研发有限公司</w:t>
            </w:r>
          </w:p>
        </w:tc>
      </w:tr>
      <w:tr w:rsidR="00CA618A" w:rsidRPr="00FC7EFE" w:rsidTr="00EB4AD1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软通智算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科技（韶关）有限公司</w:t>
            </w:r>
          </w:p>
        </w:tc>
      </w:tr>
      <w:tr w:rsidR="00CA618A" w:rsidRPr="00FC7EFE" w:rsidTr="00EB4AD1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南岭绿美生态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研究院有限公司</w:t>
            </w:r>
          </w:p>
        </w:tc>
      </w:tr>
      <w:tr w:rsidR="00CA618A" w:rsidRPr="00FC7EFE" w:rsidTr="00A721C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广科通立（广东）数据服务有限公司</w:t>
            </w:r>
          </w:p>
        </w:tc>
      </w:tr>
      <w:tr w:rsidR="00CA618A" w:rsidRPr="00FC7EFE" w:rsidTr="00A721C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广东智远创能源科技有限公司</w:t>
            </w:r>
          </w:p>
        </w:tc>
      </w:tr>
      <w:tr w:rsidR="00CA618A" w:rsidRPr="00FC7EFE" w:rsidTr="00A721C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中民福康（新丰）农业科技有限公司</w:t>
            </w:r>
          </w:p>
        </w:tc>
      </w:tr>
      <w:tr w:rsidR="00CA618A" w:rsidRPr="00FC7EFE" w:rsidTr="00A721C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深圳市芯魔方科技有限公司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南京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云思启点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智能科技有限公司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深圳市中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科光芯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半导体科技有限公司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合肥市精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鉴科技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北京开运联合信息技术集团股份有限公司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力之智能科技（广州）有限公司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中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碳普惠云科技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安徽声云智能科技有限公司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佛山需要智能机器人有限公司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广东丰云智能科技有限公司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时代模切信息技术（深圳）有限公司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华创氢能科技（广东）有限公司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江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门市艺光科技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开发有限公司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广东中科凯泽信息科技有限公司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广州卡沃航空科技有限公司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长沙计支宝信息科技有限公司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广州科韦博科技有限公司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北京海百川科技有限公司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树蚁智能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科技（广州）有限公司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元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智慧（广州）医药科技有限公司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广东宇讯智能科技有限公司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北京美塔碧软件科技有限公司</w:t>
            </w:r>
          </w:p>
        </w:tc>
      </w:tr>
      <w:tr w:rsidR="00CA618A" w:rsidRPr="00FC7EFE" w:rsidTr="001E3E04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湖北指南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舟科技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服务有限公司</w:t>
            </w:r>
          </w:p>
        </w:tc>
      </w:tr>
      <w:tr w:rsidR="00CA618A" w:rsidRPr="00FC7EFE" w:rsidTr="00534C61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瑞德林生物（韶关）有限公司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长沙白鹊科技有限公司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深圳铂瑞赛斯电子科技有限公司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苏州华域祥电子科技有限公司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中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赢智数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（广东）科技有限公司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280" w:type="dxa"/>
            <w:vAlign w:val="center"/>
          </w:tcPr>
          <w:p w:rsidR="00CA618A" w:rsidRPr="00CA618A" w:rsidRDefault="002B308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B3084">
              <w:rPr>
                <w:rFonts w:ascii="宋体" w:eastAsia="宋体" w:hAnsi="宋体" w:cs="宋体" w:hint="eastAsia"/>
                <w:sz w:val="28"/>
                <w:szCs w:val="28"/>
              </w:rPr>
              <w:t>广东欧莱新金属材料有</w:t>
            </w:r>
            <w:bookmarkStart w:id="0" w:name="_GoBack"/>
            <w:bookmarkEnd w:id="0"/>
            <w:r w:rsidRPr="002B3084">
              <w:rPr>
                <w:rFonts w:ascii="宋体" w:eastAsia="宋体" w:hAnsi="宋体" w:cs="宋体" w:hint="eastAsia"/>
                <w:sz w:val="28"/>
                <w:szCs w:val="28"/>
              </w:rPr>
              <w:t>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珠海洋羊网络科技有限公司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280" w:type="dxa"/>
            <w:vAlign w:val="center"/>
          </w:tcPr>
          <w:p w:rsidR="00CA618A" w:rsidRPr="00CA618A" w:rsidRDefault="0069123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9123B">
              <w:rPr>
                <w:rFonts w:ascii="宋体" w:eastAsia="宋体" w:hAnsi="宋体" w:cs="宋体" w:hint="eastAsia"/>
                <w:sz w:val="28"/>
                <w:szCs w:val="28"/>
              </w:rPr>
              <w:t>广州思牙尔科技有限公司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广东润橙农业科技有限公司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银河智子（珠海）科技有限公司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广东元智云科技有限公司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广州市四维软件有限公司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优逸人工智能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科技（广州）有限公司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北京光影达科技有限公司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广州极畅方程技术有限公司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奇墨科技（广州）有限公司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深圳市常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行科技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呜啦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啦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（广州）科技有限公司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苏州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数智元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宇人工智能科技有限公司</w:t>
            </w:r>
          </w:p>
        </w:tc>
      </w:tr>
      <w:tr w:rsidR="00CA618A" w:rsidRPr="00FC7EFE" w:rsidTr="00DD2B8F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280" w:type="dxa"/>
            <w:vAlign w:val="center"/>
          </w:tcPr>
          <w:p w:rsidR="00CA618A" w:rsidRPr="00CA618A" w:rsidRDefault="0069123B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9123B">
              <w:rPr>
                <w:rFonts w:ascii="宋体" w:eastAsia="宋体" w:hAnsi="宋体" w:cs="宋体" w:hint="eastAsia"/>
                <w:sz w:val="28"/>
                <w:szCs w:val="28"/>
              </w:rPr>
              <w:t>兵马信息技术（广东）有限公司</w:t>
            </w:r>
          </w:p>
        </w:tc>
      </w:tr>
      <w:tr w:rsidR="00CA618A" w:rsidRPr="00FC7EFE" w:rsidTr="00534C61">
        <w:trPr>
          <w:trHeight w:val="499"/>
        </w:trPr>
        <w:tc>
          <w:tcPr>
            <w:tcW w:w="1242" w:type="dxa"/>
            <w:noWrap/>
            <w:hideMark/>
          </w:tcPr>
          <w:p w:rsidR="00CA618A" w:rsidRPr="00FC7EFE" w:rsidRDefault="00CA618A" w:rsidP="00F227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C7EF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280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芯算无限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深圳（科技）有限公司</w:t>
            </w:r>
          </w:p>
        </w:tc>
      </w:tr>
      <w:tr w:rsidR="002B3084" w:rsidRPr="00FC7EFE" w:rsidTr="00534C61">
        <w:trPr>
          <w:trHeight w:val="499"/>
        </w:trPr>
        <w:tc>
          <w:tcPr>
            <w:tcW w:w="1242" w:type="dxa"/>
            <w:noWrap/>
          </w:tcPr>
          <w:p w:rsidR="002B3084" w:rsidRPr="00FC7EFE" w:rsidRDefault="002B3084" w:rsidP="00F227F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280" w:type="dxa"/>
            <w:vAlign w:val="center"/>
          </w:tcPr>
          <w:p w:rsidR="002B3084" w:rsidRPr="00CA618A" w:rsidRDefault="002B3084">
            <w:pPr>
              <w:jc w:val="center"/>
              <w:rPr>
                <w:rFonts w:hint="eastAsia"/>
                <w:sz w:val="28"/>
                <w:szCs w:val="28"/>
              </w:rPr>
            </w:pPr>
            <w:r w:rsidRPr="002B3084">
              <w:rPr>
                <w:rFonts w:hint="eastAsia"/>
                <w:sz w:val="28"/>
                <w:szCs w:val="28"/>
              </w:rPr>
              <w:t>整数智能信息技术（杭州）有限责任公司</w:t>
            </w:r>
          </w:p>
        </w:tc>
      </w:tr>
    </w:tbl>
    <w:p w:rsidR="00F34BC1" w:rsidRPr="00FC7EFE" w:rsidRDefault="00F34BC1" w:rsidP="00F34BC1">
      <w:pPr>
        <w:jc w:val="left"/>
        <w:rPr>
          <w:sz w:val="28"/>
          <w:szCs w:val="28"/>
        </w:rPr>
      </w:pPr>
    </w:p>
    <w:p w:rsidR="00476670" w:rsidRPr="00987A7E" w:rsidRDefault="00476670" w:rsidP="00476670">
      <w:pPr>
        <w:jc w:val="left"/>
        <w:rPr>
          <w:b/>
          <w:sz w:val="36"/>
          <w:szCs w:val="36"/>
        </w:rPr>
      </w:pPr>
      <w:r w:rsidRPr="00987A7E">
        <w:rPr>
          <w:rFonts w:hint="eastAsia"/>
          <w:b/>
          <w:sz w:val="36"/>
          <w:szCs w:val="36"/>
        </w:rPr>
        <w:t>团队组：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7672"/>
      </w:tblGrid>
      <w:tr w:rsidR="00A321E0" w:rsidRPr="00FC7EFE" w:rsidTr="00A321E0">
        <w:trPr>
          <w:trHeight w:val="600"/>
        </w:trPr>
        <w:tc>
          <w:tcPr>
            <w:tcW w:w="850" w:type="dxa"/>
            <w:vAlign w:val="center"/>
          </w:tcPr>
          <w:p w:rsidR="00A321E0" w:rsidRPr="00FC7EFE" w:rsidRDefault="00A321E0" w:rsidP="002E04F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C7EFE"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7672" w:type="dxa"/>
            <w:vAlign w:val="center"/>
          </w:tcPr>
          <w:p w:rsidR="00A321E0" w:rsidRPr="00FC7EFE" w:rsidRDefault="00E974C8" w:rsidP="002E04F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C7EFE">
              <w:rPr>
                <w:rFonts w:asciiTheme="minorEastAsia" w:hAnsiTheme="minorEastAsia"/>
                <w:b/>
                <w:sz w:val="28"/>
                <w:szCs w:val="28"/>
              </w:rPr>
              <w:t>团队</w:t>
            </w:r>
            <w:r w:rsidR="00A321E0" w:rsidRPr="00FC7EFE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无人特种车辆智造及产业化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镭烁智能——基于大数据自适应高精度激光加工系统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基于量子工程的</w:t>
            </w:r>
            <w:proofErr w:type="spellStart"/>
            <w:r w:rsidRPr="00CA618A">
              <w:rPr>
                <w:rFonts w:hint="eastAsia"/>
                <w:sz w:val="28"/>
                <w:szCs w:val="28"/>
              </w:rPr>
              <w:t>AlGaN</w:t>
            </w:r>
            <w:proofErr w:type="spellEnd"/>
            <w:r w:rsidRPr="00CA618A">
              <w:rPr>
                <w:rFonts w:hint="eastAsia"/>
                <w:sz w:val="28"/>
                <w:szCs w:val="28"/>
              </w:rPr>
              <w:t>铝镓氮基宽禁带半导体深紫外光源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“智能清源”雨污管网</w:t>
            </w:r>
            <w:proofErr w:type="spellStart"/>
            <w:r w:rsidRPr="00CA618A">
              <w:rPr>
                <w:rFonts w:hint="eastAsia"/>
                <w:sz w:val="28"/>
                <w:szCs w:val="28"/>
              </w:rPr>
              <w:t>ai</w:t>
            </w:r>
            <w:proofErr w:type="spellEnd"/>
            <w:r w:rsidRPr="00CA618A">
              <w:rPr>
                <w:rFonts w:hint="eastAsia"/>
                <w:sz w:val="28"/>
                <w:szCs w:val="28"/>
              </w:rPr>
              <w:t>识别系统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多物理子模型驱动的</w:t>
            </w:r>
            <w:r w:rsidRPr="00CA618A">
              <w:rPr>
                <w:rFonts w:hint="eastAsia"/>
                <w:sz w:val="28"/>
                <w:szCs w:val="28"/>
              </w:rPr>
              <w:t xml:space="preserve"> MMAM 3D </w:t>
            </w:r>
            <w:r w:rsidRPr="00CA618A">
              <w:rPr>
                <w:rFonts w:hint="eastAsia"/>
                <w:sz w:val="28"/>
                <w:szCs w:val="28"/>
              </w:rPr>
              <w:t>打印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医学超材料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创新项目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纳米级替代人工显微镜的</w:t>
            </w:r>
            <w:r w:rsidRPr="00CA618A">
              <w:rPr>
                <w:rFonts w:hint="eastAsia"/>
                <w:sz w:val="28"/>
                <w:szCs w:val="28"/>
              </w:rPr>
              <w:t xml:space="preserve">AI </w:t>
            </w:r>
            <w:r w:rsidRPr="00CA618A">
              <w:rPr>
                <w:rFonts w:hint="eastAsia"/>
                <w:sz w:val="28"/>
                <w:szCs w:val="28"/>
              </w:rPr>
              <w:t>生物、医疗及半导体</w:t>
            </w:r>
            <w:r w:rsidRPr="00CA618A">
              <w:rPr>
                <w:rFonts w:hint="eastAsia"/>
                <w:sz w:val="28"/>
                <w:szCs w:val="28"/>
              </w:rPr>
              <w:t>AI</w:t>
            </w:r>
            <w:r w:rsidRPr="00CA618A">
              <w:rPr>
                <w:rFonts w:hint="eastAsia"/>
                <w:sz w:val="28"/>
                <w:szCs w:val="28"/>
              </w:rPr>
              <w:t>大数据预估全自动检测产业化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光驭寰宇·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数聚韶关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——非线性光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瞳算力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赋能强光微光视觉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“锂”彩“视”界——激光雷达赋能大数据交通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领先的基于高分子定向合成与调控技术的</w:t>
            </w:r>
            <w:r w:rsidRPr="00CA618A">
              <w:rPr>
                <w:rFonts w:hint="eastAsia"/>
                <w:sz w:val="28"/>
                <w:szCs w:val="28"/>
              </w:rPr>
              <w:t>PCB</w:t>
            </w:r>
            <w:r w:rsidRPr="00CA618A">
              <w:rPr>
                <w:rFonts w:hint="eastAsia"/>
                <w:sz w:val="28"/>
                <w:szCs w:val="28"/>
              </w:rPr>
              <w:t>高端钻孔材料的产业化应用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 w:rsidRPr="00CA618A">
              <w:rPr>
                <w:rFonts w:hint="eastAsia"/>
                <w:sz w:val="28"/>
                <w:szCs w:val="28"/>
              </w:rPr>
              <w:t>SkeleGrowth</w:t>
            </w:r>
            <w:proofErr w:type="spellEnd"/>
            <w:r w:rsidRPr="00CA618A">
              <w:rPr>
                <w:rFonts w:hint="eastAsia"/>
                <w:sz w:val="28"/>
                <w:szCs w:val="28"/>
              </w:rPr>
              <w:t>——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光愈骨</w:t>
            </w:r>
            <w:proofErr w:type="gramEnd"/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版信未来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-IP</w:t>
            </w:r>
            <w:r w:rsidRPr="00CA618A">
              <w:rPr>
                <w:rFonts w:hint="eastAsia"/>
                <w:sz w:val="28"/>
                <w:szCs w:val="28"/>
              </w:rPr>
              <w:t>数字版权服务平台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智储韶能——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宽温域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固态电池赋能韶关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低空经济与智算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中心的大数据能源解决方案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海上风电装备大数据智能巡检与腐蚀预测系统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智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焊云眼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——激光焊接质量在线守护者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微纳卫星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高光谱高空分主被动成像载荷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基于多模态特征迁移与脉冲涡流深度学习的智能焊接质量检测系统</w:t>
            </w:r>
            <w:r w:rsidRPr="00CA618A">
              <w:rPr>
                <w:rFonts w:hint="eastAsia"/>
                <w:sz w:val="28"/>
                <w:szCs w:val="28"/>
              </w:rPr>
              <w:t>--</w:t>
            </w:r>
            <w:r w:rsidRPr="00CA618A">
              <w:rPr>
                <w:rFonts w:hint="eastAsia"/>
                <w:sz w:val="28"/>
                <w:szCs w:val="28"/>
              </w:rPr>
              <w:t>面向新能源汽车动力电池高端制造的无损检测解决方案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光启类脑，突触领航——人工神经元突触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灵犀光探—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引领智能环境适应型光电探测器芯片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路由神盾—网络基础设施安全防护领军者</w:t>
            </w:r>
          </w:p>
        </w:tc>
      </w:tr>
      <w:tr w:rsidR="00CA618A" w:rsidRPr="00FC7EFE" w:rsidTr="00071CC0">
        <w:trPr>
          <w:trHeight w:val="72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 w:rsidRPr="00CA618A">
              <w:rPr>
                <w:rFonts w:hint="eastAsia"/>
                <w:sz w:val="28"/>
                <w:szCs w:val="28"/>
              </w:rPr>
              <w:t>AscendFlow</w:t>
            </w:r>
            <w:proofErr w:type="spellEnd"/>
            <w:r w:rsidRPr="00CA618A">
              <w:rPr>
                <w:rFonts w:hint="eastAsia"/>
                <w:sz w:val="28"/>
                <w:szCs w:val="28"/>
              </w:rPr>
              <w:t xml:space="preserve"> Brain 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边缘端侧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AI</w:t>
            </w:r>
            <w:r w:rsidRPr="00CA618A">
              <w:rPr>
                <w:rFonts w:hint="eastAsia"/>
                <w:sz w:val="28"/>
                <w:szCs w:val="28"/>
              </w:rPr>
              <w:t>盒子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低功耗心电</w:t>
            </w:r>
            <w:r w:rsidRPr="00CA618A">
              <w:rPr>
                <w:rFonts w:hint="eastAsia"/>
                <w:sz w:val="28"/>
                <w:szCs w:val="28"/>
              </w:rPr>
              <w:t xml:space="preserve"> - </w:t>
            </w:r>
            <w:r w:rsidRPr="00CA618A">
              <w:rPr>
                <w:rFonts w:hint="eastAsia"/>
                <w:sz w:val="28"/>
                <w:szCs w:val="28"/>
              </w:rPr>
              <w:t>生化融合心脏监测芯片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具身智能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VLN</w:t>
            </w:r>
            <w:r w:rsidRPr="00CA618A">
              <w:rPr>
                <w:rFonts w:hint="eastAsia"/>
                <w:sz w:val="28"/>
                <w:szCs w:val="28"/>
              </w:rPr>
              <w:t>模型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智摘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慧拣</w:t>
            </w:r>
            <w:r w:rsidRPr="00CA618A">
              <w:rPr>
                <w:rFonts w:hint="eastAsia"/>
                <w:sz w:val="28"/>
                <w:szCs w:val="28"/>
              </w:rPr>
              <w:t>-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基于深度学习的果蔬采摘机器人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AI</w:t>
            </w:r>
            <w:r w:rsidRPr="00CA618A">
              <w:rPr>
                <w:rFonts w:hint="eastAsia"/>
                <w:sz w:val="28"/>
                <w:szCs w:val="28"/>
              </w:rPr>
              <w:t>设计搜索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A618A">
              <w:rPr>
                <w:rFonts w:hint="eastAsia"/>
                <w:sz w:val="28"/>
                <w:szCs w:val="28"/>
              </w:rPr>
              <w:t>增量算力</w:t>
            </w:r>
            <w:proofErr w:type="gramEnd"/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低损耗光量子传感芯片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基于</w:t>
            </w:r>
            <w:r w:rsidRPr="00CA618A">
              <w:rPr>
                <w:rFonts w:hint="eastAsia"/>
                <w:sz w:val="28"/>
                <w:szCs w:val="28"/>
              </w:rPr>
              <w:t>AI</w:t>
            </w:r>
            <w:r w:rsidRPr="00CA618A">
              <w:rPr>
                <w:rFonts w:hint="eastAsia"/>
                <w:sz w:val="28"/>
                <w:szCs w:val="28"/>
              </w:rPr>
              <w:t>分析的数据认证处理系统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异质混合集成非线性光电探测器件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  <w:hideMark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一碰互联</w:t>
            </w:r>
            <w:proofErr w:type="spellStart"/>
            <w:r w:rsidRPr="00CA618A">
              <w:rPr>
                <w:rFonts w:hint="eastAsia"/>
                <w:sz w:val="28"/>
                <w:szCs w:val="28"/>
              </w:rPr>
              <w:t>TouchLink</w:t>
            </w:r>
            <w:proofErr w:type="spellEnd"/>
            <w:r w:rsidRPr="00CA618A">
              <w:rPr>
                <w:rFonts w:hint="eastAsia"/>
                <w:sz w:val="28"/>
                <w:szCs w:val="28"/>
              </w:rPr>
              <w:t>——自</w:t>
            </w:r>
            <w:proofErr w:type="gramStart"/>
            <w:r w:rsidRPr="00CA618A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Pr="00CA618A">
              <w:rPr>
                <w:rFonts w:hint="eastAsia"/>
                <w:sz w:val="28"/>
                <w:szCs w:val="28"/>
              </w:rPr>
              <w:t>NFC3.0</w:t>
            </w:r>
            <w:r w:rsidRPr="00CA618A">
              <w:rPr>
                <w:rFonts w:hint="eastAsia"/>
                <w:sz w:val="28"/>
                <w:szCs w:val="28"/>
              </w:rPr>
              <w:t>全场景物联解决方案</w:t>
            </w:r>
          </w:p>
        </w:tc>
      </w:tr>
      <w:tr w:rsidR="00CA618A" w:rsidRPr="00FC7EFE" w:rsidTr="00071CC0">
        <w:trPr>
          <w:trHeight w:val="600"/>
        </w:trPr>
        <w:tc>
          <w:tcPr>
            <w:tcW w:w="850" w:type="dxa"/>
          </w:tcPr>
          <w:p w:rsidR="00CA618A" w:rsidRPr="00FC7EFE" w:rsidRDefault="00CA618A" w:rsidP="00A321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7EFE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7672" w:type="dxa"/>
            <w:vAlign w:val="center"/>
          </w:tcPr>
          <w:p w:rsidR="00CA618A" w:rsidRPr="00CA618A" w:rsidRDefault="00CA618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A618A">
              <w:rPr>
                <w:rFonts w:hint="eastAsia"/>
                <w:sz w:val="28"/>
                <w:szCs w:val="28"/>
              </w:rPr>
              <w:t>非接触式脊柱手术经皮穿刺定位导航</w:t>
            </w:r>
          </w:p>
        </w:tc>
      </w:tr>
    </w:tbl>
    <w:p w:rsidR="00476670" w:rsidRPr="00A321E0" w:rsidRDefault="00476670" w:rsidP="00F34BC1">
      <w:pPr>
        <w:jc w:val="left"/>
        <w:rPr>
          <w:sz w:val="28"/>
          <w:szCs w:val="28"/>
        </w:rPr>
      </w:pPr>
    </w:p>
    <w:sectPr w:rsidR="00476670" w:rsidRPr="00A3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E8"/>
    <w:rsid w:val="00142A0A"/>
    <w:rsid w:val="002015E8"/>
    <w:rsid w:val="002B3084"/>
    <w:rsid w:val="003D51B3"/>
    <w:rsid w:val="00476670"/>
    <w:rsid w:val="00526D4F"/>
    <w:rsid w:val="00603A08"/>
    <w:rsid w:val="00646AE2"/>
    <w:rsid w:val="0069123B"/>
    <w:rsid w:val="008B75A2"/>
    <w:rsid w:val="00987A7E"/>
    <w:rsid w:val="00A04708"/>
    <w:rsid w:val="00A321E0"/>
    <w:rsid w:val="00A8168A"/>
    <w:rsid w:val="00AC704E"/>
    <w:rsid w:val="00C17D75"/>
    <w:rsid w:val="00CA618A"/>
    <w:rsid w:val="00CB06BB"/>
    <w:rsid w:val="00CB40D4"/>
    <w:rsid w:val="00D21F1E"/>
    <w:rsid w:val="00E974C8"/>
    <w:rsid w:val="00EA5B1B"/>
    <w:rsid w:val="00F227FD"/>
    <w:rsid w:val="00F34BC1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浩子</dc:creator>
  <cp:keywords/>
  <dc:description/>
  <cp:lastModifiedBy>浩子</cp:lastModifiedBy>
  <cp:revision>20</cp:revision>
  <dcterms:created xsi:type="dcterms:W3CDTF">2022-11-03T07:30:00Z</dcterms:created>
  <dcterms:modified xsi:type="dcterms:W3CDTF">2025-10-20T06:16:00Z</dcterms:modified>
</cp:coreProperties>
</file>