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0" w:firstLineChars="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附件：</w:t>
      </w:r>
    </w:p>
    <w:p>
      <w:pPr>
        <w:spacing w:line="600" w:lineRule="exact"/>
        <w:ind w:firstLine="0" w:firstLineChars="0"/>
        <w:jc w:val="center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《韶关市莲花大道及高教职教片区控制性详细规划（修编）》草案公示</w:t>
      </w:r>
      <w:bookmarkStart w:id="1" w:name="_GoBack"/>
      <w:bookmarkEnd w:id="1"/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一、规划范围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规划范围东至新岭头，南至望城岭，西至莲花山，北临浈江，总用地面积46.64平方千米，其中城镇开发边界面积约17.96平方千米。</w:t>
      </w: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二、目标定位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以科创教育、商贸流通、装备制造、康养休闲功能为主导的产学研一体化和城乡融合发展的东部新城。</w:t>
      </w: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三、空间结构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规划构建“两轴三心多组团”的空间格局。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（一）两轴：</w:t>
      </w:r>
      <w:r>
        <w:rPr>
          <w:rFonts w:hint="eastAsia" w:hAnsi="仿宋_GB2312" w:cs="仿宋_GB2312"/>
          <w:szCs w:val="32"/>
        </w:rPr>
        <w:t>莲花大道产城融合发展轴、大学路科研创新发展轴。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（二）三心：</w:t>
      </w:r>
      <w:r>
        <w:rPr>
          <w:rFonts w:hint="eastAsia" w:hAnsi="仿宋_GB2312" w:cs="仿宋_GB2312"/>
          <w:szCs w:val="32"/>
        </w:rPr>
        <w:t>商贸服务中心、科研创新中心、公共服务中心。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（三）多组团：</w:t>
      </w:r>
      <w:bookmarkStart w:id="0" w:name="OLE_LINK7"/>
      <w:r>
        <w:rPr>
          <w:rFonts w:hint="eastAsia" w:hAnsi="仿宋_GB2312" w:cs="仿宋_GB2312"/>
          <w:szCs w:val="32"/>
        </w:rPr>
        <w:t>包括滨江活力组团、商贸物流组团、科创教育组团、装备制造组团、城乡融合组团、康养文旅组团和生态休闲组团。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——滨江活力组团：完善公共服务设施和改善道路交通，营造浈江水岸活力带，强化城市综合服务功能，提高宜居宜业水平。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——商贸物流组团：依托南韶高速、莲花大道便捷的交通条件和现有的商贸流通业基础，发展农产品、服装等仓储与分拣、专业设备零配件展示与销售等功能。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——科创教育组团：依托韶关学院和职业教育资源优势，建设产学研创新服务中心和孵化基地，为韶关发展提供人才支撑。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——装备制造组团：依托韶关雄厚的工业基础，重点打造涵盖基础材料加工、关键零部件制造、成套装备生产的先进装备制造产业集群。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——城乡融合组团：整合乡村特色资源，发展乡村休闲产业，改善人居环境，实现城乡融合发展。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——康养文旅组团：充分利用山水自然资源优势，重点发展温泉、高尔夫、低空经济等高端康养旅游产业。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——生态休闲组团：依托优质山水生态本底，建设郊野公园与生态绿道，发展田园观光、户外休闲等绿色产业。</w:t>
      </w: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hAnsi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43815</wp:posOffset>
            </wp:positionV>
            <wp:extent cx="5293995" cy="6219190"/>
            <wp:effectExtent l="0" t="0" r="1905" b="10160"/>
            <wp:wrapTopAndBottom/>
            <wp:docPr id="1" name="图片 1" descr="空间结构和功能分区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空间结构和功能分区规划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_GB2312" w:hAnsi="楷体_GB2312" w:eastAsia="楷体_GB2312" w:cs="楷体_GB2312"/>
          <w:sz w:val="28"/>
          <w:szCs w:val="28"/>
        </w:rPr>
        <w:t>图1：空间结构和功能分区规划图</w:t>
      </w: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四、用地布局</w:t>
      </w:r>
    </w:p>
    <w:p>
      <w:pPr>
        <w:spacing w:line="600" w:lineRule="exact"/>
        <w:rPr>
          <w:rFonts w:hint="eastAsia" w:hAnsi="仿宋_GB2312" w:eastAsia="仿宋_GB2312" w:cs="仿宋_GB2312"/>
          <w:szCs w:val="32"/>
          <w:lang w:eastAsia="zh-CN"/>
        </w:rPr>
      </w:pPr>
      <w:r>
        <w:rPr>
          <w:rFonts w:hint="eastAsia" w:hAnsi="仿宋_GB2312" w:cs="仿宋_GB2312"/>
          <w:szCs w:val="32"/>
        </w:rPr>
        <w:t>规划</w:t>
      </w:r>
      <w:r>
        <w:rPr>
          <w:rFonts w:hint="eastAsia" w:hAnsi="仿宋_GB2312" w:cs="仿宋_GB2312"/>
          <w:szCs w:val="32"/>
          <w:lang w:val="en-US" w:eastAsia="zh-CN"/>
        </w:rPr>
        <w:t>城市建设</w:t>
      </w:r>
      <w:r>
        <w:rPr>
          <w:rFonts w:hint="eastAsia" w:hAnsi="仿宋_GB2312" w:cs="仿宋_GB2312"/>
          <w:szCs w:val="32"/>
        </w:rPr>
        <w:t>用地</w:t>
      </w:r>
      <w:r>
        <w:rPr>
          <w:rFonts w:hint="eastAsia" w:hAnsi="仿宋_GB2312" w:cs="仿宋_GB2312"/>
          <w:szCs w:val="32"/>
          <w:lang w:val="en-US" w:eastAsia="zh-CN"/>
        </w:rPr>
        <w:t>1784公顷</w:t>
      </w:r>
      <w:r>
        <w:rPr>
          <w:rFonts w:hint="eastAsia" w:hAnsi="仿宋_GB2312" w:cs="仿宋_GB2312"/>
          <w:szCs w:val="32"/>
          <w:lang w:eastAsia="zh-CN"/>
        </w:rPr>
        <w:t>，</w:t>
      </w:r>
      <w:r>
        <w:rPr>
          <w:rFonts w:hint="eastAsia" w:hAnsi="仿宋_GB2312" w:cs="仿宋_GB2312"/>
          <w:szCs w:val="32"/>
        </w:rPr>
        <w:t>包括居住用地（07）、公共管理与公共服务用地（08）、商业服务业用地（09）、</w:t>
      </w:r>
      <w:r>
        <w:rPr>
          <w:rFonts w:hint="eastAsia" w:hAnsi="仿宋_GB2312" w:cs="仿宋_GB2312"/>
          <w:szCs w:val="32"/>
          <w:lang w:val="en-US" w:eastAsia="zh-CN"/>
        </w:rPr>
        <w:t>工矿用地（10）、仓储用地（11）、</w:t>
      </w:r>
      <w:r>
        <w:rPr>
          <w:rFonts w:hint="eastAsia" w:hAnsi="仿宋_GB2312" w:cs="仿宋_GB2312"/>
          <w:szCs w:val="32"/>
        </w:rPr>
        <w:t>交通运输用地（12）、公用设施用地（13）、绿地与开敞空间用地（14）、特殊用地（15）</w:t>
      </w:r>
      <w:r>
        <w:rPr>
          <w:rFonts w:hint="eastAsia" w:hAnsi="仿宋_GB2312" w:cs="仿宋_GB2312"/>
          <w:szCs w:val="32"/>
          <w:lang w:eastAsia="zh-CN"/>
        </w:rPr>
        <w:t>。</w:t>
      </w:r>
    </w:p>
    <w:p>
      <w:pPr>
        <w:spacing w:line="600" w:lineRule="exact"/>
        <w:ind w:left="0" w:leftChars="0"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86360</wp:posOffset>
            </wp:positionV>
            <wp:extent cx="5227955" cy="6859905"/>
            <wp:effectExtent l="0" t="0" r="10795" b="17145"/>
            <wp:wrapTopAndBottom/>
            <wp:docPr id="3" name="图片 3" descr="微信图片_20250929170155_46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9170155_46_100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12000"/>
                    </a:blip>
                    <a:srcRect l="1917" t="8112" r="2122" b="2996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sz w:val="28"/>
          <w:szCs w:val="28"/>
        </w:rPr>
        <w:t>图2：土地使用规划图</w:t>
      </w: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五、道路交通规划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规划构建“三横三纵”干路网络。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（一）三横：</w:t>
      </w:r>
      <w:r>
        <w:rPr>
          <w:rFonts w:hint="eastAsia" w:hAnsi="仿宋_GB2312" w:cs="仿宋_GB2312"/>
          <w:szCs w:val="32"/>
        </w:rPr>
        <w:t>包括大德路-鑫汇路、大学路和生态路。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（二）三纵：</w:t>
      </w:r>
      <w:r>
        <w:rPr>
          <w:rFonts w:hint="eastAsia" w:hAnsi="仿宋_GB2312" w:cs="仿宋_GB2312"/>
          <w:szCs w:val="32"/>
        </w:rPr>
        <w:t>包括莲花大道、东韶大道和矿园路-X847。</w:t>
      </w:r>
    </w:p>
    <w:p>
      <w:pPr>
        <w:spacing w:line="240" w:lineRule="auto"/>
        <w:ind w:firstLine="0" w:firstLineChars="0"/>
        <w:rPr>
          <w:rFonts w:hint="eastAsia" w:hAnsi="仿宋_GB2312" w:cs="仿宋_GB2312"/>
          <w:szCs w:val="32"/>
        </w:rPr>
      </w:pPr>
      <w:r>
        <w:drawing>
          <wp:inline distT="0" distB="0" distL="0" distR="0">
            <wp:extent cx="5274310" cy="6020435"/>
            <wp:effectExtent l="0" t="0" r="2540" b="0"/>
            <wp:docPr id="16018418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41887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图3：道路系统规划图</w:t>
      </w: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六、公共服务设施规划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结合组团式城市空间格局，规划构建多中心公共服务体系；完善社区公共服务设施，构建十五分钟生活圈，提升宜居宜业宜游品质。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（一）商贸服务中心：</w:t>
      </w:r>
      <w:r>
        <w:rPr>
          <w:rFonts w:hint="eastAsia" w:hAnsi="仿宋_GB2312" w:cs="仿宋_GB2312"/>
          <w:szCs w:val="32"/>
        </w:rPr>
        <w:t>布置于商贸流通组团，提供酒店、会议、金融、休闲娱乐等商业商务服务设施。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（二）科研创新中心：</w:t>
      </w:r>
      <w:r>
        <w:rPr>
          <w:rFonts w:hint="eastAsia" w:hAnsi="仿宋_GB2312" w:cs="仿宋_GB2312"/>
          <w:szCs w:val="32"/>
        </w:rPr>
        <w:t>布置于科创教育组团，提供公共实训、产教融合与校企合作、技能鉴定与资格认证等功能，构建开放、共享、高效的技能人才培养生态系统，推动区域产业发展和高质量就业。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（三）公共服务中心：</w:t>
      </w:r>
      <w:r>
        <w:rPr>
          <w:rFonts w:hint="eastAsia" w:hAnsi="仿宋_GB2312" w:cs="仿宋_GB2312"/>
          <w:szCs w:val="32"/>
        </w:rPr>
        <w:t>布置于滨江活力组团，综合布置教育、文化、体育、商业、公园等公共服务设施和公共活动空间，营造高品质的公共中心。</w:t>
      </w:r>
    </w:p>
    <w:p>
      <w:pPr>
        <w:spacing w:line="600" w:lineRule="exact"/>
        <w:rPr>
          <w:rFonts w:hint="eastAsia" w:ascii="楷体_GB2312" w:hAnsi="楷体_GB2312" w:eastAsia="楷体_GB2312" w:cs="楷体_GB231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Cs w:val="32"/>
          <w:lang w:val="en-US" w:eastAsia="zh-CN"/>
        </w:rPr>
        <w:t>分类公共服务设施规划</w:t>
      </w:r>
    </w:p>
    <w:p>
      <w:pPr>
        <w:spacing w:line="600" w:lineRule="exact"/>
        <w:rPr>
          <w:rFonts w:hint="eastAsia" w:hAnsi="仿宋_GB2312" w:cs="仿宋_GB2312"/>
          <w:szCs w:val="32"/>
          <w:lang w:val="en-US" w:eastAsia="zh-CN"/>
        </w:rPr>
      </w:pPr>
      <w:r>
        <w:rPr>
          <w:rFonts w:hint="eastAsia" w:hAnsi="仿宋_GB2312" w:cs="仿宋_GB2312"/>
          <w:szCs w:val="32"/>
          <w:lang w:eastAsia="zh-CN"/>
        </w:rPr>
        <w:t>——</w:t>
      </w:r>
      <w:r>
        <w:rPr>
          <w:rFonts w:hint="eastAsia" w:hAnsi="仿宋_GB2312" w:cs="仿宋_GB2312"/>
          <w:szCs w:val="32"/>
          <w:lang w:val="en-US" w:eastAsia="zh-CN"/>
        </w:rPr>
        <w:t>文化设施：包括浈江区工人文化宫、图书馆、文化馆和文化站。</w:t>
      </w:r>
    </w:p>
    <w:p>
      <w:pPr>
        <w:spacing w:line="600" w:lineRule="exact"/>
        <w:rPr>
          <w:rFonts w:hint="default" w:hAnsi="仿宋_GB2312" w:cs="仿宋_GB2312"/>
          <w:szCs w:val="32"/>
          <w:lang w:val="en-US" w:eastAsia="zh-CN"/>
        </w:rPr>
      </w:pPr>
      <w:r>
        <w:rPr>
          <w:rFonts w:hint="eastAsia" w:hAnsi="仿宋_GB2312" w:cs="仿宋_GB2312"/>
          <w:szCs w:val="32"/>
          <w:lang w:val="en-US" w:eastAsia="zh-CN"/>
        </w:rPr>
        <w:t>——教育设施：包括韶关学院、韶关市浈江中等职业学校、韶关市职工大学、韶关市中等职业技术学校、广东松山职业技术学院和南方技师学院等高校，韶关市第一中学、东鹏中学等2所中学，黄金村中心小学、东联小学、府管小学、银山小学等6所小学，黄金爱心幼儿园、东鹏幼儿园、金葵幼儿园、浈江区育星幼儿园等8所幼儿园。</w:t>
      </w:r>
    </w:p>
    <w:p>
      <w:pPr>
        <w:spacing w:line="600" w:lineRule="exact"/>
        <w:rPr>
          <w:rFonts w:hint="default" w:hAnsi="仿宋_GB2312" w:cs="仿宋_GB2312"/>
          <w:szCs w:val="32"/>
          <w:lang w:val="en-US" w:eastAsia="zh-CN"/>
        </w:rPr>
      </w:pPr>
      <w:r>
        <w:rPr>
          <w:rFonts w:hint="eastAsia" w:hAnsi="仿宋_GB2312" w:cs="仿宋_GB2312"/>
          <w:szCs w:val="32"/>
          <w:lang w:eastAsia="zh-CN"/>
        </w:rPr>
        <w:t>——</w:t>
      </w:r>
      <w:r>
        <w:rPr>
          <w:rFonts w:hint="eastAsia" w:hAnsi="仿宋_GB2312" w:cs="仿宋_GB2312"/>
          <w:szCs w:val="32"/>
          <w:lang w:val="en-US" w:eastAsia="zh-CN"/>
        </w:rPr>
        <w:t>体育设施：规划2处多功能体育活动场地。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  <w:lang w:val="en-US" w:eastAsia="zh-CN"/>
        </w:rPr>
        <w:t>——医疗卫生设施：包括浈江区中医院（在建）、新韶镇卫生院、黄金村卫生站、府管村卫生站、东联村卫生站等。</w:t>
      </w:r>
    </w:p>
    <w:p>
      <w:pPr>
        <w:ind w:firstLine="0" w:firstLineChars="0"/>
        <w:rPr>
          <w:rFonts w:hint="eastAsia" w:hAnsi="仿宋_GB2312" w:cs="仿宋_GB2312"/>
          <w:szCs w:val="32"/>
        </w:rPr>
      </w:pPr>
      <w:r>
        <w:rPr>
          <w:rFonts w:hAnsi="仿宋_GB2312" w:cs="仿宋_GB2312"/>
          <w:szCs w:val="32"/>
        </w:rPr>
        <w:drawing>
          <wp:inline distT="0" distB="0" distL="0" distR="0">
            <wp:extent cx="5274310" cy="5935345"/>
            <wp:effectExtent l="0" t="0" r="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46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5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图4：公共服务设施规划图</w:t>
      </w: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七、绿地系统规划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hAnsi="仿宋_GB2312" w:cs="仿宋_GB2312"/>
          <w:szCs w:val="32"/>
        </w:rPr>
        <w:t>依托莲花山、望城岭、浈江、大陂河等自然山水，构建“一廊一带多园”的绿地系统格局。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（一）一廊：</w:t>
      </w:r>
      <w:r>
        <w:rPr>
          <w:rFonts w:hint="eastAsia" w:hAnsi="仿宋_GB2312" w:cs="仿宋_GB2312"/>
          <w:szCs w:val="32"/>
        </w:rPr>
        <w:t>浈江滨水绿廊，沿浈江岸线布置公园绿地，配套居民休闲运动设施，营造环境优美、设施完善、使用方便的滨水活动空间。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（二）一带：</w:t>
      </w:r>
      <w:r>
        <w:rPr>
          <w:rFonts w:hint="eastAsia" w:hAnsi="仿宋_GB2312" w:cs="仿宋_GB2312"/>
          <w:szCs w:val="32"/>
        </w:rPr>
        <w:t>大陂河滨水绿带，沿大陂河控制滨河带状绿地，结合建设绿道、碧道，连通浈江滨水绿廊和韶关国家森林公园（莲花山）。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（三）多园：</w:t>
      </w:r>
      <w:r>
        <w:rPr>
          <w:rFonts w:hint="eastAsia" w:hAnsi="仿宋_GB2312" w:cs="仿宋_GB2312"/>
          <w:szCs w:val="32"/>
        </w:rPr>
        <w:t>依托低丘山体和坑塘水库，建设多个公园，包括山稔花法治文化主题公园、樱花公园等。</w:t>
      </w:r>
    </w:p>
    <w:p>
      <w:pPr>
        <w:spacing w:line="276" w:lineRule="auto"/>
        <w:ind w:firstLine="0" w:firstLineChars="0"/>
        <w:rPr>
          <w:rFonts w:hint="eastAsia" w:hAnsi="仿宋_GB2312" w:cs="仿宋_GB2312"/>
          <w:szCs w:val="32"/>
        </w:rPr>
      </w:pPr>
      <w:r>
        <w:rPr>
          <w:rFonts w:hAnsi="仿宋_GB2312" w:cs="仿宋_GB2312"/>
          <w:szCs w:val="32"/>
        </w:rPr>
        <w:drawing>
          <wp:inline distT="0" distB="0" distL="0" distR="0">
            <wp:extent cx="5274310" cy="5731510"/>
            <wp:effectExtent l="0" t="0" r="2540" b="2540"/>
            <wp:docPr id="7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9"/>
                    <pic:cNvPicPr>
                      <a:picLocks noChangeAspect="1"/>
                    </pic:cNvPicPr>
                  </pic:nvPicPr>
                  <pic:blipFill>
                    <a:blip r:embed="rId16"/>
                    <a:srcRect b="20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0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0" w:firstLineChars="0"/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图5：绿地系统规划图</w:t>
      </w:r>
    </w:p>
    <w:p>
      <w:pPr>
        <w:pStyle w:val="2"/>
        <w:spacing w:line="600" w:lineRule="exact"/>
        <w:rPr>
          <w:rFonts w:hint="eastAsia" w:cs="黑体"/>
          <w:szCs w:val="32"/>
        </w:rPr>
      </w:pPr>
      <w:r>
        <w:rPr>
          <w:rFonts w:hint="eastAsia" w:cs="黑体"/>
          <w:szCs w:val="32"/>
        </w:rPr>
        <w:t>八、市政工程规划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（一）给水工程规划：</w:t>
      </w:r>
      <w:r>
        <w:rPr>
          <w:rFonts w:hint="eastAsia" w:hAnsi="仿宋_GB2312" w:cs="仿宋_GB2312"/>
          <w:szCs w:val="32"/>
        </w:rPr>
        <w:t>由西河二水厂供水,给水干管沿大学路、莲花大道敷设，民生路、凌霜路敷设DN500给水次干管；其他道路敷设DN300的给水支管。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（二）排水工程规划：</w:t>
      </w:r>
      <w:r>
        <w:rPr>
          <w:rFonts w:hint="eastAsia" w:hAnsi="仿宋_GB2312" w:cs="仿宋_GB2312"/>
          <w:szCs w:val="32"/>
        </w:rPr>
        <w:t>预留韶关市第五污水处理厂扩建用地，占地面积9.05公顷；规划新增2处提升泵站。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（三）电力工程规划：</w:t>
      </w:r>
      <w:r>
        <w:rPr>
          <w:rFonts w:hint="eastAsia" w:hAnsi="仿宋_GB2312" w:cs="仿宋_GB2312"/>
          <w:szCs w:val="32"/>
        </w:rPr>
        <w:t>保留现状110kV东郊站和黄金村站，220kV高压走廊宽度控制为30米，110kV高压走廊宽度控制为15米。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（四）燃气工程规划：</w:t>
      </w:r>
      <w:r>
        <w:rPr>
          <w:rFonts w:hint="eastAsia" w:hAnsi="仿宋_GB2312" w:cs="仿宋_GB2312"/>
          <w:szCs w:val="32"/>
        </w:rPr>
        <w:t>由港华韶大西门站提供燃气。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（五）环卫工程规划：</w:t>
      </w:r>
      <w:r>
        <w:rPr>
          <w:rFonts w:hint="eastAsia" w:hAnsi="仿宋_GB2312" w:cs="仿宋_GB2312"/>
          <w:szCs w:val="32"/>
        </w:rPr>
        <w:t>规划保留现状黄金村垃圾中转站，新增莲花大道垃圾中转站、韶塘东垃圾中转站和韶塘西垃圾中转站。</w:t>
      </w:r>
    </w:p>
    <w:p>
      <w:pPr>
        <w:spacing w:line="600" w:lineRule="exact"/>
        <w:rPr>
          <w:rFonts w:hint="eastAsia" w:hAnsi="仿宋_GB2312" w:cs="仿宋_GB2312"/>
          <w:szCs w:val="32"/>
        </w:rPr>
      </w:pPr>
      <w:r>
        <w:rPr>
          <w:rFonts w:hint="eastAsia" w:ascii="楷体_GB2312" w:hAnsi="楷体_GB2312" w:eastAsia="楷体_GB2312" w:cs="楷体_GB2312"/>
          <w:szCs w:val="32"/>
        </w:rPr>
        <w:t>（六）防灾设施规划：</w:t>
      </w:r>
      <w:r>
        <w:rPr>
          <w:rFonts w:hint="eastAsia" w:hAnsi="仿宋_GB2312" w:cs="仿宋_GB2312"/>
          <w:szCs w:val="32"/>
        </w:rPr>
        <w:t>浈江防洪标准为100年一遇，规划范围内排涝标准为20年一遇；结合公园绿地、广场、运动场等布置应急避难场所；规划新增2处一级普通消防站，分别在大学路东侧和莲花大道中南侧。</w:t>
      </w: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rPr>
          <w:rFonts w:hint="eastAsia" w:hAnsi="仿宋_GB2312" w:cs="仿宋_GB2312"/>
          <w:szCs w:val="32"/>
        </w:rPr>
      </w:pP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ind w:left="0" w:leftChars="0" w:firstLine="0" w:firstLineChars="0"/>
        <w:rPr>
          <w:rFonts w:hint="eastAsia" w:hAnsi="仿宋_GB2312" w:eastAsia="仿宋_GB2312" w:cs="仿宋_GB2312"/>
          <w:szCs w:val="32"/>
          <w:lang w:eastAsia="zh-CN"/>
        </w:rPr>
      </w:pPr>
      <w:r>
        <w:rPr>
          <w:rFonts w:hint="eastAsia" w:hAnsi="仿宋_GB2312" w:eastAsia="仿宋_GB2312" w:cs="仿宋_GB231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95885</wp:posOffset>
            </wp:positionV>
            <wp:extent cx="5266690" cy="6155690"/>
            <wp:effectExtent l="0" t="0" r="10160" b="16510"/>
            <wp:wrapTopAndBottom/>
            <wp:docPr id="4" name="图片 4" descr="c210c78f33c881aa4e7844a6b476e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10c78f33c881aa4e7844a6b476ea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</w:pP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</w:pP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</w:pP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</w:pPr>
    </w:p>
    <w:p>
      <w:pPr>
        <w:spacing w:line="600" w:lineRule="exact"/>
        <w:ind w:left="0" w:leftChars="0" w:firstLine="0" w:firstLineChars="0"/>
        <w:rPr>
          <w:rFonts w:hint="eastAsia" w:hAnsi="仿宋_GB2312" w:cs="仿宋_GB231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ind w:firstLine="560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560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0"/>
      </w:pPr>
      <w:r>
        <w:separator/>
      </w:r>
    </w:p>
  </w:footnote>
  <w:footnote w:type="continuationSeparator" w:id="1">
    <w:p>
      <w:pPr>
        <w:spacing w:line="36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C22"/>
    <w:rsid w:val="00075044"/>
    <w:rsid w:val="00075BB3"/>
    <w:rsid w:val="0008618B"/>
    <w:rsid w:val="000C3F15"/>
    <w:rsid w:val="000C5F4B"/>
    <w:rsid w:val="000E5599"/>
    <w:rsid w:val="000F10B0"/>
    <w:rsid w:val="001550FE"/>
    <w:rsid w:val="00172E9E"/>
    <w:rsid w:val="001954EA"/>
    <w:rsid w:val="001B101E"/>
    <w:rsid w:val="001F3D04"/>
    <w:rsid w:val="002925FA"/>
    <w:rsid w:val="002A1C9A"/>
    <w:rsid w:val="003001C7"/>
    <w:rsid w:val="003B5654"/>
    <w:rsid w:val="00403242"/>
    <w:rsid w:val="00483F2D"/>
    <w:rsid w:val="00485C2C"/>
    <w:rsid w:val="0052040D"/>
    <w:rsid w:val="005B145C"/>
    <w:rsid w:val="0066408D"/>
    <w:rsid w:val="0066642B"/>
    <w:rsid w:val="006B6675"/>
    <w:rsid w:val="006F7B10"/>
    <w:rsid w:val="00773382"/>
    <w:rsid w:val="0078492E"/>
    <w:rsid w:val="00797F22"/>
    <w:rsid w:val="007B1A58"/>
    <w:rsid w:val="00846285"/>
    <w:rsid w:val="008B0B1F"/>
    <w:rsid w:val="008B61AD"/>
    <w:rsid w:val="008D068F"/>
    <w:rsid w:val="008D2CA2"/>
    <w:rsid w:val="00901DF7"/>
    <w:rsid w:val="00964FA3"/>
    <w:rsid w:val="00A51EDA"/>
    <w:rsid w:val="00AC0643"/>
    <w:rsid w:val="00AD48E4"/>
    <w:rsid w:val="00B565E8"/>
    <w:rsid w:val="00B95365"/>
    <w:rsid w:val="00BB5AFC"/>
    <w:rsid w:val="00D610E7"/>
    <w:rsid w:val="00DD5E6D"/>
    <w:rsid w:val="00DD7A1D"/>
    <w:rsid w:val="00DF11D6"/>
    <w:rsid w:val="00E01B83"/>
    <w:rsid w:val="00E53256"/>
    <w:rsid w:val="00EF0F6D"/>
    <w:rsid w:val="00F62504"/>
    <w:rsid w:val="00F76C22"/>
    <w:rsid w:val="00FC0C89"/>
    <w:rsid w:val="00FE2278"/>
    <w:rsid w:val="011949CD"/>
    <w:rsid w:val="011E4718"/>
    <w:rsid w:val="01203FAE"/>
    <w:rsid w:val="01D32DCE"/>
    <w:rsid w:val="01F64D0F"/>
    <w:rsid w:val="02034D1E"/>
    <w:rsid w:val="027D0818"/>
    <w:rsid w:val="028642E4"/>
    <w:rsid w:val="02B04EBD"/>
    <w:rsid w:val="02B612CD"/>
    <w:rsid w:val="03F57016"/>
    <w:rsid w:val="041F054D"/>
    <w:rsid w:val="04937124"/>
    <w:rsid w:val="04F16413"/>
    <w:rsid w:val="057C552B"/>
    <w:rsid w:val="068846D2"/>
    <w:rsid w:val="06C90C44"/>
    <w:rsid w:val="07001711"/>
    <w:rsid w:val="087014C5"/>
    <w:rsid w:val="091343F8"/>
    <w:rsid w:val="09237A3C"/>
    <w:rsid w:val="09E57B43"/>
    <w:rsid w:val="0B136931"/>
    <w:rsid w:val="0B70168E"/>
    <w:rsid w:val="0B9510F4"/>
    <w:rsid w:val="0CD93263"/>
    <w:rsid w:val="0CDB6FDB"/>
    <w:rsid w:val="0D0504FC"/>
    <w:rsid w:val="0E3C619F"/>
    <w:rsid w:val="0E8D69FB"/>
    <w:rsid w:val="0EFD09D9"/>
    <w:rsid w:val="0F20161D"/>
    <w:rsid w:val="0F9D2C6D"/>
    <w:rsid w:val="0FFC3E38"/>
    <w:rsid w:val="10A83678"/>
    <w:rsid w:val="11A227BD"/>
    <w:rsid w:val="12586C39"/>
    <w:rsid w:val="12696E37"/>
    <w:rsid w:val="12A61270"/>
    <w:rsid w:val="12DE7825"/>
    <w:rsid w:val="12F85A90"/>
    <w:rsid w:val="1319260B"/>
    <w:rsid w:val="133A279F"/>
    <w:rsid w:val="13601318"/>
    <w:rsid w:val="136E6DFB"/>
    <w:rsid w:val="13EA6AE9"/>
    <w:rsid w:val="14481D3D"/>
    <w:rsid w:val="14531B4D"/>
    <w:rsid w:val="15A763E9"/>
    <w:rsid w:val="164A384D"/>
    <w:rsid w:val="173E4D36"/>
    <w:rsid w:val="17D65A61"/>
    <w:rsid w:val="186E51A7"/>
    <w:rsid w:val="198D3D53"/>
    <w:rsid w:val="19AF1F1B"/>
    <w:rsid w:val="19F4792E"/>
    <w:rsid w:val="1A940F75"/>
    <w:rsid w:val="1AAC7843"/>
    <w:rsid w:val="1B0D6EF9"/>
    <w:rsid w:val="1B9478C1"/>
    <w:rsid w:val="1C0320AA"/>
    <w:rsid w:val="1CCE090A"/>
    <w:rsid w:val="1CCF6E8B"/>
    <w:rsid w:val="1D6D1ED1"/>
    <w:rsid w:val="1DA376A1"/>
    <w:rsid w:val="1DBC0763"/>
    <w:rsid w:val="1DC35F95"/>
    <w:rsid w:val="1E8E6DFD"/>
    <w:rsid w:val="1F6D61A3"/>
    <w:rsid w:val="1FB75686"/>
    <w:rsid w:val="204C04C4"/>
    <w:rsid w:val="20B237F2"/>
    <w:rsid w:val="20E97AC1"/>
    <w:rsid w:val="211A411E"/>
    <w:rsid w:val="21285217"/>
    <w:rsid w:val="21627873"/>
    <w:rsid w:val="21A60481"/>
    <w:rsid w:val="21B24356"/>
    <w:rsid w:val="21B65DE2"/>
    <w:rsid w:val="2227373D"/>
    <w:rsid w:val="22597525"/>
    <w:rsid w:val="22833F45"/>
    <w:rsid w:val="23333275"/>
    <w:rsid w:val="240B0C2E"/>
    <w:rsid w:val="2471674B"/>
    <w:rsid w:val="254B6F9C"/>
    <w:rsid w:val="258E50DA"/>
    <w:rsid w:val="26243349"/>
    <w:rsid w:val="26657A78"/>
    <w:rsid w:val="26793695"/>
    <w:rsid w:val="2707510F"/>
    <w:rsid w:val="27A02EA3"/>
    <w:rsid w:val="28123DA1"/>
    <w:rsid w:val="289E66A1"/>
    <w:rsid w:val="28C441DC"/>
    <w:rsid w:val="28F45255"/>
    <w:rsid w:val="296F5223"/>
    <w:rsid w:val="29D26602"/>
    <w:rsid w:val="2A2D4EC2"/>
    <w:rsid w:val="2AB54EB7"/>
    <w:rsid w:val="2AED4651"/>
    <w:rsid w:val="2B2E0004"/>
    <w:rsid w:val="2BE05F64"/>
    <w:rsid w:val="2C6B1CD2"/>
    <w:rsid w:val="2CA3146B"/>
    <w:rsid w:val="2CC55886"/>
    <w:rsid w:val="2CEC3EC3"/>
    <w:rsid w:val="2D9D235F"/>
    <w:rsid w:val="2DBB2D92"/>
    <w:rsid w:val="2EBA484A"/>
    <w:rsid w:val="2ED55B28"/>
    <w:rsid w:val="2F4873FF"/>
    <w:rsid w:val="3050190A"/>
    <w:rsid w:val="306C7DC6"/>
    <w:rsid w:val="30922154"/>
    <w:rsid w:val="31514355"/>
    <w:rsid w:val="319C1E86"/>
    <w:rsid w:val="32002EBC"/>
    <w:rsid w:val="3216448E"/>
    <w:rsid w:val="32472899"/>
    <w:rsid w:val="326C67A3"/>
    <w:rsid w:val="33CD5020"/>
    <w:rsid w:val="342509B8"/>
    <w:rsid w:val="344A48C2"/>
    <w:rsid w:val="35154ED0"/>
    <w:rsid w:val="35250425"/>
    <w:rsid w:val="36015455"/>
    <w:rsid w:val="363A7CF6"/>
    <w:rsid w:val="36A04C6E"/>
    <w:rsid w:val="36D14E27"/>
    <w:rsid w:val="37A764C9"/>
    <w:rsid w:val="38983E4E"/>
    <w:rsid w:val="39205BF2"/>
    <w:rsid w:val="3958538C"/>
    <w:rsid w:val="39A42879"/>
    <w:rsid w:val="39E11825"/>
    <w:rsid w:val="3A0C001C"/>
    <w:rsid w:val="3A7C154E"/>
    <w:rsid w:val="3AA0348E"/>
    <w:rsid w:val="3AD8709A"/>
    <w:rsid w:val="3C0D34DE"/>
    <w:rsid w:val="3CDC79D7"/>
    <w:rsid w:val="3D0338BB"/>
    <w:rsid w:val="3D157B91"/>
    <w:rsid w:val="3D606F05"/>
    <w:rsid w:val="3D840E45"/>
    <w:rsid w:val="3D891FB8"/>
    <w:rsid w:val="3E7013C9"/>
    <w:rsid w:val="3F4F7231"/>
    <w:rsid w:val="3FB41CB9"/>
    <w:rsid w:val="3FB62E0C"/>
    <w:rsid w:val="3FE45BCB"/>
    <w:rsid w:val="3FEC4A80"/>
    <w:rsid w:val="40381A73"/>
    <w:rsid w:val="412546ED"/>
    <w:rsid w:val="41730CBE"/>
    <w:rsid w:val="41C422C2"/>
    <w:rsid w:val="41FF0A9A"/>
    <w:rsid w:val="420129C0"/>
    <w:rsid w:val="424B26B5"/>
    <w:rsid w:val="42BA70B7"/>
    <w:rsid w:val="42F73E67"/>
    <w:rsid w:val="430F2F5F"/>
    <w:rsid w:val="43AA0EDA"/>
    <w:rsid w:val="43BE4985"/>
    <w:rsid w:val="43EE4CC7"/>
    <w:rsid w:val="43F403A7"/>
    <w:rsid w:val="43F63C46"/>
    <w:rsid w:val="443934A1"/>
    <w:rsid w:val="44680760"/>
    <w:rsid w:val="44782D86"/>
    <w:rsid w:val="4504461A"/>
    <w:rsid w:val="45684BA8"/>
    <w:rsid w:val="45A1399C"/>
    <w:rsid w:val="45E00BE3"/>
    <w:rsid w:val="462458E5"/>
    <w:rsid w:val="465670F7"/>
    <w:rsid w:val="465A0995"/>
    <w:rsid w:val="46C87FF5"/>
    <w:rsid w:val="46DD5122"/>
    <w:rsid w:val="47330D9E"/>
    <w:rsid w:val="4800556C"/>
    <w:rsid w:val="4812529F"/>
    <w:rsid w:val="487D6E9C"/>
    <w:rsid w:val="488B752C"/>
    <w:rsid w:val="48ED5525"/>
    <w:rsid w:val="48FD385A"/>
    <w:rsid w:val="495042D1"/>
    <w:rsid w:val="49CF3448"/>
    <w:rsid w:val="4A540EED"/>
    <w:rsid w:val="4A8C30E7"/>
    <w:rsid w:val="4ADB406F"/>
    <w:rsid w:val="4B412124"/>
    <w:rsid w:val="4B50680B"/>
    <w:rsid w:val="4B7D7407"/>
    <w:rsid w:val="4BCB40E3"/>
    <w:rsid w:val="4C33768A"/>
    <w:rsid w:val="4C5109B1"/>
    <w:rsid w:val="4C6F2CC0"/>
    <w:rsid w:val="4CE5753A"/>
    <w:rsid w:val="4D106251"/>
    <w:rsid w:val="4D2C295F"/>
    <w:rsid w:val="4DA94FF3"/>
    <w:rsid w:val="4DC96400"/>
    <w:rsid w:val="4E027501"/>
    <w:rsid w:val="4F530677"/>
    <w:rsid w:val="4F9071D6"/>
    <w:rsid w:val="51053649"/>
    <w:rsid w:val="51254295"/>
    <w:rsid w:val="512E4EF8"/>
    <w:rsid w:val="5153670D"/>
    <w:rsid w:val="515801C7"/>
    <w:rsid w:val="51840FBC"/>
    <w:rsid w:val="51CD5E8B"/>
    <w:rsid w:val="52462715"/>
    <w:rsid w:val="52BB52D5"/>
    <w:rsid w:val="534F73A8"/>
    <w:rsid w:val="53654E1D"/>
    <w:rsid w:val="53C2401E"/>
    <w:rsid w:val="53C47D96"/>
    <w:rsid w:val="54F2623D"/>
    <w:rsid w:val="55171D5C"/>
    <w:rsid w:val="55195EBF"/>
    <w:rsid w:val="556E620B"/>
    <w:rsid w:val="55A41C2D"/>
    <w:rsid w:val="565745AF"/>
    <w:rsid w:val="56C97471"/>
    <w:rsid w:val="578777C2"/>
    <w:rsid w:val="58243BB9"/>
    <w:rsid w:val="582F3A4B"/>
    <w:rsid w:val="596D67DA"/>
    <w:rsid w:val="5A3572F7"/>
    <w:rsid w:val="5AD85ED5"/>
    <w:rsid w:val="5B57329D"/>
    <w:rsid w:val="5BB406F0"/>
    <w:rsid w:val="5D215911"/>
    <w:rsid w:val="5D8D3526"/>
    <w:rsid w:val="5DCD5A99"/>
    <w:rsid w:val="5E2226A3"/>
    <w:rsid w:val="5E2A4C99"/>
    <w:rsid w:val="5E8E5228"/>
    <w:rsid w:val="5F8F74AA"/>
    <w:rsid w:val="5FCD3B2E"/>
    <w:rsid w:val="5FE47F22"/>
    <w:rsid w:val="601B0D3D"/>
    <w:rsid w:val="60275934"/>
    <w:rsid w:val="6056611C"/>
    <w:rsid w:val="619D5782"/>
    <w:rsid w:val="620E237F"/>
    <w:rsid w:val="623459CB"/>
    <w:rsid w:val="62F615EE"/>
    <w:rsid w:val="63901A42"/>
    <w:rsid w:val="63B5209A"/>
    <w:rsid w:val="63D8489C"/>
    <w:rsid w:val="642F4DB7"/>
    <w:rsid w:val="645667E8"/>
    <w:rsid w:val="645A795A"/>
    <w:rsid w:val="649B069F"/>
    <w:rsid w:val="649B79ED"/>
    <w:rsid w:val="64B11C70"/>
    <w:rsid w:val="6554084E"/>
    <w:rsid w:val="65D04338"/>
    <w:rsid w:val="676C00D0"/>
    <w:rsid w:val="67801DCE"/>
    <w:rsid w:val="689E68B3"/>
    <w:rsid w:val="68A845CF"/>
    <w:rsid w:val="68C36416"/>
    <w:rsid w:val="68DB19FB"/>
    <w:rsid w:val="69AC456E"/>
    <w:rsid w:val="6A604E06"/>
    <w:rsid w:val="6AB669DB"/>
    <w:rsid w:val="6ABE6E95"/>
    <w:rsid w:val="6AFF4AD9"/>
    <w:rsid w:val="6B1C1E0E"/>
    <w:rsid w:val="6B3D0DEF"/>
    <w:rsid w:val="6BC32289"/>
    <w:rsid w:val="6BD10E4A"/>
    <w:rsid w:val="6BE4292B"/>
    <w:rsid w:val="6C510D6B"/>
    <w:rsid w:val="6D107750"/>
    <w:rsid w:val="6D415B5B"/>
    <w:rsid w:val="6DA22219"/>
    <w:rsid w:val="6DE16F6F"/>
    <w:rsid w:val="6E71421E"/>
    <w:rsid w:val="6F9E7295"/>
    <w:rsid w:val="6FFF6D03"/>
    <w:rsid w:val="705D4A5A"/>
    <w:rsid w:val="70820965"/>
    <w:rsid w:val="71755543"/>
    <w:rsid w:val="71B71E78"/>
    <w:rsid w:val="721F290F"/>
    <w:rsid w:val="724265FE"/>
    <w:rsid w:val="72E41463"/>
    <w:rsid w:val="734C0DB6"/>
    <w:rsid w:val="739A7D73"/>
    <w:rsid w:val="739E7F9E"/>
    <w:rsid w:val="749B3AA6"/>
    <w:rsid w:val="74B3733F"/>
    <w:rsid w:val="74BD640F"/>
    <w:rsid w:val="76963DF5"/>
    <w:rsid w:val="76E75929"/>
    <w:rsid w:val="785C164E"/>
    <w:rsid w:val="78E81581"/>
    <w:rsid w:val="78FD6296"/>
    <w:rsid w:val="790243F1"/>
    <w:rsid w:val="79200D1B"/>
    <w:rsid w:val="797328D8"/>
    <w:rsid w:val="79845845"/>
    <w:rsid w:val="79B7167F"/>
    <w:rsid w:val="79D25064"/>
    <w:rsid w:val="7A020420"/>
    <w:rsid w:val="7A224717"/>
    <w:rsid w:val="7AC21FB4"/>
    <w:rsid w:val="7AC8166A"/>
    <w:rsid w:val="7BCB7664"/>
    <w:rsid w:val="7BCE0F02"/>
    <w:rsid w:val="7BF808D0"/>
    <w:rsid w:val="7CCD740C"/>
    <w:rsid w:val="7D63567A"/>
    <w:rsid w:val="7D747887"/>
    <w:rsid w:val="7E682F48"/>
    <w:rsid w:val="7E745D91"/>
    <w:rsid w:val="7E900D27"/>
    <w:rsid w:val="7EC42148"/>
    <w:rsid w:val="7EE051D4"/>
    <w:rsid w:val="7FAB3A34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640" w:firstLineChars="200"/>
      <w:jc w:val="both"/>
    </w:pPr>
    <w:rPr>
      <w:rFonts w:ascii="仿宋_GB2312" w:eastAsia="仿宋_GB2312" w:hAnsiTheme="minorHAnsi" w:cstheme="minorBidi"/>
      <w:kern w:val="2"/>
      <w:sz w:val="32"/>
      <w:szCs w:val="36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outlineLvl w:val="0"/>
    </w:pPr>
    <w:rPr>
      <w:rFonts w:ascii="黑体" w:hAnsi="黑体" w:eastAsia="黑体"/>
    </w:rPr>
  </w:style>
  <w:style w:type="paragraph" w:styleId="3">
    <w:name w:val="heading 2"/>
    <w:basedOn w:val="1"/>
    <w:next w:val="1"/>
    <w:link w:val="22"/>
    <w:unhideWhenUsed/>
    <w:qFormat/>
    <w:uiPriority w:val="9"/>
    <w:pPr>
      <w:spacing w:line="600" w:lineRule="exact"/>
      <w:outlineLvl w:val="1"/>
    </w:pPr>
    <w:rPr>
      <w:rFonts w:ascii="楷体_GB2312" w:eastAsia="楷体_GB2312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annotation subject"/>
    <w:basedOn w:val="11"/>
    <w:next w:val="11"/>
    <w:link w:val="42"/>
    <w:semiHidden/>
    <w:unhideWhenUsed/>
    <w:qFormat/>
    <w:uiPriority w:val="99"/>
    <w:rPr>
      <w:b/>
      <w:bCs/>
    </w:r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1">
    <w:name w:val="标题 1 字符"/>
    <w:basedOn w:val="18"/>
    <w:link w:val="2"/>
    <w:qFormat/>
    <w:uiPriority w:val="9"/>
    <w:rPr>
      <w:rFonts w:ascii="黑体" w:hAnsi="黑体" w:eastAsia="黑体"/>
      <w:sz w:val="32"/>
      <w:szCs w:val="36"/>
    </w:rPr>
  </w:style>
  <w:style w:type="character" w:customStyle="1" w:styleId="22">
    <w:name w:val="标题 2 字符"/>
    <w:basedOn w:val="18"/>
    <w:link w:val="3"/>
    <w:qFormat/>
    <w:uiPriority w:val="9"/>
    <w:rPr>
      <w:rFonts w:ascii="楷体_GB2312" w:eastAsia="楷体_GB2312" w:hAnsiTheme="minorHAnsi" w:cstheme="minorBidi"/>
      <w:kern w:val="2"/>
      <w:sz w:val="32"/>
      <w:szCs w:val="36"/>
    </w:rPr>
  </w:style>
  <w:style w:type="character" w:customStyle="1" w:styleId="23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18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18"/>
    <w:link w:val="6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6">
    <w:name w:val="标题 6 字符"/>
    <w:basedOn w:val="18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18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明显强调1"/>
    <w:basedOn w:val="18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18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明显参考1"/>
    <w:basedOn w:val="18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9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18"/>
    <w:link w:val="12"/>
    <w:qFormat/>
    <w:uiPriority w:val="99"/>
    <w:rPr>
      <w:sz w:val="18"/>
      <w:szCs w:val="18"/>
    </w:rPr>
  </w:style>
  <w:style w:type="character" w:customStyle="1" w:styleId="41">
    <w:name w:val="批注文字 字符"/>
    <w:basedOn w:val="18"/>
    <w:link w:val="11"/>
    <w:semiHidden/>
    <w:qFormat/>
    <w:uiPriority w:val="99"/>
    <w:rPr>
      <w:rFonts w:ascii="仿宋_GB2312" w:eastAsia="仿宋_GB2312"/>
      <w:sz w:val="32"/>
      <w:szCs w:val="36"/>
    </w:rPr>
  </w:style>
  <w:style w:type="character" w:customStyle="1" w:styleId="42">
    <w:name w:val="批注主题 字符"/>
    <w:basedOn w:val="41"/>
    <w:link w:val="16"/>
    <w:semiHidden/>
    <w:qFormat/>
    <w:uiPriority w:val="99"/>
    <w:rPr>
      <w:rFonts w:ascii="仿宋_GB2312" w:eastAsia="仿宋_GB2312"/>
      <w:b/>
      <w:bCs/>
      <w:sz w:val="32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2147</Words>
  <Characters>2358</Characters>
  <Lines>75</Lines>
  <Paragraphs>55</Paragraphs>
  <TotalTime>0</TotalTime>
  <ScaleCrop>false</ScaleCrop>
  <LinksUpToDate>false</LinksUpToDate>
  <CharactersWithSpaces>2358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2025-09-29T12:20:00Z</dcterms:created>
  <dc:creator>admin</dc:creator>
  <cp:lastModifiedBy>Administrator</cp:lastModifiedBy>
  <dcterms:modified xsi:type="dcterms:W3CDTF">2025-09-30T08:53:28Z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eyJoZGlkIjoiNjBlNWVjNzI3NWQ0M2NjNWUyYjY1NTQ1M2ZiN2U3M2EiLCJ1c2VySWQiOiIxMzE1MTMxNjk3In0=</vt:lpwstr>
  </property>
  <property fmtid="{D5CDD505-2E9C-101B-9397-08002B2CF9AE}" pid="3" name="KSOProductBuildVer">
    <vt:lpwstr>2052-11.8.2.11718</vt:lpwstr>
  </property>
  <property fmtid="{D5CDD505-2E9C-101B-9397-08002B2CF9AE}" pid="4" name="ICV">
    <vt:lpwstr>1724D70C04CF403889A1E65C71F238FC_12</vt:lpwstr>
  </property>
</Properties>
</file>