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760" w:firstLineChars="400"/>
        <w:rPr>
          <w:rFonts w:hint="eastAsia" w:ascii="方正小标宋_GBK" w:hAnsi="方正小标宋_GBK" w:eastAsia="方正小标宋_GBK" w:cs="方正小标宋_GBK"/>
          <w:sz w:val="44"/>
          <w:szCs w:val="44"/>
          <w:highlight w:val="none"/>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pStyle w:val="17"/>
        <w:widowControl/>
        <w:spacing w:before="0" w:beforeAutospacing="0" w:after="0" w:afterAutospacing="0" w:line="560" w:lineRule="exact"/>
        <w:ind w:left="0" w:leftChars="0" w:firstLine="0" w:firstLineChars="0"/>
        <w:jc w:val="center"/>
        <w:rPr>
          <w:rFonts w:ascii="黑体" w:hAnsi="黑体" w:eastAsia="黑体" w:cs="宋体"/>
          <w:b/>
          <w:color w:val="auto"/>
          <w:sz w:val="32"/>
          <w:szCs w:val="32"/>
        </w:rPr>
      </w:pPr>
      <w:r>
        <w:rPr>
          <w:rFonts w:hint="eastAsia" w:ascii="方正小标宋_GBK" w:hAnsi="方正小标宋_GBK" w:eastAsia="方正小标宋_GBK" w:cs="方正小标宋_GBK"/>
          <w:sz w:val="44"/>
          <w:szCs w:val="44"/>
          <w:highlight w:val="none"/>
          <w:lang w:val="en-US" w:eastAsia="zh-CN"/>
        </w:rPr>
        <w:t>韶关</w:t>
      </w:r>
      <w:r>
        <w:rPr>
          <w:rFonts w:hint="eastAsia" w:ascii="方正小标宋_GBK" w:hAnsi="方正小标宋_GBK" w:eastAsia="方正小标宋_GBK" w:cs="方正小标宋_GBK"/>
          <w:sz w:val="44"/>
          <w:szCs w:val="44"/>
          <w:highlight w:val="none"/>
        </w:rPr>
        <w:t>市传统村落保护条例</w:t>
      </w:r>
    </w:p>
    <w:p>
      <w:pPr>
        <w:spacing w:line="540" w:lineRule="exact"/>
        <w:ind w:firstLine="560" w:firstLineChars="200"/>
        <w:jc w:val="center"/>
        <w:rPr>
          <w:rFonts w:ascii="方正小标宋_GBK" w:hAnsi="方正小标宋_GBK" w:eastAsia="方正小标宋_GBK" w:cs="方正小标宋_GBK"/>
          <w:sz w:val="28"/>
          <w:szCs w:val="28"/>
          <w:highlight w:val="none"/>
        </w:rPr>
      </w:pPr>
      <w:bookmarkStart w:id="12" w:name="_GoBack"/>
      <w:bookmarkEnd w:id="12"/>
    </w:p>
    <w:p>
      <w:pPr>
        <w:spacing w:line="540" w:lineRule="exact"/>
        <w:ind w:firstLine="560" w:firstLineChars="200"/>
        <w:jc w:val="center"/>
        <w:rPr>
          <w:rFonts w:ascii="方正小标宋_GBK" w:hAnsi="方正小标宋_GBK" w:eastAsia="方正小标宋_GBK" w:cs="方正小标宋_GBK"/>
          <w:sz w:val="28"/>
          <w:szCs w:val="28"/>
          <w:highlight w:val="none"/>
        </w:rPr>
      </w:pPr>
    </w:p>
    <w:p>
      <w:pPr>
        <w:spacing w:line="540" w:lineRule="exact"/>
        <w:ind w:left="0" w:leftChars="0" w:firstLine="0" w:firstLineChars="0"/>
        <w:jc w:val="center"/>
        <w:rPr>
          <w:rFonts w:ascii="方正小标宋_GBK" w:hAnsi="方正小标宋_GBK" w:eastAsia="方正小标宋_GBK" w:cs="方正小标宋_GBK"/>
          <w:sz w:val="28"/>
          <w:szCs w:val="28"/>
          <w:highlight w:val="none"/>
        </w:rPr>
      </w:pPr>
      <w:r>
        <w:rPr>
          <w:rFonts w:ascii="方正小标宋_GBK" w:hAnsi="方正小标宋_GBK" w:eastAsia="方正小标宋_GBK" w:cs="方正小标宋_GBK"/>
          <w:sz w:val="28"/>
          <w:szCs w:val="28"/>
          <w:highlight w:val="none"/>
        </w:rPr>
        <w:t>（</w:t>
      </w:r>
      <w:r>
        <w:rPr>
          <w:rFonts w:hint="eastAsia" w:ascii="方正小标宋_GBK" w:hAnsi="方正小标宋_GBK" w:eastAsia="方正小标宋_GBK" w:cs="方正小标宋_GBK"/>
          <w:sz w:val="28"/>
          <w:szCs w:val="28"/>
          <w:highlight w:val="none"/>
          <w:lang w:val="en-US" w:eastAsia="zh-CN"/>
        </w:rPr>
        <w:t>征求意见稿</w:t>
      </w:r>
      <w:r>
        <w:rPr>
          <w:rFonts w:ascii="方正小标宋_GBK" w:hAnsi="方正小标宋_GBK" w:eastAsia="方正小标宋_GBK" w:cs="方正小标宋_GBK"/>
          <w:sz w:val="28"/>
          <w:szCs w:val="28"/>
          <w:highlight w:val="none"/>
        </w:rPr>
        <w:t>）</w:t>
      </w:r>
    </w:p>
    <w:p>
      <w:pPr>
        <w:pStyle w:val="3"/>
        <w:rPr>
          <w:rFonts w:hint="eastAsia" w:ascii="黑体" w:hAnsi="黑体" w:eastAsia="黑体" w:cs="黑体"/>
          <w:b w:val="0"/>
          <w:bCs w:val="0"/>
          <w:color w:val="auto"/>
          <w:kern w:val="2"/>
          <w:sz w:val="32"/>
          <w:szCs w:val="32"/>
          <w:lang w:val="en-US" w:eastAsia="zh-CN" w:bidi="ar-SA"/>
        </w:rPr>
      </w:pPr>
    </w:p>
    <w:p>
      <w:pPr>
        <w:pStyle w:val="3"/>
        <w:rPr>
          <w:rFonts w:hint="eastAsia" w:ascii="黑体" w:hAnsi="黑体" w:eastAsia="黑体" w:cs="黑体"/>
          <w:b w:val="0"/>
          <w:bCs w:val="0"/>
          <w:color w:val="auto"/>
          <w:kern w:val="2"/>
          <w:sz w:val="32"/>
          <w:szCs w:val="32"/>
          <w:lang w:val="en-US" w:eastAsia="zh-CN" w:bidi="ar-SA"/>
        </w:rPr>
      </w:pPr>
    </w:p>
    <w:p>
      <w:pPr>
        <w:pStyle w:val="3"/>
        <w:ind w:firstLine="1280" w:firstLineChars="400"/>
        <w:jc w:val="both"/>
        <w:rPr>
          <w:rFonts w:hint="default" w:ascii="黑体" w:hAnsi="黑体" w:eastAsia="黑体" w:cs="黑体"/>
          <w:b w:val="0"/>
          <w:bCs w:val="0"/>
          <w:color w:val="auto"/>
          <w:kern w:val="2"/>
          <w:sz w:val="32"/>
          <w:szCs w:val="32"/>
          <w:lang w:val="en-US" w:eastAsia="zh-CN" w:bidi="ar-SA"/>
        </w:rPr>
      </w:pPr>
      <w:r>
        <w:rPr>
          <w:rFonts w:hint="eastAsia" w:cs="黑体"/>
          <w:b w:val="0"/>
          <w:bCs w:val="0"/>
          <w:color w:val="auto"/>
          <w:kern w:val="2"/>
          <w:sz w:val="32"/>
          <w:szCs w:val="32"/>
          <w:lang w:val="en-US" w:eastAsia="zh-CN" w:bidi="ar-SA"/>
        </w:rPr>
        <w:t>目   录</w:t>
      </w:r>
    </w:p>
    <w:p>
      <w:pPr>
        <w:pStyle w:val="3"/>
        <w:ind w:firstLine="1280" w:firstLineChars="400"/>
        <w:jc w:val="both"/>
        <w:rPr>
          <w:rFonts w:hint="eastAsia" w:ascii="黑体" w:hAnsi="黑体" w:eastAsia="黑体" w:cs="黑体"/>
          <w:b w:val="0"/>
          <w:bCs w:val="0"/>
          <w:color w:val="auto"/>
          <w:kern w:val="2"/>
          <w:sz w:val="32"/>
          <w:szCs w:val="32"/>
          <w:lang w:val="en-US" w:eastAsia="zh-CN" w:bidi="ar-SA"/>
        </w:rPr>
      </w:pPr>
    </w:p>
    <w:p>
      <w:pPr>
        <w:pStyle w:val="3"/>
        <w:ind w:firstLine="1280" w:firstLineChars="4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第一章  总则</w:t>
      </w:r>
    </w:p>
    <w:p>
      <w:pPr>
        <w:spacing w:line="540" w:lineRule="exact"/>
        <w:ind w:firstLine="1280" w:firstLineChars="4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第二章  申报认定和规划编制</w:t>
      </w:r>
    </w:p>
    <w:p>
      <w:pPr>
        <w:spacing w:line="540" w:lineRule="exact"/>
        <w:ind w:firstLine="1280" w:firstLineChars="4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  保护和管理</w:t>
      </w:r>
    </w:p>
    <w:p>
      <w:pPr>
        <w:ind w:firstLine="1280" w:firstLineChars="4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利用与发展</w:t>
      </w:r>
    </w:p>
    <w:p>
      <w:pPr>
        <w:spacing w:line="540" w:lineRule="exact"/>
        <w:ind w:firstLine="1280" w:firstLineChars="4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法律责任</w:t>
      </w:r>
    </w:p>
    <w:p>
      <w:pPr>
        <w:spacing w:line="540" w:lineRule="exact"/>
        <w:ind w:firstLine="1280" w:firstLineChars="400"/>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附则</w:t>
      </w:r>
    </w:p>
    <w:p>
      <w:pPr>
        <w:spacing w:line="540" w:lineRule="exact"/>
        <w:ind w:firstLine="1280" w:firstLineChars="400"/>
        <w:rPr>
          <w:rFonts w:hint="eastAsia" w:ascii="黑体" w:hAnsi="黑体" w:eastAsia="黑体" w:cs="黑体"/>
          <w:b w:val="0"/>
          <w:bCs w:val="0"/>
          <w:color w:val="auto"/>
          <w:kern w:val="2"/>
          <w:sz w:val="32"/>
          <w:szCs w:val="32"/>
          <w:lang w:val="en-US" w:eastAsia="zh-CN" w:bidi="ar-SA"/>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firstLine="1760" w:firstLineChars="400"/>
        <w:rPr>
          <w:rFonts w:hint="eastAsia" w:ascii="方正小标宋_GBK" w:hAnsi="方正小标宋_GBK" w:eastAsia="方正小标宋_GBK" w:cs="方正小标宋_GBK"/>
          <w:sz w:val="44"/>
          <w:szCs w:val="44"/>
          <w:highlight w:val="none"/>
          <w:lang w:val="en-US" w:eastAsia="zh-CN"/>
        </w:rPr>
      </w:pPr>
    </w:p>
    <w:p>
      <w:pPr>
        <w:spacing w:line="540" w:lineRule="exact"/>
        <w:ind w:left="0" w:leftChars="0" w:firstLine="0" w:firstLineChars="0"/>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韶关</w:t>
      </w:r>
      <w:r>
        <w:rPr>
          <w:rFonts w:hint="eastAsia" w:ascii="方正小标宋_GBK" w:hAnsi="方正小标宋_GBK" w:eastAsia="方正小标宋_GBK" w:cs="方正小标宋_GBK"/>
          <w:sz w:val="44"/>
          <w:szCs w:val="44"/>
          <w:highlight w:val="none"/>
        </w:rPr>
        <w:t>市传统村落保护条例</w:t>
      </w:r>
    </w:p>
    <w:p>
      <w:pPr>
        <w:spacing w:line="540" w:lineRule="exact"/>
        <w:ind w:left="0" w:leftChars="0" w:firstLine="0" w:firstLineChars="0"/>
        <w:jc w:val="center"/>
        <w:rPr>
          <w:rFonts w:ascii="方正小标宋_GBK" w:hAnsi="方正小标宋_GBK" w:eastAsia="方正小标宋_GBK" w:cs="方正小标宋_GBK"/>
          <w:sz w:val="28"/>
          <w:szCs w:val="28"/>
          <w:highlight w:val="none"/>
        </w:rPr>
      </w:pPr>
      <w:r>
        <w:rPr>
          <w:rFonts w:ascii="方正小标宋_GBK" w:hAnsi="方正小标宋_GBK" w:eastAsia="方正小标宋_GBK" w:cs="方正小标宋_GBK"/>
          <w:sz w:val="28"/>
          <w:szCs w:val="28"/>
          <w:highlight w:val="none"/>
        </w:rPr>
        <w:t>（</w:t>
      </w:r>
      <w:r>
        <w:rPr>
          <w:rFonts w:hint="eastAsia" w:ascii="方正小标宋_GBK" w:hAnsi="方正小标宋_GBK" w:eastAsia="方正小标宋_GBK" w:cs="方正小标宋_GBK"/>
          <w:sz w:val="28"/>
          <w:szCs w:val="28"/>
          <w:highlight w:val="none"/>
          <w:lang w:val="en-US" w:eastAsia="zh-CN"/>
        </w:rPr>
        <w:t>征求意见稿</w:t>
      </w:r>
      <w:r>
        <w:rPr>
          <w:rFonts w:ascii="方正小标宋_GBK" w:hAnsi="方正小标宋_GBK" w:eastAsia="方正小标宋_GBK" w:cs="方正小标宋_GBK"/>
          <w:sz w:val="28"/>
          <w:szCs w:val="28"/>
          <w:highlight w:val="none"/>
        </w:rPr>
        <w:t>）</w:t>
      </w:r>
    </w:p>
    <w:p>
      <w:pPr>
        <w:ind w:firstLine="560" w:firstLineChars="200"/>
        <w:jc w:val="center"/>
        <w:rPr>
          <w:rFonts w:cs="方正小标宋_GBK" w:asciiTheme="minorEastAsia" w:hAnsiTheme="minorEastAsia"/>
          <w:sz w:val="28"/>
          <w:szCs w:val="28"/>
          <w:highlight w:val="none"/>
        </w:rPr>
      </w:pPr>
    </w:p>
    <w:p>
      <w:pPr>
        <w:pStyle w:val="3"/>
        <w:rPr>
          <w:rFonts w:hint="eastAsia" w:ascii="黑体" w:hAnsi="黑体" w:eastAsia="黑体" w:cs="黑体"/>
          <w:b w:val="0"/>
          <w:bCs w:val="0"/>
          <w:color w:val="auto"/>
          <w:kern w:val="2"/>
          <w:sz w:val="32"/>
          <w:szCs w:val="32"/>
          <w:lang w:val="en-US" w:eastAsia="zh-CN" w:bidi="ar-SA"/>
        </w:rPr>
      </w:pPr>
    </w:p>
    <w:p>
      <w:pPr>
        <w:pStyle w:val="3"/>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第一章  总则</w:t>
      </w:r>
    </w:p>
    <w:p>
      <w:pPr>
        <w:spacing w:line="540" w:lineRule="exact"/>
        <w:ind w:firstLine="640" w:firstLineChars="200"/>
        <w:rPr>
          <w:rFonts w:hint="eastAsia" w:ascii="黑体" w:hAnsi="黑体" w:eastAsia="黑体" w:cs="黑体"/>
          <w:b w:val="0"/>
          <w:bCs w:val="0"/>
          <w:color w:val="auto"/>
          <w:sz w:val="32"/>
          <w:szCs w:val="32"/>
          <w:lang w:val="en-US" w:eastAsia="zh-CN"/>
        </w:rPr>
      </w:pPr>
    </w:p>
    <w:p>
      <w:pPr>
        <w:spacing w:line="540" w:lineRule="exact"/>
        <w:ind w:firstLine="640" w:firstLineChars="200"/>
        <w:rPr>
          <w:rFonts w:hint="eastAsia" w:ascii="黑体" w:hAnsi="黑体" w:eastAsia="黑体" w:cs="黑体"/>
          <w:b w:val="0"/>
          <w:bCs w:val="0"/>
          <w:color w:val="auto"/>
          <w:sz w:val="32"/>
          <w:szCs w:val="32"/>
          <w:lang w:val="en-US" w:eastAsia="zh-CN"/>
        </w:rPr>
      </w:pP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 xml:space="preserve">第一条 【立法目的】 </w:t>
      </w:r>
      <w:r>
        <w:rPr>
          <w:rFonts w:hint="eastAsia" w:ascii="仿宋" w:hAnsi="仿宋" w:eastAsia="仿宋" w:cs="仿宋"/>
          <w:color w:val="auto"/>
          <w:kern w:val="2"/>
          <w:sz w:val="32"/>
          <w:szCs w:val="32"/>
          <w:lang w:val="en-US" w:eastAsia="zh-CN" w:bidi="ar-SA"/>
        </w:rPr>
        <w:t>为了加强传统村落的保护和发展，传承弘扬中华优秀传统文化，合理利用传统村落资源，促进乡村振兴，根据有关法律、行政法规，结合本市实际，制定本条例。</w:t>
      </w:r>
    </w:p>
    <w:p>
      <w:pPr>
        <w:spacing w:line="540" w:lineRule="exact"/>
        <w:ind w:firstLine="640" w:firstLineChars="200"/>
        <w:rPr>
          <w:rFonts w:hint="eastAsia" w:ascii="仿宋" w:hAnsi="仿宋" w:eastAsia="仿宋" w:cs="仿宋"/>
          <w:color w:val="auto"/>
          <w:kern w:val="2"/>
          <w:sz w:val="32"/>
          <w:szCs w:val="32"/>
          <w:lang w:val="en-US" w:eastAsia="zh-CN" w:bidi="ar-SA"/>
        </w:rPr>
      </w:pPr>
      <w:bookmarkStart w:id="0" w:name="_Toc134714089"/>
      <w:r>
        <w:rPr>
          <w:rFonts w:hint="eastAsia" w:ascii="黑体" w:hAnsi="黑体" w:eastAsia="黑体" w:cs="黑体"/>
          <w:b w:val="0"/>
          <w:bCs w:val="0"/>
          <w:color w:val="auto"/>
          <w:sz w:val="32"/>
          <w:szCs w:val="32"/>
          <w:lang w:val="en-US" w:eastAsia="zh-CN"/>
        </w:rPr>
        <w:t>第二条</w:t>
      </w:r>
      <w:bookmarkEnd w:id="0"/>
      <w:r>
        <w:rPr>
          <w:rFonts w:hint="eastAsia" w:ascii="黑体" w:hAnsi="黑体" w:eastAsia="黑体" w:cs="黑体"/>
          <w:b w:val="0"/>
          <w:bCs w:val="0"/>
          <w:color w:val="auto"/>
          <w:sz w:val="32"/>
          <w:szCs w:val="32"/>
          <w:lang w:val="en-US" w:eastAsia="zh-CN"/>
        </w:rPr>
        <w:t xml:space="preserve"> 【适用范围】</w:t>
      </w:r>
      <w:r>
        <w:rPr>
          <w:rFonts w:hint="eastAsia" w:ascii="仿宋" w:hAnsi="仿宋" w:eastAsia="仿宋" w:cs="仿宋"/>
          <w:color w:val="auto"/>
          <w:kern w:val="2"/>
          <w:sz w:val="32"/>
          <w:szCs w:val="32"/>
          <w:lang w:val="en-US" w:eastAsia="zh-CN" w:bidi="ar-SA"/>
        </w:rPr>
        <w:t>本市行政区域内传统村落的保护和利用，适用本条例。</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条例所称传统村落，是指村落形成年代较早，拥有较丰富的传统文化资源，保存比较完整，具有一定历史、文化、科学、艺术、社会、经济价值，能较完整体现传统风貌和地域文化特色，且列入中国传统村落名录、广东省传统村落名录或者韶关市传统村落名录的村落。</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传统村落保护范围内涉及文物、历史建筑、非物质文化遗产和历史文化名村、历史建筑、古树名木保护的，依照相关法律、法规的规定执行。</w:t>
      </w:r>
    </w:p>
    <w:p>
      <w:pPr>
        <w:pStyle w:val="2"/>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第三条 【立法原则】</w:t>
      </w:r>
      <w:r>
        <w:rPr>
          <w:rFonts w:hint="eastAsia" w:asciiTheme="minorEastAsia" w:hAnsiTheme="minorEastAsia"/>
          <w:b/>
          <w:bCs/>
          <w:color w:val="0000FF"/>
          <w:sz w:val="28"/>
          <w:szCs w:val="28"/>
          <w:highlight w:val="none"/>
        </w:rPr>
        <w:t xml:space="preserve"> </w:t>
      </w:r>
      <w:r>
        <w:rPr>
          <w:rFonts w:hint="eastAsia" w:ascii="仿宋" w:hAnsi="仿宋" w:eastAsia="仿宋" w:cs="仿宋"/>
          <w:color w:val="auto"/>
          <w:kern w:val="2"/>
          <w:sz w:val="32"/>
          <w:szCs w:val="32"/>
          <w:lang w:val="en-US" w:eastAsia="zh-CN" w:bidi="ar-SA"/>
        </w:rPr>
        <w:t>传统村落的保护应当坚持政府主导、村民主体、</w:t>
      </w:r>
      <w:r>
        <w:rPr>
          <w:rFonts w:hint="default" w:ascii="仿宋" w:hAnsi="仿宋" w:eastAsia="仿宋" w:cs="仿宋"/>
          <w:color w:val="auto"/>
          <w:kern w:val="2"/>
          <w:sz w:val="32"/>
          <w:szCs w:val="32"/>
          <w:lang w:val="en-US" w:eastAsia="zh-CN" w:bidi="ar-SA"/>
        </w:rPr>
        <w:t>社会参与，科学规划</w:t>
      </w:r>
      <w:r>
        <w:rPr>
          <w:rFonts w:hint="eastAsia" w:ascii="仿宋" w:hAnsi="仿宋" w:eastAsia="仿宋" w:cs="仿宋"/>
          <w:color w:val="auto"/>
          <w:kern w:val="2"/>
          <w:sz w:val="32"/>
          <w:szCs w:val="32"/>
          <w:lang w:val="en-US" w:eastAsia="zh-CN" w:bidi="ar-SA"/>
        </w:rPr>
        <w:t>、整体保护</w:t>
      </w:r>
      <w:r>
        <w:rPr>
          <w:rFonts w:hint="default" w:ascii="仿宋" w:hAnsi="仿宋" w:eastAsia="仿宋" w:cs="仿宋"/>
          <w:color w:val="auto"/>
          <w:kern w:val="2"/>
          <w:sz w:val="32"/>
          <w:szCs w:val="32"/>
          <w:lang w:val="en-US" w:eastAsia="zh-CN" w:bidi="ar-SA"/>
        </w:rPr>
        <w:t>、兼顾发展，</w:t>
      </w:r>
      <w:r>
        <w:rPr>
          <w:rFonts w:hint="eastAsia" w:ascii="仿宋" w:hAnsi="仿宋" w:eastAsia="仿宋" w:cs="仿宋"/>
          <w:color w:val="auto"/>
          <w:kern w:val="2"/>
          <w:sz w:val="32"/>
          <w:szCs w:val="32"/>
          <w:lang w:val="en-US" w:eastAsia="zh-CN" w:bidi="ar-SA"/>
        </w:rPr>
        <w:t>突出特色、活态传承、合理利用，正确处理好传统村落保护与经济社会发展的关系。</w:t>
      </w:r>
    </w:p>
    <w:p>
      <w:pPr>
        <w:spacing w:line="540" w:lineRule="exact"/>
        <w:ind w:firstLine="640" w:firstLineChars="200"/>
        <w:rPr>
          <w:rFonts w:hint="eastAsia" w:ascii="仿宋" w:hAnsi="仿宋" w:eastAsia="仿宋" w:cs="仿宋"/>
          <w:color w:val="auto"/>
          <w:kern w:val="2"/>
          <w:sz w:val="32"/>
          <w:szCs w:val="32"/>
          <w:lang w:val="en-US" w:eastAsia="zh-CN" w:bidi="ar-SA"/>
        </w:rPr>
      </w:pPr>
      <w:bookmarkStart w:id="1" w:name="_Toc134714091"/>
      <w:r>
        <w:rPr>
          <w:rFonts w:hint="eastAsia" w:ascii="黑体" w:hAnsi="黑体" w:eastAsia="黑体" w:cs="黑体"/>
          <w:b w:val="0"/>
          <w:bCs w:val="0"/>
          <w:color w:val="auto"/>
          <w:kern w:val="2"/>
          <w:sz w:val="32"/>
          <w:szCs w:val="32"/>
          <w:lang w:val="en-US" w:eastAsia="zh-CN" w:bidi="ar-SA"/>
        </w:rPr>
        <w:t>第四条 【政府职责】</w:t>
      </w:r>
      <w:bookmarkEnd w:id="1"/>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2"/>
          <w:sz w:val="32"/>
          <w:szCs w:val="32"/>
          <w:lang w:val="en-US" w:eastAsia="zh-CN" w:bidi="ar-SA"/>
        </w:rPr>
        <w:t>市、县（市、区）人民政府应当加强对本行政区域内传统村落保护和发展工作的领导，县（市、区）人民政府将其纳入本级国民经济和社会发展规划，加大对传统村落保护的投入和扶持，协调解决传统村落保护发展中的重大问题。</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第五条【部门职责】</w:t>
      </w:r>
      <w:r>
        <w:rPr>
          <w:rFonts w:hint="eastAsia" w:asciiTheme="minorEastAsia" w:hAnsiTheme="minorEastAsia"/>
          <w:b/>
          <w:bCs/>
          <w:sz w:val="28"/>
          <w:szCs w:val="28"/>
          <w:highlight w:val="none"/>
        </w:rPr>
        <w:t xml:space="preserve"> </w:t>
      </w:r>
      <w:r>
        <w:rPr>
          <w:rFonts w:hint="eastAsia" w:ascii="仿宋" w:hAnsi="仿宋" w:eastAsia="仿宋" w:cs="仿宋"/>
          <w:color w:val="auto"/>
          <w:kern w:val="2"/>
          <w:sz w:val="32"/>
          <w:szCs w:val="32"/>
          <w:lang w:val="en-US" w:eastAsia="zh-CN" w:bidi="ar-SA"/>
        </w:rPr>
        <w:t>市、县（市、区）住房和城乡建设部门负责传统村落保护和发展工作的监督、管理和指导，并会同有关部门组织实施本条例。</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县（市、区）自然资源部门负责对传统村落的保护发展规划工作实施监督、管理和指导，县（市、区）自然资源部门负责编制传统村落保护发展规划，将已批复的传统村落保护发展规划空间管控内容纳入村庄规划，并做好其他相关规划衔接。</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市、县（市、区）文化广电旅游体育部门负责对传统村落内的文物、非物质文化遗产等保护工作实施监督、管理和指导，将传统村落保护纳入本级旅游规划。</w:t>
      </w:r>
    </w:p>
    <w:p>
      <w:pPr>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市、县（市、区）发展和改革、农业农村、财政、生态环境、公安、交通等有关部门在各自职责范围内做好传统村落保护和利用相关工作。</w:t>
      </w:r>
    </w:p>
    <w:p>
      <w:pPr>
        <w:spacing w:line="540" w:lineRule="exact"/>
        <w:ind w:firstLine="640" w:firstLineChars="200"/>
        <w:rPr>
          <w:rFonts w:hint="default"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第六条【乡（镇）、街道职责】</w:t>
      </w:r>
      <w:r>
        <w:rPr>
          <w:rFonts w:hint="eastAsia" w:asciiTheme="minorEastAsia" w:hAnsiTheme="minorEastAsia"/>
          <w:b/>
          <w:bCs/>
          <w:sz w:val="28"/>
          <w:szCs w:val="28"/>
          <w:highlight w:val="none"/>
        </w:rPr>
        <w:t xml:space="preserve"> </w:t>
      </w:r>
      <w:r>
        <w:rPr>
          <w:rFonts w:hint="eastAsia" w:ascii="仿宋" w:hAnsi="仿宋" w:eastAsia="仿宋" w:cs="仿宋"/>
          <w:color w:val="auto"/>
          <w:kern w:val="2"/>
          <w:sz w:val="32"/>
          <w:szCs w:val="32"/>
          <w:lang w:val="en-US" w:eastAsia="zh-CN" w:bidi="ar-SA"/>
        </w:rPr>
        <w:t>传统村落所在地乡（镇）人民政府、街道办事处按照职责负责本辖区内传统村落保护和发展的工作，具体包括：</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（一）配合传统村落保护发展规划编制，制定传统村落保护实施方案，并组织具体实施；</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（二）对本辖区内的传统村落进行普查，推动符合条件的传统村落申报工作；</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（三）维护村落传统风貌，落实安全防护责任，依法制止违反传统村落保护与利用的行为；改善传统村落基础设施、公共服务设施，合理利用村落资源，改善人居环境；</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（四）协助做好传统村落物质文化遗产、非物质文化遗产的保护工作;挖掘、弘扬优秀传统民风民俗；</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（五）指导、督促村（居）民委员会做好传统村落保护工作；指导村（居）民委员会订立传统村落保护和发展的村规民约；</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（六）指导在传统村落内适度有序地开展旅游、休闲度假、传统技艺加工制作以及非物质文化遗产等生产经营活动。</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（七）履行法律、法规及文件规定的传统村落保护和发展其他职责。</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firstLine="620" w:firstLineChars="200"/>
        <w:jc w:val="left"/>
        <w:textAlignment w:val="auto"/>
        <w:rPr>
          <w:rFonts w:hint="eastAsia" w:ascii="仿宋" w:hAnsi="仿宋" w:eastAsia="仿宋" w:cs="仿宋"/>
          <w:color w:val="auto"/>
          <w:kern w:val="2"/>
          <w:sz w:val="32"/>
          <w:szCs w:val="32"/>
          <w:lang w:val="en-US" w:eastAsia="zh-CN" w:bidi="ar-SA"/>
        </w:rPr>
      </w:pPr>
      <w:r>
        <w:rPr>
          <w:rFonts w:hint="eastAsia" w:ascii="楷体_GB2312" w:hAnsi="楷体_GB2312" w:eastAsia="楷体_GB2312" w:cs="楷体_GB2312"/>
          <w:color w:val="0000FF"/>
          <w:kern w:val="0"/>
          <w:sz w:val="31"/>
          <w:szCs w:val="31"/>
          <w:lang w:val="en-US" w:eastAsia="zh-CN" w:bidi="ar"/>
        </w:rPr>
        <w:t xml:space="preserve"> </w:t>
      </w:r>
      <w:r>
        <w:rPr>
          <w:rFonts w:hint="eastAsia" w:ascii="黑体" w:hAnsi="黑体" w:eastAsia="黑体" w:cs="黑体"/>
          <w:b w:val="0"/>
          <w:bCs w:val="0"/>
          <w:color w:val="auto"/>
          <w:sz w:val="32"/>
          <w:szCs w:val="32"/>
          <w:lang w:val="en-US" w:eastAsia="zh-CN"/>
        </w:rPr>
        <w:t>第七条【村（居）委员会职责】</w:t>
      </w:r>
      <w:r>
        <w:rPr>
          <w:rFonts w:hint="eastAsia" w:asciiTheme="minorEastAsia" w:hAnsiTheme="minorEastAsia"/>
          <w:b/>
          <w:bCs/>
          <w:sz w:val="28"/>
          <w:szCs w:val="28"/>
          <w:highlight w:val="none"/>
        </w:rPr>
        <w:t xml:space="preserve"> </w:t>
      </w:r>
      <w:r>
        <w:rPr>
          <w:rFonts w:hint="eastAsia" w:ascii="仿宋" w:hAnsi="仿宋" w:eastAsia="仿宋" w:cs="仿宋"/>
          <w:color w:val="auto"/>
          <w:kern w:val="2"/>
          <w:sz w:val="32"/>
          <w:szCs w:val="32"/>
          <w:lang w:val="en-US" w:eastAsia="zh-CN" w:bidi="ar-SA"/>
        </w:rPr>
        <w:t>传统村落所在地村（居）民委员会具体做好以下工作：</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（一）参与传统村落保护发展规划的编制和实施，协助做好传统村落申报、保护和宣传工作；</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（二）依法组织村（居）民会议或者村民代表会议将传统村落保护事项纳入村规民约，引导村（居）民按照传统村落保护要求，保护文物古迹、非物质文化遗产和传统建筑及其构件，合理使用传统风貌建筑；</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（三）对有损毁危险的传统建筑、历史建筑进行登记，对已经坍塌、散落的传统建筑、历史建筑构件进行收集、保护，并及时向乡（镇）人民政府、街道办事处报告；</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（四）组织、指导村（居）民在传统村落内开展民俗文化和经营活动，弘扬优秀传统民风民俗；</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（五）对违反传统村落保护规定和要求的行为，进行劝阻、制止，并及时向乡镇人民政府、街道办事处报告；</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（八）做好传统村落保护的其他工作。</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第八条</w:t>
      </w:r>
      <w:bookmarkStart w:id="2" w:name="_Toc134714094"/>
      <w:r>
        <w:rPr>
          <w:rFonts w:hint="eastAsia" w:ascii="黑体" w:hAnsi="黑体" w:eastAsia="黑体" w:cs="黑体"/>
          <w:b w:val="0"/>
          <w:bCs w:val="0"/>
          <w:color w:val="auto"/>
          <w:sz w:val="32"/>
          <w:szCs w:val="32"/>
          <w:lang w:val="en-US" w:eastAsia="zh-CN"/>
        </w:rPr>
        <w:t xml:space="preserve"> 【监督与奖励】</w:t>
      </w:r>
      <w:bookmarkEnd w:id="2"/>
      <w:r>
        <w:rPr>
          <w:rFonts w:hint="eastAsia" w:ascii="仿宋" w:hAnsi="仿宋" w:eastAsia="仿宋" w:cs="仿宋"/>
          <w:color w:val="auto"/>
          <w:kern w:val="2"/>
          <w:sz w:val="32"/>
          <w:szCs w:val="32"/>
          <w:lang w:val="en-US" w:eastAsia="zh-CN" w:bidi="ar-SA"/>
        </w:rPr>
        <w:t>任何组织和个人有权有权对传统村落的保护和利用提出意见和建议，对破坏传统村落的行为进行劝阻、投诉和举报。</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市、县（市、区）人民政府对在传统村落保护工作中作出突出贡献的单位、社会组织和个人，按照相关规定给予奖励。</w:t>
      </w:r>
    </w:p>
    <w:p>
      <w:pPr>
        <w:pStyle w:val="3"/>
        <w:rPr>
          <w:rFonts w:hint="eastAsia"/>
          <w:highlight w:val="none"/>
        </w:rPr>
      </w:pPr>
    </w:p>
    <w:p>
      <w:pPr>
        <w:pStyle w:val="3"/>
        <w:numPr>
          <w:ilvl w:val="0"/>
          <w:numId w:val="0"/>
        </w:numPr>
        <w:ind w:firstLine="1606" w:firstLineChars="500"/>
        <w:jc w:val="both"/>
        <w:rPr>
          <w:rFonts w:hint="eastAsia"/>
          <w:highlight w:val="none"/>
        </w:rPr>
      </w:pPr>
      <w:r>
        <w:rPr>
          <w:rFonts w:hint="eastAsia"/>
          <w:highlight w:val="none"/>
          <w:lang w:val="en-US" w:eastAsia="zh-CN"/>
        </w:rPr>
        <w:t>第二章</w:t>
      </w:r>
      <w:r>
        <w:rPr>
          <w:highlight w:val="none"/>
        </w:rPr>
        <w:t xml:space="preserve"> </w:t>
      </w:r>
      <w:r>
        <w:rPr>
          <w:rFonts w:hint="eastAsia"/>
          <w:highlight w:val="none"/>
        </w:rPr>
        <w:t>申报认定与规划编制</w:t>
      </w:r>
    </w:p>
    <w:p>
      <w:pPr>
        <w:widowControl w:val="0"/>
        <w:numPr>
          <w:ilvl w:val="0"/>
          <w:numId w:val="0"/>
        </w:numPr>
        <w:jc w:val="both"/>
      </w:pPr>
    </w:p>
    <w:p>
      <w:pPr>
        <w:spacing w:line="540" w:lineRule="exact"/>
        <w:ind w:firstLine="640" w:firstLineChars="200"/>
        <w:rPr>
          <w:rFonts w:hint="default"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第九条【市级申报条件】</w:t>
      </w:r>
      <w:r>
        <w:rPr>
          <w:rFonts w:hint="eastAsia" w:ascii="仿宋" w:hAnsi="仿宋" w:eastAsia="仿宋" w:cs="仿宋"/>
          <w:color w:val="auto"/>
          <w:kern w:val="2"/>
          <w:sz w:val="32"/>
          <w:szCs w:val="32"/>
          <w:lang w:val="en-US" w:eastAsia="zh-CN" w:bidi="ar-SA"/>
        </w:rPr>
        <w:t>传统村落实行分级名录管理制度，建立韶关市传统村落名录。</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具备下列条件的村落，经村（居）民会议或者村（居）民代表会议讨论同意，可以申报市级传统村落：</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（一）村落历史文化积淀较为深厚，具有一定的历史、文化、科学、艺术、社会、经济价值，蕴含深厚的优秀传统文化等，能够集中反映本地区的地域特点；</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（二）历史建筑、传统风貌建筑等集中连片分布或者总量达到村庄建筑总量的三分之一以上，较完整体现一定历史时期或者承载客家文化等岭南特定地域文化特色的建造传统和建筑风格；</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（三）村落格局鲜明且保存良好，体现有代表性的传统文化、传统生产和生活方式；</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（四）有较为丰富的鲜明的岭南地域乡土文化特征的民俗活动、传统技艺等非物质文化遗产资源，传承形式良好，至今仍以活态延续；</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申报国家级、省级传统村落的，按照国家、省的有关规定执行。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firstLine="620" w:firstLineChars="200"/>
        <w:jc w:val="left"/>
        <w:textAlignment w:val="auto"/>
        <w:rPr>
          <w:rFonts w:hint="eastAsia" w:ascii="仿宋" w:hAnsi="仿宋" w:eastAsia="仿宋" w:cs="仿宋"/>
          <w:color w:val="auto"/>
          <w:kern w:val="2"/>
          <w:sz w:val="32"/>
          <w:szCs w:val="32"/>
          <w:lang w:val="en-US" w:eastAsia="zh-CN" w:bidi="ar-SA"/>
        </w:rPr>
      </w:pPr>
      <w:r>
        <w:rPr>
          <w:rFonts w:hint="eastAsia" w:ascii="楷体_GB2312" w:hAnsi="楷体_GB2312" w:eastAsia="楷体_GB2312" w:cs="楷体_GB2312"/>
          <w:color w:val="0000FF"/>
          <w:kern w:val="0"/>
          <w:sz w:val="31"/>
          <w:szCs w:val="31"/>
          <w:lang w:val="en-US" w:eastAsia="zh-CN" w:bidi="ar"/>
        </w:rPr>
        <w:t xml:space="preserve"> </w:t>
      </w:r>
      <w:r>
        <w:rPr>
          <w:rFonts w:hint="eastAsia" w:ascii="黑体" w:hAnsi="黑体" w:eastAsia="黑体" w:cs="黑体"/>
          <w:b w:val="0"/>
          <w:bCs w:val="0"/>
          <w:color w:val="auto"/>
          <w:sz w:val="32"/>
          <w:szCs w:val="32"/>
          <w:lang w:val="en-US" w:eastAsia="zh-CN"/>
        </w:rPr>
        <w:t>第十条【认定公布程序】</w:t>
      </w:r>
      <w:r>
        <w:rPr>
          <w:rFonts w:hint="eastAsia" w:ascii="仿宋" w:hAnsi="仿宋" w:eastAsia="仿宋" w:cs="仿宋"/>
          <w:color w:val="auto"/>
          <w:kern w:val="2"/>
          <w:sz w:val="32"/>
          <w:szCs w:val="32"/>
          <w:lang w:val="en-US" w:eastAsia="zh-CN" w:bidi="ar-SA"/>
        </w:rPr>
        <w:t xml:space="preserve"> 对符合本条例第</w:t>
      </w:r>
      <w:r>
        <w:rPr>
          <w:rFonts w:hint="eastAsia" w:ascii="仿宋" w:hAnsi="仿宋" w:eastAsia="仿宋" w:cs="仿宋"/>
          <w:b/>
          <w:bCs/>
          <w:color w:val="auto"/>
          <w:kern w:val="2"/>
          <w:sz w:val="32"/>
          <w:szCs w:val="32"/>
          <w:lang w:val="en-US" w:eastAsia="zh-CN" w:bidi="ar-SA"/>
        </w:rPr>
        <w:t>九</w:t>
      </w:r>
      <w:r>
        <w:rPr>
          <w:rFonts w:hint="eastAsia" w:ascii="仿宋" w:hAnsi="仿宋" w:eastAsia="仿宋" w:cs="仿宋"/>
          <w:color w:val="auto"/>
          <w:kern w:val="2"/>
          <w:sz w:val="32"/>
          <w:szCs w:val="32"/>
          <w:lang w:val="en-US" w:eastAsia="zh-CN" w:bidi="ar-SA"/>
        </w:rPr>
        <w:t>条规定条件的村落，由乡（镇）人民政府、街道办事处组织村（居）委员会向县（市、区）级住房城乡建设主管部门提出申请，并经县（市、区）人民政府同意，由县（市、区）住房城乡建设主管部门向市住房城乡建设主管部门申报。</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市住房城乡建设主管部门应当会同市自然资源、农业农村、文化广电旅游体育、财政等部门组织专家评审后，报市人民政府批准认定。</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乡（镇）人民政府、街道办事处申报传统村落时，应当经传统村落所在地的村民小组会议、村民会议或者村民代表会议讨论同意。</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市住房和城乡建设部门应当自批准之日起三十日内向社会公布并列入韶关市传统村落名录。</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第十一条【规划编制】</w:t>
      </w:r>
      <w:r>
        <w:rPr>
          <w:rFonts w:hint="eastAsia" w:asciiTheme="minorEastAsia" w:hAnsiTheme="minorEastAsia"/>
          <w:b/>
          <w:bCs/>
          <w:sz w:val="28"/>
          <w:szCs w:val="28"/>
          <w:highlight w:val="none"/>
        </w:rPr>
        <w:t xml:space="preserve"> </w:t>
      </w:r>
      <w:r>
        <w:rPr>
          <w:rFonts w:hint="eastAsia" w:ascii="仿宋" w:hAnsi="仿宋" w:eastAsia="仿宋" w:cs="仿宋"/>
          <w:color w:val="auto"/>
          <w:kern w:val="2"/>
          <w:sz w:val="32"/>
          <w:szCs w:val="32"/>
          <w:lang w:val="en-US" w:eastAsia="zh-CN" w:bidi="ar-SA"/>
        </w:rPr>
        <w:t>传统村落所在地县（市、区）自然资源部门应当在传统村落名录公布后一年内应当会同住房和城乡建设、文化广电旅游体育、财政、农业农村等有关部门，及时编制传统村落保护发展规划，统筹推进传统村落保护发展工作。</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发展规划的编制，应当符合国土空间总体规划要求，与村庄规划、全域旅游规划、生态环境保护、产业发展规划等国土空间专项规划相衔接，处理好保护与发展的关系，合理安排村（居）民住宅建设用地。</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第十二条 【</w:t>
      </w:r>
      <w:bookmarkStart w:id="3" w:name="_Toc134714107"/>
      <w:r>
        <w:rPr>
          <w:rFonts w:hint="eastAsia" w:ascii="黑体" w:hAnsi="黑体" w:eastAsia="黑体" w:cs="黑体"/>
          <w:b w:val="0"/>
          <w:bCs w:val="0"/>
          <w:color w:val="auto"/>
          <w:sz w:val="32"/>
          <w:szCs w:val="32"/>
          <w:lang w:val="en-US" w:eastAsia="zh-CN"/>
        </w:rPr>
        <w:t>规划内容</w:t>
      </w:r>
      <w:bookmarkEnd w:id="3"/>
      <w:r>
        <w:rPr>
          <w:rFonts w:hint="eastAsia" w:ascii="黑体" w:hAnsi="黑体" w:eastAsia="黑体" w:cs="黑体"/>
          <w:b w:val="0"/>
          <w:bCs w:val="0"/>
          <w:color w:val="auto"/>
          <w:sz w:val="32"/>
          <w:szCs w:val="32"/>
          <w:lang w:val="en-US" w:eastAsia="zh-CN"/>
        </w:rPr>
        <w:t>】</w:t>
      </w:r>
      <w:r>
        <w:rPr>
          <w:rFonts w:hint="eastAsia" w:ascii="仿宋" w:hAnsi="仿宋" w:eastAsia="仿宋" w:cs="仿宋"/>
          <w:color w:val="auto"/>
          <w:kern w:val="2"/>
          <w:sz w:val="32"/>
          <w:szCs w:val="32"/>
          <w:lang w:val="en-US" w:eastAsia="zh-CN" w:bidi="ar-SA"/>
        </w:rPr>
        <w:t>传统村落保护发展规划应当包括但不限于下列内容：</w:t>
      </w:r>
    </w:p>
    <w:p>
      <w:pPr>
        <w:spacing w:line="540" w:lineRule="exact"/>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（一）明确保护原则、保护内容、保护范围；</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（二）村落选址和格局、传统建筑、历史建筑、文物建筑、传统风貌等各项保护措施和建设控制要求；</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（三）非物质文化遗产保护和传承的要求和措施；</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（四）人居环境、基础设施、公共服务设施改善和防火防灾措施；</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（五）活化利用、关联产业发展引导方案；</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（六）其他应当规划的内容。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firstLine="560" w:firstLineChars="200"/>
        <w:jc w:val="left"/>
        <w:textAlignment w:val="auto"/>
        <w:rPr>
          <w:rFonts w:hint="eastAsia" w:ascii="仿宋" w:hAnsi="仿宋" w:eastAsia="仿宋" w:cs="仿宋"/>
          <w:color w:val="auto"/>
          <w:kern w:val="2"/>
          <w:sz w:val="32"/>
          <w:szCs w:val="32"/>
          <w:lang w:val="en-US" w:eastAsia="zh-CN" w:bidi="ar-SA"/>
        </w:rPr>
      </w:pPr>
      <w:bookmarkStart w:id="4" w:name="_Toc134714109"/>
      <w:r>
        <w:rPr>
          <w:rFonts w:hint="eastAsia" w:ascii="宋体" w:hAnsi="宋体" w:eastAsia="宋体" w:cs="宋体"/>
          <w:color w:val="000000"/>
          <w:spacing w:val="0"/>
          <w:kern w:val="0"/>
          <w:sz w:val="28"/>
          <w:szCs w:val="28"/>
          <w:lang w:val="en-US" w:eastAsia="zh-CN" w:bidi="ar"/>
        </w:rPr>
        <w:t xml:space="preserve"> </w:t>
      </w:r>
      <w:r>
        <w:rPr>
          <w:rFonts w:hint="eastAsia" w:ascii="黑体" w:hAnsi="黑体" w:eastAsia="黑体" w:cs="黑体"/>
          <w:b w:val="0"/>
          <w:bCs w:val="0"/>
          <w:color w:val="auto"/>
          <w:sz w:val="32"/>
          <w:szCs w:val="32"/>
          <w:lang w:val="en-US" w:eastAsia="zh-CN"/>
        </w:rPr>
        <w:t>第十三条【</w:t>
      </w:r>
      <w:bookmarkStart w:id="5" w:name="_Toc134714110"/>
      <w:r>
        <w:rPr>
          <w:rFonts w:hint="eastAsia" w:ascii="黑体" w:hAnsi="黑体" w:eastAsia="黑体" w:cs="黑体"/>
          <w:b w:val="0"/>
          <w:bCs w:val="0"/>
          <w:color w:val="auto"/>
          <w:sz w:val="32"/>
          <w:szCs w:val="32"/>
          <w:lang w:val="en-US" w:eastAsia="zh-CN"/>
        </w:rPr>
        <w:t>报送审批</w:t>
      </w:r>
      <w:bookmarkEnd w:id="5"/>
      <w:r>
        <w:rPr>
          <w:rFonts w:hint="eastAsia" w:ascii="黑体" w:hAnsi="黑体" w:eastAsia="黑体" w:cs="黑体"/>
          <w:b w:val="0"/>
          <w:bCs w:val="0"/>
          <w:color w:val="auto"/>
          <w:sz w:val="32"/>
          <w:szCs w:val="32"/>
          <w:lang w:val="en-US" w:eastAsia="zh-CN"/>
        </w:rPr>
        <w:t>程序】</w:t>
      </w:r>
      <w:bookmarkEnd w:id="4"/>
      <w:r>
        <w:rPr>
          <w:rFonts w:hint="eastAsia" w:ascii="仿宋" w:hAnsi="仿宋" w:eastAsia="仿宋" w:cs="仿宋"/>
          <w:color w:val="auto"/>
          <w:kern w:val="2"/>
          <w:sz w:val="32"/>
          <w:szCs w:val="32"/>
          <w:lang w:val="en-US" w:eastAsia="zh-CN" w:bidi="ar-SA"/>
        </w:rPr>
        <w:t>县（市、区）自然资源主管部门编制的传统村落保护发展规划，经市自然资源部门组织技术审查后，由县（市、区）人民政府报市人民政府批准。</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传统村落保护发展规划报送审批前，须经村民会议或者村民代表会议讨论同意，由县（市、区）自然资源主管部门组织征求同级住房和城乡建设、文化广电旅游体育、生态环境等相关部门以及相关专家的意见。</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传统村落保护发展规划经依法批准后，不得擅自修改。确需修改的，须按照原批准程序报送审批。</w:t>
      </w:r>
    </w:p>
    <w:p>
      <w:pPr>
        <w:pStyle w:val="2"/>
        <w:rPr>
          <w:rFonts w:hint="eastAsia"/>
          <w:highlight w:val="none"/>
        </w:rPr>
      </w:pPr>
      <w:bookmarkStart w:id="6" w:name="_Toc134714115"/>
    </w:p>
    <w:p>
      <w:pPr>
        <w:pStyle w:val="2"/>
        <w:rPr>
          <w:rFonts w:hint="eastAsia"/>
          <w:highlight w:val="none"/>
        </w:rPr>
      </w:pPr>
    </w:p>
    <w:p>
      <w:pPr>
        <w:pStyle w:val="2"/>
        <w:rPr>
          <w:rFonts w:hint="eastAsia"/>
          <w:highlight w:val="none"/>
        </w:rPr>
      </w:pPr>
    </w:p>
    <w:p>
      <w:pPr>
        <w:spacing w:line="540" w:lineRule="exact"/>
        <w:ind w:firstLine="2560" w:firstLineChars="8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  保护和管理</w:t>
      </w:r>
    </w:p>
    <w:p>
      <w:pPr>
        <w:spacing w:line="540" w:lineRule="exact"/>
        <w:ind w:firstLine="562" w:firstLineChars="200"/>
        <w:rPr>
          <w:rFonts w:hint="eastAsia" w:asciiTheme="minorEastAsia" w:hAnsiTheme="minorEastAsia" w:cstheme="minorEastAsia"/>
          <w:b/>
          <w:bCs/>
          <w:sz w:val="28"/>
          <w:szCs w:val="28"/>
          <w:highlight w:val="none"/>
        </w:rPr>
      </w:pPr>
    </w:p>
    <w:p>
      <w:pPr>
        <w:spacing w:line="540" w:lineRule="exact"/>
        <w:ind w:firstLine="562" w:firstLineChars="200"/>
        <w:rPr>
          <w:rFonts w:hint="eastAsia" w:asciiTheme="minorEastAsia" w:hAnsiTheme="minorEastAsia" w:cstheme="minorEastAsia"/>
          <w:b/>
          <w:bCs/>
          <w:sz w:val="28"/>
          <w:szCs w:val="28"/>
          <w:highlight w:val="none"/>
        </w:rPr>
      </w:pPr>
    </w:p>
    <w:p>
      <w:pPr>
        <w:spacing w:line="540" w:lineRule="exact"/>
        <w:ind w:firstLine="640" w:firstLineChars="200"/>
        <w:rPr>
          <w:rFonts w:hint="default"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第十五条【保护要求】</w:t>
      </w:r>
      <w:r>
        <w:rPr>
          <w:rFonts w:hint="eastAsia" w:ascii="仿宋" w:hAnsi="仿宋" w:eastAsia="仿宋" w:cs="仿宋"/>
          <w:color w:val="auto"/>
          <w:kern w:val="2"/>
          <w:sz w:val="32"/>
          <w:szCs w:val="32"/>
          <w:lang w:val="en-US" w:eastAsia="zh-CN" w:bidi="ar-SA"/>
        </w:rPr>
        <w:t>传统村落应当实行整体保护，坚持真实性、完整性、延续性原则，保持和延续其传统格局和历史风貌，不得改变与其相互依存的自然景观和环境。</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传统村落保护须尊重村（居）民的生活习惯和生产方式，注重优秀传统文化的延续性，传承传统习俗和传统技艺。</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传统村落保护的重点包括村落传统格局、整体风貌、传统建筑、历史环境要素等。</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传统村落规划保护范围内的资源利用和各项建设活动，应当符合传统村落保护发展规划的要求。</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第十六条【</w:t>
      </w:r>
      <w:bookmarkStart w:id="7" w:name="_Toc134714103"/>
      <w:r>
        <w:rPr>
          <w:rFonts w:hint="eastAsia" w:ascii="黑体" w:hAnsi="黑体" w:eastAsia="黑体" w:cs="黑体"/>
          <w:b w:val="0"/>
          <w:bCs w:val="0"/>
          <w:color w:val="auto"/>
          <w:sz w:val="32"/>
          <w:szCs w:val="32"/>
          <w:lang w:val="en-US" w:eastAsia="zh-CN"/>
        </w:rPr>
        <w:t>建档挂牌</w:t>
      </w:r>
      <w:bookmarkEnd w:id="7"/>
      <w:r>
        <w:rPr>
          <w:rFonts w:hint="eastAsia" w:ascii="黑体" w:hAnsi="黑体" w:eastAsia="黑体" w:cs="黑体"/>
          <w:b w:val="0"/>
          <w:bCs w:val="0"/>
          <w:color w:val="auto"/>
          <w:sz w:val="32"/>
          <w:szCs w:val="32"/>
          <w:lang w:val="en-US" w:eastAsia="zh-CN"/>
        </w:rPr>
        <w:t>保护】</w:t>
      </w:r>
      <w:r>
        <w:rPr>
          <w:rFonts w:hint="eastAsia" w:ascii="仿宋" w:hAnsi="仿宋" w:eastAsia="仿宋" w:cs="仿宋"/>
          <w:color w:val="auto"/>
          <w:kern w:val="2"/>
          <w:sz w:val="32"/>
          <w:szCs w:val="32"/>
          <w:lang w:val="en-US" w:eastAsia="zh-CN" w:bidi="ar-SA"/>
        </w:rPr>
        <w:t xml:space="preserve"> 县（市、区）住房和城乡建设主管部门要会同文化广电旅游体育、财政、自然资源、农业农村等有关部门做好传统村落的历史建筑、非物质文化遗产等普查工作，应当按照“一村一档”的要求，建立、健全传统村落保护档案和信息系统，实行名录管理，对文物古迹、传统建筑、历史建筑、古树名木、非物质文化遗产保护传承相关场所等保护对象实施挂牌保护。</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任何单位和个人不得擅自设置、移动、涂改或者损毁传统建筑、历史建筑、文物建筑等标志牌。</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 xml:space="preserve">第十七条 【传统文化遗产保护】 </w:t>
      </w:r>
      <w:r>
        <w:rPr>
          <w:rFonts w:hint="eastAsia" w:ascii="仿宋" w:hAnsi="仿宋" w:eastAsia="仿宋" w:cs="仿宋"/>
          <w:color w:val="auto"/>
          <w:kern w:val="2"/>
          <w:sz w:val="32"/>
          <w:szCs w:val="32"/>
          <w:lang w:val="en-US" w:eastAsia="zh-CN" w:bidi="ar-SA"/>
        </w:rPr>
        <w:t>县（市、区）文化广电旅游体育部门应当会同住房和城乡建设、自然资源、农业农村等有关部门，对传统村落的民风民俗、传统技艺、文化艺术等文化遗产进行收集、整理、研究，鼓励村民开展传统民俗文化活动，推动传统村落文化遗产传承、保护和合理利用。</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县（市、区）和乡（镇）人民政府、街道办事处对传统工匠、民间艺人等传统村落技艺人才开展技艺传承、传播活动，可以提供必要的经费补助。</w:t>
      </w:r>
      <w:r>
        <w:rPr>
          <w:rFonts w:hint="eastAsia" w:ascii="仿宋" w:hAnsi="仿宋" w:eastAsia="仿宋" w:cs="仿宋"/>
          <w:color w:val="auto"/>
          <w:kern w:val="2"/>
          <w:sz w:val="32"/>
          <w:szCs w:val="32"/>
          <w:lang w:val="en-US" w:eastAsia="zh-CN" w:bidi="ar-SA"/>
        </w:rPr>
        <w:br w:type="textWrapping"/>
      </w:r>
      <w:r>
        <w:rPr>
          <w:rFonts w:hint="eastAsia" w:ascii="仿宋" w:hAnsi="仿宋" w:eastAsia="仿宋" w:cs="仿宋"/>
          <w:color w:val="auto"/>
          <w:kern w:val="2"/>
          <w:sz w:val="32"/>
          <w:szCs w:val="32"/>
          <w:lang w:val="en-US" w:eastAsia="zh-CN" w:bidi="ar-SA"/>
        </w:rPr>
        <w:t xml:space="preserve">   任何单位或者个人使用与传统村落相关的非物质文化遗产，应当尊重其形式和内涵，禁止以歪曲、贬损等方式使用。</w:t>
      </w:r>
    </w:p>
    <w:p>
      <w:pPr>
        <w:keepNext w:val="0"/>
        <w:keepLines w:val="0"/>
        <w:pageBreakBefore w:val="0"/>
        <w:kinsoku/>
        <w:wordWrap/>
        <w:overflowPunct/>
        <w:topLinePunct w:val="0"/>
        <w:autoSpaceDE/>
        <w:autoSpaceDN/>
        <w:bidi w:val="0"/>
        <w:adjustRightInd/>
        <w:snapToGrid/>
        <w:ind w:firstLine="620" w:firstLineChars="200"/>
        <w:textAlignment w:val="auto"/>
        <w:rPr>
          <w:rFonts w:hint="eastAsia" w:ascii="仿宋" w:hAnsi="仿宋" w:eastAsia="仿宋" w:cs="仿宋"/>
          <w:color w:val="auto"/>
          <w:kern w:val="2"/>
          <w:sz w:val="32"/>
          <w:szCs w:val="32"/>
          <w:lang w:val="en-US" w:eastAsia="zh-CN" w:bidi="ar-SA"/>
        </w:rPr>
      </w:pPr>
      <w:r>
        <w:rPr>
          <w:rFonts w:hint="eastAsia" w:ascii="楷体_GB2312" w:hAnsi="楷体_GB2312" w:eastAsia="楷体_GB2312" w:cs="楷体_GB2312"/>
          <w:color w:val="0000FF"/>
          <w:kern w:val="0"/>
          <w:sz w:val="31"/>
          <w:szCs w:val="31"/>
          <w:lang w:val="en-US" w:eastAsia="zh-CN" w:bidi="ar"/>
        </w:rPr>
        <w:t xml:space="preserve">  </w:t>
      </w:r>
      <w:r>
        <w:rPr>
          <w:rFonts w:hint="eastAsia" w:ascii="黑体" w:hAnsi="黑体" w:eastAsia="黑体" w:cs="黑体"/>
          <w:b w:val="0"/>
          <w:bCs w:val="0"/>
          <w:color w:val="auto"/>
          <w:sz w:val="32"/>
          <w:szCs w:val="32"/>
          <w:lang w:val="en-US" w:eastAsia="zh-CN"/>
        </w:rPr>
        <w:t>第十八条【建设活动】</w:t>
      </w:r>
      <w:r>
        <w:rPr>
          <w:rFonts w:hint="eastAsia" w:ascii="仿宋" w:hAnsi="仿宋" w:eastAsia="仿宋" w:cs="仿宋"/>
          <w:color w:val="auto"/>
          <w:kern w:val="2"/>
          <w:sz w:val="32"/>
          <w:szCs w:val="32"/>
          <w:lang w:val="en-US" w:eastAsia="zh-CN" w:bidi="ar-SA"/>
        </w:rPr>
        <w:t>在传统村落保护范围内进行新建、重建、扩建、改建和修缮等建设活动，应当符合传统村落保护发展规划的要求，在建筑高度、体量、色彩、风格和材料等方面与传统建筑、历史建筑风貌相协调。</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对传统村落保护范围内已经存在的与传统村落整体风貌不相协调的建（构）筑物，鼓励村（居）民自愿改造或者拆除。县（市、区）人民政府可以采取补助、置换、奖励、引导社会参与等措施，支持村（居）民自愿改造或者拆除。</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第十九条【维护主体】</w:t>
      </w:r>
      <w:r>
        <w:rPr>
          <w:rFonts w:hint="eastAsia" w:ascii="仿宋" w:hAnsi="仿宋" w:eastAsia="仿宋" w:cs="仿宋"/>
          <w:color w:val="auto"/>
          <w:kern w:val="2"/>
          <w:sz w:val="32"/>
          <w:szCs w:val="32"/>
          <w:lang w:val="en-US" w:eastAsia="zh-CN" w:bidi="ar-SA"/>
        </w:rPr>
        <w:t>传统村落内传统建筑、历史建筑的安全、维护和修缮，由所有权人、管理人或者使用人负责；所有权人不明或者权属不清的，且无法定继承人或者合法代理人的，由传统风貌建筑所在地村（居）民委员会进行公告认领，公告满六十日无人认领的，可以由传统风貌建筑所在地村（居）民委员会代管。代管期间，原产权人认领的，经审查属实，偿付修缮、维护等保护管理必要费用后，予以返还。</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产权属于多人的传统建筑、历史建筑修缮加固，由乡（镇）人民政府、街道办事处和村“两委”做好协商调解。</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所有权人、管理人或者使用人自筹资金进行维护修缮的，县（市、区）人民政府可以根据申请给予适当的资金补助。所有权人、管理人或者使用人不具备维护和修缮能力的，乡（镇）人民政府、街道办事处应当提供指导和帮助。</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文物建筑的维护依据其相关法律法规规定。</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第二十条 【修缮及其程序】</w:t>
      </w:r>
      <w:r>
        <w:rPr>
          <w:rFonts w:hint="eastAsia" w:ascii="仿宋" w:hAnsi="仿宋" w:eastAsia="仿宋" w:cs="仿宋"/>
          <w:color w:val="auto"/>
          <w:kern w:val="2"/>
          <w:sz w:val="32"/>
          <w:szCs w:val="32"/>
          <w:lang w:val="en-US" w:eastAsia="zh-CN" w:bidi="ar-SA"/>
        </w:rPr>
        <w:t>传统村落保护范围内传统风貌建筑的维护和修缮应当遵循修旧如旧的原则，采用传统建造技术和既有传统建筑材料，不得任意改变和破坏原有建筑的格局、结构和风貌。</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传统村落所在地乡（镇）人民政府、街道办事处应当组织村（居）委员会对传统村落内有损毁危险的传统风貌建筑进行普查登记，并将普查登记结果报县（市、区）住房和城乡建设部门。</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乡（镇）人民政府、街道办事处应当根据传统村落保护发展规划，制定传统风貌建筑修缮实施方案、传统村落风貌整治方案，上报县（市、区）住房和城乡建设部门和文化广电旅游体育部门审核批准后，组织有传统风貌建筑维修经验的工匠参与传统风貌建筑抢救修缮和传统村落风貌整治。</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传统风貌建筑修缮和传统村落风貌整治完成后，由县（市、区）住房和城乡建设部门会同文化广电旅游体育部门组织验收。</w:t>
      </w: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第二十一条【数字化保护】</w:t>
      </w:r>
      <w:r>
        <w:rPr>
          <w:rFonts w:hint="eastAsia" w:ascii="仿宋" w:hAnsi="仿宋" w:eastAsia="仿宋" w:cs="仿宋"/>
          <w:color w:val="auto"/>
          <w:kern w:val="2"/>
          <w:sz w:val="32"/>
          <w:szCs w:val="32"/>
          <w:lang w:val="en-US" w:eastAsia="zh-CN" w:bidi="ar-SA"/>
        </w:rPr>
        <w:t>县（市、区）人民政府开展传统村落数字化保护，促进文化遗产的保存、共享、展示和传播，推动传统村落数字化产业发展，实施动态监测。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【注释】：本条是关于传统村落活化利用的规定。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【立法依据】：：</w:t>
      </w:r>
      <w:r>
        <w:rPr>
          <w:rFonts w:hint="eastAsia" w:ascii="Times New Roman" w:hAnsi="Times New Roman" w:eastAsia="楷体_GB2312" w:cs="楷体_GB2312"/>
          <w:color w:val="auto"/>
          <w:sz w:val="28"/>
          <w:szCs w:val="28"/>
          <w:lang w:val="zh-CN" w:eastAsia="zh-CN"/>
        </w:rPr>
        <w:t>《中华人民共和国立法法》第</w:t>
      </w:r>
      <w:r>
        <w:rPr>
          <w:rFonts w:hint="eastAsia" w:ascii="Times New Roman" w:hAnsi="Times New Roman" w:eastAsia="楷体_GB2312" w:cs="楷体_GB2312"/>
          <w:color w:val="auto"/>
          <w:sz w:val="28"/>
          <w:szCs w:val="28"/>
          <w:lang w:val="en-US" w:eastAsia="zh-CN"/>
        </w:rPr>
        <w:t>八</w:t>
      </w:r>
      <w:r>
        <w:rPr>
          <w:rFonts w:hint="eastAsia" w:ascii="Times New Roman" w:hAnsi="Times New Roman" w:eastAsia="楷体_GB2312" w:cs="楷体_GB2312"/>
          <w:color w:val="auto"/>
          <w:sz w:val="28"/>
          <w:szCs w:val="28"/>
          <w:lang w:val="zh-CN" w:eastAsia="zh-CN"/>
        </w:rPr>
        <w:t>十</w:t>
      </w:r>
      <w:r>
        <w:rPr>
          <w:rFonts w:hint="eastAsia" w:ascii="Times New Roman" w:hAnsi="Times New Roman" w:eastAsia="楷体_GB2312" w:cs="楷体_GB2312"/>
          <w:color w:val="auto"/>
          <w:sz w:val="28"/>
          <w:szCs w:val="28"/>
          <w:lang w:val="en-US" w:eastAsia="zh-CN"/>
        </w:rPr>
        <w:t>二</w:t>
      </w:r>
      <w:r>
        <w:rPr>
          <w:rFonts w:hint="eastAsia" w:ascii="Times New Roman" w:hAnsi="Times New Roman" w:eastAsia="楷体_GB2312" w:cs="楷体_GB2312"/>
          <w:color w:val="auto"/>
          <w:sz w:val="28"/>
          <w:szCs w:val="28"/>
          <w:lang w:val="zh-CN" w:eastAsia="zh-CN"/>
        </w:rPr>
        <w:t>条第二款规定：“地方性法规可以就下列事项作出规定：（二）属于地方性事务需要制定地方性法规的事项。”结合本地实际，不同上位法抵触，属立法创制性条款。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【立法参考】：1.《平顶山市传统村落保护条例》</w:t>
      </w:r>
      <w:r>
        <w:rPr>
          <w:rFonts w:hint="default" w:ascii="Times New Roman" w:hAnsi="Times New Roman" w:eastAsia="楷体_GB2312" w:cs="楷体_GB2312"/>
          <w:color w:val="auto"/>
          <w:sz w:val="28"/>
          <w:szCs w:val="28"/>
          <w:lang w:val="en-US" w:eastAsia="zh-CN"/>
        </w:rPr>
        <w:t> 第十三条 市、县（市、区）人民政府住房城乡建设主管部门应当会同自然资源和规划、文化和旅游等部门做好传统村落调查工作，按照“一村一档”制作数字化传统村落档案。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default" w:ascii="Times New Roman" w:hAnsi="Times New Roman" w:eastAsia="楷体_GB2312" w:cs="楷体_GB2312"/>
          <w:color w:val="auto"/>
          <w:sz w:val="28"/>
          <w:szCs w:val="28"/>
          <w:lang w:val="en-US" w:eastAsia="zh-CN"/>
        </w:rPr>
        <w:t>鼓励和支持传统村落数字化建设，并结合本地实际建设传统村落数字博物馆。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2.《枣庄市传统村落保护条例》第十七条  区（市）住房和城乡建设部门应当会同文化和旅游等部门做好传统村落调查工作，全面掌握传统村落的类型、数量、分布、保护现状等基本情况，按照“一村一档”要求建立传统村落档案。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鼓励和支持运用互联网、物联网、人工智能等现代信息技术开展传统村落数字化建设，并结合本地实际建设传统村落数字博物馆，促进传统文化遗产的保存、共享、展示和传播。</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Times New Roman" w:hAnsi="Times New Roman" w:eastAsia="楷体_GB2312" w:cs="楷体_GB2312"/>
          <w:color w:val="auto"/>
          <w:sz w:val="28"/>
          <w:szCs w:val="28"/>
          <w:lang w:val="en-US" w:eastAsia="zh-CN"/>
        </w:rPr>
      </w:pPr>
      <w:r>
        <w:rPr>
          <w:rFonts w:hint="eastAsia" w:ascii="Times New Roman" w:hAnsi="Times New Roman" w:eastAsia="楷体_GB2312" w:cs="楷体_GB2312"/>
          <w:color w:val="auto"/>
          <w:sz w:val="28"/>
          <w:szCs w:val="28"/>
          <w:lang w:val="en-US" w:eastAsia="zh-CN"/>
        </w:rPr>
        <w:t>鼓励有条件的传统村落编纂村志、村史。</w:t>
      </w:r>
    </w:p>
    <w:p>
      <w:p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第二十二条【保护经费】</w:t>
      </w:r>
      <w:r>
        <w:rPr>
          <w:rFonts w:hint="eastAsia" w:ascii="仿宋" w:hAnsi="仿宋" w:eastAsia="仿宋" w:cs="仿宋"/>
          <w:color w:val="auto"/>
          <w:kern w:val="2"/>
          <w:sz w:val="32"/>
          <w:szCs w:val="32"/>
          <w:lang w:val="en-US" w:eastAsia="zh-CN" w:bidi="ar-SA"/>
        </w:rPr>
        <w:t>市、县（市、区）人民政府应当加大对传统村落和传统建筑保护的投入和扶持，市、县（区）人民政府财政部门要根据传统村落保护发展规划统筹安排相关经费，用于规划编制、传统风貌修复、基础设施和公共服务设施建设、传统建筑和历史建筑修缮、传统文化传承与保护、消防安全防范、防洪、白蚁等病虫害防治、传统村落数字化保护等工作。</w:t>
      </w:r>
    </w:p>
    <w:p>
      <w:p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第二十三条【监督管理】</w:t>
      </w:r>
      <w:r>
        <w:rPr>
          <w:rFonts w:hint="eastAsia" w:ascii="仿宋" w:hAnsi="仿宋" w:eastAsia="仿宋" w:cs="仿宋"/>
          <w:color w:val="auto"/>
          <w:kern w:val="2"/>
          <w:sz w:val="32"/>
          <w:szCs w:val="32"/>
          <w:lang w:val="en-US" w:eastAsia="zh-CN" w:bidi="ar-SA"/>
        </w:rPr>
        <w:t>传统村落所在地乡（镇）人民政府、街道办事处应当加强对传统村落保护工作的巡查，对巡查中发现的违反本条例的行为，应当依法予以制止，并向县（市、区）住房和城乡建设等相关主管部门报告。</w:t>
      </w:r>
      <w:r>
        <w:rPr>
          <w:rFonts w:hint="eastAsia" w:ascii="宋体" w:hAnsi="宋体" w:eastAsia="宋体" w:cs="宋体"/>
          <w:color w:val="000000"/>
          <w:spacing w:val="0"/>
          <w:kern w:val="0"/>
          <w:sz w:val="28"/>
          <w:szCs w:val="28"/>
          <w:lang w:val="en-US" w:eastAsia="zh-CN" w:bidi="ar"/>
        </w:rPr>
        <w:br w:type="textWrapping"/>
      </w:r>
      <w:r>
        <w:rPr>
          <w:rFonts w:hint="eastAsia" w:ascii="宋体" w:hAnsi="宋体" w:eastAsia="宋体" w:cs="宋体"/>
          <w:color w:val="000000"/>
          <w:spacing w:val="0"/>
          <w:kern w:val="0"/>
          <w:sz w:val="28"/>
          <w:szCs w:val="28"/>
          <w:lang w:val="en-US" w:eastAsia="zh-CN" w:bidi="ar"/>
        </w:rPr>
        <w:t xml:space="preserve">   </w:t>
      </w:r>
      <w:r>
        <w:rPr>
          <w:rFonts w:hint="eastAsia" w:ascii="仿宋" w:hAnsi="仿宋" w:eastAsia="仿宋" w:cs="仿宋"/>
          <w:color w:val="auto"/>
          <w:kern w:val="2"/>
          <w:sz w:val="32"/>
          <w:szCs w:val="32"/>
          <w:lang w:val="en-US" w:eastAsia="zh-CN" w:bidi="ar-SA"/>
        </w:rPr>
        <w:t>市住房和城乡建设部门主管部门应当会同同级文化广电旅游体育、财政等有关部门对传统村落保护和利用状况定期进行监督检查，对发现的问题应当及时督促乡（镇）人民政府、街道办事处进行整改；发现存在未及时组织编制传统村落保护发展规划、违反传统村落保护发展规划开发建设、对传统格局以及传统建筑保护不力等问题的，应当及时向传统村落所在地县（市、区）人民政府报告并提出整改意见和整改期限。</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整改期限届满后，由市住房和城乡建设部门主管部门应当会同同级文化广电旅游体育、财政等有关部门，组织专家进行审核。审核未通过的，由市住房和城乡建设部门报请市人民政府将其从韶关市传统村落名录中退出，并向社会公示。</w:t>
      </w:r>
    </w:p>
    <w:p>
      <w:pPr>
        <w:ind w:firstLine="640" w:firstLineChars="200"/>
        <w:rPr>
          <w:rFonts w:hint="eastAsia" w:asciiTheme="minorEastAsia" w:hAnsiTheme="minorEastAsia" w:cstheme="minorEastAsia"/>
          <w:sz w:val="28"/>
          <w:szCs w:val="28"/>
          <w:highlight w:val="none"/>
          <w:lang w:val="en-US" w:eastAsia="zh-CN"/>
        </w:rPr>
      </w:pPr>
      <w:r>
        <w:rPr>
          <w:rFonts w:hint="eastAsia" w:ascii="仿宋" w:hAnsi="仿宋" w:eastAsia="仿宋" w:cs="仿宋"/>
          <w:color w:val="auto"/>
          <w:kern w:val="2"/>
          <w:sz w:val="32"/>
          <w:szCs w:val="32"/>
          <w:lang w:val="en-US" w:eastAsia="zh-CN" w:bidi="ar-SA"/>
        </w:rPr>
        <w:t>中国传统村落、广东省传统村落的退出，按照国家、省相关规定执行。</w:t>
      </w:r>
      <w:r>
        <w:rPr>
          <w:rFonts w:hint="eastAsia" w:asciiTheme="minorEastAsia" w:hAnsiTheme="minorEastAsia" w:cstheme="minorEastAsia"/>
          <w:sz w:val="28"/>
          <w:szCs w:val="28"/>
          <w:highlight w:val="none"/>
          <w:lang w:val="en-US" w:eastAsia="zh-CN"/>
        </w:rPr>
        <w:t xml:space="preserve"> </w:t>
      </w:r>
    </w:p>
    <w:p>
      <w:pPr>
        <w:ind w:firstLine="320" w:firstLineChars="1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第二十六条【禁止行为】</w:t>
      </w:r>
      <w:r>
        <w:rPr>
          <w:rFonts w:hint="eastAsia" w:ascii="仿宋" w:hAnsi="仿宋" w:eastAsia="仿宋" w:cs="仿宋"/>
          <w:color w:val="auto"/>
          <w:kern w:val="2"/>
          <w:sz w:val="32"/>
          <w:szCs w:val="32"/>
          <w:lang w:val="en-US" w:eastAsia="zh-CN" w:bidi="ar-SA"/>
        </w:rPr>
        <w:t xml:space="preserve">在传统村落保护范围内禁止进行下列违反保护发展规划的活动： </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（一）开山、采石、取土、开矿、爆破等破坏传统格局和历史风貌； </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（二）擅自占用或破坏传统村落保护规划确定保留的园林绿地、河湖水系、路桥等传统格局风貌、自然景观、历史环境要素；</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（三）建设或者利用现有设施生产、加工、销售以及储存易燃易爆、放射性、毒害性、腐蚀性等危险物品的工厂、商店、仓库等； </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（四）损坏或者擅自拆除、迁移、改建、扩建传统风貌建（构）筑物或者拆卸、转让、售卖传统风貌建筑构件等破坏传统风貌建（构）筑物的行为； </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（五）破坏、侵占与非物质文化遗产直接关联的实物、场所；</w:t>
      </w:r>
    </w:p>
    <w:p>
      <w:pPr>
        <w:ind w:firstLine="320"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（六）其他违反传统村落保护发展规划的活动。</w:t>
      </w:r>
    </w:p>
    <w:p>
      <w:pPr>
        <w:ind w:firstLine="2240" w:firstLineChars="700"/>
        <w:rPr>
          <w:rFonts w:hint="eastAsia" w:ascii="黑体" w:hAnsi="黑体" w:eastAsia="黑体" w:cs="黑体"/>
          <w:b w:val="0"/>
          <w:bCs w:val="0"/>
          <w:color w:val="auto"/>
          <w:kern w:val="2"/>
          <w:sz w:val="32"/>
          <w:szCs w:val="32"/>
          <w:lang w:val="en-US" w:eastAsia="zh-CN" w:bidi="ar-SA"/>
        </w:rPr>
      </w:pPr>
    </w:p>
    <w:p>
      <w:pPr>
        <w:ind w:firstLine="2240" w:firstLineChars="700"/>
        <w:rPr>
          <w:rFonts w:hint="eastAsia" w:ascii="黑体" w:hAnsi="黑体" w:eastAsia="黑体" w:cs="黑体"/>
          <w:b w:val="0"/>
          <w:bCs w:val="0"/>
          <w:color w:val="auto"/>
          <w:kern w:val="2"/>
          <w:sz w:val="32"/>
          <w:szCs w:val="32"/>
          <w:lang w:val="en-US" w:eastAsia="zh-CN" w:bidi="ar-SA"/>
        </w:rPr>
      </w:pPr>
    </w:p>
    <w:p>
      <w:pPr>
        <w:ind w:firstLine="2240" w:firstLineChars="700"/>
        <w:rPr>
          <w:rFonts w:hint="eastAsia" w:ascii="黑体" w:hAnsi="黑体" w:eastAsia="黑体" w:cs="黑体"/>
          <w:b w:val="0"/>
          <w:bCs w:val="0"/>
          <w:color w:val="auto"/>
          <w:kern w:val="2"/>
          <w:sz w:val="32"/>
          <w:szCs w:val="32"/>
          <w:lang w:val="en-US" w:eastAsia="zh-CN" w:bidi="ar-SA"/>
        </w:rPr>
      </w:pPr>
    </w:p>
    <w:p>
      <w:pPr>
        <w:ind w:firstLine="2240" w:firstLineChars="700"/>
        <w:rPr>
          <w:rFonts w:hint="eastAsia" w:ascii="黑体" w:hAnsi="黑体" w:eastAsia="黑体" w:cs="黑体"/>
          <w:b w:val="0"/>
          <w:bCs w:val="0"/>
          <w:color w:val="auto"/>
          <w:kern w:val="2"/>
          <w:sz w:val="32"/>
          <w:szCs w:val="32"/>
          <w:lang w:val="en-US" w:eastAsia="zh-CN" w:bidi="ar-SA"/>
        </w:rPr>
      </w:pPr>
    </w:p>
    <w:p>
      <w:pPr>
        <w:ind w:firstLine="2240" w:firstLineChars="7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利用与发展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楷体_GB2312" w:hAnsi="楷体_GB2312" w:eastAsia="楷体_GB2312" w:cs="楷体_GB2312"/>
          <w:color w:val="0000FF"/>
          <w:kern w:val="0"/>
          <w:sz w:val="28"/>
          <w:szCs w:val="28"/>
          <w:lang w:val="en-US" w:eastAsia="zh-CN" w:bidi="ar"/>
        </w:rPr>
      </w:pPr>
    </w:p>
    <w:p>
      <w:p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第二十七条【鼓励发展】</w:t>
      </w:r>
      <w:r>
        <w:rPr>
          <w:rFonts w:hint="eastAsia" w:ascii="仿宋" w:hAnsi="仿宋" w:eastAsia="仿宋" w:cs="仿宋"/>
          <w:color w:val="auto"/>
          <w:kern w:val="2"/>
          <w:sz w:val="32"/>
          <w:szCs w:val="32"/>
          <w:lang w:val="en-US" w:eastAsia="zh-CN" w:bidi="ar-SA"/>
        </w:rPr>
        <w:t>县（市、区）人民政府应当优先建设传统村落基础设施和公共服务设施，鼓励对传统村落的合理利用和创新发展，鼓励发展文化产业、传统手工技艺和乡村旅游，推动旅游景区与传统村落旅游开发有机衔接。</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鼓励、支持高等院校、科研机构开展传统村落保护利用的研究，挖掘传统村落历史文化资源，增强传统村落发展的文化特色和吸引力。</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鼓励和支持企业、事业单位、社会团体、个人以投资、捐赠、认领、入股、租赁、提供技术服务或志愿服务等方式，参与传统村落保护发展。</w:t>
      </w:r>
    </w:p>
    <w:p>
      <w:p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第二十八条【活化利用】</w:t>
      </w:r>
      <w:r>
        <w:rPr>
          <w:rFonts w:hint="eastAsia" w:ascii="仿宋" w:hAnsi="仿宋" w:eastAsia="仿宋" w:cs="仿宋"/>
          <w:color w:val="auto"/>
          <w:kern w:val="2"/>
          <w:sz w:val="32"/>
          <w:szCs w:val="32"/>
          <w:lang w:val="en-US" w:eastAsia="zh-CN" w:bidi="ar-SA"/>
        </w:rPr>
        <w:t>在保持传统风貌和建筑形式不变的前提下，鼓励在传统村落内利用传统村落进行旅游和商业项目开发活动，鼓励利用传统建筑开设博物馆、纪念馆、非物质文化遗产传习和展示场所以及传统作坊、农家乐、民宿以及其他符合传统村落实际的经营活动。</w:t>
      </w:r>
    </w:p>
    <w:p>
      <w:p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 xml:space="preserve">第二十九条 【活化要求】 </w:t>
      </w:r>
      <w:r>
        <w:rPr>
          <w:rFonts w:hint="eastAsia" w:ascii="仿宋" w:hAnsi="仿宋" w:eastAsia="仿宋" w:cs="仿宋"/>
          <w:color w:val="auto"/>
          <w:kern w:val="2"/>
          <w:sz w:val="32"/>
          <w:szCs w:val="32"/>
          <w:lang w:val="en-US" w:eastAsia="zh-CN" w:bidi="ar-SA"/>
        </w:rPr>
        <w:t>传统村落所在地乡（镇）人民政府、街道办事处应当统筹规划传统村落内的经营活动。</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利用传统村落进行旅游和商业项目开发的，乡（镇）人民政府、街道办事处应当对开发类项目进行可行性论证；开发条件成熟的，应当在加强保护的前提下，适度开发，防止传统村落过度商业化；开发条件不成熟的，应当先予保护、禁止开发；已经实施开发的，应当加强监督管理和保护。</w:t>
      </w:r>
    </w:p>
    <w:bookmarkEnd w:id="6"/>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32"/>
          <w:szCs w:val="32"/>
          <w:lang w:val="en-US" w:eastAsia="zh-CN" w:bidi="ar-SA"/>
        </w:rPr>
      </w:pPr>
      <w:bookmarkStart w:id="8" w:name="_Toc134714138"/>
      <w:r>
        <w:rPr>
          <w:rFonts w:hint="eastAsia" w:ascii="Times New Roman" w:hAnsi="Times New Roman" w:eastAsia="楷体_GB2312" w:cs="楷体_GB2312"/>
          <w:color w:val="auto"/>
          <w:sz w:val="28"/>
          <w:szCs w:val="28"/>
          <w:lang w:val="en-US" w:eastAsia="zh-CN"/>
        </w:rPr>
        <w:t xml:space="preserve">  </w:t>
      </w:r>
      <w:r>
        <w:rPr>
          <w:rFonts w:hint="eastAsia" w:ascii="黑体" w:hAnsi="黑体" w:eastAsia="黑体" w:cs="黑体"/>
          <w:b w:val="0"/>
          <w:bCs w:val="0"/>
          <w:color w:val="auto"/>
          <w:sz w:val="32"/>
          <w:szCs w:val="32"/>
          <w:lang w:val="en-US" w:eastAsia="zh-CN"/>
        </w:rPr>
        <w:t>第三十条【传承发展】</w:t>
      </w:r>
      <w:r>
        <w:rPr>
          <w:rFonts w:hint="eastAsia" w:ascii="仿宋" w:hAnsi="仿宋" w:eastAsia="仿宋" w:cs="仿宋"/>
          <w:color w:val="auto"/>
          <w:kern w:val="2"/>
          <w:sz w:val="32"/>
          <w:szCs w:val="32"/>
          <w:lang w:val="en-US" w:eastAsia="zh-CN" w:bidi="ar-SA"/>
        </w:rPr>
        <w:t>县（市、区）人民政府应当组织对传统村落中留存的传统技艺、特色节庆、民间艺术、族谱家训、乡风民俗等搜集、整理、研究，促进优秀传统文化传承与创新，推动传统村落文化遗产活态传承、保护和合理发开利用。</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支持传统建筑、历史建筑工匠，民间艺人等非物质文化遗产传承人开展技艺传承活动，可以提供必要的经费补助。</w:t>
      </w:r>
    </w:p>
    <w:p>
      <w:pPr>
        <w:ind w:firstLine="640" w:firstLineChars="200"/>
        <w:rPr>
          <w:rFonts w:hint="eastAsia" w:ascii="仿宋" w:hAnsi="仿宋" w:eastAsia="仿宋" w:cs="仿宋"/>
          <w:color w:val="0000FF"/>
          <w:kern w:val="2"/>
          <w:sz w:val="32"/>
          <w:szCs w:val="32"/>
          <w:lang w:val="en-US" w:eastAsia="zh-CN" w:bidi="ar-SA"/>
        </w:rPr>
      </w:pPr>
      <w:r>
        <w:rPr>
          <w:rFonts w:hint="eastAsia" w:ascii="黑体" w:hAnsi="黑体" w:eastAsia="黑体" w:cs="黑体"/>
          <w:b w:val="0"/>
          <w:bCs w:val="0"/>
          <w:color w:val="auto"/>
          <w:sz w:val="32"/>
          <w:szCs w:val="32"/>
          <w:lang w:val="en-US" w:eastAsia="zh-CN"/>
        </w:rPr>
        <w:t>第三十一条 【权益保障】</w:t>
      </w:r>
      <w:bookmarkEnd w:id="8"/>
      <w:r>
        <w:rPr>
          <w:rFonts w:hint="eastAsia" w:ascii="仿宋" w:hAnsi="仿宋" w:eastAsia="仿宋" w:cs="仿宋"/>
          <w:color w:val="auto"/>
          <w:kern w:val="2"/>
          <w:sz w:val="32"/>
          <w:szCs w:val="32"/>
          <w:lang w:val="en-US" w:eastAsia="zh-CN" w:bidi="ar-SA"/>
        </w:rPr>
        <w:t>利用传统村落资源从事经营活动的，应当尊重村民意愿，并依法对权益分配等事项作出约定，保障原住村（居）民的合法权益。</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传统村落村民合理享有传统村落保护开发收益，可以以其所有的传统风貌建筑、房屋、资金等入股的方式参与传统村落保护和利用。</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传统村落所在地的村（居）民委员会可以设立集体经济组织，参与传统村落保护和利用。</w:t>
      </w:r>
    </w:p>
    <w:p>
      <w:pPr>
        <w:spacing w:line="560" w:lineRule="exact"/>
        <w:ind w:firstLine="560" w:firstLineChars="200"/>
        <w:rPr>
          <w:rFonts w:hint="eastAsia"/>
          <w:sz w:val="28"/>
          <w:szCs w:val="28"/>
          <w:highlight w:val="none"/>
        </w:rPr>
      </w:pPr>
      <w:bookmarkStart w:id="9" w:name="_Toc134714142"/>
    </w:p>
    <w:p>
      <w:pPr>
        <w:pStyle w:val="3"/>
        <w:rPr>
          <w:highlight w:val="none"/>
        </w:rPr>
      </w:pPr>
      <w:r>
        <w:rPr>
          <w:rFonts w:hint="eastAsia"/>
          <w:highlight w:val="none"/>
        </w:rPr>
        <w:t>第</w:t>
      </w:r>
      <w:r>
        <w:rPr>
          <w:rFonts w:hint="eastAsia"/>
          <w:highlight w:val="none"/>
          <w:lang w:val="en-US" w:eastAsia="zh-CN"/>
        </w:rPr>
        <w:t>五</w:t>
      </w:r>
      <w:r>
        <w:rPr>
          <w:rFonts w:hint="eastAsia"/>
          <w:highlight w:val="none"/>
        </w:rPr>
        <w:t>章</w:t>
      </w:r>
      <w:r>
        <w:rPr>
          <w:highlight w:val="none"/>
        </w:rPr>
        <w:t xml:space="preserve"> </w:t>
      </w:r>
      <w:r>
        <w:rPr>
          <w:rFonts w:hint="eastAsia"/>
          <w:highlight w:val="none"/>
        </w:rPr>
        <w:t>法律责任</w:t>
      </w:r>
    </w:p>
    <w:p>
      <w:pPr>
        <w:spacing w:line="540" w:lineRule="exact"/>
        <w:ind w:firstLine="640" w:firstLineChars="200"/>
        <w:rPr>
          <w:rFonts w:hint="eastAsia" w:ascii="黑体" w:hAnsi="黑体" w:eastAsia="黑体" w:cs="黑体"/>
          <w:b w:val="0"/>
          <w:bCs w:val="0"/>
          <w:color w:val="auto"/>
          <w:sz w:val="32"/>
          <w:szCs w:val="32"/>
          <w:lang w:val="en-US" w:eastAsia="zh-CN"/>
        </w:rPr>
      </w:pPr>
    </w:p>
    <w:p>
      <w:pPr>
        <w:spacing w:line="540" w:lineRule="exact"/>
        <w:ind w:firstLine="640" w:firstLineChars="200"/>
        <w:rPr>
          <w:rFonts w:hint="eastAsia" w:ascii="黑体" w:hAnsi="黑体" w:eastAsia="黑体" w:cs="黑体"/>
          <w:b w:val="0"/>
          <w:bCs w:val="0"/>
          <w:color w:val="auto"/>
          <w:sz w:val="32"/>
          <w:szCs w:val="32"/>
          <w:lang w:val="en-US" w:eastAsia="zh-CN"/>
        </w:rPr>
      </w:pPr>
    </w:p>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第三十二条【部门责任】</w:t>
      </w:r>
      <w:r>
        <w:rPr>
          <w:rFonts w:hint="eastAsia" w:ascii="仿宋" w:hAnsi="仿宋" w:eastAsia="仿宋" w:cs="仿宋"/>
          <w:color w:val="auto"/>
          <w:kern w:val="2"/>
          <w:sz w:val="32"/>
          <w:szCs w:val="32"/>
          <w:lang w:val="en-US" w:eastAsia="zh-CN" w:bidi="ar-SA"/>
        </w:rPr>
        <w:t>国家机关及其工作人员在传统村落保护和发展工作中玩忽职守、滥用职权、徇私舞弊，导致传统村落遭到严重破坏的，尚不构成犯罪的，对直接负责的主管人员和其他直接责任人员依法给予处分；构成犯罪的，依法追究刑事责任。</w:t>
      </w:r>
    </w:p>
    <w:bookmarkEnd w:id="9"/>
    <w:p>
      <w:pPr>
        <w:spacing w:line="540" w:lineRule="exact"/>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 xml:space="preserve">第三十三条 </w:t>
      </w:r>
      <w:bookmarkStart w:id="10" w:name="_Toc134714141"/>
      <w:r>
        <w:rPr>
          <w:rFonts w:hint="eastAsia" w:ascii="黑体" w:hAnsi="黑体" w:eastAsia="黑体" w:cs="黑体"/>
          <w:b w:val="0"/>
          <w:bCs w:val="0"/>
          <w:color w:val="auto"/>
          <w:sz w:val="32"/>
          <w:szCs w:val="32"/>
          <w:lang w:val="en-US" w:eastAsia="zh-CN"/>
        </w:rPr>
        <w:t>【损毁标志牌责任】</w:t>
      </w:r>
      <w:bookmarkEnd w:id="10"/>
      <w:r>
        <w:rPr>
          <w:rFonts w:hint="eastAsia" w:asciiTheme="minorEastAsia" w:hAnsiTheme="minorEastAsia"/>
          <w:b/>
          <w:bCs/>
          <w:sz w:val="28"/>
          <w:szCs w:val="28"/>
          <w:highlight w:val="none"/>
        </w:rPr>
        <w:t xml:space="preserve"> </w:t>
      </w:r>
      <w:r>
        <w:rPr>
          <w:rFonts w:hint="eastAsia" w:ascii="仿宋" w:hAnsi="仿宋" w:eastAsia="仿宋" w:cs="仿宋"/>
          <w:color w:val="auto"/>
          <w:kern w:val="2"/>
          <w:sz w:val="32"/>
          <w:szCs w:val="32"/>
          <w:lang w:val="en-US" w:eastAsia="zh-CN" w:bidi="ar-SA"/>
        </w:rPr>
        <w:t>违反本条例第十六条规定，擅自设置、移动、涂改或者损毁标志牌的，由县（市、区）住房和城乡建设部门责令限期改正；逾期不改正的，对单位处一千元以上五千元以下的罚款，对个人处二百元以上一千元以下的罚款。</w:t>
      </w:r>
    </w:p>
    <w:p>
      <w:pPr>
        <w:spacing w:line="540" w:lineRule="exact"/>
        <w:ind w:firstLine="480"/>
        <w:rPr>
          <w:rFonts w:hint="default"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第三十四条 【禁止行为责任】</w:t>
      </w:r>
      <w:r>
        <w:rPr>
          <w:rFonts w:hint="eastAsia" w:asciiTheme="minorEastAsia" w:hAnsiTheme="minorEastAsia"/>
          <w:sz w:val="28"/>
          <w:highlight w:val="none"/>
        </w:rPr>
        <w:t xml:space="preserve"> </w:t>
      </w:r>
      <w:r>
        <w:rPr>
          <w:rFonts w:hint="eastAsia" w:ascii="仿宋" w:hAnsi="仿宋" w:eastAsia="仿宋" w:cs="仿宋"/>
          <w:color w:val="auto"/>
          <w:kern w:val="2"/>
          <w:sz w:val="32"/>
          <w:szCs w:val="32"/>
          <w:lang w:val="en-US" w:eastAsia="zh-CN" w:bidi="ar-SA"/>
        </w:rPr>
        <w:t>违反本条例第二十六条第一项至第三项规定，由县（市、区）住房与城乡建设部门责令停止违法行为、限期恢复原状或者采取其他补救措施；有违法所得的，没收违法所得；逾期不恢复原状或者不采取其他补救措施的，对单位并处二万元以上十万元以下的罚款，对个人并处二千元以上二万元以下的罚款；造成无法恢复严重后果的，对单位并处二十万元以上五十万元以下的罚款，对个人并处二万元以上五万元以下的罚款；造成损失的，依法承担赔偿责任。</w:t>
      </w:r>
    </w:p>
    <w:p>
      <w:pPr>
        <w:pStyle w:val="3"/>
        <w:rPr>
          <w:rFonts w:hint="eastAsia"/>
          <w:highlight w:val="none"/>
        </w:rPr>
      </w:pPr>
    </w:p>
    <w:p>
      <w:pPr>
        <w:pStyle w:val="3"/>
        <w:rPr>
          <w:rFonts w:hint="eastAsia"/>
          <w:highlight w:val="none"/>
        </w:rPr>
      </w:pPr>
    </w:p>
    <w:p>
      <w:pPr>
        <w:pStyle w:val="3"/>
        <w:rPr>
          <w:highlight w:val="none"/>
        </w:rPr>
      </w:pPr>
      <w:r>
        <w:rPr>
          <w:rFonts w:hint="eastAsia"/>
          <w:highlight w:val="none"/>
        </w:rPr>
        <w:t>第</w:t>
      </w:r>
      <w:r>
        <w:rPr>
          <w:rFonts w:hint="eastAsia"/>
          <w:highlight w:val="none"/>
          <w:lang w:val="en-US" w:eastAsia="zh-CN"/>
        </w:rPr>
        <w:t>六</w:t>
      </w:r>
      <w:r>
        <w:rPr>
          <w:rFonts w:hint="eastAsia"/>
          <w:highlight w:val="none"/>
        </w:rPr>
        <w:t>章</w:t>
      </w:r>
      <w:r>
        <w:rPr>
          <w:highlight w:val="none"/>
        </w:rPr>
        <w:t xml:space="preserve">  </w:t>
      </w:r>
      <w:r>
        <w:rPr>
          <w:rFonts w:hint="eastAsia"/>
          <w:highlight w:val="none"/>
        </w:rPr>
        <w:t>附则</w:t>
      </w:r>
    </w:p>
    <w:p>
      <w:pPr>
        <w:spacing w:line="540" w:lineRule="exact"/>
        <w:ind w:firstLine="560" w:firstLineChars="200"/>
        <w:rPr>
          <w:rFonts w:hint="eastAsia" w:asciiTheme="minorEastAsia" w:hAnsiTheme="minorEastAsia"/>
          <w:sz w:val="28"/>
          <w:szCs w:val="28"/>
          <w:highlight w:val="none"/>
        </w:rPr>
      </w:pPr>
      <w:bookmarkStart w:id="11" w:name="_Toc134714146"/>
    </w:p>
    <w:p>
      <w:pPr>
        <w:spacing w:line="540" w:lineRule="exact"/>
        <w:ind w:firstLine="560" w:firstLineChars="200"/>
        <w:rPr>
          <w:rFonts w:hint="eastAsia" w:asciiTheme="minorEastAsia" w:hAnsiTheme="minorEastAsia"/>
          <w:sz w:val="28"/>
          <w:szCs w:val="28"/>
          <w:highlight w:val="none"/>
        </w:rPr>
      </w:pPr>
    </w:p>
    <w:p>
      <w:pPr>
        <w:spacing w:line="540" w:lineRule="exact"/>
        <w:ind w:firstLine="560" w:firstLineChars="200"/>
        <w:rPr>
          <w:rFonts w:hint="eastAsia" w:asciiTheme="minorEastAsia" w:hAnsiTheme="minorEastAsia"/>
          <w:sz w:val="28"/>
          <w:szCs w:val="28"/>
          <w:highlight w:val="none"/>
        </w:rPr>
      </w:pPr>
    </w:p>
    <w:p>
      <w:pPr>
        <w:spacing w:line="540" w:lineRule="exact"/>
        <w:ind w:firstLine="48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第三十五条</w:t>
      </w:r>
      <w:r>
        <w:rPr>
          <w:rFonts w:hint="eastAsia" w:asciiTheme="minorEastAsia" w:hAnsiTheme="minorEastAsia"/>
          <w:b/>
          <w:bCs/>
          <w:sz w:val="28"/>
          <w:szCs w:val="28"/>
          <w:highlight w:val="none"/>
        </w:rPr>
        <w:t xml:space="preserve"> </w:t>
      </w:r>
      <w:r>
        <w:rPr>
          <w:rFonts w:hint="eastAsia" w:ascii="黑体" w:hAnsi="黑体" w:eastAsia="黑体" w:cs="黑体"/>
          <w:b w:val="0"/>
          <w:bCs w:val="0"/>
          <w:color w:val="auto"/>
          <w:sz w:val="32"/>
          <w:szCs w:val="32"/>
          <w:lang w:val="en-US" w:eastAsia="zh-CN"/>
        </w:rPr>
        <w:t>【施行时间】</w:t>
      </w:r>
      <w:bookmarkEnd w:id="11"/>
      <w:r>
        <w:rPr>
          <w:rFonts w:hint="eastAsia" w:ascii="仿宋" w:hAnsi="仿宋" w:eastAsia="仿宋" w:cs="仿宋"/>
          <w:color w:val="auto"/>
          <w:kern w:val="2"/>
          <w:sz w:val="32"/>
          <w:szCs w:val="32"/>
          <w:lang w:val="en-US" w:eastAsia="zh-CN" w:bidi="ar-SA"/>
        </w:rPr>
        <w:t xml:space="preserve"> 本条例自2025年X月X日起施行。</w:t>
      </w:r>
    </w:p>
    <w:p>
      <w:pPr>
        <w:spacing w:line="540" w:lineRule="exact"/>
        <w:ind w:firstLine="480"/>
        <w:rPr>
          <w:rFonts w:hint="eastAsia" w:ascii="仿宋" w:hAnsi="仿宋" w:eastAsia="仿宋" w:cs="仿宋"/>
          <w:color w:val="auto"/>
          <w:kern w:val="2"/>
          <w:sz w:val="32"/>
          <w:szCs w:val="32"/>
          <w:lang w:val="en-US" w:eastAsia="zh-CN" w:bidi="ar-SA"/>
        </w:rPr>
      </w:pPr>
    </w:p>
    <w:sectPr>
      <w:footerReference r:id="rId3" w:type="default"/>
      <w:pgSz w:w="11906" w:h="16838"/>
      <w:pgMar w:top="1440" w:right="1800" w:bottom="1440" w:left="1800" w:header="851" w:footer="759"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宋体t.祯畴_x0008_.">
    <w:altName w:val="宋体"/>
    <w:panose1 w:val="00000000000000000000"/>
    <w:charset w:val="86"/>
    <w:family w:val="roma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518927"/>
    </w:sdtPr>
    <w:sdtEndPr>
      <w:rPr>
        <w:rFonts w:asciiTheme="minorEastAsia" w:hAnsiTheme="minorEastAsia"/>
        <w:sz w:val="21"/>
      </w:rPr>
    </w:sdtEndPr>
    <w:sdtContent>
      <w:p>
        <w:pPr>
          <w:pStyle w:val="10"/>
          <w:jc w:val="center"/>
          <w:rPr>
            <w:rFonts w:asciiTheme="minorEastAsia" w:hAnsiTheme="minorEastAsia"/>
            <w:sz w:val="21"/>
          </w:rPr>
        </w:pPr>
        <w:r>
          <w:rPr>
            <w:rFonts w:asciiTheme="minorEastAsia" w:hAnsiTheme="minorEastAsia"/>
            <w:sz w:val="21"/>
          </w:rPr>
          <w:fldChar w:fldCharType="begin"/>
        </w:r>
        <w:r>
          <w:rPr>
            <w:rFonts w:asciiTheme="minorEastAsia" w:hAnsiTheme="minorEastAsia"/>
            <w:sz w:val="21"/>
          </w:rPr>
          <w:instrText xml:space="preserve">PAGE   \* MERGEFORMAT</w:instrText>
        </w:r>
        <w:r>
          <w:rPr>
            <w:rFonts w:asciiTheme="minorEastAsia" w:hAnsiTheme="minorEastAsia"/>
            <w:sz w:val="21"/>
          </w:rPr>
          <w:fldChar w:fldCharType="separate"/>
        </w:r>
        <w:r>
          <w:rPr>
            <w:rFonts w:asciiTheme="minorEastAsia" w:hAnsiTheme="minorEastAsia"/>
            <w:sz w:val="21"/>
            <w:lang w:val="zh-CN"/>
          </w:rPr>
          <w:t>7</w:t>
        </w:r>
        <w:r>
          <w:rPr>
            <w:rFonts w:asciiTheme="minorEastAsia" w:hAnsiTheme="minorEastAsia"/>
            <w:sz w:val="21"/>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B4ED8"/>
    <w:multiLevelType w:val="multilevel"/>
    <w:tmpl w:val="5B2B4ED8"/>
    <w:lvl w:ilvl="0" w:tentative="0">
      <w:start w:val="1"/>
      <w:numFmt w:val="chineseCounting"/>
      <w:pStyle w:val="4"/>
      <w:lvlText w:val="第%1条  "/>
      <w:lvlJc w:val="left"/>
      <w:pPr>
        <w:ind w:left="1470" w:hanging="420"/>
      </w:pPr>
      <w:rPr>
        <w:rFonts w:hint="eastAsia"/>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A9D"/>
    <w:rsid w:val="00004BC6"/>
    <w:rsid w:val="00012ADA"/>
    <w:rsid w:val="00023D4E"/>
    <w:rsid w:val="00024E55"/>
    <w:rsid w:val="00026253"/>
    <w:rsid w:val="0002772C"/>
    <w:rsid w:val="00030738"/>
    <w:rsid w:val="00030C78"/>
    <w:rsid w:val="00034ECB"/>
    <w:rsid w:val="000448CA"/>
    <w:rsid w:val="00044FEC"/>
    <w:rsid w:val="0005246E"/>
    <w:rsid w:val="00052711"/>
    <w:rsid w:val="00054561"/>
    <w:rsid w:val="000554DD"/>
    <w:rsid w:val="00060D34"/>
    <w:rsid w:val="00062A6E"/>
    <w:rsid w:val="00070EF0"/>
    <w:rsid w:val="00073786"/>
    <w:rsid w:val="00077A04"/>
    <w:rsid w:val="0008362C"/>
    <w:rsid w:val="000876CA"/>
    <w:rsid w:val="0009174E"/>
    <w:rsid w:val="000A0424"/>
    <w:rsid w:val="000A4583"/>
    <w:rsid w:val="000B10CA"/>
    <w:rsid w:val="000B15B9"/>
    <w:rsid w:val="000B59FF"/>
    <w:rsid w:val="000C0DC4"/>
    <w:rsid w:val="000C3EC1"/>
    <w:rsid w:val="000D1496"/>
    <w:rsid w:val="000D20DC"/>
    <w:rsid w:val="000D2357"/>
    <w:rsid w:val="000D4F32"/>
    <w:rsid w:val="000D6C8D"/>
    <w:rsid w:val="000D6D4B"/>
    <w:rsid w:val="000E1AB1"/>
    <w:rsid w:val="000E343C"/>
    <w:rsid w:val="000E355F"/>
    <w:rsid w:val="000E461F"/>
    <w:rsid w:val="000F38C7"/>
    <w:rsid w:val="00103C8C"/>
    <w:rsid w:val="00104CDB"/>
    <w:rsid w:val="00110DB2"/>
    <w:rsid w:val="00111BA5"/>
    <w:rsid w:val="00112D33"/>
    <w:rsid w:val="00134403"/>
    <w:rsid w:val="001356F4"/>
    <w:rsid w:val="00135A86"/>
    <w:rsid w:val="00150F5F"/>
    <w:rsid w:val="00151A8A"/>
    <w:rsid w:val="001522F3"/>
    <w:rsid w:val="00157FE9"/>
    <w:rsid w:val="00160D80"/>
    <w:rsid w:val="00165C87"/>
    <w:rsid w:val="00172A27"/>
    <w:rsid w:val="00185647"/>
    <w:rsid w:val="00187AD8"/>
    <w:rsid w:val="001935F3"/>
    <w:rsid w:val="00196422"/>
    <w:rsid w:val="001B368D"/>
    <w:rsid w:val="001B548A"/>
    <w:rsid w:val="001C08DD"/>
    <w:rsid w:val="001C0DE5"/>
    <w:rsid w:val="001C0ECD"/>
    <w:rsid w:val="001D509C"/>
    <w:rsid w:val="001E2B09"/>
    <w:rsid w:val="001F145D"/>
    <w:rsid w:val="00202586"/>
    <w:rsid w:val="002051F0"/>
    <w:rsid w:val="00212A1D"/>
    <w:rsid w:val="0021436E"/>
    <w:rsid w:val="002150A8"/>
    <w:rsid w:val="00216A0D"/>
    <w:rsid w:val="00261F34"/>
    <w:rsid w:val="00264560"/>
    <w:rsid w:val="00265534"/>
    <w:rsid w:val="00271985"/>
    <w:rsid w:val="00272E7F"/>
    <w:rsid w:val="002967FC"/>
    <w:rsid w:val="002A58CC"/>
    <w:rsid w:val="002C6257"/>
    <w:rsid w:val="002D5554"/>
    <w:rsid w:val="002E52D7"/>
    <w:rsid w:val="002F017B"/>
    <w:rsid w:val="002F04BE"/>
    <w:rsid w:val="002F35E2"/>
    <w:rsid w:val="002F4FAB"/>
    <w:rsid w:val="002F5530"/>
    <w:rsid w:val="002F5CD6"/>
    <w:rsid w:val="002F6AC0"/>
    <w:rsid w:val="002F7F98"/>
    <w:rsid w:val="00304B04"/>
    <w:rsid w:val="00310457"/>
    <w:rsid w:val="00310DA6"/>
    <w:rsid w:val="003144FF"/>
    <w:rsid w:val="0032120F"/>
    <w:rsid w:val="00321272"/>
    <w:rsid w:val="00331D1C"/>
    <w:rsid w:val="00335C64"/>
    <w:rsid w:val="003407A6"/>
    <w:rsid w:val="00347E15"/>
    <w:rsid w:val="00352AED"/>
    <w:rsid w:val="00355949"/>
    <w:rsid w:val="00356AAF"/>
    <w:rsid w:val="00362437"/>
    <w:rsid w:val="00367E96"/>
    <w:rsid w:val="00372EE7"/>
    <w:rsid w:val="0037408A"/>
    <w:rsid w:val="003805D3"/>
    <w:rsid w:val="00381C89"/>
    <w:rsid w:val="00390E94"/>
    <w:rsid w:val="00392215"/>
    <w:rsid w:val="00393A90"/>
    <w:rsid w:val="00394726"/>
    <w:rsid w:val="003A18D5"/>
    <w:rsid w:val="003A51FE"/>
    <w:rsid w:val="003A554D"/>
    <w:rsid w:val="003A5F54"/>
    <w:rsid w:val="003B1551"/>
    <w:rsid w:val="003B5D6A"/>
    <w:rsid w:val="003B69E5"/>
    <w:rsid w:val="003C43FD"/>
    <w:rsid w:val="003C5E9D"/>
    <w:rsid w:val="003D70FA"/>
    <w:rsid w:val="003E1437"/>
    <w:rsid w:val="003F2FCD"/>
    <w:rsid w:val="003F5897"/>
    <w:rsid w:val="0040108A"/>
    <w:rsid w:val="00404554"/>
    <w:rsid w:val="00405C93"/>
    <w:rsid w:val="004065F9"/>
    <w:rsid w:val="00412929"/>
    <w:rsid w:val="00416D71"/>
    <w:rsid w:val="0042266A"/>
    <w:rsid w:val="00424CDD"/>
    <w:rsid w:val="00435268"/>
    <w:rsid w:val="004357C9"/>
    <w:rsid w:val="00435EFB"/>
    <w:rsid w:val="00440EDB"/>
    <w:rsid w:val="0044105F"/>
    <w:rsid w:val="004430D7"/>
    <w:rsid w:val="004507A4"/>
    <w:rsid w:val="00450892"/>
    <w:rsid w:val="00461434"/>
    <w:rsid w:val="004633E8"/>
    <w:rsid w:val="00465EE8"/>
    <w:rsid w:val="004711C8"/>
    <w:rsid w:val="00486F28"/>
    <w:rsid w:val="004A16BB"/>
    <w:rsid w:val="004C27AA"/>
    <w:rsid w:val="004C4C5A"/>
    <w:rsid w:val="004C6A4B"/>
    <w:rsid w:val="004D3769"/>
    <w:rsid w:val="004E1417"/>
    <w:rsid w:val="004E2518"/>
    <w:rsid w:val="00511B18"/>
    <w:rsid w:val="005137E4"/>
    <w:rsid w:val="00526B66"/>
    <w:rsid w:val="0053270C"/>
    <w:rsid w:val="00533FDA"/>
    <w:rsid w:val="005344D0"/>
    <w:rsid w:val="00535C6D"/>
    <w:rsid w:val="005364DF"/>
    <w:rsid w:val="00537837"/>
    <w:rsid w:val="005420FE"/>
    <w:rsid w:val="005441C3"/>
    <w:rsid w:val="00544911"/>
    <w:rsid w:val="00547FC4"/>
    <w:rsid w:val="00550232"/>
    <w:rsid w:val="00552103"/>
    <w:rsid w:val="0056083A"/>
    <w:rsid w:val="005739D7"/>
    <w:rsid w:val="005770DE"/>
    <w:rsid w:val="00593D5C"/>
    <w:rsid w:val="005A3749"/>
    <w:rsid w:val="005A66B0"/>
    <w:rsid w:val="005B04C7"/>
    <w:rsid w:val="005B32FC"/>
    <w:rsid w:val="005B3C09"/>
    <w:rsid w:val="005B4A03"/>
    <w:rsid w:val="005B609C"/>
    <w:rsid w:val="005C7729"/>
    <w:rsid w:val="005D25D8"/>
    <w:rsid w:val="005E1C63"/>
    <w:rsid w:val="005E44C2"/>
    <w:rsid w:val="005E639C"/>
    <w:rsid w:val="005F20FB"/>
    <w:rsid w:val="005F5A3C"/>
    <w:rsid w:val="005F6E2C"/>
    <w:rsid w:val="005F7C44"/>
    <w:rsid w:val="00600F07"/>
    <w:rsid w:val="006016C8"/>
    <w:rsid w:val="00601BE1"/>
    <w:rsid w:val="006024B1"/>
    <w:rsid w:val="006113FF"/>
    <w:rsid w:val="00615C32"/>
    <w:rsid w:val="00620BDE"/>
    <w:rsid w:val="006239E7"/>
    <w:rsid w:val="006364DC"/>
    <w:rsid w:val="00640187"/>
    <w:rsid w:val="0064045D"/>
    <w:rsid w:val="00642FD5"/>
    <w:rsid w:val="00644524"/>
    <w:rsid w:val="00657AA0"/>
    <w:rsid w:val="006625F2"/>
    <w:rsid w:val="006660FD"/>
    <w:rsid w:val="0066762C"/>
    <w:rsid w:val="006702CD"/>
    <w:rsid w:val="006811D1"/>
    <w:rsid w:val="0068292E"/>
    <w:rsid w:val="006834DC"/>
    <w:rsid w:val="006838A9"/>
    <w:rsid w:val="0069075E"/>
    <w:rsid w:val="006919F3"/>
    <w:rsid w:val="00696634"/>
    <w:rsid w:val="00697D9E"/>
    <w:rsid w:val="006A0C6B"/>
    <w:rsid w:val="006A107A"/>
    <w:rsid w:val="006B1746"/>
    <w:rsid w:val="006C008F"/>
    <w:rsid w:val="006D06F3"/>
    <w:rsid w:val="006D48C8"/>
    <w:rsid w:val="006D7DBD"/>
    <w:rsid w:val="006E3E44"/>
    <w:rsid w:val="006F268A"/>
    <w:rsid w:val="006F4D59"/>
    <w:rsid w:val="006F5F96"/>
    <w:rsid w:val="006F62E5"/>
    <w:rsid w:val="00715966"/>
    <w:rsid w:val="007232EC"/>
    <w:rsid w:val="00724735"/>
    <w:rsid w:val="00730D14"/>
    <w:rsid w:val="00762D01"/>
    <w:rsid w:val="00770ABF"/>
    <w:rsid w:val="00771500"/>
    <w:rsid w:val="00771832"/>
    <w:rsid w:val="007732E1"/>
    <w:rsid w:val="0077560E"/>
    <w:rsid w:val="00775C96"/>
    <w:rsid w:val="00783939"/>
    <w:rsid w:val="007866F1"/>
    <w:rsid w:val="00791617"/>
    <w:rsid w:val="0079220E"/>
    <w:rsid w:val="007A3903"/>
    <w:rsid w:val="007A7D37"/>
    <w:rsid w:val="007A7E1B"/>
    <w:rsid w:val="007B060E"/>
    <w:rsid w:val="007B40FA"/>
    <w:rsid w:val="007B4CA6"/>
    <w:rsid w:val="007C0878"/>
    <w:rsid w:val="007C4BB5"/>
    <w:rsid w:val="007C52A8"/>
    <w:rsid w:val="007D26B2"/>
    <w:rsid w:val="007D6D70"/>
    <w:rsid w:val="007E5AA6"/>
    <w:rsid w:val="007E6990"/>
    <w:rsid w:val="007F1C41"/>
    <w:rsid w:val="007F2CFF"/>
    <w:rsid w:val="007F617D"/>
    <w:rsid w:val="00802212"/>
    <w:rsid w:val="00806974"/>
    <w:rsid w:val="00810BB1"/>
    <w:rsid w:val="0081629E"/>
    <w:rsid w:val="00817357"/>
    <w:rsid w:val="00837D6F"/>
    <w:rsid w:val="00845FAF"/>
    <w:rsid w:val="00854A22"/>
    <w:rsid w:val="008575BD"/>
    <w:rsid w:val="00857D68"/>
    <w:rsid w:val="00860AE3"/>
    <w:rsid w:val="00862B7F"/>
    <w:rsid w:val="008706C3"/>
    <w:rsid w:val="008739F0"/>
    <w:rsid w:val="00874322"/>
    <w:rsid w:val="00874B3E"/>
    <w:rsid w:val="00877259"/>
    <w:rsid w:val="0088236C"/>
    <w:rsid w:val="008848E1"/>
    <w:rsid w:val="00885DDF"/>
    <w:rsid w:val="00895E47"/>
    <w:rsid w:val="008A082D"/>
    <w:rsid w:val="008A29F9"/>
    <w:rsid w:val="008B0F88"/>
    <w:rsid w:val="008B4CBB"/>
    <w:rsid w:val="008B7AB9"/>
    <w:rsid w:val="008C19D8"/>
    <w:rsid w:val="008F22F5"/>
    <w:rsid w:val="008F7521"/>
    <w:rsid w:val="008F7531"/>
    <w:rsid w:val="00901534"/>
    <w:rsid w:val="00910C96"/>
    <w:rsid w:val="00913F6F"/>
    <w:rsid w:val="00916353"/>
    <w:rsid w:val="00923978"/>
    <w:rsid w:val="00925316"/>
    <w:rsid w:val="00925BEE"/>
    <w:rsid w:val="00950670"/>
    <w:rsid w:val="00953F6E"/>
    <w:rsid w:val="009554A7"/>
    <w:rsid w:val="00956FB6"/>
    <w:rsid w:val="009575A6"/>
    <w:rsid w:val="00962219"/>
    <w:rsid w:val="00962562"/>
    <w:rsid w:val="00962CA7"/>
    <w:rsid w:val="00965D13"/>
    <w:rsid w:val="00966E16"/>
    <w:rsid w:val="00972357"/>
    <w:rsid w:val="00982EA3"/>
    <w:rsid w:val="0098576A"/>
    <w:rsid w:val="0098794E"/>
    <w:rsid w:val="00992A5B"/>
    <w:rsid w:val="009939E2"/>
    <w:rsid w:val="00996CA7"/>
    <w:rsid w:val="009B7FE5"/>
    <w:rsid w:val="009D05A3"/>
    <w:rsid w:val="009D16D3"/>
    <w:rsid w:val="009D2CB8"/>
    <w:rsid w:val="009D5819"/>
    <w:rsid w:val="009D5DAB"/>
    <w:rsid w:val="009E730D"/>
    <w:rsid w:val="00A03305"/>
    <w:rsid w:val="00A10DA3"/>
    <w:rsid w:val="00A24827"/>
    <w:rsid w:val="00A2489C"/>
    <w:rsid w:val="00A31AA5"/>
    <w:rsid w:val="00A32AAB"/>
    <w:rsid w:val="00A34866"/>
    <w:rsid w:val="00A350B3"/>
    <w:rsid w:val="00A41C13"/>
    <w:rsid w:val="00A42498"/>
    <w:rsid w:val="00A42B42"/>
    <w:rsid w:val="00A44733"/>
    <w:rsid w:val="00A47032"/>
    <w:rsid w:val="00A626B4"/>
    <w:rsid w:val="00A75B2F"/>
    <w:rsid w:val="00A77C37"/>
    <w:rsid w:val="00A85589"/>
    <w:rsid w:val="00A93FCF"/>
    <w:rsid w:val="00A9550F"/>
    <w:rsid w:val="00AA4A7A"/>
    <w:rsid w:val="00AA7EDC"/>
    <w:rsid w:val="00AB16C6"/>
    <w:rsid w:val="00AB4CEE"/>
    <w:rsid w:val="00AB5E0D"/>
    <w:rsid w:val="00AB6706"/>
    <w:rsid w:val="00AD17EF"/>
    <w:rsid w:val="00AD1EB4"/>
    <w:rsid w:val="00AD3C51"/>
    <w:rsid w:val="00AE10FA"/>
    <w:rsid w:val="00AE2587"/>
    <w:rsid w:val="00AE6F53"/>
    <w:rsid w:val="00AE7E7B"/>
    <w:rsid w:val="00AF02EE"/>
    <w:rsid w:val="00AF5FE0"/>
    <w:rsid w:val="00B00284"/>
    <w:rsid w:val="00B04B92"/>
    <w:rsid w:val="00B076EB"/>
    <w:rsid w:val="00B07B79"/>
    <w:rsid w:val="00B12E09"/>
    <w:rsid w:val="00B27141"/>
    <w:rsid w:val="00B27482"/>
    <w:rsid w:val="00B32F41"/>
    <w:rsid w:val="00B47922"/>
    <w:rsid w:val="00B50BFB"/>
    <w:rsid w:val="00B54CD6"/>
    <w:rsid w:val="00B642FB"/>
    <w:rsid w:val="00B64EFF"/>
    <w:rsid w:val="00B65AA8"/>
    <w:rsid w:val="00B744E9"/>
    <w:rsid w:val="00B74872"/>
    <w:rsid w:val="00B86F27"/>
    <w:rsid w:val="00B97785"/>
    <w:rsid w:val="00B97BED"/>
    <w:rsid w:val="00BA120E"/>
    <w:rsid w:val="00BA2AEB"/>
    <w:rsid w:val="00BA3808"/>
    <w:rsid w:val="00BB51FA"/>
    <w:rsid w:val="00BC669F"/>
    <w:rsid w:val="00BC712D"/>
    <w:rsid w:val="00BD3D64"/>
    <w:rsid w:val="00BD73F6"/>
    <w:rsid w:val="00BE1877"/>
    <w:rsid w:val="00BE4082"/>
    <w:rsid w:val="00C21BCA"/>
    <w:rsid w:val="00C23AE4"/>
    <w:rsid w:val="00C254F2"/>
    <w:rsid w:val="00C26B87"/>
    <w:rsid w:val="00C30C74"/>
    <w:rsid w:val="00C34335"/>
    <w:rsid w:val="00C36BEF"/>
    <w:rsid w:val="00C4496F"/>
    <w:rsid w:val="00C44CC3"/>
    <w:rsid w:val="00C47BA9"/>
    <w:rsid w:val="00C61B9E"/>
    <w:rsid w:val="00C65422"/>
    <w:rsid w:val="00C71F47"/>
    <w:rsid w:val="00C7691C"/>
    <w:rsid w:val="00C8155A"/>
    <w:rsid w:val="00C852C5"/>
    <w:rsid w:val="00C85742"/>
    <w:rsid w:val="00C9117A"/>
    <w:rsid w:val="00C91990"/>
    <w:rsid w:val="00C93AB8"/>
    <w:rsid w:val="00C94DC6"/>
    <w:rsid w:val="00CA4068"/>
    <w:rsid w:val="00CA6D74"/>
    <w:rsid w:val="00CA7927"/>
    <w:rsid w:val="00CB0356"/>
    <w:rsid w:val="00CB1FDD"/>
    <w:rsid w:val="00CC34FB"/>
    <w:rsid w:val="00CC59D1"/>
    <w:rsid w:val="00CE14DE"/>
    <w:rsid w:val="00CE1D9F"/>
    <w:rsid w:val="00CE4873"/>
    <w:rsid w:val="00CF0E1E"/>
    <w:rsid w:val="00CF3406"/>
    <w:rsid w:val="00CF624B"/>
    <w:rsid w:val="00D01EB8"/>
    <w:rsid w:val="00D07BE7"/>
    <w:rsid w:val="00D11A4F"/>
    <w:rsid w:val="00D17FB5"/>
    <w:rsid w:val="00D279FD"/>
    <w:rsid w:val="00D27ECA"/>
    <w:rsid w:val="00D30F86"/>
    <w:rsid w:val="00D31091"/>
    <w:rsid w:val="00D419BE"/>
    <w:rsid w:val="00D47E8E"/>
    <w:rsid w:val="00D50405"/>
    <w:rsid w:val="00D53636"/>
    <w:rsid w:val="00D53FA4"/>
    <w:rsid w:val="00D736E3"/>
    <w:rsid w:val="00D81696"/>
    <w:rsid w:val="00D82E3B"/>
    <w:rsid w:val="00D85EC0"/>
    <w:rsid w:val="00D87728"/>
    <w:rsid w:val="00D92A71"/>
    <w:rsid w:val="00D933E5"/>
    <w:rsid w:val="00D949EA"/>
    <w:rsid w:val="00DD148B"/>
    <w:rsid w:val="00DD14D7"/>
    <w:rsid w:val="00DD1FE7"/>
    <w:rsid w:val="00DD53DA"/>
    <w:rsid w:val="00DD59AC"/>
    <w:rsid w:val="00DD5AAF"/>
    <w:rsid w:val="00DE4E58"/>
    <w:rsid w:val="00DF399B"/>
    <w:rsid w:val="00DF771E"/>
    <w:rsid w:val="00E01859"/>
    <w:rsid w:val="00E02860"/>
    <w:rsid w:val="00E05751"/>
    <w:rsid w:val="00E1202B"/>
    <w:rsid w:val="00E16FE2"/>
    <w:rsid w:val="00E26D20"/>
    <w:rsid w:val="00E351B8"/>
    <w:rsid w:val="00E41D6D"/>
    <w:rsid w:val="00E448D2"/>
    <w:rsid w:val="00E4576A"/>
    <w:rsid w:val="00E515F3"/>
    <w:rsid w:val="00E57575"/>
    <w:rsid w:val="00E63F9E"/>
    <w:rsid w:val="00E6497A"/>
    <w:rsid w:val="00E807C2"/>
    <w:rsid w:val="00E90247"/>
    <w:rsid w:val="00EA1451"/>
    <w:rsid w:val="00EA2F8D"/>
    <w:rsid w:val="00EA6BA4"/>
    <w:rsid w:val="00EB2443"/>
    <w:rsid w:val="00EB698E"/>
    <w:rsid w:val="00EC09F9"/>
    <w:rsid w:val="00EC5CE4"/>
    <w:rsid w:val="00ED080A"/>
    <w:rsid w:val="00ED563C"/>
    <w:rsid w:val="00ED6201"/>
    <w:rsid w:val="00ED6AA5"/>
    <w:rsid w:val="00ED798B"/>
    <w:rsid w:val="00EE7843"/>
    <w:rsid w:val="00F02A43"/>
    <w:rsid w:val="00F03BB4"/>
    <w:rsid w:val="00F10843"/>
    <w:rsid w:val="00F12DB1"/>
    <w:rsid w:val="00F14FE8"/>
    <w:rsid w:val="00F156AE"/>
    <w:rsid w:val="00F25DAC"/>
    <w:rsid w:val="00F277B4"/>
    <w:rsid w:val="00F3197F"/>
    <w:rsid w:val="00F344B6"/>
    <w:rsid w:val="00F344D3"/>
    <w:rsid w:val="00F42C54"/>
    <w:rsid w:val="00F46251"/>
    <w:rsid w:val="00F53005"/>
    <w:rsid w:val="00F648D3"/>
    <w:rsid w:val="00F65506"/>
    <w:rsid w:val="00F73437"/>
    <w:rsid w:val="00F74E4D"/>
    <w:rsid w:val="00F77B5F"/>
    <w:rsid w:val="00F82F63"/>
    <w:rsid w:val="00F864DE"/>
    <w:rsid w:val="00F9190E"/>
    <w:rsid w:val="00F91A07"/>
    <w:rsid w:val="00F933EC"/>
    <w:rsid w:val="00FA54AE"/>
    <w:rsid w:val="00FB17DC"/>
    <w:rsid w:val="00FD05FC"/>
    <w:rsid w:val="00FD069C"/>
    <w:rsid w:val="00FD1E23"/>
    <w:rsid w:val="00FD6227"/>
    <w:rsid w:val="00FD6618"/>
    <w:rsid w:val="00FE54C8"/>
    <w:rsid w:val="00FF0319"/>
    <w:rsid w:val="00FF60F6"/>
    <w:rsid w:val="00FF69DA"/>
    <w:rsid w:val="011E3D92"/>
    <w:rsid w:val="0128371F"/>
    <w:rsid w:val="01BB70C1"/>
    <w:rsid w:val="02071C10"/>
    <w:rsid w:val="02185F69"/>
    <w:rsid w:val="023C68AE"/>
    <w:rsid w:val="02BE7B64"/>
    <w:rsid w:val="034A70C0"/>
    <w:rsid w:val="037B2D79"/>
    <w:rsid w:val="03CB7855"/>
    <w:rsid w:val="03DE3ABE"/>
    <w:rsid w:val="042A1484"/>
    <w:rsid w:val="044E0E32"/>
    <w:rsid w:val="04646232"/>
    <w:rsid w:val="046A6FF4"/>
    <w:rsid w:val="04FE4606"/>
    <w:rsid w:val="050B0AD1"/>
    <w:rsid w:val="0559183C"/>
    <w:rsid w:val="05B5495E"/>
    <w:rsid w:val="06020033"/>
    <w:rsid w:val="06122DBA"/>
    <w:rsid w:val="06633D51"/>
    <w:rsid w:val="0667757E"/>
    <w:rsid w:val="06950A83"/>
    <w:rsid w:val="06B50CF4"/>
    <w:rsid w:val="072B3844"/>
    <w:rsid w:val="074D56DF"/>
    <w:rsid w:val="079460E4"/>
    <w:rsid w:val="07A827D9"/>
    <w:rsid w:val="07A86AAB"/>
    <w:rsid w:val="07AF7E3A"/>
    <w:rsid w:val="0822087E"/>
    <w:rsid w:val="086A1FB2"/>
    <w:rsid w:val="0878647D"/>
    <w:rsid w:val="088355C9"/>
    <w:rsid w:val="089D0BB5"/>
    <w:rsid w:val="08AD6E2A"/>
    <w:rsid w:val="08BD3FF3"/>
    <w:rsid w:val="08D660F4"/>
    <w:rsid w:val="08E11830"/>
    <w:rsid w:val="093525C0"/>
    <w:rsid w:val="09BE25B6"/>
    <w:rsid w:val="0AA5069D"/>
    <w:rsid w:val="0AC57974"/>
    <w:rsid w:val="0B3E2312"/>
    <w:rsid w:val="0B7A6325"/>
    <w:rsid w:val="0BAF1E13"/>
    <w:rsid w:val="0BC1198B"/>
    <w:rsid w:val="0BD31C1D"/>
    <w:rsid w:val="0C851169"/>
    <w:rsid w:val="0CD2309E"/>
    <w:rsid w:val="0CF444D0"/>
    <w:rsid w:val="0D1C41C8"/>
    <w:rsid w:val="0DA57788"/>
    <w:rsid w:val="0DAF0017"/>
    <w:rsid w:val="0DF32C8E"/>
    <w:rsid w:val="0E2B3022"/>
    <w:rsid w:val="0E556CEA"/>
    <w:rsid w:val="0E5B4877"/>
    <w:rsid w:val="0E5D11AE"/>
    <w:rsid w:val="0E997B62"/>
    <w:rsid w:val="0EA57BF2"/>
    <w:rsid w:val="0EE26A8E"/>
    <w:rsid w:val="0FA8499C"/>
    <w:rsid w:val="0FBD0C1A"/>
    <w:rsid w:val="0FD2622A"/>
    <w:rsid w:val="0FDF19BB"/>
    <w:rsid w:val="0FFF54F5"/>
    <w:rsid w:val="101D06BD"/>
    <w:rsid w:val="10561E25"/>
    <w:rsid w:val="105B587E"/>
    <w:rsid w:val="109776BD"/>
    <w:rsid w:val="10B8694E"/>
    <w:rsid w:val="10BC1D2F"/>
    <w:rsid w:val="110F631E"/>
    <w:rsid w:val="1115204D"/>
    <w:rsid w:val="11915D35"/>
    <w:rsid w:val="11D83B70"/>
    <w:rsid w:val="126952DE"/>
    <w:rsid w:val="1279351E"/>
    <w:rsid w:val="12796711"/>
    <w:rsid w:val="127F48AC"/>
    <w:rsid w:val="12F33018"/>
    <w:rsid w:val="136B14CA"/>
    <w:rsid w:val="13D80718"/>
    <w:rsid w:val="13F36A17"/>
    <w:rsid w:val="14285D34"/>
    <w:rsid w:val="147F076F"/>
    <w:rsid w:val="150F5141"/>
    <w:rsid w:val="152A0AFF"/>
    <w:rsid w:val="15732889"/>
    <w:rsid w:val="159E4912"/>
    <w:rsid w:val="15A85EC8"/>
    <w:rsid w:val="15B03106"/>
    <w:rsid w:val="1617271E"/>
    <w:rsid w:val="16544BF0"/>
    <w:rsid w:val="166457B8"/>
    <w:rsid w:val="1665150B"/>
    <w:rsid w:val="16663DB9"/>
    <w:rsid w:val="16FF7D6A"/>
    <w:rsid w:val="17635116"/>
    <w:rsid w:val="179E3A27"/>
    <w:rsid w:val="18025D64"/>
    <w:rsid w:val="18110079"/>
    <w:rsid w:val="186618CA"/>
    <w:rsid w:val="194D6651"/>
    <w:rsid w:val="19803FCC"/>
    <w:rsid w:val="19847B4F"/>
    <w:rsid w:val="19B14A16"/>
    <w:rsid w:val="19BB6679"/>
    <w:rsid w:val="19EB5A7A"/>
    <w:rsid w:val="19FD2A93"/>
    <w:rsid w:val="1A9C247D"/>
    <w:rsid w:val="1AD422CF"/>
    <w:rsid w:val="1B4D2B1B"/>
    <w:rsid w:val="1B7F1479"/>
    <w:rsid w:val="1B8F2416"/>
    <w:rsid w:val="1BC83B7D"/>
    <w:rsid w:val="1BF61F9E"/>
    <w:rsid w:val="1C681060"/>
    <w:rsid w:val="1CB55966"/>
    <w:rsid w:val="1D4C2DE7"/>
    <w:rsid w:val="1D802E3E"/>
    <w:rsid w:val="1D8D38E9"/>
    <w:rsid w:val="1E1B5826"/>
    <w:rsid w:val="1FE015B7"/>
    <w:rsid w:val="20085BFB"/>
    <w:rsid w:val="200E4276"/>
    <w:rsid w:val="20920289"/>
    <w:rsid w:val="20B31A0B"/>
    <w:rsid w:val="20BE2751"/>
    <w:rsid w:val="20C02409"/>
    <w:rsid w:val="21205961"/>
    <w:rsid w:val="212D0FF1"/>
    <w:rsid w:val="21823A71"/>
    <w:rsid w:val="218916D5"/>
    <w:rsid w:val="21937A2C"/>
    <w:rsid w:val="21D64999"/>
    <w:rsid w:val="21DD39BC"/>
    <w:rsid w:val="21EB605B"/>
    <w:rsid w:val="221716E0"/>
    <w:rsid w:val="226641AB"/>
    <w:rsid w:val="22D402FC"/>
    <w:rsid w:val="22EE5862"/>
    <w:rsid w:val="22F3227F"/>
    <w:rsid w:val="23190433"/>
    <w:rsid w:val="23FC3FAF"/>
    <w:rsid w:val="23FF2508"/>
    <w:rsid w:val="24392B0D"/>
    <w:rsid w:val="24396C2A"/>
    <w:rsid w:val="247E4070"/>
    <w:rsid w:val="24BB13CA"/>
    <w:rsid w:val="24D23785"/>
    <w:rsid w:val="24D26ABE"/>
    <w:rsid w:val="2519649B"/>
    <w:rsid w:val="2543703C"/>
    <w:rsid w:val="26123616"/>
    <w:rsid w:val="2657371E"/>
    <w:rsid w:val="26E81FCB"/>
    <w:rsid w:val="270D2743"/>
    <w:rsid w:val="27C02F81"/>
    <w:rsid w:val="27DD40F7"/>
    <w:rsid w:val="282858D7"/>
    <w:rsid w:val="283A50A6"/>
    <w:rsid w:val="28CA730C"/>
    <w:rsid w:val="28FD622F"/>
    <w:rsid w:val="29253660"/>
    <w:rsid w:val="29310F41"/>
    <w:rsid w:val="295B1778"/>
    <w:rsid w:val="2987578F"/>
    <w:rsid w:val="29FE6130"/>
    <w:rsid w:val="2A1B2EC2"/>
    <w:rsid w:val="2A282819"/>
    <w:rsid w:val="2A9B4E68"/>
    <w:rsid w:val="2ACA4C9F"/>
    <w:rsid w:val="2AD7634D"/>
    <w:rsid w:val="2AF02336"/>
    <w:rsid w:val="2B6B0A52"/>
    <w:rsid w:val="2B7B1C5D"/>
    <w:rsid w:val="2B8136A8"/>
    <w:rsid w:val="2B8D4BB5"/>
    <w:rsid w:val="2BAA227E"/>
    <w:rsid w:val="2BAC12EA"/>
    <w:rsid w:val="2BC03B2F"/>
    <w:rsid w:val="2C1B5FE5"/>
    <w:rsid w:val="2C484A57"/>
    <w:rsid w:val="2C611E29"/>
    <w:rsid w:val="2C7C339B"/>
    <w:rsid w:val="2C9D7400"/>
    <w:rsid w:val="2CCA5C51"/>
    <w:rsid w:val="2CE6020F"/>
    <w:rsid w:val="2D3F33CC"/>
    <w:rsid w:val="2D50213E"/>
    <w:rsid w:val="2D6B5229"/>
    <w:rsid w:val="2D873AE2"/>
    <w:rsid w:val="2E501863"/>
    <w:rsid w:val="2E9848D4"/>
    <w:rsid w:val="2EE100C4"/>
    <w:rsid w:val="2EEA688C"/>
    <w:rsid w:val="2EFD02A1"/>
    <w:rsid w:val="2EFE6E2D"/>
    <w:rsid w:val="2F45080D"/>
    <w:rsid w:val="2F8A149F"/>
    <w:rsid w:val="2FB120F1"/>
    <w:rsid w:val="2FC22635"/>
    <w:rsid w:val="2FD656B4"/>
    <w:rsid w:val="301601A6"/>
    <w:rsid w:val="303074BA"/>
    <w:rsid w:val="305B02AF"/>
    <w:rsid w:val="30A66602"/>
    <w:rsid w:val="30B266A3"/>
    <w:rsid w:val="30C61BCC"/>
    <w:rsid w:val="30D54C08"/>
    <w:rsid w:val="30EB0CC7"/>
    <w:rsid w:val="313835BB"/>
    <w:rsid w:val="32E41D79"/>
    <w:rsid w:val="33805899"/>
    <w:rsid w:val="33E0129A"/>
    <w:rsid w:val="33EA7980"/>
    <w:rsid w:val="34964032"/>
    <w:rsid w:val="34D370BE"/>
    <w:rsid w:val="34D40C48"/>
    <w:rsid w:val="34DF5A9C"/>
    <w:rsid w:val="34E0479D"/>
    <w:rsid w:val="34E42621"/>
    <w:rsid w:val="352B0250"/>
    <w:rsid w:val="353F064B"/>
    <w:rsid w:val="35790CBF"/>
    <w:rsid w:val="35F03FFB"/>
    <w:rsid w:val="35F40295"/>
    <w:rsid w:val="36017197"/>
    <w:rsid w:val="36740695"/>
    <w:rsid w:val="36A4475E"/>
    <w:rsid w:val="36D27B9D"/>
    <w:rsid w:val="37160071"/>
    <w:rsid w:val="374D2CA0"/>
    <w:rsid w:val="37AF21A4"/>
    <w:rsid w:val="37E1553E"/>
    <w:rsid w:val="37F3412C"/>
    <w:rsid w:val="380130EF"/>
    <w:rsid w:val="38533B52"/>
    <w:rsid w:val="38A5656B"/>
    <w:rsid w:val="392555E2"/>
    <w:rsid w:val="395C0D75"/>
    <w:rsid w:val="399D36E6"/>
    <w:rsid w:val="3A105C66"/>
    <w:rsid w:val="3A3E2EB0"/>
    <w:rsid w:val="3A856654"/>
    <w:rsid w:val="3A9D597A"/>
    <w:rsid w:val="3AB962FE"/>
    <w:rsid w:val="3B887511"/>
    <w:rsid w:val="3BC72D7F"/>
    <w:rsid w:val="3C194B07"/>
    <w:rsid w:val="3C3925FD"/>
    <w:rsid w:val="3C6F3118"/>
    <w:rsid w:val="3D127F47"/>
    <w:rsid w:val="3D2842C5"/>
    <w:rsid w:val="3D3F3BD5"/>
    <w:rsid w:val="3D9151A6"/>
    <w:rsid w:val="3D972FD6"/>
    <w:rsid w:val="3DF07753"/>
    <w:rsid w:val="3E1F347D"/>
    <w:rsid w:val="3E3611B2"/>
    <w:rsid w:val="3E742B50"/>
    <w:rsid w:val="3E960CD4"/>
    <w:rsid w:val="3EE852E2"/>
    <w:rsid w:val="3EFE3543"/>
    <w:rsid w:val="3F3C6277"/>
    <w:rsid w:val="3F715648"/>
    <w:rsid w:val="3F8E1CB0"/>
    <w:rsid w:val="3FC11063"/>
    <w:rsid w:val="3FDC4250"/>
    <w:rsid w:val="3FE21C3D"/>
    <w:rsid w:val="4012098A"/>
    <w:rsid w:val="40590481"/>
    <w:rsid w:val="40825E8B"/>
    <w:rsid w:val="40A33789"/>
    <w:rsid w:val="40A807CF"/>
    <w:rsid w:val="40E85247"/>
    <w:rsid w:val="410159B4"/>
    <w:rsid w:val="417335D6"/>
    <w:rsid w:val="41872CB2"/>
    <w:rsid w:val="41A74AC2"/>
    <w:rsid w:val="41C54179"/>
    <w:rsid w:val="423303BB"/>
    <w:rsid w:val="428A412D"/>
    <w:rsid w:val="429A560E"/>
    <w:rsid w:val="42D146F5"/>
    <w:rsid w:val="42DE08E7"/>
    <w:rsid w:val="42ED4D97"/>
    <w:rsid w:val="42FC4CD7"/>
    <w:rsid w:val="43115756"/>
    <w:rsid w:val="43441077"/>
    <w:rsid w:val="4347354A"/>
    <w:rsid w:val="436B1659"/>
    <w:rsid w:val="43926BC3"/>
    <w:rsid w:val="43A11CD9"/>
    <w:rsid w:val="43C45D39"/>
    <w:rsid w:val="440308B6"/>
    <w:rsid w:val="447119F7"/>
    <w:rsid w:val="44BD5248"/>
    <w:rsid w:val="45045946"/>
    <w:rsid w:val="455410FD"/>
    <w:rsid w:val="45BB7AB5"/>
    <w:rsid w:val="45C63BCE"/>
    <w:rsid w:val="462A6302"/>
    <w:rsid w:val="4664116E"/>
    <w:rsid w:val="46873427"/>
    <w:rsid w:val="469D2F78"/>
    <w:rsid w:val="46DA2CAF"/>
    <w:rsid w:val="46F25071"/>
    <w:rsid w:val="474433F3"/>
    <w:rsid w:val="47573A1D"/>
    <w:rsid w:val="478B1022"/>
    <w:rsid w:val="478F0708"/>
    <w:rsid w:val="48115D81"/>
    <w:rsid w:val="481E3C44"/>
    <w:rsid w:val="48E63785"/>
    <w:rsid w:val="49425710"/>
    <w:rsid w:val="494678B9"/>
    <w:rsid w:val="4A226EA1"/>
    <w:rsid w:val="4A6B5384"/>
    <w:rsid w:val="4A973DC2"/>
    <w:rsid w:val="4ACF7595"/>
    <w:rsid w:val="4AD508BB"/>
    <w:rsid w:val="4AD93E52"/>
    <w:rsid w:val="4B2838EC"/>
    <w:rsid w:val="4B451F02"/>
    <w:rsid w:val="4B871B00"/>
    <w:rsid w:val="4B915EF9"/>
    <w:rsid w:val="4BB207A6"/>
    <w:rsid w:val="4BEB2CBE"/>
    <w:rsid w:val="4BF80EA2"/>
    <w:rsid w:val="4BFA2D65"/>
    <w:rsid w:val="4C2A2BEC"/>
    <w:rsid w:val="4C30083F"/>
    <w:rsid w:val="4C6B30E0"/>
    <w:rsid w:val="4C7A08E3"/>
    <w:rsid w:val="4C957D94"/>
    <w:rsid w:val="4CC74F06"/>
    <w:rsid w:val="4D626118"/>
    <w:rsid w:val="4D6728D3"/>
    <w:rsid w:val="4D7D041B"/>
    <w:rsid w:val="4D8A359A"/>
    <w:rsid w:val="4D904DE9"/>
    <w:rsid w:val="4DE90850"/>
    <w:rsid w:val="4DF954DB"/>
    <w:rsid w:val="4E0F475B"/>
    <w:rsid w:val="4E14074C"/>
    <w:rsid w:val="4E3F0272"/>
    <w:rsid w:val="4E87050B"/>
    <w:rsid w:val="4E9C0D2B"/>
    <w:rsid w:val="4EAE63DD"/>
    <w:rsid w:val="4F0F5CFB"/>
    <w:rsid w:val="4F497705"/>
    <w:rsid w:val="4F4B6C3A"/>
    <w:rsid w:val="4F7353C4"/>
    <w:rsid w:val="4F97468C"/>
    <w:rsid w:val="50246A71"/>
    <w:rsid w:val="503051D9"/>
    <w:rsid w:val="50AB003F"/>
    <w:rsid w:val="50CE21DF"/>
    <w:rsid w:val="50DE0415"/>
    <w:rsid w:val="50F14B6C"/>
    <w:rsid w:val="51080A35"/>
    <w:rsid w:val="518C60C3"/>
    <w:rsid w:val="519222A8"/>
    <w:rsid w:val="51FA093B"/>
    <w:rsid w:val="52287A68"/>
    <w:rsid w:val="5257047F"/>
    <w:rsid w:val="52602879"/>
    <w:rsid w:val="52693D6F"/>
    <w:rsid w:val="52A308F2"/>
    <w:rsid w:val="52C8312A"/>
    <w:rsid w:val="52EA63B9"/>
    <w:rsid w:val="53321AE1"/>
    <w:rsid w:val="53525270"/>
    <w:rsid w:val="53602F11"/>
    <w:rsid w:val="53763F22"/>
    <w:rsid w:val="539D6365"/>
    <w:rsid w:val="5406215C"/>
    <w:rsid w:val="54065511"/>
    <w:rsid w:val="542F5D23"/>
    <w:rsid w:val="545F6F59"/>
    <w:rsid w:val="5472155C"/>
    <w:rsid w:val="548F4A30"/>
    <w:rsid w:val="549E128A"/>
    <w:rsid w:val="54A42294"/>
    <w:rsid w:val="54CB6F02"/>
    <w:rsid w:val="54CC52F7"/>
    <w:rsid w:val="5502618F"/>
    <w:rsid w:val="5520724E"/>
    <w:rsid w:val="55431F87"/>
    <w:rsid w:val="55800AD3"/>
    <w:rsid w:val="559D1A63"/>
    <w:rsid w:val="55A54D92"/>
    <w:rsid w:val="55E87D06"/>
    <w:rsid w:val="56290384"/>
    <w:rsid w:val="563D3CE1"/>
    <w:rsid w:val="56754D93"/>
    <w:rsid w:val="56AB2DA2"/>
    <w:rsid w:val="56AE4E93"/>
    <w:rsid w:val="56AF4658"/>
    <w:rsid w:val="56B04601"/>
    <w:rsid w:val="57071F0F"/>
    <w:rsid w:val="573A2E9A"/>
    <w:rsid w:val="582157B7"/>
    <w:rsid w:val="58226674"/>
    <w:rsid w:val="582B03E3"/>
    <w:rsid w:val="583C78E6"/>
    <w:rsid w:val="585A2A77"/>
    <w:rsid w:val="594F2F57"/>
    <w:rsid w:val="59996071"/>
    <w:rsid w:val="59C401D9"/>
    <w:rsid w:val="59E45255"/>
    <w:rsid w:val="5A074890"/>
    <w:rsid w:val="5A0E2DBB"/>
    <w:rsid w:val="5A360296"/>
    <w:rsid w:val="5A5500F9"/>
    <w:rsid w:val="5A5E73CC"/>
    <w:rsid w:val="5A932270"/>
    <w:rsid w:val="5AA041C3"/>
    <w:rsid w:val="5ABD72ED"/>
    <w:rsid w:val="5AC56EFD"/>
    <w:rsid w:val="5AD54F9F"/>
    <w:rsid w:val="5B3B04B3"/>
    <w:rsid w:val="5BA86381"/>
    <w:rsid w:val="5BCF0D09"/>
    <w:rsid w:val="5CAD1BA5"/>
    <w:rsid w:val="5CB70498"/>
    <w:rsid w:val="5CFA40B9"/>
    <w:rsid w:val="5CFF79EA"/>
    <w:rsid w:val="5D245C7A"/>
    <w:rsid w:val="5D251A8A"/>
    <w:rsid w:val="5D413205"/>
    <w:rsid w:val="5D700646"/>
    <w:rsid w:val="5D840987"/>
    <w:rsid w:val="5D9A24BA"/>
    <w:rsid w:val="5DAC2AB4"/>
    <w:rsid w:val="5DB744C7"/>
    <w:rsid w:val="5DF003D9"/>
    <w:rsid w:val="5DF43025"/>
    <w:rsid w:val="5E391380"/>
    <w:rsid w:val="5E3B4B1A"/>
    <w:rsid w:val="5F376409"/>
    <w:rsid w:val="5FA9085D"/>
    <w:rsid w:val="5FBC34A0"/>
    <w:rsid w:val="5FE8639C"/>
    <w:rsid w:val="603736E7"/>
    <w:rsid w:val="604D3BB4"/>
    <w:rsid w:val="606F2E37"/>
    <w:rsid w:val="60BA0556"/>
    <w:rsid w:val="60C915DB"/>
    <w:rsid w:val="60FA086E"/>
    <w:rsid w:val="60FC24AE"/>
    <w:rsid w:val="612753A7"/>
    <w:rsid w:val="6142679E"/>
    <w:rsid w:val="615A7995"/>
    <w:rsid w:val="616700B9"/>
    <w:rsid w:val="61953B69"/>
    <w:rsid w:val="622D2158"/>
    <w:rsid w:val="623E51B7"/>
    <w:rsid w:val="6262109C"/>
    <w:rsid w:val="627C4CA8"/>
    <w:rsid w:val="62BF231D"/>
    <w:rsid w:val="62D84CC4"/>
    <w:rsid w:val="630D0C67"/>
    <w:rsid w:val="637B1AF3"/>
    <w:rsid w:val="63BD3EBA"/>
    <w:rsid w:val="63FFC438"/>
    <w:rsid w:val="64151F48"/>
    <w:rsid w:val="648229B0"/>
    <w:rsid w:val="64C51278"/>
    <w:rsid w:val="65276E2D"/>
    <w:rsid w:val="653D1966"/>
    <w:rsid w:val="655F2D3E"/>
    <w:rsid w:val="65625231"/>
    <w:rsid w:val="656960A7"/>
    <w:rsid w:val="657B402C"/>
    <w:rsid w:val="65803B22"/>
    <w:rsid w:val="65AC34AF"/>
    <w:rsid w:val="65BD2897"/>
    <w:rsid w:val="65C40B8E"/>
    <w:rsid w:val="665A1E94"/>
    <w:rsid w:val="669058B5"/>
    <w:rsid w:val="66A60D72"/>
    <w:rsid w:val="670047E9"/>
    <w:rsid w:val="673B7F17"/>
    <w:rsid w:val="674A7F4A"/>
    <w:rsid w:val="6762505A"/>
    <w:rsid w:val="677E4B56"/>
    <w:rsid w:val="67FB70A1"/>
    <w:rsid w:val="680E73DA"/>
    <w:rsid w:val="68482078"/>
    <w:rsid w:val="686303AD"/>
    <w:rsid w:val="686F638F"/>
    <w:rsid w:val="68B735CD"/>
    <w:rsid w:val="69631ABB"/>
    <w:rsid w:val="69652B59"/>
    <w:rsid w:val="69766FE4"/>
    <w:rsid w:val="698931BC"/>
    <w:rsid w:val="699523E3"/>
    <w:rsid w:val="69F57F3F"/>
    <w:rsid w:val="6A4610AD"/>
    <w:rsid w:val="6A4B66C3"/>
    <w:rsid w:val="6A685CFA"/>
    <w:rsid w:val="6AF40B09"/>
    <w:rsid w:val="6B182361"/>
    <w:rsid w:val="6BC3580D"/>
    <w:rsid w:val="6C3872DB"/>
    <w:rsid w:val="6C7A4DBC"/>
    <w:rsid w:val="6CA1081C"/>
    <w:rsid w:val="6CC87B57"/>
    <w:rsid w:val="6CD902E6"/>
    <w:rsid w:val="6CDA5ADC"/>
    <w:rsid w:val="6CF145C1"/>
    <w:rsid w:val="6D162FB8"/>
    <w:rsid w:val="6D4805E2"/>
    <w:rsid w:val="6D960E40"/>
    <w:rsid w:val="6DB6056D"/>
    <w:rsid w:val="6DEC1F25"/>
    <w:rsid w:val="6DEE52E8"/>
    <w:rsid w:val="6E1B37C2"/>
    <w:rsid w:val="6E2F2B8B"/>
    <w:rsid w:val="6E5C4185"/>
    <w:rsid w:val="6F7C10CD"/>
    <w:rsid w:val="6FCC44B4"/>
    <w:rsid w:val="6FD11419"/>
    <w:rsid w:val="705D2CAC"/>
    <w:rsid w:val="707B424B"/>
    <w:rsid w:val="709D1E67"/>
    <w:rsid w:val="713E5112"/>
    <w:rsid w:val="71551BD5"/>
    <w:rsid w:val="71E3548D"/>
    <w:rsid w:val="7298348C"/>
    <w:rsid w:val="72F32A96"/>
    <w:rsid w:val="735D019E"/>
    <w:rsid w:val="736E47C3"/>
    <w:rsid w:val="73D6742F"/>
    <w:rsid w:val="73DF7111"/>
    <w:rsid w:val="74476E67"/>
    <w:rsid w:val="746A0B59"/>
    <w:rsid w:val="747363DA"/>
    <w:rsid w:val="74786307"/>
    <w:rsid w:val="748C0004"/>
    <w:rsid w:val="74B53B11"/>
    <w:rsid w:val="74C4154C"/>
    <w:rsid w:val="74D40784"/>
    <w:rsid w:val="75160CCF"/>
    <w:rsid w:val="75937A62"/>
    <w:rsid w:val="75C34052"/>
    <w:rsid w:val="75FB669B"/>
    <w:rsid w:val="75FB71EF"/>
    <w:rsid w:val="76515048"/>
    <w:rsid w:val="76517B32"/>
    <w:rsid w:val="767A7701"/>
    <w:rsid w:val="768C30A5"/>
    <w:rsid w:val="76A5728B"/>
    <w:rsid w:val="76C43A85"/>
    <w:rsid w:val="774F1423"/>
    <w:rsid w:val="779B1384"/>
    <w:rsid w:val="77C94E37"/>
    <w:rsid w:val="77D0645A"/>
    <w:rsid w:val="77E82193"/>
    <w:rsid w:val="77F04406"/>
    <w:rsid w:val="78054375"/>
    <w:rsid w:val="788B5032"/>
    <w:rsid w:val="789979D1"/>
    <w:rsid w:val="7916039D"/>
    <w:rsid w:val="79417EA5"/>
    <w:rsid w:val="799B0ED4"/>
    <w:rsid w:val="79A4008E"/>
    <w:rsid w:val="7A0F0B28"/>
    <w:rsid w:val="7A0F31A3"/>
    <w:rsid w:val="7A4B7540"/>
    <w:rsid w:val="7A595AB5"/>
    <w:rsid w:val="7A616624"/>
    <w:rsid w:val="7A8F3605"/>
    <w:rsid w:val="7B0B0A4E"/>
    <w:rsid w:val="7B0C77A9"/>
    <w:rsid w:val="7B1A39DD"/>
    <w:rsid w:val="7BEB1AB4"/>
    <w:rsid w:val="7C1F7199"/>
    <w:rsid w:val="7C495E4A"/>
    <w:rsid w:val="7CE61AF6"/>
    <w:rsid w:val="7D250787"/>
    <w:rsid w:val="7D2D7CED"/>
    <w:rsid w:val="7D380D29"/>
    <w:rsid w:val="7D4C20DE"/>
    <w:rsid w:val="7D935323"/>
    <w:rsid w:val="7E19275C"/>
    <w:rsid w:val="7E4E61F3"/>
    <w:rsid w:val="7EBE5373"/>
    <w:rsid w:val="7EC11396"/>
    <w:rsid w:val="7EE051D4"/>
    <w:rsid w:val="7EF173E1"/>
    <w:rsid w:val="7F233866"/>
    <w:rsid w:val="7F2B28F9"/>
    <w:rsid w:val="7F3E1890"/>
    <w:rsid w:val="7F6000C3"/>
    <w:rsid w:val="7FA51F7A"/>
    <w:rsid w:val="7FA64981"/>
    <w:rsid w:val="7FCE14D1"/>
    <w:rsid w:val="7FF93906"/>
    <w:rsid w:val="FAEF84BD"/>
    <w:rsid w:val="FFDF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line="360" w:lineRule="auto"/>
      <w:jc w:val="center"/>
      <w:outlineLvl w:val="0"/>
    </w:pPr>
    <w:rPr>
      <w:rFonts w:ascii="黑体" w:hAnsi="黑体" w:eastAsia="黑体"/>
      <w:b/>
      <w:bCs/>
      <w:kern w:val="44"/>
      <w:sz w:val="32"/>
      <w:szCs w:val="32"/>
    </w:rPr>
  </w:style>
  <w:style w:type="paragraph" w:styleId="4">
    <w:name w:val="heading 2"/>
    <w:basedOn w:val="1"/>
    <w:next w:val="1"/>
    <w:link w:val="23"/>
    <w:unhideWhenUsed/>
    <w:qFormat/>
    <w:uiPriority w:val="9"/>
    <w:pPr>
      <w:keepNext/>
      <w:keepLines/>
      <w:numPr>
        <w:ilvl w:val="0"/>
        <w:numId w:val="1"/>
      </w:numPr>
      <w:spacing w:line="360" w:lineRule="auto"/>
      <w:outlineLvl w:val="1"/>
    </w:pPr>
    <w:rPr>
      <w:rFonts w:eastAsia="宋体" w:asciiTheme="majorHAnsi" w:hAnsiTheme="majorHAnsi" w:cstheme="majorBidi"/>
      <w:b/>
      <w:bCs/>
      <w:sz w:val="28"/>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t.祯畴_x0008_." w:hAnsi="宋体t.祯畴_x0008_." w:eastAsia="宋体t.祯畴_x0008_." w:cstheme="minorBidi"/>
      <w:color w:val="000000"/>
      <w:sz w:val="24"/>
      <w:szCs w:val="24"/>
      <w:lang w:val="en-US" w:eastAsia="zh-CN" w:bidi="ar-SA"/>
    </w:rPr>
  </w:style>
  <w:style w:type="paragraph" w:styleId="5">
    <w:name w:val="toc 7"/>
    <w:basedOn w:val="1"/>
    <w:next w:val="1"/>
    <w:unhideWhenUsed/>
    <w:qFormat/>
    <w:uiPriority w:val="39"/>
    <w:pPr>
      <w:ind w:left="2520" w:leftChars="1200"/>
    </w:p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Balloon Text"/>
    <w:basedOn w:val="1"/>
    <w:link w:val="28"/>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rPr>
      <w:rFonts w:asciiTheme="minorEastAsia" w:hAnsiTheme="minorEastAsia"/>
      <w:b/>
      <w:sz w:val="28"/>
    </w:rPr>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tabs>
        <w:tab w:val="left" w:pos="1843"/>
        <w:tab w:val="right" w:leader="dot" w:pos="8296"/>
      </w:tabs>
      <w:spacing w:line="276" w:lineRule="auto"/>
      <w:ind w:left="420" w:leftChars="200"/>
    </w:pPr>
    <w:rPr>
      <w:rFonts w:asciiTheme="minorEastAsia" w:hAnsiTheme="minorEastAsia"/>
      <w:sz w:val="24"/>
    </w:rPr>
  </w:style>
  <w:style w:type="paragraph" w:styleId="16">
    <w:name w:val="toc 9"/>
    <w:basedOn w:val="1"/>
    <w:next w:val="1"/>
    <w:unhideWhenUsed/>
    <w:qFormat/>
    <w:uiPriority w:val="39"/>
    <w:pPr>
      <w:ind w:left="3360" w:leftChars="16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标题 1 Char"/>
    <w:basedOn w:val="19"/>
    <w:link w:val="3"/>
    <w:qFormat/>
    <w:uiPriority w:val="9"/>
    <w:rPr>
      <w:rFonts w:ascii="黑体" w:hAnsi="黑体" w:eastAsia="黑体"/>
      <w:b/>
      <w:bCs/>
      <w:kern w:val="44"/>
      <w:sz w:val="32"/>
      <w:szCs w:val="32"/>
    </w:rPr>
  </w:style>
  <w:style w:type="character" w:customStyle="1" w:styleId="23">
    <w:name w:val="标题 2 Char"/>
    <w:basedOn w:val="19"/>
    <w:link w:val="4"/>
    <w:qFormat/>
    <w:uiPriority w:val="9"/>
    <w:rPr>
      <w:rFonts w:eastAsia="宋体" w:asciiTheme="majorHAnsi" w:hAnsiTheme="majorHAnsi" w:cstheme="majorBidi"/>
      <w:b/>
      <w:bCs/>
      <w:sz w:val="28"/>
      <w:szCs w:val="32"/>
    </w:rPr>
  </w:style>
  <w:style w:type="character" w:customStyle="1" w:styleId="24">
    <w:name w:val="页眉 Char"/>
    <w:basedOn w:val="19"/>
    <w:link w:val="11"/>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Unresolved Mention"/>
    <w:basedOn w:val="19"/>
    <w:semiHidden/>
    <w:unhideWhenUsed/>
    <w:qFormat/>
    <w:uiPriority w:val="99"/>
    <w:rPr>
      <w:color w:val="605E5C"/>
      <w:shd w:val="clear" w:color="auto" w:fill="E1DFDD"/>
    </w:rPr>
  </w:style>
  <w:style w:type="paragraph" w:styleId="27">
    <w:name w:val="List Paragraph"/>
    <w:basedOn w:val="1"/>
    <w:qFormat/>
    <w:uiPriority w:val="34"/>
    <w:pPr>
      <w:ind w:firstLine="420" w:firstLineChars="200"/>
    </w:pPr>
  </w:style>
  <w:style w:type="character" w:customStyle="1" w:styleId="28">
    <w:name w:val="批注框文本 Char"/>
    <w:basedOn w:val="19"/>
    <w:link w:val="9"/>
    <w:semiHidden/>
    <w:qFormat/>
    <w:uiPriority w:val="99"/>
    <w:rPr>
      <w:kern w:val="2"/>
      <w:sz w:val="18"/>
      <w:szCs w:val="18"/>
    </w:rPr>
  </w:style>
  <w:style w:type="paragraph" w:customStyle="1" w:styleId="29">
    <w:name w:val="BodyTextIndent2"/>
    <w:basedOn w:val="1"/>
    <w:next w:val="1"/>
    <w:qFormat/>
    <w:uiPriority w:val="0"/>
    <w:pPr>
      <w:spacing w:line="590" w:lineRule="exact"/>
      <w:ind w:firstLine="880" w:firstLineChars="200"/>
    </w:pPr>
    <w:rPr>
      <w:rFonts w:ascii="Calibri" w:hAnsi="Calibri"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4873</Words>
  <Characters>4874</Characters>
  <Lines>69</Lines>
  <Paragraphs>19</Paragraphs>
  <TotalTime>2</TotalTime>
  <ScaleCrop>false</ScaleCrop>
  <LinksUpToDate>false</LinksUpToDate>
  <CharactersWithSpaces>4921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2023-07-27T01:43:00Z</dcterms:created>
  <dc:creator>Administration</dc:creator>
  <cp:lastModifiedBy>admin123</cp:lastModifiedBy>
  <cp:lastPrinted>2025-09-10T17:15:28Z</cp:lastPrinted>
  <dcterms:modified xsi:type="dcterms:W3CDTF">2025-09-10T17:17:02Z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TemplateDocerSaveRecord">
    <vt:lpwstr>eyJoZGlkIjoiY2JhN2UzNjhhNWVjYzQ2NWVjNTE2ZGVkNTFkMjhkMTkiLCJ1c2VySWQiOiI0ODY5MjQ1NzEifQ==</vt:lpwstr>
  </property>
  <property fmtid="{D5CDD505-2E9C-101B-9397-08002B2CF9AE}" pid="4" name="ICV">
    <vt:lpwstr>BD41DE3C9FA548D6A2FF1747F1BD6B6F_12</vt:lpwstr>
  </property>
</Properties>
</file>