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E030">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rPr>
      </w:pPr>
      <w:bookmarkStart w:id="99" w:name="_GoBack"/>
      <w:bookmarkEnd w:id="99"/>
      <w:r>
        <w:rPr>
          <w:rFonts w:hint="eastAsia" w:ascii="方正小标宋简体" w:hAnsi="方正小标宋简体" w:eastAsia="方正小标宋简体" w:cs="方正小标宋简体"/>
          <w:snapToGrid w:val="0"/>
          <w:kern w:val="0"/>
          <w:sz w:val="44"/>
          <w:szCs w:val="44"/>
        </w:rPr>
        <w:t>第三届粤东西北知识产权创新运用</w:t>
      </w:r>
      <w:r>
        <w:rPr>
          <w:rFonts w:hint="eastAsia" w:ascii="方正小标宋简体" w:hAnsi="方正小标宋简体" w:eastAsia="方正小标宋简体" w:cs="方正小标宋简体"/>
          <w:snapToGrid w:val="0"/>
          <w:kern w:val="0"/>
          <w:sz w:val="44"/>
          <w:szCs w:val="44"/>
          <w:lang w:val="zh-CN" w:eastAsia="zh-Hans"/>
        </w:rPr>
        <w:t>大赛</w:t>
      </w:r>
    </w:p>
    <w:p w14:paraId="7CB1FBC3">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小标宋" w:cs="Times New Roman"/>
          <w:sz w:val="44"/>
          <w:szCs w:val="44"/>
        </w:rPr>
      </w:pPr>
      <w:r>
        <w:rPr>
          <w:rFonts w:hint="eastAsia" w:ascii="方正小标宋简体" w:hAnsi="方正小标宋简体" w:eastAsia="方正小标宋简体" w:cs="方正小标宋简体"/>
          <w:snapToGrid w:val="0"/>
          <w:kern w:val="0"/>
          <w:sz w:val="44"/>
          <w:szCs w:val="44"/>
          <w:lang w:val="zh-CN" w:eastAsia="zh-Hans"/>
        </w:rPr>
        <w:t>工作方案</w:t>
      </w:r>
    </w:p>
    <w:p w14:paraId="49741309">
      <w:pPr>
        <w:keepNext w:val="0"/>
        <w:keepLines w:val="0"/>
        <w:pageBreakBefore w:val="0"/>
        <w:kinsoku/>
        <w:wordWrap/>
        <w:overflowPunct/>
        <w:topLinePunct w:val="0"/>
        <w:autoSpaceDE w:val="0"/>
        <w:bidi w:val="0"/>
        <w:adjustRightInd w:val="0"/>
        <w:snapToGrid w:val="0"/>
        <w:spacing w:line="560" w:lineRule="exact"/>
        <w:ind w:firstLine="848" w:firstLineChars="200"/>
        <w:textAlignment w:val="auto"/>
        <w:rPr>
          <w:rFonts w:hint="default" w:ascii="Times New Roman" w:hAnsi="Times New Roman" w:eastAsia="小标宋" w:cs="Times New Roman"/>
          <w:sz w:val="44"/>
          <w:szCs w:val="44"/>
        </w:rPr>
      </w:pPr>
    </w:p>
    <w:p w14:paraId="3E732356">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ascii="Times New Roman" w:hAnsi="Times New Roman" w:eastAsia="仿宋_GB2312" w:cs="Times New Roman"/>
          <w:kern w:val="0"/>
          <w:sz w:val="32"/>
        </w:rPr>
      </w:pPr>
      <w:bookmarkStart w:id="0" w:name="sys380192"/>
      <w:r>
        <w:rPr>
          <w:rFonts w:ascii="Times New Roman" w:hAnsi="Times New Roman" w:eastAsia="仿宋_GB2312" w:cs="Times New Roman"/>
          <w:kern w:val="0"/>
          <w:sz w:val="32"/>
          <w:szCs w:val="32"/>
          <w:highlight w:val="white"/>
          <w:lang w:bidi="ar"/>
        </w:rPr>
        <w:t>为深入贯彻落实习近平总书记关于知识产权工作的重要讲话和重要指示精神，贯彻落实省委</w:t>
      </w:r>
      <w:r>
        <w:rPr>
          <w:rFonts w:hint="default" w:ascii="Times New Roman" w:hAnsi="Times New Roman" w:eastAsia="仿宋_GB2312" w:cs="Times New Roman"/>
          <w:kern w:val="0"/>
          <w:sz w:val="32"/>
          <w:szCs w:val="32"/>
          <w:highlight w:val="white"/>
          <w:lang w:bidi="ar"/>
        </w:rPr>
        <w:t>、</w:t>
      </w:r>
      <w:r>
        <w:rPr>
          <w:rFonts w:ascii="Times New Roman" w:hAnsi="Times New Roman" w:eastAsia="仿宋_GB2312" w:cs="Times New Roman"/>
          <w:kern w:val="0"/>
          <w:sz w:val="32"/>
          <w:szCs w:val="32"/>
          <w:highlight w:val="white"/>
          <w:lang w:bidi="ar"/>
        </w:rPr>
        <w:t>省政府工作部署，吸引一批创新成果到粤东西北地区落地转化，推动一批高价值</w:t>
      </w:r>
      <w:r>
        <w:rPr>
          <w:rFonts w:hint="default" w:ascii="Times New Roman" w:hAnsi="Times New Roman" w:eastAsia="仿宋_GB2312" w:cs="Times New Roman"/>
          <w:kern w:val="0"/>
          <w:sz w:val="32"/>
          <w:szCs w:val="32"/>
          <w:highlight w:val="white"/>
          <w:lang w:bidi="ar"/>
        </w:rPr>
        <w:t>知识产权创新成果</w:t>
      </w:r>
      <w:r>
        <w:rPr>
          <w:rFonts w:ascii="Times New Roman" w:hAnsi="Times New Roman" w:eastAsia="仿宋_GB2312" w:cs="Times New Roman"/>
          <w:kern w:val="0"/>
          <w:sz w:val="32"/>
          <w:szCs w:val="32"/>
          <w:highlight w:val="white"/>
          <w:lang w:bidi="ar"/>
        </w:rPr>
        <w:t>在粤东西北地区实现产业化，提升粤东西北地区知识产权发展水平，助力粤东西北地区高质量发展，</w:t>
      </w:r>
      <w:r>
        <w:rPr>
          <w:rFonts w:hint="default" w:ascii="Times New Roman" w:hAnsi="Times New Roman" w:eastAsia="仿宋_GB2312" w:cs="Times New Roman"/>
          <w:kern w:val="0"/>
          <w:sz w:val="32"/>
          <w:szCs w:val="32"/>
          <w:highlight w:val="white"/>
          <w:shd w:val="clear" w:color="auto" w:fill="auto"/>
          <w:lang w:bidi="ar"/>
        </w:rPr>
        <w:t>广东省市场监督管理局（知识产权局）</w:t>
      </w:r>
      <w:r>
        <w:rPr>
          <w:rFonts w:ascii="Times New Roman" w:hAnsi="Times New Roman" w:eastAsia="仿宋_GB2312" w:cs="Times New Roman"/>
          <w:kern w:val="0"/>
          <w:sz w:val="32"/>
          <w:szCs w:val="32"/>
          <w:highlight w:val="white"/>
          <w:lang w:bidi="ar"/>
        </w:rPr>
        <w:t>、韶关市人民政府联合举办</w:t>
      </w:r>
      <w:r>
        <w:rPr>
          <w:rFonts w:hint="default" w:ascii="Times New Roman" w:hAnsi="Times New Roman" w:eastAsia="仿宋_GB2312" w:cs="Times New Roman"/>
          <w:kern w:val="0"/>
          <w:sz w:val="32"/>
          <w:szCs w:val="32"/>
          <w:highlight w:val="white"/>
          <w:lang w:bidi="ar"/>
        </w:rPr>
        <w:t>第三届</w:t>
      </w:r>
      <w:r>
        <w:rPr>
          <w:rFonts w:ascii="Times New Roman" w:hAnsi="Times New Roman" w:eastAsia="仿宋_GB2312" w:cs="Times New Roman"/>
          <w:kern w:val="0"/>
          <w:sz w:val="32"/>
          <w:szCs w:val="32"/>
          <w:highlight w:val="white"/>
          <w:lang w:bidi="ar"/>
        </w:rPr>
        <w:t>粤东西北知识产权创新运用大赛，现</w:t>
      </w:r>
      <w:r>
        <w:rPr>
          <w:rFonts w:hint="default" w:ascii="Times New Roman" w:hAnsi="Times New Roman" w:eastAsia="仿宋_GB2312" w:cs="Times New Roman"/>
          <w:kern w:val="0"/>
          <w:sz w:val="32"/>
          <w:szCs w:val="32"/>
          <w:highlight w:val="white"/>
          <w:lang w:eastAsia="zh-CN" w:bidi="ar"/>
        </w:rPr>
        <w:t>制定</w:t>
      </w:r>
      <w:r>
        <w:rPr>
          <w:rFonts w:hint="eastAsia" w:eastAsia="仿宋_GB2312" w:cs="Times New Roman"/>
          <w:kern w:val="0"/>
          <w:sz w:val="32"/>
          <w:szCs w:val="32"/>
          <w:highlight w:val="white"/>
          <w:lang w:eastAsia="zh-CN" w:bidi="ar"/>
        </w:rPr>
        <w:t>工作</w:t>
      </w:r>
      <w:r>
        <w:rPr>
          <w:rFonts w:hint="default" w:ascii="Times New Roman" w:hAnsi="Times New Roman" w:eastAsia="仿宋_GB2312" w:cs="Times New Roman"/>
          <w:kern w:val="0"/>
          <w:sz w:val="32"/>
          <w:szCs w:val="32"/>
          <w:highlight w:val="white"/>
          <w:lang w:eastAsia="zh-CN" w:bidi="ar"/>
        </w:rPr>
        <w:t>方案</w:t>
      </w:r>
      <w:r>
        <w:rPr>
          <w:rFonts w:ascii="Times New Roman" w:hAnsi="Times New Roman" w:eastAsia="仿宋_GB2312" w:cs="Times New Roman"/>
          <w:kern w:val="0"/>
          <w:sz w:val="32"/>
          <w:szCs w:val="32"/>
          <w:highlight w:val="white"/>
          <w:lang w:bidi="ar"/>
        </w:rPr>
        <w:t>如下。</w:t>
      </w:r>
      <w:bookmarkEnd w:id="0"/>
    </w:p>
    <w:p w14:paraId="2C9A4F93">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rPr>
        <w:t>一、大赛名称及主题</w:t>
      </w:r>
      <w:bookmarkStart w:id="1" w:name="pindex39"/>
      <w:bookmarkEnd w:id="1"/>
    </w:p>
    <w:p w14:paraId="3909E2C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（一）大赛名称</w:t>
      </w:r>
    </w:p>
    <w:p w14:paraId="096E19D5">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hint="eastAsia" w:eastAsia="仿宋_GB2312"/>
          <w:kern w:val="0"/>
          <w:sz w:val="32"/>
          <w:szCs w:val="32"/>
          <w:highlight w:val="white"/>
          <w:lang w:eastAsia="zh-CN" w:bidi="ar"/>
        </w:rPr>
      </w:pPr>
      <w:r>
        <w:rPr>
          <w:rFonts w:eastAsia="仿宋_GB2312"/>
          <w:kern w:val="0"/>
          <w:sz w:val="32"/>
          <w:szCs w:val="32"/>
          <w:highlight w:val="white"/>
          <w:lang w:bidi="ar"/>
        </w:rPr>
        <w:t>第三届粤东西北知识产权创新运用大赛</w:t>
      </w:r>
      <w:bookmarkStart w:id="2" w:name="pindex40"/>
      <w:bookmarkEnd w:id="2"/>
      <w:r>
        <w:rPr>
          <w:rFonts w:hint="eastAsia" w:eastAsia="仿宋_GB2312"/>
          <w:kern w:val="0"/>
          <w:sz w:val="32"/>
          <w:szCs w:val="32"/>
          <w:highlight w:val="white"/>
          <w:lang w:eastAsia="zh-CN" w:bidi="ar"/>
        </w:rPr>
        <w:t>（以下简称“第三届粤创赛”）</w:t>
      </w:r>
    </w:p>
    <w:p w14:paraId="3BD28FC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（二）大赛主题</w:t>
      </w:r>
    </w:p>
    <w:p w14:paraId="146D676A">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highlight w:val="white"/>
          <w:lang w:bidi="ar"/>
        </w:rPr>
        <w:t>以赛</w:t>
      </w:r>
      <w:r>
        <w:rPr>
          <w:rFonts w:hint="default" w:eastAsia="仿宋_GB2312"/>
          <w:kern w:val="0"/>
          <w:sz w:val="32"/>
          <w:szCs w:val="32"/>
          <w:highlight w:val="white"/>
          <w:lang w:bidi="ar"/>
        </w:rPr>
        <w:t>蓄能、</w:t>
      </w:r>
      <w:r>
        <w:rPr>
          <w:rFonts w:eastAsia="仿宋_GB2312"/>
          <w:kern w:val="0"/>
          <w:sz w:val="32"/>
          <w:szCs w:val="32"/>
          <w:highlight w:val="white"/>
          <w:lang w:bidi="ar"/>
        </w:rPr>
        <w:t>以转兴产，</w:t>
      </w:r>
      <w:r>
        <w:rPr>
          <w:rFonts w:hint="default" w:eastAsia="仿宋_GB2312"/>
          <w:kern w:val="0"/>
          <w:sz w:val="32"/>
          <w:szCs w:val="32"/>
          <w:highlight w:val="white"/>
          <w:lang w:bidi="ar"/>
        </w:rPr>
        <w:t>知识产权转化助力</w:t>
      </w:r>
      <w:r>
        <w:rPr>
          <w:rFonts w:eastAsia="仿宋_GB2312"/>
          <w:kern w:val="0"/>
          <w:sz w:val="32"/>
          <w:szCs w:val="32"/>
          <w:highlight w:val="white"/>
          <w:lang w:bidi="ar"/>
        </w:rPr>
        <w:t>粤东西北</w:t>
      </w:r>
      <w:r>
        <w:rPr>
          <w:rFonts w:hint="default" w:eastAsia="仿宋_GB2312"/>
          <w:kern w:val="0"/>
          <w:sz w:val="32"/>
          <w:szCs w:val="32"/>
          <w:highlight w:val="white"/>
          <w:lang w:bidi="ar"/>
        </w:rPr>
        <w:t>高质量发</w:t>
      </w:r>
      <w:r>
        <w:rPr>
          <w:rFonts w:hint="eastAsia" w:eastAsia="仿宋_GB2312"/>
          <w:kern w:val="0"/>
          <w:sz w:val="32"/>
          <w:szCs w:val="32"/>
          <w:lang w:bidi="ar"/>
        </w:rPr>
        <w:t>展</w:t>
      </w:r>
      <w:bookmarkStart w:id="3" w:name="pindex41"/>
      <w:bookmarkEnd w:id="3"/>
    </w:p>
    <w:p w14:paraId="2D3F0679">
      <w:pPr>
        <w:keepNext w:val="0"/>
        <w:keepLines w:val="0"/>
        <w:pageBreakBefore w:val="0"/>
        <w:kinsoku/>
        <w:wordWrap/>
        <w:overflowPunct/>
        <w:topLinePunct w:val="0"/>
        <w:bidi w:val="0"/>
        <w:adjustRightInd w:val="0"/>
        <w:snapToGrid w:val="0"/>
        <w:spacing w:line="560" w:lineRule="exact"/>
        <w:ind w:firstLine="640"/>
        <w:textAlignment w:val="auto"/>
        <w:rPr>
          <w:rFonts w:hint="eastAsia" w:eastAsia="楷体_GB2312"/>
          <w:sz w:val="32"/>
        </w:rPr>
      </w:pPr>
      <w:r>
        <w:rPr>
          <w:rFonts w:eastAsia="楷体_GB2312"/>
          <w:kern w:val="0"/>
          <w:sz w:val="32"/>
          <w:szCs w:val="32"/>
          <w:lang w:bidi="ar"/>
        </w:rPr>
        <w:t>（三）</w:t>
      </w:r>
      <w:r>
        <w:rPr>
          <w:rFonts w:hint="eastAsia" w:eastAsia="楷体_GB2312"/>
          <w:kern w:val="0"/>
          <w:sz w:val="32"/>
          <w:szCs w:val="32"/>
          <w:lang w:bidi="ar"/>
        </w:rPr>
        <w:t>办赛目的</w:t>
      </w:r>
    </w:p>
    <w:p w14:paraId="69E96FA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省委、省政府</w:t>
      </w:r>
      <w:r>
        <w:rPr>
          <w:rFonts w:eastAsia="仿宋_GB2312"/>
          <w:kern w:val="0"/>
          <w:sz w:val="32"/>
          <w:szCs w:val="32"/>
          <w:highlight w:val="white"/>
          <w:lang w:bidi="ar"/>
        </w:rPr>
        <w:t>高度重视粤东西北地区</w:t>
      </w:r>
      <w:r>
        <w:rPr>
          <w:rFonts w:hint="default" w:eastAsia="仿宋_GB2312"/>
          <w:kern w:val="0"/>
          <w:sz w:val="32"/>
          <w:szCs w:val="32"/>
          <w:highlight w:val="white"/>
          <w:lang w:bidi="ar"/>
        </w:rPr>
        <w:t>高质量发展。</w:t>
      </w:r>
      <w:r>
        <w:rPr>
          <w:rFonts w:eastAsia="仿宋_GB2312"/>
          <w:kern w:val="0"/>
          <w:sz w:val="32"/>
          <w:szCs w:val="32"/>
          <w:highlight w:val="white"/>
          <w:lang w:bidi="ar"/>
        </w:rPr>
        <w:t>当前</w:t>
      </w:r>
      <w:r>
        <w:rPr>
          <w:rFonts w:hint="default" w:eastAsia="仿宋_GB2312"/>
          <w:kern w:val="0"/>
          <w:sz w:val="32"/>
          <w:szCs w:val="32"/>
          <w:highlight w:val="white"/>
          <w:lang w:bidi="ar"/>
        </w:rPr>
        <w:t>，</w:t>
      </w:r>
      <w:r>
        <w:rPr>
          <w:rFonts w:eastAsia="仿宋_GB2312"/>
          <w:kern w:val="0"/>
          <w:sz w:val="32"/>
          <w:szCs w:val="32"/>
          <w:highlight w:val="white"/>
          <w:lang w:bidi="ar"/>
        </w:rPr>
        <w:t>粤东西北地区基础条件</w:t>
      </w:r>
      <w:r>
        <w:rPr>
          <w:rFonts w:hint="default" w:eastAsia="仿宋_GB2312"/>
          <w:kern w:val="0"/>
          <w:sz w:val="32"/>
          <w:szCs w:val="32"/>
          <w:highlight w:val="white"/>
          <w:lang w:bidi="ar"/>
        </w:rPr>
        <w:t>持续优化升级</w:t>
      </w:r>
      <w:r>
        <w:rPr>
          <w:rFonts w:eastAsia="仿宋_GB2312"/>
          <w:kern w:val="0"/>
          <w:sz w:val="32"/>
          <w:szCs w:val="32"/>
          <w:highlight w:val="white"/>
          <w:lang w:bidi="ar"/>
        </w:rPr>
        <w:t>、发展成效持续显现、产业配套</w:t>
      </w:r>
      <w:r>
        <w:rPr>
          <w:rFonts w:hint="default" w:eastAsia="仿宋_GB2312"/>
          <w:kern w:val="0"/>
          <w:sz w:val="32"/>
          <w:szCs w:val="32"/>
          <w:highlight w:val="white"/>
          <w:lang w:bidi="ar"/>
        </w:rPr>
        <w:t>逐步</w:t>
      </w:r>
      <w:r>
        <w:rPr>
          <w:rFonts w:eastAsia="仿宋_GB2312"/>
          <w:kern w:val="0"/>
          <w:sz w:val="32"/>
          <w:szCs w:val="32"/>
          <w:highlight w:val="white"/>
          <w:lang w:bidi="ar"/>
        </w:rPr>
        <w:t>完善</w:t>
      </w:r>
      <w:r>
        <w:rPr>
          <w:rFonts w:hint="default" w:eastAsia="仿宋_GB2312"/>
          <w:kern w:val="0"/>
          <w:sz w:val="32"/>
          <w:szCs w:val="32"/>
          <w:highlight w:val="white"/>
          <w:lang w:bidi="ar"/>
        </w:rPr>
        <w:t>、特色产业</w:t>
      </w:r>
      <w:r>
        <w:rPr>
          <w:rFonts w:eastAsia="仿宋_GB2312"/>
          <w:kern w:val="0"/>
          <w:sz w:val="32"/>
          <w:szCs w:val="32"/>
          <w:highlight w:val="white"/>
          <w:lang w:bidi="ar"/>
        </w:rPr>
        <w:t>集聚成势</w:t>
      </w:r>
      <w:r>
        <w:rPr>
          <w:rFonts w:hint="default" w:eastAsia="仿宋_GB2312"/>
          <w:kern w:val="0"/>
          <w:sz w:val="32"/>
          <w:szCs w:val="32"/>
          <w:highlight w:val="white"/>
          <w:lang w:bidi="ar"/>
        </w:rPr>
        <w:t>，正在吸引</w:t>
      </w:r>
      <w:r>
        <w:rPr>
          <w:rFonts w:eastAsia="仿宋_GB2312"/>
          <w:kern w:val="0"/>
          <w:sz w:val="32"/>
          <w:szCs w:val="32"/>
          <w:highlight w:val="white"/>
          <w:lang w:bidi="ar"/>
        </w:rPr>
        <w:t>更多优质项目、生产基地、研发中心落户</w:t>
      </w:r>
      <w:r>
        <w:rPr>
          <w:rFonts w:hint="default" w:eastAsia="仿宋_GB2312"/>
          <w:kern w:val="0"/>
          <w:sz w:val="32"/>
          <w:szCs w:val="32"/>
          <w:highlight w:val="white"/>
          <w:lang w:bidi="ar"/>
        </w:rPr>
        <w:t>发展</w:t>
      </w:r>
      <w:r>
        <w:rPr>
          <w:rFonts w:eastAsia="仿宋_GB2312"/>
          <w:kern w:val="0"/>
          <w:sz w:val="32"/>
          <w:szCs w:val="32"/>
          <w:highlight w:val="white"/>
          <w:lang w:bidi="ar"/>
        </w:rPr>
        <w:t>。认真结合粤东西北地区产业发展实际，按照向“转”发力的思路，通过</w:t>
      </w:r>
      <w:r>
        <w:rPr>
          <w:rFonts w:hint="eastAsia" w:eastAsia="仿宋_GB2312" w:cs="Times New Roman"/>
          <w:kern w:val="0"/>
          <w:sz w:val="32"/>
          <w:szCs w:val="32"/>
          <w:highlight w:val="white"/>
          <w:lang w:eastAsia="zh-CN" w:bidi="ar"/>
        </w:rPr>
        <w:t>第三届粤创赛</w:t>
      </w:r>
      <w:r>
        <w:rPr>
          <w:rFonts w:eastAsia="仿宋_GB2312"/>
          <w:kern w:val="0"/>
          <w:sz w:val="32"/>
          <w:szCs w:val="32"/>
          <w:highlight w:val="white"/>
          <w:lang w:bidi="ar"/>
        </w:rPr>
        <w:t>充分挖掘粤东西北地区产业发展和技术改进需求，强化专利转化、商标品牌运用、地理标志产品推广</w:t>
      </w:r>
      <w:r>
        <w:rPr>
          <w:rFonts w:hint="default" w:eastAsia="仿宋_GB2312"/>
          <w:kern w:val="0"/>
          <w:sz w:val="32"/>
          <w:szCs w:val="32"/>
          <w:highlight w:val="white"/>
          <w:lang w:bidi="ar"/>
        </w:rPr>
        <w:t>，</w:t>
      </w:r>
      <w:r>
        <w:rPr>
          <w:rFonts w:eastAsia="仿宋_GB2312"/>
          <w:kern w:val="0"/>
          <w:sz w:val="32"/>
          <w:szCs w:val="32"/>
          <w:highlight w:val="white"/>
          <w:lang w:bidi="ar"/>
        </w:rPr>
        <w:t>促进粤东西北地区产业转型升级和高质量发展</w:t>
      </w:r>
      <w:r>
        <w:rPr>
          <w:rFonts w:hint="default" w:eastAsia="仿宋_GB2312"/>
          <w:kern w:val="0"/>
          <w:sz w:val="32"/>
          <w:szCs w:val="32"/>
          <w:highlight w:val="white"/>
          <w:lang w:bidi="ar"/>
        </w:rPr>
        <w:t>；同时，</w:t>
      </w:r>
      <w:r>
        <w:rPr>
          <w:rFonts w:eastAsia="仿宋_GB2312"/>
          <w:kern w:val="0"/>
          <w:sz w:val="32"/>
          <w:szCs w:val="32"/>
          <w:highlight w:val="white"/>
          <w:lang w:bidi="ar"/>
        </w:rPr>
        <w:t>以大赛为牵引，配套完善转化平台，创新转化模式，丰富供需资源，培养转化人才，构建</w:t>
      </w:r>
      <w:r>
        <w:rPr>
          <w:rFonts w:hint="default" w:eastAsia="仿宋_GB2312"/>
          <w:kern w:val="0"/>
          <w:sz w:val="32"/>
          <w:szCs w:val="32"/>
          <w:highlight w:val="white"/>
          <w:lang w:bidi="ar"/>
        </w:rPr>
        <w:t>粤东西北</w:t>
      </w:r>
      <w:r>
        <w:rPr>
          <w:rFonts w:eastAsia="仿宋_GB2312"/>
          <w:kern w:val="0"/>
          <w:sz w:val="32"/>
          <w:szCs w:val="32"/>
          <w:highlight w:val="white"/>
          <w:lang w:bidi="ar"/>
        </w:rPr>
        <w:t>创新成果转化运用生态体系，尽快将创新成果转化为现实生产力，增强粤东西北地区产业竞争力，扎实推动粤东西北地区高质量发展。</w:t>
      </w:r>
      <w:bookmarkStart w:id="4" w:name="pindex42"/>
      <w:bookmarkEnd w:id="4"/>
    </w:p>
    <w:p w14:paraId="4DC3FDBF">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lang w:val="zh-CN"/>
        </w:rPr>
        <w:t>二、</w:t>
      </w:r>
      <w:r>
        <w:rPr>
          <w:rFonts w:eastAsia="黑体"/>
          <w:kern w:val="0"/>
          <w:sz w:val="32"/>
          <w:szCs w:val="32"/>
        </w:rPr>
        <w:t>组织单位</w:t>
      </w:r>
      <w:bookmarkStart w:id="5" w:name="pindex43"/>
      <w:bookmarkEnd w:id="5"/>
    </w:p>
    <w:p w14:paraId="4E225D0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rPr>
        <w:t>（一）主办单位</w:t>
      </w:r>
      <w:bookmarkStart w:id="6" w:name="pindex44"/>
      <w:bookmarkEnd w:id="6"/>
    </w:p>
    <w:p w14:paraId="459D196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广东省市场监督管理局（知识产权局）</w:t>
      </w:r>
    </w:p>
    <w:p w14:paraId="2AB96F5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韶关市人民政府</w:t>
      </w:r>
    </w:p>
    <w:p w14:paraId="401E300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highlight w:val="none"/>
        </w:rPr>
      </w:pPr>
      <w:r>
        <w:rPr>
          <w:rFonts w:hint="eastAsia" w:eastAsia="楷体_GB2312"/>
          <w:kern w:val="0"/>
          <w:sz w:val="32"/>
          <w:szCs w:val="32"/>
          <w:highlight w:val="none"/>
        </w:rPr>
        <w:t>（二）</w:t>
      </w:r>
      <w:r>
        <w:rPr>
          <w:rFonts w:eastAsia="楷体_GB2312"/>
          <w:kern w:val="0"/>
          <w:sz w:val="32"/>
          <w:szCs w:val="32"/>
          <w:highlight w:val="none"/>
        </w:rPr>
        <w:t>承办单位</w:t>
      </w:r>
      <w:bookmarkStart w:id="7" w:name="pindex47"/>
      <w:bookmarkEnd w:id="7"/>
    </w:p>
    <w:p w14:paraId="592222CB">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韶关市市场监督管理局（知识产权局）</w:t>
      </w:r>
    </w:p>
    <w:p w14:paraId="05A6DD66">
      <w:pPr>
        <w:keepNext w:val="0"/>
        <w:keepLines w:val="0"/>
        <w:pageBreakBefore w:val="0"/>
        <w:kinsoku/>
        <w:wordWrap/>
        <w:overflowPunct/>
        <w:topLinePunct w:val="0"/>
        <w:bidi w:val="0"/>
        <w:adjustRightInd w:val="0"/>
        <w:snapToGrid w:val="0"/>
        <w:spacing w:line="560" w:lineRule="exact"/>
        <w:ind w:firstLine="608" w:firstLineChars="200"/>
        <w:textAlignment w:val="auto"/>
        <w:rPr>
          <w:rFonts w:ascii="Times New Roman" w:hAnsi="Times New Roman" w:eastAsia="楷体_GB2312" w:cs="Times New Roman"/>
          <w:kern w:val="0"/>
          <w:sz w:val="32"/>
          <w:szCs w:val="32"/>
          <w:highlight w:val="none"/>
        </w:rPr>
      </w:pPr>
      <w:r>
        <w:rPr>
          <w:rFonts w:ascii="Times New Roman" w:hAnsi="Times New Roman" w:eastAsia="楷体_GB2312" w:cs="Times New Roman"/>
          <w:kern w:val="0"/>
          <w:sz w:val="32"/>
          <w:szCs w:val="32"/>
          <w:highlight w:val="none"/>
        </w:rPr>
        <w:t>（三）协办单位</w:t>
      </w:r>
      <w:bookmarkStart w:id="8" w:name="pindex49"/>
      <w:bookmarkEnd w:id="8"/>
    </w:p>
    <w:p w14:paraId="7A3119CF">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汕头市市场监督管理局（知识产权局）</w:t>
      </w:r>
    </w:p>
    <w:p w14:paraId="5CB88FB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湛江市市场监督管理局（知识产权局）</w:t>
      </w:r>
    </w:p>
    <w:p w14:paraId="4919CADA">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河源市市场监督管理局（知识产权局）</w:t>
      </w:r>
    </w:p>
    <w:p w14:paraId="712C20F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梅州市市场监督管理局（知识产权局）</w:t>
      </w:r>
    </w:p>
    <w:p w14:paraId="69C147AA">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汕尾市市场监督管理局（知识产权局）</w:t>
      </w:r>
    </w:p>
    <w:p w14:paraId="1DFD23B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阳江市市场监督管理局（知识产权局）</w:t>
      </w:r>
    </w:p>
    <w:p w14:paraId="4D9359B2">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茂名市市场监督管理局（知识产权局）</w:t>
      </w:r>
    </w:p>
    <w:p w14:paraId="39D3DBE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清远市市场监督管理局（知识产权局）</w:t>
      </w:r>
    </w:p>
    <w:p w14:paraId="66835149">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潮州市市场监督管理局（知识产权局）</w:t>
      </w:r>
    </w:p>
    <w:p w14:paraId="402725E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揭阳市市场监督管理局（知识产权局）</w:t>
      </w:r>
    </w:p>
    <w:p w14:paraId="00DC248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云浮市市场监督管理局（知识产权局）</w:t>
      </w:r>
    </w:p>
    <w:p w14:paraId="59735F6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w:t>
      </w:r>
      <w:r>
        <w:rPr>
          <w:rFonts w:hint="eastAsia" w:eastAsia="楷体_GB2312"/>
          <w:kern w:val="0"/>
          <w:sz w:val="32"/>
          <w:szCs w:val="32"/>
          <w:lang w:eastAsia="zh-CN" w:bidi="ar"/>
        </w:rPr>
        <w:t>四</w:t>
      </w:r>
      <w:r>
        <w:rPr>
          <w:rFonts w:eastAsia="楷体_GB2312"/>
          <w:kern w:val="0"/>
          <w:sz w:val="32"/>
          <w:szCs w:val="32"/>
          <w:lang w:bidi="ar"/>
        </w:rPr>
        <w:t>）工作机构</w:t>
      </w:r>
      <w:bookmarkStart w:id="9" w:name="pindex65"/>
      <w:bookmarkEnd w:id="9"/>
    </w:p>
    <w:p w14:paraId="0E9AABDC">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第三届粤创赛设立执行委员会（以下简称执委会），</w:t>
      </w:r>
      <w:r>
        <w:rPr>
          <w:rFonts w:eastAsia="仿宋_GB2312"/>
          <w:kern w:val="0"/>
          <w:sz w:val="32"/>
          <w:szCs w:val="32"/>
          <w:highlight w:val="white"/>
          <w:lang w:bidi="ar"/>
        </w:rPr>
        <w:t>由</w:t>
      </w:r>
      <w:r>
        <w:rPr>
          <w:rFonts w:hint="default" w:eastAsia="仿宋_GB2312"/>
          <w:kern w:val="0"/>
          <w:sz w:val="32"/>
          <w:szCs w:val="32"/>
          <w:highlight w:val="white"/>
          <w:lang w:eastAsia="zh-CN" w:bidi="ar"/>
        </w:rPr>
        <w:t>主、</w:t>
      </w:r>
      <w:r>
        <w:rPr>
          <w:rFonts w:eastAsia="仿宋_GB2312"/>
          <w:kern w:val="0"/>
          <w:sz w:val="32"/>
          <w:szCs w:val="32"/>
          <w:highlight w:val="white"/>
          <w:lang w:bidi="ar"/>
        </w:rPr>
        <w:t>承办单位指派相关负责同志组成，统筹协调赛事并执行整体工作，主要职责包括：研究拟定</w:t>
      </w:r>
      <w:r>
        <w:rPr>
          <w:rFonts w:hint="default" w:eastAsia="仿宋_GB2312"/>
          <w:kern w:val="0"/>
          <w:sz w:val="32"/>
          <w:szCs w:val="32"/>
          <w:highlight w:val="white"/>
          <w:lang w:bidi="ar"/>
        </w:rPr>
        <w:t>赛事</w:t>
      </w:r>
      <w:r>
        <w:rPr>
          <w:rFonts w:eastAsia="仿宋_GB2312"/>
          <w:kern w:val="0"/>
          <w:sz w:val="32"/>
          <w:szCs w:val="32"/>
          <w:highlight w:val="white"/>
          <w:lang w:bidi="ar"/>
        </w:rPr>
        <w:t>工作方案，审议</w:t>
      </w:r>
      <w:r>
        <w:rPr>
          <w:rFonts w:hint="default" w:eastAsia="仿宋_GB2312"/>
          <w:kern w:val="0"/>
          <w:sz w:val="32"/>
          <w:szCs w:val="32"/>
          <w:highlight w:val="white"/>
          <w:lang w:bidi="ar"/>
        </w:rPr>
        <w:t>赛事关键</w:t>
      </w:r>
      <w:r>
        <w:rPr>
          <w:rFonts w:eastAsia="仿宋_GB2312"/>
          <w:kern w:val="0"/>
          <w:sz w:val="32"/>
          <w:szCs w:val="32"/>
          <w:highlight w:val="white"/>
          <w:lang w:bidi="ar"/>
        </w:rPr>
        <w:t>节点及计划安排，统筹实现总体办赛目标，推进大赛各项任务落实。执委会下设3个专业委员会：</w:t>
      </w:r>
    </w:p>
    <w:p w14:paraId="1821CF6E">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1</w:t>
      </w:r>
      <w:r>
        <w:rPr>
          <w:rFonts w:hint="eastAsia"/>
          <w:kern w:val="0"/>
          <w:sz w:val="32"/>
          <w:szCs w:val="32"/>
          <w:highlight w:val="white"/>
          <w:lang w:eastAsia="zh-CN" w:bidi="ar"/>
        </w:rPr>
        <w:t>．</w:t>
      </w:r>
      <w:r>
        <w:rPr>
          <w:rFonts w:eastAsia="仿宋_GB2312"/>
          <w:kern w:val="0"/>
          <w:sz w:val="32"/>
          <w:szCs w:val="32"/>
          <w:highlight w:val="white"/>
          <w:lang w:bidi="ar"/>
        </w:rPr>
        <w:t>指导委员会。</w:t>
      </w:r>
      <w:r>
        <w:rPr>
          <w:rFonts w:hint="default" w:eastAsia="仿宋_GB2312"/>
          <w:kern w:val="0"/>
          <w:sz w:val="32"/>
          <w:szCs w:val="32"/>
          <w:highlight w:val="white"/>
          <w:lang w:bidi="ar"/>
        </w:rPr>
        <w:t>主要</w:t>
      </w:r>
      <w:r>
        <w:rPr>
          <w:rFonts w:eastAsia="仿宋_GB2312"/>
          <w:kern w:val="0"/>
          <w:sz w:val="32"/>
          <w:szCs w:val="32"/>
          <w:highlight w:val="white"/>
          <w:lang w:bidi="ar"/>
        </w:rPr>
        <w:t>负责制</w:t>
      </w:r>
      <w:r>
        <w:rPr>
          <w:rFonts w:hint="default" w:eastAsia="仿宋_GB2312"/>
          <w:kern w:val="0"/>
          <w:sz w:val="32"/>
          <w:szCs w:val="32"/>
          <w:highlight w:val="white"/>
          <w:lang w:bidi="ar"/>
        </w:rPr>
        <w:t>定</w:t>
      </w:r>
      <w:r>
        <w:rPr>
          <w:rFonts w:eastAsia="仿宋_GB2312"/>
          <w:kern w:val="0"/>
          <w:sz w:val="32"/>
          <w:szCs w:val="32"/>
          <w:highlight w:val="white"/>
          <w:lang w:bidi="ar"/>
        </w:rPr>
        <w:t>本次大赛的评审规则和评审标准，处理大赛过程中的有关专业技术问题，对大赛评审过程进行指导。</w:t>
      </w:r>
      <w:bookmarkStart w:id="10" w:name="pindex67"/>
      <w:bookmarkEnd w:id="10"/>
    </w:p>
    <w:p w14:paraId="3B68DFFF">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2</w:t>
      </w:r>
      <w:r>
        <w:rPr>
          <w:rFonts w:hint="eastAsia"/>
          <w:kern w:val="0"/>
          <w:sz w:val="32"/>
          <w:szCs w:val="32"/>
          <w:highlight w:val="white"/>
          <w:lang w:eastAsia="zh-CN" w:bidi="ar"/>
        </w:rPr>
        <w:t>．</w:t>
      </w:r>
      <w:r>
        <w:rPr>
          <w:rFonts w:eastAsia="仿宋_GB2312"/>
          <w:kern w:val="0"/>
          <w:sz w:val="32"/>
          <w:szCs w:val="32"/>
          <w:highlight w:val="white"/>
          <w:lang w:bidi="ar"/>
        </w:rPr>
        <w:t>评审委员会。</w:t>
      </w:r>
      <w:r>
        <w:rPr>
          <w:rFonts w:hint="default" w:eastAsia="仿宋_GB2312"/>
          <w:kern w:val="0"/>
          <w:sz w:val="32"/>
          <w:szCs w:val="32"/>
          <w:highlight w:val="white"/>
          <w:lang w:bidi="ar"/>
        </w:rPr>
        <w:t>主要</w:t>
      </w:r>
      <w:r>
        <w:rPr>
          <w:rFonts w:eastAsia="仿宋_GB2312"/>
          <w:kern w:val="0"/>
          <w:sz w:val="32"/>
          <w:szCs w:val="32"/>
          <w:highlight w:val="white"/>
          <w:lang w:bidi="ar"/>
        </w:rPr>
        <w:t>负责</w:t>
      </w:r>
      <w:r>
        <w:rPr>
          <w:rFonts w:hint="default" w:eastAsia="仿宋_GB2312"/>
          <w:kern w:val="0"/>
          <w:sz w:val="32"/>
          <w:szCs w:val="32"/>
          <w:highlight w:val="white"/>
          <w:lang w:bidi="ar"/>
        </w:rPr>
        <w:t>审查</w:t>
      </w:r>
      <w:r>
        <w:rPr>
          <w:rFonts w:eastAsia="仿宋_GB2312"/>
          <w:kern w:val="0"/>
          <w:sz w:val="32"/>
          <w:szCs w:val="32"/>
          <w:highlight w:val="white"/>
          <w:lang w:bidi="ar"/>
        </w:rPr>
        <w:t>参赛项目条件资格；组织专家按照评审规则、评审标准对参赛项目进行评判和</w:t>
      </w:r>
      <w:r>
        <w:rPr>
          <w:rFonts w:hint="default" w:eastAsia="仿宋_GB2312"/>
          <w:kern w:val="0"/>
          <w:sz w:val="32"/>
          <w:szCs w:val="32"/>
          <w:highlight w:val="white"/>
          <w:lang w:bidi="ar"/>
        </w:rPr>
        <w:t>评</w:t>
      </w:r>
      <w:r>
        <w:rPr>
          <w:rFonts w:eastAsia="仿宋_GB2312"/>
          <w:kern w:val="0"/>
          <w:sz w:val="32"/>
          <w:szCs w:val="32"/>
          <w:highlight w:val="white"/>
          <w:lang w:bidi="ar"/>
        </w:rPr>
        <w:t>分，向执委会推荐获奖名单；处理关于参赛要求的举报投诉。</w:t>
      </w:r>
      <w:bookmarkStart w:id="11" w:name="pindex68"/>
      <w:bookmarkEnd w:id="11"/>
    </w:p>
    <w:p w14:paraId="5B9C59A2">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3</w:t>
      </w:r>
      <w:r>
        <w:rPr>
          <w:rFonts w:hint="eastAsia"/>
          <w:kern w:val="0"/>
          <w:sz w:val="32"/>
          <w:szCs w:val="32"/>
          <w:highlight w:val="white"/>
          <w:lang w:eastAsia="zh-CN" w:bidi="ar"/>
        </w:rPr>
        <w:t>．</w:t>
      </w:r>
      <w:r>
        <w:rPr>
          <w:rFonts w:eastAsia="仿宋_GB2312"/>
          <w:kern w:val="0"/>
          <w:sz w:val="32"/>
          <w:szCs w:val="32"/>
          <w:highlight w:val="white"/>
          <w:lang w:bidi="ar"/>
        </w:rPr>
        <w:t>仲裁委员会。</w:t>
      </w:r>
      <w:r>
        <w:rPr>
          <w:rFonts w:hint="default" w:eastAsia="仿宋_GB2312"/>
          <w:kern w:val="0"/>
          <w:sz w:val="32"/>
          <w:szCs w:val="32"/>
          <w:highlight w:val="white"/>
          <w:lang w:bidi="ar"/>
        </w:rPr>
        <w:t>主要负</w:t>
      </w:r>
      <w:r>
        <w:rPr>
          <w:rFonts w:eastAsia="仿宋_GB2312"/>
          <w:kern w:val="0"/>
          <w:sz w:val="32"/>
          <w:szCs w:val="32"/>
          <w:highlight w:val="white"/>
          <w:lang w:bidi="ar"/>
        </w:rPr>
        <w:t>责</w:t>
      </w:r>
      <w:r>
        <w:rPr>
          <w:rFonts w:hint="default" w:eastAsia="仿宋_GB2312"/>
          <w:kern w:val="0"/>
          <w:sz w:val="32"/>
          <w:szCs w:val="32"/>
          <w:highlight w:val="white"/>
          <w:lang w:bidi="ar"/>
        </w:rPr>
        <w:t>监督</w:t>
      </w:r>
      <w:r>
        <w:rPr>
          <w:rFonts w:eastAsia="仿宋_GB2312"/>
          <w:kern w:val="0"/>
          <w:sz w:val="32"/>
          <w:szCs w:val="32"/>
          <w:highlight w:val="white"/>
          <w:lang w:bidi="ar"/>
        </w:rPr>
        <w:t>评审活动全过程，受理和处理比赛过程中出现的申诉。</w:t>
      </w:r>
      <w:bookmarkStart w:id="12" w:name="pindex69"/>
      <w:bookmarkEnd w:id="12"/>
    </w:p>
    <w:p w14:paraId="3DE24C8F">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w:t>
      </w:r>
      <w:r>
        <w:rPr>
          <w:rFonts w:hint="eastAsia" w:eastAsia="楷体_GB2312"/>
          <w:kern w:val="0"/>
          <w:sz w:val="32"/>
          <w:szCs w:val="32"/>
          <w:lang w:val="en-US" w:eastAsia="zh-CN" w:bidi="ar"/>
        </w:rPr>
        <w:t>五</w:t>
      </w:r>
      <w:r>
        <w:rPr>
          <w:rFonts w:eastAsia="楷体_GB2312"/>
          <w:kern w:val="0"/>
          <w:sz w:val="32"/>
          <w:szCs w:val="32"/>
          <w:lang w:bidi="ar"/>
        </w:rPr>
        <w:t>）专家库</w:t>
      </w:r>
      <w:bookmarkStart w:id="13" w:name="pindex70"/>
      <w:bookmarkEnd w:id="13"/>
    </w:p>
    <w:p w14:paraId="27E3CB9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为保证赛制设置与评审的科学性、公平性、合理性，通过选聘和网络征集的方式，邀请在</w:t>
      </w:r>
      <w:r>
        <w:rPr>
          <w:rFonts w:hint="default" w:eastAsia="仿宋_GB2312"/>
          <w:kern w:val="0"/>
          <w:sz w:val="32"/>
          <w:szCs w:val="32"/>
          <w:highlight w:val="white"/>
          <w:lang w:eastAsia="zh" w:bidi="ar"/>
        </w:rPr>
        <w:t>专利转化</w:t>
      </w:r>
      <w:r>
        <w:rPr>
          <w:rFonts w:eastAsia="仿宋_GB2312"/>
          <w:kern w:val="0"/>
          <w:sz w:val="32"/>
          <w:szCs w:val="32"/>
          <w:highlight w:val="white"/>
          <w:lang w:bidi="ar"/>
        </w:rPr>
        <w:t>、商标品牌、</w:t>
      </w:r>
      <w:r>
        <w:rPr>
          <w:rFonts w:hint="default" w:eastAsia="仿宋_GB2312"/>
          <w:kern w:val="0"/>
          <w:sz w:val="32"/>
          <w:szCs w:val="32"/>
          <w:highlight w:val="white"/>
          <w:lang w:bidi="ar"/>
        </w:rPr>
        <w:t>地理标志以及相关产业</w:t>
      </w:r>
      <w:r>
        <w:rPr>
          <w:rFonts w:eastAsia="仿宋_GB2312"/>
          <w:kern w:val="0"/>
          <w:sz w:val="32"/>
          <w:szCs w:val="32"/>
          <w:highlight w:val="white"/>
          <w:lang w:bidi="ar"/>
        </w:rPr>
        <w:t>技术、投融资等</w:t>
      </w:r>
      <w:r>
        <w:rPr>
          <w:rFonts w:hint="default" w:eastAsia="仿宋_GB2312"/>
          <w:kern w:val="0"/>
          <w:sz w:val="32"/>
          <w:szCs w:val="32"/>
          <w:highlight w:val="white"/>
          <w:lang w:eastAsia="zh" w:bidi="ar"/>
        </w:rPr>
        <w:t>领域</w:t>
      </w:r>
      <w:r>
        <w:rPr>
          <w:rFonts w:eastAsia="仿宋_GB2312"/>
          <w:kern w:val="0"/>
          <w:sz w:val="32"/>
          <w:szCs w:val="32"/>
          <w:highlight w:val="white"/>
          <w:lang w:bidi="ar"/>
        </w:rPr>
        <w:t>具有社会影响力的专家组建评审专家库，从中抽取赛</w:t>
      </w:r>
      <w:r>
        <w:rPr>
          <w:rFonts w:hint="default" w:eastAsia="仿宋_GB2312"/>
          <w:kern w:val="0"/>
          <w:sz w:val="32"/>
          <w:szCs w:val="32"/>
          <w:highlight w:val="white"/>
          <w:lang w:bidi="ar"/>
        </w:rPr>
        <w:t>事</w:t>
      </w:r>
      <w:r>
        <w:rPr>
          <w:rFonts w:eastAsia="仿宋_GB2312"/>
          <w:kern w:val="0"/>
          <w:sz w:val="32"/>
          <w:szCs w:val="32"/>
          <w:highlight w:val="white"/>
          <w:lang w:bidi="ar"/>
        </w:rPr>
        <w:t>指导专家、评审专家和培训专家，对赛</w:t>
      </w:r>
      <w:r>
        <w:rPr>
          <w:rFonts w:hint="default" w:eastAsia="仿宋_GB2312"/>
          <w:kern w:val="0"/>
          <w:sz w:val="32"/>
          <w:szCs w:val="32"/>
          <w:highlight w:val="white"/>
          <w:lang w:bidi="ar"/>
        </w:rPr>
        <w:t>事</w:t>
      </w:r>
      <w:r>
        <w:rPr>
          <w:rFonts w:eastAsia="仿宋_GB2312"/>
          <w:kern w:val="0"/>
          <w:sz w:val="32"/>
          <w:szCs w:val="32"/>
          <w:highlight w:val="white"/>
          <w:lang w:bidi="ar"/>
        </w:rPr>
        <w:t>提供专家服务支撑。专家库人数约</w:t>
      </w:r>
      <w:r>
        <w:rPr>
          <w:rFonts w:hint="default" w:eastAsia="仿宋_GB2312"/>
          <w:kern w:val="0"/>
          <w:sz w:val="32"/>
          <w:szCs w:val="32"/>
          <w:highlight w:val="white"/>
          <w:lang w:val="en-US" w:eastAsia="zh-CN" w:bidi="ar"/>
        </w:rPr>
        <w:t>3</w:t>
      </w:r>
      <w:r>
        <w:rPr>
          <w:rFonts w:eastAsia="仿宋_GB2312"/>
          <w:kern w:val="0"/>
          <w:sz w:val="32"/>
          <w:szCs w:val="32"/>
          <w:highlight w:val="white"/>
          <w:lang w:bidi="ar"/>
        </w:rPr>
        <w:t>00人。</w:t>
      </w:r>
    </w:p>
    <w:p w14:paraId="507688F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评审专家采用随机抽选的</w:t>
      </w:r>
      <w:r>
        <w:rPr>
          <w:rFonts w:hint="default" w:eastAsia="仿宋_GB2312"/>
          <w:kern w:val="0"/>
          <w:sz w:val="32"/>
          <w:szCs w:val="32"/>
          <w:highlight w:val="white"/>
          <w:lang w:eastAsia="zh" w:bidi="ar"/>
        </w:rPr>
        <w:t>形式产生</w:t>
      </w:r>
      <w:r>
        <w:rPr>
          <w:rFonts w:eastAsia="仿宋_GB2312"/>
          <w:kern w:val="0"/>
          <w:sz w:val="32"/>
          <w:szCs w:val="32"/>
          <w:highlight w:val="white"/>
          <w:lang w:bidi="ar"/>
        </w:rPr>
        <w:t>，</w:t>
      </w:r>
      <w:r>
        <w:rPr>
          <w:rFonts w:hint="default" w:eastAsia="仿宋_GB2312"/>
          <w:kern w:val="0"/>
          <w:sz w:val="32"/>
          <w:szCs w:val="32"/>
          <w:highlight w:val="white"/>
          <w:lang w:eastAsia="zh" w:bidi="ar"/>
        </w:rPr>
        <w:t>并按照</w:t>
      </w:r>
      <w:r>
        <w:rPr>
          <w:rFonts w:eastAsia="仿宋_GB2312"/>
          <w:kern w:val="0"/>
          <w:sz w:val="32"/>
          <w:szCs w:val="32"/>
          <w:highlight w:val="white"/>
          <w:lang w:bidi="ar"/>
        </w:rPr>
        <w:t>大赛评审规则，评选出各赛段晋级与获奖项目。</w:t>
      </w:r>
    </w:p>
    <w:p w14:paraId="4EB19977">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b/>
          <w:sz w:val="32"/>
        </w:rPr>
      </w:pPr>
      <w:r>
        <w:rPr>
          <w:rFonts w:hint="eastAsia" w:eastAsia="黑体"/>
          <w:kern w:val="0"/>
          <w:sz w:val="32"/>
          <w:szCs w:val="32"/>
          <w:lang w:val="zh-CN"/>
        </w:rPr>
        <w:t>三</w:t>
      </w:r>
      <w:r>
        <w:rPr>
          <w:rFonts w:eastAsia="黑体"/>
          <w:kern w:val="0"/>
          <w:sz w:val="32"/>
          <w:szCs w:val="32"/>
          <w:lang w:val="zh-CN"/>
        </w:rPr>
        <w:t>、时间</w:t>
      </w:r>
      <w:r>
        <w:rPr>
          <w:rFonts w:hint="eastAsia" w:eastAsia="黑体"/>
          <w:kern w:val="0"/>
          <w:sz w:val="32"/>
          <w:szCs w:val="32"/>
          <w:lang w:val="zh-CN"/>
        </w:rPr>
        <w:t>及地点</w:t>
      </w:r>
      <w:bookmarkStart w:id="14" w:name="pindex73"/>
      <w:bookmarkEnd w:id="14"/>
    </w:p>
    <w:p w14:paraId="61C53BBA">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ascii="楷体_GB2312" w:hAnsi="楷体_GB2312" w:eastAsia="楷体_GB2312"/>
          <w:sz w:val="32"/>
        </w:rPr>
      </w:pPr>
      <w:r>
        <w:rPr>
          <w:rFonts w:hint="eastAsia" w:ascii="楷体_GB2312" w:hAnsi="楷体_GB2312" w:eastAsia="楷体_GB2312"/>
          <w:kern w:val="0"/>
          <w:sz w:val="32"/>
          <w:szCs w:val="32"/>
        </w:rPr>
        <w:t>（一）比赛时间</w:t>
      </w:r>
    </w:p>
    <w:p w14:paraId="52ED7BF5">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2025年7—12月。</w:t>
      </w:r>
      <w:r>
        <w:rPr>
          <w:rFonts w:eastAsia="仿宋_GB2312"/>
          <w:kern w:val="0"/>
          <w:sz w:val="32"/>
          <w:szCs w:val="32"/>
          <w:highlight w:val="white"/>
          <w:lang w:bidi="ar"/>
        </w:rPr>
        <w:t>其中，大赛启动至9月初为项目征集阶段，9月为初赛阶段，10</w:t>
      </w:r>
      <w:r>
        <w:rPr>
          <w:rFonts w:hint="default" w:eastAsia="仿宋_GB2312"/>
          <w:kern w:val="0"/>
          <w:sz w:val="32"/>
          <w:szCs w:val="32"/>
          <w:highlight w:val="white"/>
          <w:lang w:bidi="ar"/>
        </w:rPr>
        <w:t>—</w:t>
      </w:r>
      <w:r>
        <w:rPr>
          <w:rFonts w:eastAsia="仿宋_GB2312"/>
          <w:kern w:val="0"/>
          <w:sz w:val="32"/>
          <w:szCs w:val="32"/>
          <w:highlight w:val="white"/>
          <w:lang w:bidi="ar"/>
        </w:rPr>
        <w:t>12月为决赛及颁奖阶段。</w:t>
      </w:r>
      <w:bookmarkStart w:id="15" w:name="pindex74"/>
      <w:bookmarkEnd w:id="15"/>
    </w:p>
    <w:p w14:paraId="1E135BFD">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ascii="楷体_GB2312" w:hAnsi="楷体_GB2312" w:eastAsia="楷体_GB2312"/>
          <w:sz w:val="32"/>
        </w:rPr>
      </w:pPr>
      <w:r>
        <w:rPr>
          <w:rFonts w:hint="eastAsia" w:ascii="楷体_GB2312" w:hAnsi="楷体_GB2312" w:eastAsia="楷体_GB2312"/>
          <w:kern w:val="0"/>
          <w:sz w:val="32"/>
          <w:szCs w:val="32"/>
        </w:rPr>
        <w:t>（二）比赛地点</w:t>
      </w:r>
    </w:p>
    <w:p w14:paraId="0ADE5BC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韶关市</w:t>
      </w:r>
      <w:r>
        <w:rPr>
          <w:rFonts w:hint="default" w:eastAsia="仿宋_GB2312"/>
          <w:kern w:val="0"/>
          <w:sz w:val="32"/>
          <w:szCs w:val="32"/>
          <w:highlight w:val="white"/>
          <w:lang w:bidi="ar"/>
        </w:rPr>
        <w:t>。</w:t>
      </w:r>
      <w:bookmarkStart w:id="16" w:name="pindex75"/>
      <w:bookmarkEnd w:id="16"/>
    </w:p>
    <w:p w14:paraId="6D884BC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lang w:val="zh-CN"/>
        </w:rPr>
        <w:t>四、参赛要求</w:t>
      </w:r>
      <w:bookmarkStart w:id="17" w:name="pindex76"/>
      <w:bookmarkEnd w:id="17"/>
    </w:p>
    <w:p w14:paraId="19C1C637">
      <w:pPr>
        <w:keepNext w:val="0"/>
        <w:keepLines w:val="0"/>
        <w:pageBreakBefore w:val="0"/>
        <w:kinsoku/>
        <w:wordWrap/>
        <w:overflowPunct/>
        <w:topLinePunct w:val="0"/>
        <w:bidi w:val="0"/>
        <w:adjustRightInd w:val="0"/>
        <w:snapToGrid w:val="0"/>
        <w:spacing w:line="560" w:lineRule="exact"/>
        <w:ind w:firstLine="608" w:firstLineChars="200"/>
        <w:jc w:val="left"/>
        <w:textAlignment w:val="auto"/>
        <w:rPr>
          <w:rFonts w:eastAsia="楷体_GB2312"/>
          <w:sz w:val="32"/>
        </w:rPr>
      </w:pPr>
      <w:r>
        <w:rPr>
          <w:rFonts w:eastAsia="楷体_GB2312"/>
          <w:kern w:val="0"/>
          <w:sz w:val="32"/>
          <w:szCs w:val="32"/>
        </w:rPr>
        <w:t>（一）</w:t>
      </w:r>
      <w:r>
        <w:rPr>
          <w:rFonts w:eastAsia="楷体_GB2312"/>
          <w:kern w:val="0"/>
          <w:sz w:val="32"/>
          <w:szCs w:val="32"/>
          <w:lang w:bidi="ar"/>
        </w:rPr>
        <w:t>分组设置</w:t>
      </w:r>
      <w:bookmarkStart w:id="18" w:name="sys77844"/>
    </w:p>
    <w:p w14:paraId="3E04765F">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eastAsia="仿宋_GB2312"/>
          <w:kern w:val="0"/>
          <w:sz w:val="32"/>
          <w:szCs w:val="32"/>
          <w:highlight w:val="white"/>
          <w:lang w:bidi="ar"/>
        </w:rPr>
      </w:pPr>
      <w:r>
        <w:rPr>
          <w:rFonts w:eastAsia="仿宋_GB2312"/>
          <w:kern w:val="0"/>
          <w:sz w:val="32"/>
          <w:szCs w:val="32"/>
          <w:highlight w:val="white"/>
          <w:lang w:bidi="ar"/>
        </w:rPr>
        <w:t>本届大赛</w:t>
      </w:r>
      <w:r>
        <w:rPr>
          <w:rFonts w:hint="default" w:eastAsia="仿宋_GB2312"/>
          <w:kern w:val="0"/>
          <w:sz w:val="32"/>
          <w:szCs w:val="32"/>
          <w:highlight w:val="white"/>
          <w:lang w:bidi="ar"/>
        </w:rPr>
        <w:t>分专利组、商标组、地理标志组，其中专利组分为初创组和成长组，</w:t>
      </w:r>
      <w:r>
        <w:rPr>
          <w:rFonts w:eastAsia="仿宋_GB2312"/>
          <w:kern w:val="0"/>
          <w:sz w:val="32"/>
          <w:szCs w:val="32"/>
          <w:highlight w:val="white"/>
          <w:lang w:bidi="ar"/>
        </w:rPr>
        <w:t>各组分别进行比赛。</w:t>
      </w:r>
      <w:bookmarkEnd w:id="18"/>
      <w:bookmarkStart w:id="19" w:name="pindex77"/>
      <w:bookmarkEnd w:id="19"/>
    </w:p>
    <w:p w14:paraId="380050E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楷体_GB2312"/>
          <w:kern w:val="0"/>
          <w:sz w:val="32"/>
          <w:szCs w:val="32"/>
          <w:lang w:bidi="ar"/>
        </w:rPr>
        <w:t>（</w:t>
      </w:r>
      <w:r>
        <w:rPr>
          <w:rFonts w:hint="eastAsia" w:eastAsia="楷体_GB2312"/>
          <w:kern w:val="0"/>
          <w:sz w:val="32"/>
          <w:szCs w:val="32"/>
          <w:lang w:val="en-US" w:eastAsia="zh-CN" w:bidi="ar"/>
        </w:rPr>
        <w:t>二</w:t>
      </w:r>
      <w:r>
        <w:rPr>
          <w:rFonts w:eastAsia="楷体_GB2312"/>
          <w:kern w:val="0"/>
          <w:sz w:val="32"/>
          <w:szCs w:val="32"/>
          <w:lang w:bidi="ar"/>
        </w:rPr>
        <w:t>）参赛主体（团队）要求</w:t>
      </w:r>
    </w:p>
    <w:p w14:paraId="5883DCB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1</w:t>
      </w:r>
      <w:r>
        <w:rPr>
          <w:rFonts w:hint="eastAsia"/>
          <w:kern w:val="0"/>
          <w:sz w:val="32"/>
          <w:szCs w:val="32"/>
          <w:highlight w:val="white"/>
          <w:lang w:val="en-US" w:eastAsia="zh-CN" w:bidi="ar"/>
        </w:rPr>
        <w:t>．</w:t>
      </w:r>
      <w:r>
        <w:rPr>
          <w:rFonts w:eastAsia="仿宋_GB2312"/>
          <w:kern w:val="0"/>
          <w:sz w:val="32"/>
          <w:szCs w:val="32"/>
          <w:highlight w:val="white"/>
          <w:lang w:bidi="ar"/>
        </w:rPr>
        <w:t>专利</w:t>
      </w:r>
      <w:r>
        <w:rPr>
          <w:rFonts w:hint="eastAsia" w:eastAsia="仿宋_GB2312"/>
          <w:kern w:val="0"/>
          <w:sz w:val="32"/>
          <w:szCs w:val="32"/>
          <w:highlight w:val="white"/>
          <w:lang w:eastAsia="zh-CN" w:bidi="ar"/>
        </w:rPr>
        <w:t>组</w:t>
      </w:r>
      <w:r>
        <w:rPr>
          <w:rFonts w:eastAsia="仿宋_GB2312"/>
          <w:kern w:val="0"/>
          <w:sz w:val="32"/>
          <w:szCs w:val="32"/>
          <w:highlight w:val="white"/>
          <w:lang w:bidi="ar"/>
        </w:rPr>
        <w:t>/商标组参赛主体为在国内注册的企业、高校、科研院所等</w:t>
      </w:r>
      <w:r>
        <w:rPr>
          <w:rFonts w:hint="default" w:eastAsia="仿宋_GB2312"/>
          <w:kern w:val="0"/>
          <w:sz w:val="32"/>
          <w:szCs w:val="32"/>
          <w:highlight w:val="white"/>
          <w:lang w:eastAsia="zh-CN" w:bidi="ar"/>
        </w:rPr>
        <w:t>经营主体，其中，</w:t>
      </w:r>
      <w:r>
        <w:rPr>
          <w:rFonts w:eastAsia="仿宋_GB2312"/>
          <w:kern w:val="0"/>
          <w:sz w:val="32"/>
          <w:szCs w:val="32"/>
          <w:highlight w:val="white"/>
          <w:lang w:bidi="ar"/>
        </w:rPr>
        <w:t>在</w:t>
      </w:r>
      <w:r>
        <w:rPr>
          <w:rFonts w:hint="default" w:eastAsia="仿宋_GB2312"/>
          <w:kern w:val="0"/>
          <w:sz w:val="32"/>
          <w:szCs w:val="32"/>
          <w:highlight w:val="white"/>
          <w:lang w:bidi="ar"/>
        </w:rPr>
        <w:t>粤东西北</w:t>
      </w:r>
      <w:r>
        <w:rPr>
          <w:rFonts w:hint="eastAsia" w:eastAsia="仿宋_GB2312"/>
          <w:kern w:val="0"/>
          <w:sz w:val="32"/>
          <w:szCs w:val="32"/>
          <w:highlight w:val="white"/>
          <w:lang w:eastAsia="zh-CN" w:bidi="ar"/>
        </w:rPr>
        <w:t>地区</w:t>
      </w:r>
      <w:r>
        <w:rPr>
          <w:rFonts w:hint="default" w:eastAsia="仿宋_GB2312"/>
          <w:kern w:val="0"/>
          <w:sz w:val="32"/>
          <w:szCs w:val="32"/>
          <w:highlight w:val="white"/>
          <w:lang w:bidi="ar"/>
        </w:rPr>
        <w:t>相关地市以</w:t>
      </w:r>
      <w:r>
        <w:rPr>
          <w:rFonts w:eastAsia="仿宋_GB2312"/>
          <w:kern w:val="0"/>
          <w:sz w:val="32"/>
          <w:szCs w:val="32"/>
          <w:highlight w:val="white"/>
          <w:lang w:bidi="ar"/>
        </w:rPr>
        <w:t>外</w:t>
      </w:r>
      <w:r>
        <w:rPr>
          <w:rFonts w:hint="default" w:eastAsia="仿宋_GB2312"/>
          <w:kern w:val="0"/>
          <w:sz w:val="32"/>
          <w:szCs w:val="32"/>
          <w:highlight w:val="white"/>
          <w:lang w:bidi="ar"/>
        </w:rPr>
        <w:t>的地区或国家</w:t>
      </w:r>
      <w:r>
        <w:rPr>
          <w:rFonts w:eastAsia="仿宋_GB2312"/>
          <w:kern w:val="0"/>
          <w:sz w:val="32"/>
          <w:szCs w:val="32"/>
          <w:highlight w:val="white"/>
          <w:lang w:bidi="ar"/>
        </w:rPr>
        <w:t>注册的</w:t>
      </w:r>
      <w:r>
        <w:rPr>
          <w:rFonts w:hint="default" w:eastAsia="仿宋_GB2312"/>
          <w:kern w:val="0"/>
          <w:sz w:val="32"/>
          <w:szCs w:val="32"/>
          <w:highlight w:val="white"/>
          <w:lang w:bidi="ar"/>
        </w:rPr>
        <w:t>经营</w:t>
      </w:r>
      <w:r>
        <w:rPr>
          <w:rFonts w:eastAsia="仿宋_GB2312"/>
          <w:kern w:val="0"/>
          <w:sz w:val="32"/>
          <w:szCs w:val="32"/>
          <w:highlight w:val="white"/>
          <w:lang w:bidi="ar"/>
        </w:rPr>
        <w:t>主体且相关知识产权已在或有意在粤东西北</w:t>
      </w:r>
      <w:r>
        <w:rPr>
          <w:rFonts w:hint="eastAsia" w:eastAsia="仿宋_GB2312"/>
          <w:kern w:val="0"/>
          <w:sz w:val="32"/>
          <w:szCs w:val="32"/>
          <w:highlight w:val="white"/>
          <w:lang w:eastAsia="zh-CN" w:bidi="ar"/>
        </w:rPr>
        <w:t>地区</w:t>
      </w:r>
      <w:r>
        <w:rPr>
          <w:rFonts w:hint="default" w:eastAsia="仿宋_GB2312"/>
          <w:kern w:val="0"/>
          <w:sz w:val="32"/>
          <w:szCs w:val="32"/>
          <w:highlight w:val="white"/>
          <w:lang w:bidi="ar"/>
        </w:rPr>
        <w:t>相关地市</w:t>
      </w:r>
      <w:r>
        <w:rPr>
          <w:rFonts w:eastAsia="仿宋_GB2312"/>
          <w:kern w:val="0"/>
          <w:sz w:val="32"/>
          <w:szCs w:val="32"/>
          <w:highlight w:val="white"/>
          <w:lang w:bidi="ar"/>
        </w:rPr>
        <w:t>进行转化落地（许可、转让、作价入股等）的，应与粤东西北</w:t>
      </w:r>
      <w:r>
        <w:rPr>
          <w:rFonts w:hint="eastAsia" w:eastAsia="仿宋_GB2312"/>
          <w:kern w:val="0"/>
          <w:sz w:val="32"/>
          <w:szCs w:val="32"/>
          <w:highlight w:val="white"/>
          <w:lang w:eastAsia="zh-CN" w:bidi="ar"/>
        </w:rPr>
        <w:t>地区</w:t>
      </w:r>
      <w:r>
        <w:rPr>
          <w:rFonts w:eastAsia="仿宋_GB2312"/>
          <w:kern w:val="0"/>
          <w:sz w:val="32"/>
          <w:szCs w:val="32"/>
          <w:highlight w:val="white"/>
          <w:lang w:bidi="ar"/>
        </w:rPr>
        <w:t>相关地市内转化落地的合作主体联合报名参赛</w:t>
      </w:r>
      <w:r>
        <w:rPr>
          <w:rFonts w:hint="eastAsia" w:eastAsia="仿宋_GB2312"/>
          <w:kern w:val="0"/>
          <w:sz w:val="32"/>
          <w:szCs w:val="32"/>
          <w:highlight w:val="white"/>
          <w:lang w:eastAsia="zh-CN" w:bidi="ar"/>
        </w:rPr>
        <w:t>，</w:t>
      </w:r>
      <w:r>
        <w:rPr>
          <w:rFonts w:hint="default" w:eastAsia="仿宋_GB2312"/>
          <w:kern w:val="0"/>
          <w:sz w:val="32"/>
          <w:szCs w:val="32"/>
          <w:highlight w:val="white"/>
          <w:lang w:bidi="ar"/>
        </w:rPr>
        <w:t>不受理粤东西北</w:t>
      </w:r>
      <w:r>
        <w:rPr>
          <w:rFonts w:hint="eastAsia" w:eastAsia="仿宋_GB2312"/>
          <w:kern w:val="0"/>
          <w:sz w:val="32"/>
          <w:szCs w:val="32"/>
          <w:highlight w:val="white"/>
          <w:lang w:eastAsia="zh-CN" w:bidi="ar"/>
        </w:rPr>
        <w:t>地区</w:t>
      </w:r>
      <w:r>
        <w:rPr>
          <w:rFonts w:hint="default" w:eastAsia="仿宋_GB2312"/>
          <w:kern w:val="0"/>
          <w:sz w:val="32"/>
          <w:szCs w:val="32"/>
          <w:highlight w:val="white"/>
          <w:lang w:bidi="ar"/>
        </w:rPr>
        <w:t>相关地市以外注册的经营主体独立参赛。</w:t>
      </w:r>
    </w:p>
    <w:p w14:paraId="3D12130F">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hint="eastAsia" w:eastAsia="仿宋_GB2312"/>
          <w:kern w:val="0"/>
          <w:sz w:val="32"/>
          <w:szCs w:val="32"/>
          <w:highlight w:val="white"/>
          <w:lang w:eastAsia="zh-CN" w:bidi="ar"/>
        </w:rPr>
      </w:pPr>
      <w:r>
        <w:rPr>
          <w:rFonts w:hint="eastAsia" w:eastAsia="仿宋_GB2312"/>
          <w:kern w:val="0"/>
          <w:sz w:val="32"/>
          <w:szCs w:val="32"/>
          <w:highlight w:val="white"/>
          <w:lang w:eastAsia="zh-CN" w:bidi="ar"/>
        </w:rPr>
        <w:t>地理标志组参赛主体需为</w:t>
      </w:r>
      <w:r>
        <w:rPr>
          <w:rFonts w:eastAsia="仿宋_GB2312"/>
          <w:kern w:val="0"/>
          <w:sz w:val="32"/>
          <w:szCs w:val="32"/>
          <w:highlight w:val="white"/>
          <w:lang w:bidi="ar"/>
        </w:rPr>
        <w:t>在</w:t>
      </w:r>
      <w:r>
        <w:rPr>
          <w:rFonts w:hint="eastAsia" w:eastAsia="仿宋_GB2312"/>
          <w:kern w:val="0"/>
          <w:sz w:val="32"/>
          <w:szCs w:val="32"/>
          <w:highlight w:val="white"/>
          <w:lang w:eastAsia="zh-CN" w:bidi="ar"/>
        </w:rPr>
        <w:t>粤东西北地区</w:t>
      </w:r>
      <w:r>
        <w:rPr>
          <w:rFonts w:eastAsia="仿宋_GB2312"/>
          <w:kern w:val="0"/>
          <w:sz w:val="32"/>
          <w:szCs w:val="32"/>
          <w:highlight w:val="white"/>
          <w:lang w:bidi="ar"/>
        </w:rPr>
        <w:t>注册的</w:t>
      </w:r>
      <w:r>
        <w:rPr>
          <w:rFonts w:hint="eastAsia" w:eastAsia="仿宋_GB2312"/>
          <w:kern w:val="0"/>
          <w:sz w:val="32"/>
          <w:szCs w:val="32"/>
          <w:highlight w:val="white"/>
          <w:lang w:eastAsia="zh-CN" w:bidi="ar"/>
        </w:rPr>
        <w:t>相关</w:t>
      </w:r>
      <w:r>
        <w:rPr>
          <w:rFonts w:hint="default" w:eastAsia="仿宋_GB2312"/>
          <w:kern w:val="0"/>
          <w:sz w:val="32"/>
          <w:szCs w:val="32"/>
          <w:highlight w:val="white"/>
          <w:lang w:eastAsia="zh-CN" w:bidi="ar"/>
        </w:rPr>
        <w:t>经营主体</w:t>
      </w:r>
      <w:r>
        <w:rPr>
          <w:rFonts w:hint="eastAsia" w:eastAsia="仿宋_GB2312"/>
          <w:kern w:val="0"/>
          <w:sz w:val="32"/>
          <w:szCs w:val="32"/>
          <w:highlight w:val="white"/>
          <w:lang w:eastAsia="zh-CN" w:bidi="ar"/>
        </w:rPr>
        <w:t>。</w:t>
      </w:r>
    </w:p>
    <w:p w14:paraId="39C8CB78">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2</w:t>
      </w:r>
      <w:r>
        <w:rPr>
          <w:rFonts w:hint="eastAsia"/>
          <w:kern w:val="0"/>
          <w:sz w:val="32"/>
          <w:szCs w:val="32"/>
          <w:highlight w:val="white"/>
          <w:lang w:val="en-US" w:eastAsia="zh-CN" w:bidi="ar"/>
        </w:rPr>
        <w:t>．</w:t>
      </w:r>
      <w:r>
        <w:rPr>
          <w:rFonts w:eastAsia="仿宋_GB2312"/>
          <w:kern w:val="0"/>
          <w:sz w:val="32"/>
          <w:szCs w:val="32"/>
          <w:highlight w:val="white"/>
          <w:lang w:bidi="ar"/>
        </w:rPr>
        <w:t>专利</w:t>
      </w:r>
      <w:r>
        <w:rPr>
          <w:rFonts w:hint="eastAsia" w:eastAsia="仿宋_GB2312"/>
          <w:kern w:val="0"/>
          <w:sz w:val="32"/>
          <w:szCs w:val="32"/>
          <w:highlight w:val="white"/>
          <w:lang w:eastAsia="zh-CN" w:bidi="ar"/>
        </w:rPr>
        <w:t>组</w:t>
      </w:r>
      <w:r>
        <w:rPr>
          <w:rFonts w:eastAsia="仿宋_GB2312"/>
          <w:kern w:val="0"/>
          <w:sz w:val="32"/>
          <w:szCs w:val="32"/>
          <w:highlight w:val="white"/>
          <w:lang w:bidi="ar"/>
        </w:rPr>
        <w:t>/商标组参赛主体应为参赛项目相关专利/商标权利人（企业、高校、科研院所等），或由权利人与知识产权服务机构等联合组队参赛；</w:t>
      </w:r>
      <w:r>
        <w:rPr>
          <w:rFonts w:hint="default" w:eastAsia="仿宋_GB2312"/>
          <w:kern w:val="0"/>
          <w:sz w:val="32"/>
          <w:szCs w:val="32"/>
          <w:highlight w:val="white"/>
          <w:lang w:bidi="ar"/>
        </w:rPr>
        <w:t>地理标志组参赛主体为参赛项目的地理标志专用标志合法使用人</w:t>
      </w:r>
      <w:r>
        <w:rPr>
          <w:rFonts w:hint="default" w:ascii="Times New Roman" w:eastAsia="仿宋_GB2312"/>
          <w:color w:val="000000"/>
          <w:kern w:val="0"/>
          <w:sz w:val="32"/>
          <w:szCs w:val="32"/>
          <w:highlight w:val="white"/>
          <w:lang w:bidi="ar"/>
        </w:rPr>
        <w:t>。</w:t>
      </w:r>
      <w:r>
        <w:rPr>
          <w:rFonts w:eastAsia="仿宋_GB2312"/>
          <w:kern w:val="0"/>
          <w:sz w:val="32"/>
          <w:szCs w:val="32"/>
          <w:highlight w:val="white"/>
          <w:lang w:bidi="ar"/>
        </w:rPr>
        <w:t>知识产权服务机构不可独立作为参赛主体参赛。</w:t>
      </w:r>
    </w:p>
    <w:p w14:paraId="7DCF7F7C">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3</w:t>
      </w:r>
      <w:r>
        <w:rPr>
          <w:rFonts w:hint="eastAsia"/>
          <w:kern w:val="0"/>
          <w:sz w:val="32"/>
          <w:szCs w:val="32"/>
          <w:highlight w:val="white"/>
          <w:lang w:val="en-US" w:eastAsia="zh-CN" w:bidi="ar"/>
        </w:rPr>
        <w:t>．</w:t>
      </w:r>
      <w:r>
        <w:rPr>
          <w:rFonts w:eastAsia="仿宋_GB2312"/>
          <w:kern w:val="0"/>
          <w:sz w:val="32"/>
          <w:szCs w:val="32"/>
          <w:highlight w:val="white"/>
          <w:lang w:bidi="ar"/>
        </w:rPr>
        <w:t>参赛项目牵头主体必须为项目核心专利/商标权利人（之一）。如果参赛主体为核心专利/商标的多个权利人之一的，且其他权利人不联合参赛，参赛事项应获得其他权利人的书面同意。</w:t>
      </w:r>
    </w:p>
    <w:p w14:paraId="260B844D">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4</w:t>
      </w:r>
      <w:r>
        <w:rPr>
          <w:rFonts w:hint="eastAsia"/>
          <w:kern w:val="0"/>
          <w:sz w:val="32"/>
          <w:szCs w:val="32"/>
          <w:highlight w:val="white"/>
          <w:lang w:val="en-US" w:eastAsia="zh-CN" w:bidi="ar"/>
        </w:rPr>
        <w:t>．</w:t>
      </w:r>
      <w:r>
        <w:rPr>
          <w:rFonts w:eastAsia="仿宋_GB2312"/>
          <w:kern w:val="0"/>
          <w:sz w:val="32"/>
          <w:szCs w:val="32"/>
          <w:highlight w:val="white"/>
          <w:lang w:bidi="ar"/>
        </w:rPr>
        <w:t>参赛团队成员可包括参赛主体在册员工和服务机构在册员工。一经报名，参赛团队中的服务机构成员不可变更，参赛主体成员若发生变更，应经执委会同意并在网</w:t>
      </w:r>
      <w:r>
        <w:rPr>
          <w:rFonts w:hint="default" w:eastAsia="仿宋_GB2312"/>
          <w:kern w:val="0"/>
          <w:sz w:val="32"/>
          <w:szCs w:val="32"/>
          <w:highlight w:val="white"/>
          <w:lang w:bidi="ar"/>
        </w:rPr>
        <w:t>络</w:t>
      </w:r>
      <w:r>
        <w:rPr>
          <w:rFonts w:eastAsia="仿宋_GB2312"/>
          <w:kern w:val="0"/>
          <w:sz w:val="32"/>
          <w:szCs w:val="32"/>
          <w:highlight w:val="white"/>
          <w:lang w:bidi="ar"/>
        </w:rPr>
        <w:t>公示后更换。大赛中上场答辩</w:t>
      </w:r>
      <w:r>
        <w:rPr>
          <w:rFonts w:hint="default" w:eastAsia="仿宋_GB2312"/>
          <w:kern w:val="0"/>
          <w:sz w:val="32"/>
          <w:szCs w:val="32"/>
          <w:highlight w:val="white"/>
          <w:lang w:bidi="ar"/>
        </w:rPr>
        <w:t>或路演</w:t>
      </w:r>
      <w:r>
        <w:rPr>
          <w:rFonts w:eastAsia="仿宋_GB2312"/>
          <w:kern w:val="0"/>
          <w:sz w:val="32"/>
          <w:szCs w:val="32"/>
          <w:highlight w:val="white"/>
          <w:lang w:bidi="ar"/>
        </w:rPr>
        <w:t>的人员，必须是已报名的参赛团队成员。</w:t>
      </w:r>
    </w:p>
    <w:p w14:paraId="6B9A22E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5</w:t>
      </w:r>
      <w:r>
        <w:rPr>
          <w:rFonts w:hint="eastAsia"/>
          <w:kern w:val="0"/>
          <w:sz w:val="32"/>
          <w:szCs w:val="32"/>
          <w:highlight w:val="white"/>
          <w:lang w:val="en-US" w:eastAsia="zh-CN" w:bidi="ar"/>
        </w:rPr>
        <w:t>．</w:t>
      </w:r>
      <w:r>
        <w:rPr>
          <w:rFonts w:eastAsia="仿宋_GB2312"/>
          <w:kern w:val="0"/>
          <w:sz w:val="32"/>
          <w:szCs w:val="32"/>
          <w:highlight w:val="white"/>
          <w:lang w:bidi="ar"/>
        </w:rPr>
        <w:t>知识产权服务机构参加联合参赛项目实行回避制度</w:t>
      </w:r>
      <w:r>
        <w:rPr>
          <w:rFonts w:hint="default" w:eastAsia="仿宋_GB2312"/>
          <w:kern w:val="0"/>
          <w:sz w:val="32"/>
          <w:szCs w:val="32"/>
          <w:highlight w:val="white"/>
          <w:lang w:bidi="ar"/>
        </w:rPr>
        <w:t>，</w:t>
      </w:r>
      <w:r>
        <w:rPr>
          <w:rFonts w:eastAsia="仿宋_GB2312"/>
          <w:kern w:val="0"/>
          <w:sz w:val="32"/>
          <w:szCs w:val="32"/>
          <w:highlight w:val="white"/>
          <w:lang w:bidi="ar"/>
        </w:rPr>
        <w:t>同一个服务机构不能派员同时参加比赛和</w:t>
      </w:r>
      <w:r>
        <w:rPr>
          <w:rFonts w:hint="default" w:eastAsia="仿宋_GB2312"/>
          <w:kern w:val="0"/>
          <w:sz w:val="32"/>
          <w:szCs w:val="32"/>
          <w:highlight w:val="white"/>
          <w:lang w:bidi="ar"/>
        </w:rPr>
        <w:t>参与</w:t>
      </w:r>
      <w:r>
        <w:rPr>
          <w:rFonts w:eastAsia="仿宋_GB2312"/>
          <w:kern w:val="0"/>
          <w:sz w:val="32"/>
          <w:szCs w:val="32"/>
          <w:highlight w:val="white"/>
          <w:lang w:bidi="ar"/>
        </w:rPr>
        <w:t>大赛指导、评审、仲裁等工作。</w:t>
      </w:r>
    </w:p>
    <w:p w14:paraId="552DFD22">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6</w:t>
      </w:r>
      <w:r>
        <w:rPr>
          <w:rFonts w:hint="eastAsia"/>
          <w:kern w:val="0"/>
          <w:sz w:val="32"/>
          <w:szCs w:val="32"/>
          <w:highlight w:val="white"/>
          <w:lang w:val="en-US" w:eastAsia="zh-CN" w:bidi="ar"/>
        </w:rPr>
        <w:t>．</w:t>
      </w:r>
      <w:r>
        <w:rPr>
          <w:rFonts w:eastAsia="仿宋_GB2312"/>
          <w:kern w:val="0"/>
          <w:sz w:val="32"/>
          <w:szCs w:val="32"/>
          <w:highlight w:val="white"/>
          <w:lang w:bidi="ar"/>
        </w:rPr>
        <w:t>参赛主体应</w:t>
      </w:r>
      <w:r>
        <w:rPr>
          <w:rFonts w:hint="default" w:eastAsia="仿宋_GB2312"/>
          <w:kern w:val="0"/>
          <w:sz w:val="32"/>
          <w:szCs w:val="32"/>
          <w:highlight w:val="white"/>
          <w:lang w:eastAsia="zh" w:bidi="ar"/>
        </w:rPr>
        <w:t>具有良好</w:t>
      </w:r>
      <w:r>
        <w:rPr>
          <w:rFonts w:eastAsia="仿宋_GB2312"/>
          <w:kern w:val="0"/>
          <w:sz w:val="32"/>
          <w:szCs w:val="32"/>
          <w:highlight w:val="white"/>
          <w:lang w:bidi="ar"/>
        </w:rPr>
        <w:t>社会形象，无违法、违规和严重失信行为等不良记录。参赛主体如被列入“信用中国”网站“严重失信主体名单”，或一年内因产品质量安全等问题受到行政处罚而影响品牌声誉的，将采取“一票否决制”，直接取消其参赛资格。</w:t>
      </w:r>
    </w:p>
    <w:p w14:paraId="235469DA">
      <w:pPr>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w:t>
      </w:r>
      <w:r>
        <w:rPr>
          <w:rFonts w:hint="eastAsia" w:eastAsia="楷体_GB2312"/>
          <w:kern w:val="0"/>
          <w:sz w:val="32"/>
          <w:szCs w:val="32"/>
          <w:lang w:val="en-US" w:eastAsia="zh-CN" w:bidi="ar"/>
        </w:rPr>
        <w:t>三</w:t>
      </w:r>
      <w:r>
        <w:rPr>
          <w:rFonts w:eastAsia="楷体_GB2312"/>
          <w:kern w:val="0"/>
          <w:sz w:val="32"/>
          <w:szCs w:val="32"/>
          <w:lang w:bidi="ar"/>
        </w:rPr>
        <w:t>）参赛项目要求</w:t>
      </w:r>
    </w:p>
    <w:p w14:paraId="30138979">
      <w:pPr>
        <w:keepNext w:val="0"/>
        <w:keepLines w:val="0"/>
        <w:pageBreakBefore w:val="0"/>
        <w:widowControl/>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为充分吸引省内外创新成果到粤东西北地区落地转化，推动一批高价值专利在粤东西北地区实现产业化，在大赛项目征集结束前，</w:t>
      </w:r>
      <w:r>
        <w:rPr>
          <w:rFonts w:hint="default" w:eastAsia="仿宋_GB2312"/>
          <w:kern w:val="0"/>
          <w:sz w:val="32"/>
          <w:szCs w:val="32"/>
          <w:highlight w:val="white"/>
          <w:lang w:eastAsia="zh" w:bidi="ar"/>
        </w:rPr>
        <w:t>参赛项目需</w:t>
      </w:r>
      <w:r>
        <w:rPr>
          <w:rFonts w:eastAsia="仿宋_GB2312"/>
          <w:kern w:val="0"/>
          <w:sz w:val="32"/>
          <w:szCs w:val="32"/>
          <w:highlight w:val="white"/>
          <w:lang w:bidi="ar"/>
        </w:rPr>
        <w:t>已经在粤东西北</w:t>
      </w:r>
      <w:r>
        <w:rPr>
          <w:rFonts w:hint="eastAsia" w:eastAsia="仿宋_GB2312"/>
          <w:kern w:val="0"/>
          <w:sz w:val="32"/>
          <w:szCs w:val="32"/>
          <w:highlight w:val="white"/>
          <w:lang w:eastAsia="zh-CN" w:bidi="ar"/>
        </w:rPr>
        <w:t>地区</w:t>
      </w:r>
      <w:r>
        <w:rPr>
          <w:rFonts w:eastAsia="仿宋_GB2312"/>
          <w:kern w:val="0"/>
          <w:sz w:val="32"/>
          <w:szCs w:val="32"/>
          <w:highlight w:val="white"/>
          <w:lang w:bidi="ar"/>
        </w:rPr>
        <w:t>相关地市落地转化的项目或有意在粤东西北</w:t>
      </w:r>
      <w:r>
        <w:rPr>
          <w:rFonts w:hint="eastAsia" w:eastAsia="仿宋_GB2312"/>
          <w:kern w:val="0"/>
          <w:sz w:val="32"/>
          <w:szCs w:val="32"/>
          <w:highlight w:val="white"/>
          <w:lang w:eastAsia="zh-CN" w:bidi="ar"/>
        </w:rPr>
        <w:t>地区</w:t>
      </w:r>
      <w:r>
        <w:rPr>
          <w:rFonts w:eastAsia="仿宋_GB2312"/>
          <w:kern w:val="0"/>
          <w:sz w:val="32"/>
          <w:szCs w:val="32"/>
          <w:highlight w:val="white"/>
          <w:lang w:bidi="ar"/>
        </w:rPr>
        <w:t>相关地市落地转化的项目，不受地域限制。</w:t>
      </w:r>
      <w:bookmarkStart w:id="20" w:name="pindex78"/>
      <w:bookmarkEnd w:id="20"/>
    </w:p>
    <w:p w14:paraId="1D91196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hint="eastAsia" w:eastAsia="仿宋_GB2312"/>
          <w:kern w:val="0"/>
          <w:sz w:val="32"/>
          <w:szCs w:val="32"/>
          <w:highlight w:val="white"/>
          <w:lang w:eastAsia="zh-CN" w:bidi="ar"/>
        </w:rPr>
      </w:pPr>
      <w:bookmarkStart w:id="21" w:name="sys79036"/>
      <w:r>
        <w:rPr>
          <w:rFonts w:eastAsia="仿宋_GB2312"/>
          <w:kern w:val="0"/>
          <w:sz w:val="32"/>
          <w:szCs w:val="32"/>
          <w:highlight w:val="white"/>
          <w:lang w:bidi="ar"/>
        </w:rPr>
        <w:t>1</w:t>
      </w:r>
      <w:r>
        <w:rPr>
          <w:rFonts w:hint="eastAsia"/>
          <w:kern w:val="0"/>
          <w:sz w:val="32"/>
          <w:szCs w:val="32"/>
          <w:highlight w:val="white"/>
          <w:lang w:eastAsia="zh-CN" w:bidi="ar"/>
        </w:rPr>
        <w:t>．</w:t>
      </w:r>
      <w:r>
        <w:rPr>
          <w:rFonts w:hint="default" w:eastAsia="仿宋_GB2312"/>
          <w:kern w:val="0"/>
          <w:sz w:val="32"/>
          <w:szCs w:val="32"/>
          <w:highlight w:val="white"/>
          <w:lang w:bidi="ar"/>
        </w:rPr>
        <w:t>专利组参赛项目要求</w:t>
      </w:r>
      <w:r>
        <w:rPr>
          <w:rFonts w:hint="eastAsia" w:eastAsia="仿宋_GB2312"/>
          <w:kern w:val="0"/>
          <w:sz w:val="32"/>
          <w:szCs w:val="32"/>
          <w:highlight w:val="white"/>
          <w:lang w:eastAsia="zh-CN" w:bidi="ar"/>
        </w:rPr>
        <w:t>。</w:t>
      </w:r>
    </w:p>
    <w:p w14:paraId="2667F43E">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eastAsia="仿宋_GB2312"/>
          <w:kern w:val="0"/>
          <w:sz w:val="32"/>
          <w:szCs w:val="32"/>
          <w:highlight w:val="white"/>
          <w:lang w:bidi="ar"/>
        </w:rPr>
        <w:t>专利组分为初创组、成长组两</w:t>
      </w:r>
      <w:r>
        <w:rPr>
          <w:rFonts w:hint="default" w:eastAsia="仿宋_GB2312"/>
          <w:kern w:val="0"/>
          <w:sz w:val="32"/>
          <w:szCs w:val="32"/>
          <w:highlight w:val="white"/>
          <w:lang w:eastAsia="zh" w:bidi="ar"/>
        </w:rPr>
        <w:t>个</w:t>
      </w:r>
      <w:r>
        <w:rPr>
          <w:rFonts w:eastAsia="仿宋_GB2312"/>
          <w:kern w:val="0"/>
          <w:sz w:val="32"/>
          <w:szCs w:val="32"/>
          <w:highlight w:val="white"/>
          <w:lang w:bidi="ar"/>
        </w:rPr>
        <w:t>组别。</w:t>
      </w:r>
      <w:bookmarkEnd w:id="21"/>
      <w:r>
        <w:rPr>
          <w:rFonts w:eastAsia="仿宋_GB2312"/>
          <w:kern w:val="0"/>
          <w:sz w:val="32"/>
          <w:szCs w:val="32"/>
          <w:highlight w:val="white"/>
          <w:lang w:bidi="ar"/>
        </w:rPr>
        <w:t>初创组是指已有转化意愿，</w:t>
      </w:r>
      <w:r>
        <w:rPr>
          <w:rFonts w:hint="default" w:eastAsia="仿宋_GB2312"/>
          <w:kern w:val="0"/>
          <w:sz w:val="32"/>
          <w:szCs w:val="32"/>
          <w:highlight w:val="white"/>
          <w:lang w:val="en-US" w:eastAsia="zh-CN" w:bidi="ar"/>
        </w:rPr>
        <w:t>但专利处于试用阶段尚未投产，或已投产但只</w:t>
      </w:r>
      <w:r>
        <w:rPr>
          <w:rFonts w:eastAsia="仿宋_GB2312"/>
          <w:kern w:val="0"/>
          <w:sz w:val="32"/>
          <w:szCs w:val="32"/>
          <w:highlight w:val="white"/>
          <w:lang w:bidi="ar"/>
        </w:rPr>
        <w:t>具有较小转化收益的项目；成长组是指已经</w:t>
      </w:r>
      <w:r>
        <w:rPr>
          <w:rFonts w:hint="default" w:eastAsia="仿宋_GB2312"/>
          <w:kern w:val="0"/>
          <w:sz w:val="32"/>
          <w:szCs w:val="32"/>
          <w:highlight w:val="white"/>
          <w:lang w:val="en-US" w:eastAsia="zh-CN" w:bidi="ar"/>
        </w:rPr>
        <w:t>具备一定规模的</w:t>
      </w:r>
      <w:r>
        <w:rPr>
          <w:rFonts w:eastAsia="仿宋_GB2312"/>
          <w:kern w:val="0"/>
          <w:sz w:val="32"/>
          <w:szCs w:val="32"/>
          <w:highlight w:val="white"/>
          <w:lang w:bidi="ar"/>
        </w:rPr>
        <w:t>实施转化</w:t>
      </w:r>
      <w:r>
        <w:rPr>
          <w:rFonts w:hint="default" w:eastAsia="仿宋_GB2312"/>
          <w:kern w:val="0"/>
          <w:sz w:val="32"/>
          <w:szCs w:val="32"/>
          <w:highlight w:val="white"/>
          <w:lang w:val="en-US" w:eastAsia="zh-CN" w:bidi="ar"/>
        </w:rPr>
        <w:t>项目</w:t>
      </w:r>
      <w:r>
        <w:rPr>
          <w:rFonts w:eastAsia="仿宋_GB2312"/>
          <w:kern w:val="0"/>
          <w:sz w:val="32"/>
          <w:szCs w:val="32"/>
          <w:highlight w:val="white"/>
          <w:lang w:bidi="ar"/>
        </w:rPr>
        <w:t>或处于实施期内具有较高转化收益成效的项目。报名主体根据项目实际情况自行选择组别参赛，同一项目仅可选择一个组别参赛。</w:t>
      </w:r>
      <w:bookmarkStart w:id="22" w:name="pindex79"/>
      <w:bookmarkEnd w:id="22"/>
    </w:p>
    <w:p w14:paraId="7D2D3417">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ascii="Times New Roman" w:hAnsi="Times New Roman" w:eastAsia="仿宋_GB2312"/>
          <w:kern w:val="0"/>
          <w:sz w:val="32"/>
          <w:szCs w:val="32"/>
          <w:highlight w:val="white"/>
          <w:lang w:bidi="ar"/>
        </w:rPr>
        <w:t>（1）参赛项目应当包含至少一项核心技术（含基础技术、重要技术分支</w:t>
      </w:r>
      <w:r>
        <w:rPr>
          <w:rFonts w:hint="default" w:ascii="Times New Roman" w:hAnsi="Times New Roman" w:eastAsia="仿宋_GB2312"/>
          <w:kern w:val="0"/>
          <w:sz w:val="32"/>
          <w:szCs w:val="32"/>
          <w:highlight w:val="white"/>
          <w:lang w:bidi="ar"/>
        </w:rPr>
        <w:t>）</w:t>
      </w:r>
      <w:r>
        <w:rPr>
          <w:rFonts w:ascii="Times New Roman" w:hAnsi="Times New Roman" w:eastAsia="仿宋_GB2312"/>
          <w:kern w:val="0"/>
          <w:sz w:val="32"/>
          <w:szCs w:val="32"/>
          <w:highlight w:val="white"/>
          <w:lang w:bidi="ar"/>
        </w:rPr>
        <w:t>的有效专利。核心专利应当是2020年1月1日以后授权的发明、实用新型、外观设计专利。所述专利应由国家知识产权局授权，语言限中文</w:t>
      </w:r>
      <w:r>
        <w:rPr>
          <w:rFonts w:hint="default" w:ascii="Times New Roman" w:hAnsi="Times New Roman" w:eastAsia="仿宋_GB2312"/>
          <w:kern w:val="0"/>
          <w:sz w:val="32"/>
          <w:szCs w:val="32"/>
          <w:highlight w:val="white"/>
          <w:lang w:bidi="ar"/>
        </w:rPr>
        <w:t>。</w:t>
      </w:r>
      <w:bookmarkStart w:id="23" w:name="pindex80"/>
      <w:bookmarkEnd w:id="23"/>
    </w:p>
    <w:p w14:paraId="04C29B19">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ascii="Times New Roman" w:hAnsi="Times New Roman" w:eastAsia="仿宋_GB2312"/>
          <w:kern w:val="0"/>
          <w:sz w:val="32"/>
          <w:szCs w:val="32"/>
          <w:highlight w:val="white"/>
          <w:lang w:bidi="ar"/>
        </w:rPr>
        <w:t>（2）参赛项目拥有多件专利的，应明确其中一件专利为参赛核心专利。除核心专利外，参赛主体应该将与参赛项目关系最密切且能够形成专利组合的不超过10个全球范围内的发明专利、实用新型专利、外观设计专利、集成电路布图设计一起参赛</w:t>
      </w:r>
      <w:r>
        <w:rPr>
          <w:rFonts w:hint="default" w:ascii="Times New Roman" w:hAnsi="Times New Roman" w:eastAsia="仿宋_GB2312"/>
          <w:kern w:val="0"/>
          <w:sz w:val="32"/>
          <w:szCs w:val="32"/>
          <w:highlight w:val="white"/>
          <w:lang w:bidi="ar"/>
        </w:rPr>
        <w:t>；</w:t>
      </w:r>
      <w:bookmarkStart w:id="24" w:name="pindex81"/>
      <w:bookmarkEnd w:id="24"/>
    </w:p>
    <w:p w14:paraId="7A5F35A1">
      <w:pPr>
        <w:keepNext w:val="0"/>
        <w:keepLines w:val="0"/>
        <w:pageBreakBefore w:val="0"/>
        <w:kinsoku/>
        <w:wordWrap/>
        <w:overflowPunct/>
        <w:topLinePunct w:val="0"/>
        <w:autoSpaceDE w:val="0"/>
        <w:bidi w:val="0"/>
        <w:spacing w:line="560" w:lineRule="exact"/>
        <w:ind w:firstLineChars="200"/>
        <w:textAlignment w:val="auto"/>
        <w:rPr>
          <w:rFonts w:ascii="Times New Roman" w:hAnsi="Times New Roman" w:eastAsia="仿宋_GB2312"/>
          <w:kern w:val="0"/>
          <w:sz w:val="32"/>
          <w:szCs w:val="32"/>
          <w:highlight w:val="white"/>
          <w:lang w:bidi="ar"/>
        </w:rPr>
      </w:pPr>
      <w:r>
        <w:rPr>
          <w:rFonts w:hint="default" w:ascii="Times New Roman" w:hAnsi="Times New Roman" w:eastAsia="仿宋_GB2312"/>
          <w:kern w:val="0"/>
          <w:sz w:val="32"/>
          <w:szCs w:val="32"/>
          <w:highlight w:val="white"/>
          <w:lang w:bidi="ar"/>
        </w:rPr>
        <w:t>（3）</w:t>
      </w:r>
      <w:r>
        <w:rPr>
          <w:rFonts w:ascii="Times New Roman" w:hAnsi="Times New Roman" w:eastAsia="仿宋_GB2312"/>
          <w:kern w:val="0"/>
          <w:sz w:val="32"/>
          <w:szCs w:val="32"/>
          <w:highlight w:val="white"/>
          <w:lang w:bidi="ar"/>
        </w:rPr>
        <w:t>参赛项目核心专利出现明显非正常专利申请现象不满一年的，或出现生效的故意知识产权侵权行为判决或裁决不满一年的，将被取消参赛资格</w:t>
      </w:r>
      <w:r>
        <w:rPr>
          <w:rFonts w:hint="default" w:ascii="Times New Roman" w:hAnsi="Times New Roman" w:eastAsia="仿宋_GB2312"/>
          <w:kern w:val="0"/>
          <w:sz w:val="32"/>
          <w:szCs w:val="32"/>
          <w:highlight w:val="white"/>
          <w:lang w:bidi="ar"/>
        </w:rPr>
        <w:t>；</w:t>
      </w:r>
      <w:bookmarkStart w:id="25" w:name="pindex82"/>
      <w:bookmarkEnd w:id="25"/>
    </w:p>
    <w:p w14:paraId="7B1F966E">
      <w:pPr>
        <w:keepNext w:val="0"/>
        <w:keepLines w:val="0"/>
        <w:pageBreakBefore w:val="0"/>
        <w:kinsoku/>
        <w:wordWrap/>
        <w:overflowPunct/>
        <w:topLinePunct w:val="0"/>
        <w:autoSpaceDE w:val="0"/>
        <w:bidi w:val="0"/>
        <w:spacing w:line="560" w:lineRule="exact"/>
        <w:ind w:firstLineChars="200"/>
        <w:textAlignment w:val="auto"/>
        <w:rPr>
          <w:rFonts w:ascii="Times New Roman" w:hAnsi="Times New Roman" w:eastAsia="仿宋_GB2312"/>
          <w:kern w:val="0"/>
          <w:sz w:val="32"/>
          <w:szCs w:val="32"/>
          <w:highlight w:val="white"/>
          <w:lang w:bidi="ar"/>
        </w:rPr>
      </w:pPr>
      <w:bookmarkStart w:id="26" w:name="sys83075"/>
      <w:r>
        <w:rPr>
          <w:rFonts w:ascii="Times New Roman" w:hAnsi="Times New Roman" w:eastAsia="仿宋_GB2312"/>
          <w:kern w:val="0"/>
          <w:sz w:val="32"/>
          <w:szCs w:val="32"/>
          <w:highlight w:val="white"/>
          <w:lang w:bidi="ar"/>
        </w:rPr>
        <w:t>（4）已获得过往届“粤港澳大湾区高价值知识产权培育布局大赛”“粤东西北知识产权创新创业大赛”等赛事专利组金奖的项目，不得报名参加第三届粤创赛。</w:t>
      </w:r>
      <w:bookmarkEnd w:id="26"/>
      <w:bookmarkStart w:id="27" w:name="pindex83"/>
      <w:bookmarkEnd w:id="27"/>
    </w:p>
    <w:p w14:paraId="7548FB0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2</w:t>
      </w:r>
      <w:r>
        <w:rPr>
          <w:rFonts w:hint="eastAsia"/>
          <w:kern w:val="0"/>
          <w:sz w:val="32"/>
          <w:szCs w:val="32"/>
          <w:highlight w:val="white"/>
          <w:lang w:eastAsia="zh-CN" w:bidi="ar"/>
        </w:rPr>
        <w:t>．</w:t>
      </w:r>
      <w:r>
        <w:rPr>
          <w:rFonts w:hint="default" w:eastAsia="仿宋_GB2312"/>
          <w:kern w:val="0"/>
          <w:sz w:val="32"/>
          <w:szCs w:val="32"/>
          <w:highlight w:val="white"/>
          <w:lang w:val="zh-CN" w:bidi="ar"/>
        </w:rPr>
        <w:t>商标</w:t>
      </w:r>
      <w:r>
        <w:rPr>
          <w:rFonts w:hint="default" w:eastAsia="仿宋_GB2312"/>
          <w:kern w:val="0"/>
          <w:sz w:val="32"/>
          <w:szCs w:val="32"/>
          <w:highlight w:val="white"/>
          <w:lang w:bidi="ar"/>
        </w:rPr>
        <w:t>组</w:t>
      </w:r>
      <w:r>
        <w:rPr>
          <w:rFonts w:hint="default" w:eastAsia="仿宋_GB2312"/>
          <w:kern w:val="0"/>
          <w:sz w:val="32"/>
          <w:szCs w:val="32"/>
          <w:highlight w:val="white"/>
          <w:lang w:val="zh-CN" w:bidi="ar"/>
        </w:rPr>
        <w:t>参赛项目要求</w:t>
      </w:r>
      <w:bookmarkStart w:id="28" w:name="pindex84"/>
      <w:bookmarkEnd w:id="28"/>
      <w:r>
        <w:rPr>
          <w:rFonts w:hint="eastAsia" w:eastAsia="仿宋_GB2312"/>
          <w:kern w:val="0"/>
          <w:sz w:val="32"/>
          <w:szCs w:val="32"/>
          <w:highlight w:val="white"/>
          <w:lang w:val="zh-CN" w:bidi="ar"/>
        </w:rPr>
        <w:t>。</w:t>
      </w:r>
    </w:p>
    <w:p w14:paraId="0A117D4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（1）</w:t>
      </w:r>
      <w:r>
        <w:rPr>
          <w:rFonts w:eastAsia="仿宋_GB2312"/>
          <w:kern w:val="0"/>
          <w:sz w:val="32"/>
          <w:szCs w:val="32"/>
          <w:highlight w:val="white"/>
          <w:lang w:bidi="ar"/>
        </w:rPr>
        <w:t>参赛项目应当具有至少一件拥有市场价值、起到标识产源作用和能够支撑产品或服务主营收入的国内注册商标，该注册商标作为参赛项目的核心商标，应得到国家知识产权局</w:t>
      </w:r>
      <w:r>
        <w:rPr>
          <w:rFonts w:hint="default" w:eastAsia="仿宋_GB2312"/>
          <w:kern w:val="0"/>
          <w:sz w:val="32"/>
          <w:szCs w:val="32"/>
          <w:highlight w:val="white"/>
          <w:lang w:bidi="ar"/>
        </w:rPr>
        <w:t>核准注册</w:t>
      </w:r>
      <w:r>
        <w:rPr>
          <w:rFonts w:eastAsia="仿宋_GB2312"/>
          <w:kern w:val="0"/>
          <w:sz w:val="32"/>
          <w:szCs w:val="32"/>
          <w:highlight w:val="white"/>
          <w:lang w:bidi="ar"/>
        </w:rPr>
        <w:t>，并连续使用1年以上</w:t>
      </w:r>
      <w:r>
        <w:rPr>
          <w:rFonts w:hint="default" w:eastAsia="仿宋_GB2312"/>
          <w:kern w:val="0"/>
          <w:sz w:val="32"/>
          <w:szCs w:val="32"/>
          <w:highlight w:val="white"/>
          <w:lang w:bidi="ar"/>
        </w:rPr>
        <w:t>。</w:t>
      </w:r>
      <w:bookmarkStart w:id="29" w:name="pindex85"/>
      <w:bookmarkEnd w:id="29"/>
    </w:p>
    <w:p w14:paraId="45B4585D">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val="zh-CN" w:bidi="ar"/>
        </w:rPr>
        <w:t>（</w:t>
      </w:r>
      <w:r>
        <w:rPr>
          <w:rFonts w:eastAsia="仿宋_GB2312"/>
          <w:kern w:val="0"/>
          <w:sz w:val="32"/>
          <w:szCs w:val="32"/>
          <w:highlight w:val="white"/>
          <w:lang w:bidi="ar"/>
        </w:rPr>
        <w:t>2</w:t>
      </w:r>
      <w:r>
        <w:rPr>
          <w:rFonts w:eastAsia="仿宋_GB2312"/>
          <w:kern w:val="0"/>
          <w:sz w:val="32"/>
          <w:szCs w:val="32"/>
          <w:highlight w:val="white"/>
          <w:lang w:val="zh-CN" w:bidi="ar"/>
        </w:rPr>
        <w:t>）</w:t>
      </w:r>
      <w:r>
        <w:rPr>
          <w:rFonts w:eastAsia="仿宋_GB2312"/>
          <w:kern w:val="0"/>
          <w:sz w:val="32"/>
          <w:szCs w:val="32"/>
          <w:highlight w:val="white"/>
          <w:lang w:bidi="ar"/>
        </w:rPr>
        <w:t>参赛项目在资格审查中，存在商标侵权生效判决不满一年的情形，或参赛项目在参赛期间，在商标授权确权程序中被认定存在商标恶意抢注、商标囤积或商标不当使用等行为</w:t>
      </w:r>
      <w:r>
        <w:rPr>
          <w:rFonts w:hint="default" w:eastAsia="仿宋_GB2312"/>
          <w:kern w:val="0"/>
          <w:sz w:val="32"/>
          <w:szCs w:val="32"/>
          <w:highlight w:val="white"/>
          <w:lang w:bidi="ar"/>
        </w:rPr>
        <w:t>的</w:t>
      </w:r>
      <w:r>
        <w:rPr>
          <w:rFonts w:eastAsia="仿宋_GB2312"/>
          <w:kern w:val="0"/>
          <w:sz w:val="32"/>
          <w:szCs w:val="32"/>
          <w:highlight w:val="white"/>
          <w:lang w:bidi="ar"/>
        </w:rPr>
        <w:t>，将被取消其参赛资格</w:t>
      </w:r>
      <w:r>
        <w:rPr>
          <w:rFonts w:hint="default" w:eastAsia="仿宋_GB2312"/>
          <w:kern w:val="0"/>
          <w:sz w:val="32"/>
          <w:szCs w:val="32"/>
          <w:highlight w:val="white"/>
          <w:lang w:bidi="ar"/>
        </w:rPr>
        <w:t>。</w:t>
      </w:r>
      <w:bookmarkStart w:id="30" w:name="pindex86"/>
      <w:bookmarkEnd w:id="30"/>
    </w:p>
    <w:p w14:paraId="40BFB68E">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val="zh-CN" w:bidi="ar"/>
        </w:rPr>
      </w:pPr>
      <w:bookmarkStart w:id="31" w:name="sys87094"/>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3</w:t>
      </w:r>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已获得过往届“粤港澳大湾区高价值知识产权培育布局大赛”“粤港澳大湾区高价值</w:t>
      </w:r>
      <w:r>
        <w:rPr>
          <w:rFonts w:eastAsia="仿宋_GB2312"/>
          <w:kern w:val="0"/>
          <w:sz w:val="32"/>
          <w:szCs w:val="32"/>
          <w:highlight w:val="white"/>
          <w:lang w:bidi="ar"/>
        </w:rPr>
        <w:t>。</w:t>
      </w:r>
      <w:r>
        <w:rPr>
          <w:rFonts w:ascii="Times New Roman" w:hAnsi="Times New Roman" w:eastAsia="仿宋_GB2312"/>
          <w:kern w:val="0"/>
          <w:sz w:val="32"/>
          <w:szCs w:val="32"/>
          <w:highlight w:val="white"/>
          <w:lang w:bidi="ar"/>
        </w:rPr>
        <w:t>商标品牌培育大赛”“粤东西北知识产权创新创业大赛”等赛事商标组金奖的项目，不得报名参加第三届粤创赛。</w:t>
      </w:r>
      <w:bookmarkEnd w:id="31"/>
      <w:bookmarkStart w:id="32" w:name="pindex87"/>
      <w:bookmarkEnd w:id="32"/>
    </w:p>
    <w:p w14:paraId="3DEF7C76">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val="zh-CN" w:bidi="ar"/>
        </w:rPr>
        <w:t>3</w:t>
      </w:r>
      <w:r>
        <w:rPr>
          <w:rFonts w:hint="eastAsia"/>
          <w:kern w:val="0"/>
          <w:sz w:val="32"/>
          <w:szCs w:val="32"/>
          <w:highlight w:val="white"/>
          <w:lang w:val="zh-CN" w:bidi="ar"/>
        </w:rPr>
        <w:t>．</w:t>
      </w:r>
      <w:r>
        <w:rPr>
          <w:rFonts w:eastAsia="仿宋_GB2312"/>
          <w:kern w:val="0"/>
          <w:sz w:val="32"/>
          <w:szCs w:val="32"/>
          <w:highlight w:val="white"/>
          <w:lang w:val="zh-CN" w:bidi="ar"/>
        </w:rPr>
        <w:t>地理标志组参赛项目要求</w:t>
      </w:r>
      <w:bookmarkStart w:id="33" w:name="pindex88"/>
      <w:bookmarkEnd w:id="33"/>
      <w:r>
        <w:rPr>
          <w:rFonts w:hint="eastAsia" w:eastAsia="仿宋_GB2312"/>
          <w:kern w:val="0"/>
          <w:sz w:val="32"/>
          <w:szCs w:val="32"/>
          <w:highlight w:val="white"/>
          <w:lang w:val="zh-CN" w:bidi="ar"/>
        </w:rPr>
        <w:t>。</w:t>
      </w:r>
    </w:p>
    <w:p w14:paraId="250C99C3">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val="zh-CN" w:bidi="ar"/>
        </w:rPr>
      </w:pPr>
      <w:r>
        <w:rPr>
          <w:rFonts w:eastAsia="仿宋_GB2312"/>
          <w:kern w:val="0"/>
          <w:sz w:val="32"/>
          <w:szCs w:val="32"/>
          <w:highlight w:val="white"/>
          <w:lang w:bidi="ar"/>
        </w:rPr>
        <w:t>（1）参赛项目应当是具有市场价值、有效使用的国内地理标志商标、地理标志产品，该地理标志应在国家知识产权局核准注册</w:t>
      </w:r>
      <w:r>
        <w:rPr>
          <w:rFonts w:hint="default" w:eastAsia="仿宋_GB2312"/>
          <w:kern w:val="0"/>
          <w:sz w:val="32"/>
          <w:szCs w:val="32"/>
          <w:highlight w:val="white"/>
          <w:lang w:bidi="ar"/>
        </w:rPr>
        <w:t>。</w:t>
      </w:r>
      <w:bookmarkStart w:id="34" w:name="pindex89"/>
      <w:bookmarkEnd w:id="34"/>
    </w:p>
    <w:p w14:paraId="16DA3827">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2</w:t>
      </w:r>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已获得过往届“粤东西北知识产权创新创业大赛”等赛事地理标志组金奖的项目，不得报名参加第三届粤创赛</w:t>
      </w:r>
      <w:r>
        <w:rPr>
          <w:rFonts w:hint="default" w:ascii="Times New Roman" w:hAnsi="Times New Roman" w:eastAsia="仿宋_GB2312"/>
          <w:kern w:val="0"/>
          <w:sz w:val="32"/>
          <w:szCs w:val="32"/>
          <w:highlight w:val="white"/>
          <w:lang w:bidi="ar"/>
        </w:rPr>
        <w:t>。</w:t>
      </w:r>
      <w:bookmarkStart w:id="35" w:name="pindex90"/>
      <w:bookmarkEnd w:id="35"/>
    </w:p>
    <w:p w14:paraId="4E3D9FE5">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val="zh-CN" w:bidi="ar"/>
        </w:rPr>
        <w:t>（3）参赛项目既是地理标志商标又是地理标志产品的，仅可以在商标组或地理标志组中，申请一个组别参赛。</w:t>
      </w:r>
      <w:bookmarkStart w:id="36" w:name="pindex91"/>
      <w:bookmarkEnd w:id="36"/>
    </w:p>
    <w:p w14:paraId="3B2F0AF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rPr>
        <w:t>五</w:t>
      </w:r>
      <w:r>
        <w:rPr>
          <w:rFonts w:eastAsia="黑体"/>
          <w:kern w:val="0"/>
          <w:sz w:val="32"/>
          <w:szCs w:val="32"/>
          <w:lang w:val="zh-CN"/>
        </w:rPr>
        <w:t>、</w:t>
      </w:r>
      <w:r>
        <w:rPr>
          <w:rFonts w:hint="eastAsia" w:eastAsia="黑体"/>
          <w:kern w:val="0"/>
          <w:sz w:val="32"/>
          <w:szCs w:val="32"/>
          <w:lang w:val="zh-CN"/>
        </w:rPr>
        <w:t>比</w:t>
      </w:r>
      <w:r>
        <w:rPr>
          <w:rFonts w:eastAsia="黑体"/>
          <w:kern w:val="0"/>
          <w:sz w:val="32"/>
          <w:szCs w:val="32"/>
          <w:lang w:val="zh-CN"/>
        </w:rPr>
        <w:t>赛赛程</w:t>
      </w:r>
      <w:bookmarkStart w:id="37" w:name="pindex99"/>
      <w:bookmarkEnd w:id="37"/>
    </w:p>
    <w:p w14:paraId="7F44E53B">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本届大赛主要</w:t>
      </w:r>
      <w:r>
        <w:rPr>
          <w:rFonts w:eastAsia="仿宋_GB2312"/>
          <w:kern w:val="0"/>
          <w:sz w:val="32"/>
          <w:szCs w:val="32"/>
          <w:highlight w:val="white"/>
          <w:lang w:val="zh-CN" w:bidi="ar"/>
        </w:rPr>
        <w:t>包括</w:t>
      </w:r>
      <w:r>
        <w:rPr>
          <w:rFonts w:hint="default" w:eastAsia="仿宋_GB2312"/>
          <w:kern w:val="0"/>
          <w:sz w:val="32"/>
          <w:szCs w:val="32"/>
          <w:highlight w:val="white"/>
          <w:lang w:bidi="ar"/>
        </w:rPr>
        <w:t>三</w:t>
      </w:r>
      <w:r>
        <w:rPr>
          <w:rFonts w:eastAsia="仿宋_GB2312"/>
          <w:kern w:val="0"/>
          <w:sz w:val="32"/>
          <w:szCs w:val="32"/>
          <w:highlight w:val="white"/>
          <w:lang w:val="zh-CN" w:bidi="ar"/>
        </w:rPr>
        <w:t>个阶段</w:t>
      </w:r>
      <w:r>
        <w:rPr>
          <w:rFonts w:hint="default" w:eastAsia="仿宋_GB2312"/>
          <w:kern w:val="0"/>
          <w:sz w:val="32"/>
          <w:szCs w:val="32"/>
          <w:highlight w:val="white"/>
          <w:lang w:val="zh-CN" w:bidi="ar"/>
        </w:rPr>
        <w:t>。</w:t>
      </w:r>
    </w:p>
    <w:p w14:paraId="173A7B69">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val="zh-CN"/>
        </w:rPr>
        <w:t>（一）项目征集阶段（</w:t>
      </w:r>
      <w:r>
        <w:rPr>
          <w:rFonts w:hint="eastAsia" w:eastAsia="楷体_GB2312"/>
          <w:kern w:val="0"/>
          <w:sz w:val="32"/>
          <w:szCs w:val="32"/>
          <w:lang w:val="zh-CN"/>
        </w:rPr>
        <w:t>大赛启动至</w:t>
      </w:r>
      <w:r>
        <w:rPr>
          <w:rFonts w:eastAsia="楷体_GB2312"/>
          <w:kern w:val="0"/>
          <w:sz w:val="32"/>
          <w:szCs w:val="32"/>
          <w:lang w:val="zh-CN"/>
        </w:rPr>
        <w:t>202</w:t>
      </w:r>
      <w:r>
        <w:rPr>
          <w:rFonts w:eastAsia="楷体_GB2312"/>
          <w:kern w:val="0"/>
          <w:sz w:val="32"/>
          <w:szCs w:val="32"/>
        </w:rPr>
        <w:t>5</w:t>
      </w:r>
      <w:r>
        <w:rPr>
          <w:rFonts w:eastAsia="楷体_GB2312"/>
          <w:kern w:val="0"/>
          <w:sz w:val="32"/>
          <w:szCs w:val="32"/>
          <w:lang w:val="zh-CN"/>
        </w:rPr>
        <w:t>年</w:t>
      </w:r>
      <w:r>
        <w:rPr>
          <w:rFonts w:hint="eastAsia" w:eastAsia="楷体_GB2312"/>
          <w:kern w:val="0"/>
          <w:sz w:val="32"/>
          <w:szCs w:val="32"/>
        </w:rPr>
        <w:t>9</w:t>
      </w:r>
      <w:r>
        <w:rPr>
          <w:rFonts w:eastAsia="楷体_GB2312"/>
          <w:kern w:val="0"/>
          <w:sz w:val="32"/>
          <w:szCs w:val="32"/>
          <w:lang w:val="zh-CN"/>
        </w:rPr>
        <w:t>月</w:t>
      </w:r>
      <w:r>
        <w:rPr>
          <w:rFonts w:hint="eastAsia" w:eastAsia="楷体_GB2312"/>
          <w:kern w:val="0"/>
          <w:sz w:val="32"/>
          <w:szCs w:val="32"/>
          <w:lang w:val="zh-CN"/>
        </w:rPr>
        <w:t>初</w:t>
      </w:r>
      <w:r>
        <w:rPr>
          <w:rFonts w:eastAsia="楷体_GB2312"/>
          <w:kern w:val="0"/>
          <w:sz w:val="32"/>
          <w:szCs w:val="32"/>
          <w:lang w:val="zh-CN"/>
        </w:rPr>
        <w:t>）</w:t>
      </w:r>
      <w:bookmarkStart w:id="38" w:name="pindex101"/>
      <w:bookmarkEnd w:id="38"/>
    </w:p>
    <w:p w14:paraId="60D9912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2025年</w:t>
      </w:r>
      <w:r>
        <w:rPr>
          <w:rFonts w:hint="eastAsia" w:eastAsia="仿宋_GB2312"/>
          <w:kern w:val="0"/>
          <w:sz w:val="32"/>
          <w:szCs w:val="32"/>
          <w:lang w:bidi="ar"/>
        </w:rPr>
        <w:t>7</w:t>
      </w:r>
      <w:r>
        <w:rPr>
          <w:rFonts w:eastAsia="仿宋_GB2312"/>
          <w:kern w:val="0"/>
          <w:sz w:val="32"/>
          <w:szCs w:val="32"/>
          <w:lang w:bidi="ar"/>
        </w:rPr>
        <w:t>月</w:t>
      </w:r>
      <w:r>
        <w:rPr>
          <w:rFonts w:hint="eastAsia" w:eastAsia="仿宋_GB2312"/>
          <w:kern w:val="0"/>
          <w:sz w:val="32"/>
          <w:szCs w:val="32"/>
          <w:lang w:bidi="ar"/>
        </w:rPr>
        <w:t>，第三届粤创</w:t>
      </w:r>
      <w:r>
        <w:rPr>
          <w:rFonts w:eastAsia="仿宋_GB2312"/>
          <w:kern w:val="0"/>
          <w:sz w:val="32"/>
          <w:szCs w:val="32"/>
          <w:lang w:bidi="ar"/>
        </w:rPr>
        <w:t>赛正式启动，同时开启线上报名系统。</w:t>
      </w:r>
      <w:r>
        <w:rPr>
          <w:rFonts w:hint="eastAsia" w:eastAsia="仿宋_GB2312"/>
          <w:kern w:val="0"/>
          <w:sz w:val="32"/>
          <w:szCs w:val="32"/>
          <w:lang w:bidi="ar"/>
        </w:rPr>
        <w:t>项目</w:t>
      </w:r>
      <w:r>
        <w:rPr>
          <w:rFonts w:eastAsia="仿宋_GB2312"/>
          <w:kern w:val="0"/>
          <w:sz w:val="32"/>
          <w:szCs w:val="32"/>
          <w:lang w:bidi="ar"/>
        </w:rPr>
        <w:t>报名截止日期</w:t>
      </w:r>
      <w:r>
        <w:rPr>
          <w:rFonts w:hint="eastAsia" w:eastAsia="仿宋_GB2312"/>
          <w:kern w:val="0"/>
          <w:sz w:val="32"/>
          <w:szCs w:val="32"/>
          <w:lang w:bidi="ar"/>
        </w:rPr>
        <w:t>暂定</w:t>
      </w:r>
      <w:r>
        <w:rPr>
          <w:rFonts w:eastAsia="仿宋_GB2312"/>
          <w:kern w:val="0"/>
          <w:sz w:val="32"/>
          <w:szCs w:val="32"/>
          <w:lang w:bidi="ar"/>
        </w:rPr>
        <w:t>为2025年</w:t>
      </w:r>
      <w:r>
        <w:rPr>
          <w:rFonts w:hint="eastAsia" w:eastAsia="仿宋_GB2312"/>
          <w:kern w:val="0"/>
          <w:sz w:val="32"/>
          <w:szCs w:val="32"/>
          <w:lang w:bidi="ar"/>
        </w:rPr>
        <w:t>9</w:t>
      </w:r>
      <w:r>
        <w:rPr>
          <w:rFonts w:eastAsia="仿宋_GB2312"/>
          <w:kern w:val="0"/>
          <w:sz w:val="32"/>
          <w:szCs w:val="32"/>
          <w:lang w:bidi="ar"/>
        </w:rPr>
        <w:t>月</w:t>
      </w:r>
      <w:r>
        <w:rPr>
          <w:rFonts w:hint="eastAsia" w:eastAsia="仿宋_GB2312"/>
          <w:kern w:val="0"/>
          <w:sz w:val="32"/>
          <w:szCs w:val="32"/>
          <w:lang w:bidi="ar"/>
        </w:rPr>
        <w:t>前</w:t>
      </w:r>
      <w:r>
        <w:rPr>
          <w:rFonts w:eastAsia="仿宋_GB2312"/>
          <w:kern w:val="0"/>
          <w:sz w:val="32"/>
          <w:szCs w:val="32"/>
          <w:lang w:bidi="ar"/>
        </w:rPr>
        <w:t>。</w:t>
      </w:r>
    </w:p>
    <w:p w14:paraId="01D8BECA">
      <w:pPr>
        <w:pStyle w:val="3"/>
        <w:keepNext w:val="0"/>
        <w:keepLines w:val="0"/>
        <w:pageBreakBefore w:val="0"/>
        <w:widowControl/>
        <w:numPr>
          <w:ilvl w:val="0"/>
          <w:numId w:val="0"/>
        </w:numPr>
        <w:kinsoku/>
        <w:wordWrap/>
        <w:overflowPunct/>
        <w:topLinePunct w:val="0"/>
        <w:bidi w:val="0"/>
        <w:adjustRightInd w:val="0"/>
        <w:snapToGrid w:val="0"/>
        <w:spacing w:line="560" w:lineRule="exact"/>
        <w:ind w:left="640" w:firstLine="0"/>
        <w:jc w:val="both"/>
        <w:textAlignment w:val="auto"/>
        <w:rPr>
          <w:rFonts w:ascii="Times New Roman" w:hAnsi="Times New Roman" w:eastAsia="仿宋_GB2312"/>
          <w:sz w:val="32"/>
        </w:rPr>
      </w:pPr>
      <w:r>
        <w:rPr>
          <w:rFonts w:hint="eastAsia" w:ascii="Times New Roman" w:hAnsi="Times New Roman" w:eastAsia="仿宋_GB2312"/>
          <w:sz w:val="32"/>
          <w:szCs w:val="32"/>
          <w:lang w:val="en-US" w:eastAsia="zh-CN"/>
        </w:rPr>
        <w:t>1</w:t>
      </w:r>
      <w:r>
        <w:rPr>
          <w:rFonts w:hint="eastAsia" w:ascii="Times New Roman" w:hAnsi="Times New Roman"/>
          <w:sz w:val="32"/>
          <w:szCs w:val="32"/>
          <w:lang w:val="en-US" w:eastAsia="zh-CN"/>
        </w:rPr>
        <w:t>．</w:t>
      </w:r>
      <w:r>
        <w:rPr>
          <w:rFonts w:hint="eastAsia" w:ascii="Times New Roman" w:hAnsi="Times New Roman" w:eastAsia="仿宋_GB2312"/>
          <w:sz w:val="32"/>
          <w:szCs w:val="32"/>
          <w:lang w:eastAsia="zh-CN"/>
        </w:rPr>
        <w:t>项目申报。</w:t>
      </w:r>
    </w:p>
    <w:p w14:paraId="45D4DFCD">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ascii="Times New Roman" w:hAnsi="Times New Roman" w:eastAsia="仿宋_GB2312"/>
          <w:sz w:val="32"/>
          <w:szCs w:val="32"/>
          <w:lang w:eastAsia="zh-CN" w:bidi="ar"/>
        </w:rPr>
        <w:t>本届大赛采用线上申报方式，</w:t>
      </w:r>
      <w:r>
        <w:rPr>
          <w:rFonts w:hint="eastAsia" w:ascii="Times New Roman" w:hAnsi="Times New Roman" w:eastAsia="仿宋_GB2312"/>
          <w:sz w:val="32"/>
          <w:szCs w:val="32"/>
          <w:lang w:eastAsia="zh-CN" w:bidi="ar"/>
        </w:rPr>
        <w:t>暂定</w:t>
      </w:r>
      <w:r>
        <w:rPr>
          <w:rFonts w:ascii="Times New Roman" w:hAnsi="Times New Roman" w:eastAsia="仿宋_GB2312"/>
          <w:sz w:val="32"/>
          <w:szCs w:val="32"/>
          <w:lang w:eastAsia="zh-CN" w:bidi="ar"/>
        </w:rPr>
        <w:t>在2025年</w:t>
      </w:r>
      <w:r>
        <w:rPr>
          <w:rFonts w:hint="eastAsia" w:ascii="Times New Roman" w:hAnsi="Times New Roman" w:eastAsia="仿宋_GB2312"/>
          <w:sz w:val="32"/>
          <w:szCs w:val="32"/>
          <w:lang w:eastAsia="zh-CN" w:bidi="ar"/>
        </w:rPr>
        <w:t>9</w:t>
      </w:r>
      <w:r>
        <w:rPr>
          <w:rFonts w:ascii="Times New Roman" w:hAnsi="Times New Roman" w:eastAsia="仿宋_GB2312"/>
          <w:sz w:val="32"/>
          <w:szCs w:val="32"/>
          <w:lang w:eastAsia="zh-CN" w:bidi="ar"/>
        </w:rPr>
        <w:t>月</w:t>
      </w:r>
      <w:r>
        <w:rPr>
          <w:rFonts w:hint="eastAsia" w:ascii="Times New Roman" w:hAnsi="Times New Roman" w:eastAsia="仿宋_GB2312"/>
          <w:sz w:val="32"/>
          <w:szCs w:val="32"/>
          <w:lang w:val="en-US" w:eastAsia="zh-CN" w:bidi="ar"/>
        </w:rPr>
        <w:t>5</w:t>
      </w:r>
      <w:r>
        <w:rPr>
          <w:rFonts w:ascii="Times New Roman" w:hAnsi="Times New Roman" w:eastAsia="仿宋_GB2312"/>
          <w:sz w:val="32"/>
          <w:szCs w:val="32"/>
          <w:lang w:eastAsia="zh-CN" w:bidi="ar"/>
        </w:rPr>
        <w:t>日前登录</w:t>
      </w:r>
      <w:r>
        <w:rPr>
          <w:rFonts w:ascii="Times New Roman" w:hAnsi="Times New Roman" w:eastAsia="仿宋_GB2312" w:cs="Times New Roman"/>
          <w:i w:val="0"/>
          <w:iCs w:val="0"/>
          <w:caps w:val="0"/>
          <w:color w:val="222222"/>
          <w:spacing w:val="0"/>
          <w:sz w:val="32"/>
          <w:szCs w:val="32"/>
          <w:shd w:val="clear" w:color="auto" w:fill="auto"/>
        </w:rPr>
        <w:t>http://</w:t>
      </w:r>
      <w:r>
        <w:rPr>
          <w:rFonts w:hint="default" w:ascii="Times New Roman" w:hAnsi="Times New Roman" w:eastAsia="仿宋_GB2312" w:cs="Times New Roman"/>
          <w:sz w:val="32"/>
          <w:szCs w:val="32"/>
          <w:lang w:val="en-US" w:eastAsia="zh-CN"/>
        </w:rPr>
        <w:t>www.yuechuangsai.com</w:t>
      </w:r>
      <w:r>
        <w:rPr>
          <w:rFonts w:ascii="Times New Roman" w:hAnsi="Times New Roman" w:eastAsia="仿宋_GB2312"/>
          <w:sz w:val="32"/>
          <w:szCs w:val="32"/>
          <w:lang w:eastAsia="zh-CN" w:bidi="ar"/>
        </w:rPr>
        <w:t>报名</w:t>
      </w:r>
      <w:r>
        <w:rPr>
          <w:rFonts w:hint="eastAsia" w:ascii="Times New Roman" w:hAnsi="Times New Roman" w:eastAsia="仿宋_GB2312"/>
          <w:sz w:val="32"/>
          <w:szCs w:val="32"/>
          <w:lang w:eastAsia="zh-CN" w:bidi="ar"/>
        </w:rPr>
        <w:t>系</w:t>
      </w:r>
      <w:r>
        <w:rPr>
          <w:rFonts w:ascii="Times New Roman" w:hAnsi="Times New Roman" w:eastAsia="仿宋_GB2312"/>
          <w:sz w:val="32"/>
          <w:szCs w:val="32"/>
          <w:lang w:eastAsia="zh-CN" w:bidi="ar"/>
        </w:rPr>
        <w:t>统注册报名，填写项目资料并提交“信用中国”查询信息截图。</w:t>
      </w:r>
      <w:bookmarkStart w:id="39" w:name="pindex103"/>
      <w:bookmarkEnd w:id="39"/>
    </w:p>
    <w:p w14:paraId="64588D29">
      <w:pPr>
        <w:pStyle w:val="3"/>
        <w:keepNext w:val="0"/>
        <w:keepLines w:val="0"/>
        <w:pageBreakBefore w:val="0"/>
        <w:widowControl/>
        <w:numPr>
          <w:ilvl w:val="0"/>
          <w:numId w:val="0"/>
        </w:numPr>
        <w:kinsoku/>
        <w:wordWrap/>
        <w:overflowPunct/>
        <w:topLinePunct w:val="0"/>
        <w:bidi w:val="0"/>
        <w:adjustRightInd w:val="0"/>
        <w:snapToGrid w:val="0"/>
        <w:spacing w:line="560" w:lineRule="exact"/>
        <w:ind w:left="640" w:firstLine="0"/>
        <w:textAlignment w:val="auto"/>
        <w:rPr>
          <w:rFonts w:ascii="Times New Roman" w:hAnsi="Times New Roman" w:eastAsia="仿宋_GB2312"/>
          <w:sz w:val="32"/>
        </w:rPr>
      </w:pPr>
      <w:r>
        <w:rPr>
          <w:rFonts w:hint="eastAsia" w:ascii="Times New Roman" w:hAnsi="Times New Roman" w:eastAsia="仿宋_GB2312"/>
          <w:sz w:val="32"/>
          <w:szCs w:val="32"/>
          <w:lang w:val="en-US" w:eastAsia="zh-CN"/>
        </w:rPr>
        <w:t>2</w:t>
      </w:r>
      <w:r>
        <w:rPr>
          <w:rFonts w:hint="eastAsia" w:ascii="Times New Roman" w:hAnsi="Times New Roman"/>
          <w:sz w:val="32"/>
          <w:szCs w:val="32"/>
          <w:lang w:val="en-US" w:eastAsia="zh-CN"/>
        </w:rPr>
        <w:t>．</w:t>
      </w:r>
      <w:r>
        <w:rPr>
          <w:rFonts w:hint="eastAsia" w:ascii="Times New Roman" w:hAnsi="Times New Roman" w:eastAsia="仿宋_GB2312"/>
          <w:sz w:val="32"/>
          <w:szCs w:val="32"/>
          <w:lang w:eastAsia="zh-CN"/>
        </w:rPr>
        <w:t>申报材料。</w:t>
      </w:r>
    </w:p>
    <w:p w14:paraId="5B2FCD5F">
      <w:pPr>
        <w:pStyle w:val="3"/>
        <w:keepNext w:val="0"/>
        <w:keepLines w:val="0"/>
        <w:pageBreakBefore w:val="0"/>
        <w:widowControl/>
        <w:kinsoku/>
        <w:wordWrap/>
        <w:overflowPunct/>
        <w:topLinePunct w:val="0"/>
        <w:bidi w:val="0"/>
        <w:adjustRightInd w:val="0"/>
        <w:snapToGrid w:val="0"/>
        <w:spacing w:line="560" w:lineRule="exact"/>
        <w:ind w:left="0" w:firstLine="608" w:firstLineChars="200"/>
        <w:textAlignment w:val="auto"/>
        <w:rPr>
          <w:rFonts w:ascii="Times New Roman" w:hAnsi="Times New Roman" w:eastAsia="仿宋_GB2312"/>
          <w:sz w:val="32"/>
        </w:rPr>
      </w:pPr>
      <w:r>
        <w:rPr>
          <w:rFonts w:hint="eastAsia" w:ascii="Times New Roman" w:hAnsi="Times New Roman" w:eastAsia="仿宋_GB2312"/>
          <w:sz w:val="32"/>
          <w:szCs w:val="32"/>
          <w:lang w:eastAsia="zh-CN"/>
        </w:rPr>
        <w:t>各参赛项目</w:t>
      </w:r>
      <w:r>
        <w:rPr>
          <w:rFonts w:ascii="Times New Roman" w:hAnsi="Times New Roman" w:eastAsia="仿宋_GB2312"/>
          <w:sz w:val="32"/>
          <w:szCs w:val="32"/>
          <w:lang w:eastAsia="zh-CN"/>
        </w:rPr>
        <w:t>需提交</w:t>
      </w:r>
      <w:r>
        <w:rPr>
          <w:rFonts w:hint="eastAsia" w:ascii="Times New Roman" w:hAnsi="Times New Roman" w:eastAsia="仿宋_GB2312"/>
          <w:sz w:val="32"/>
          <w:szCs w:val="32"/>
          <w:lang w:eastAsia="zh-CN"/>
        </w:rPr>
        <w:t>以下报名材料：</w:t>
      </w:r>
      <w:bookmarkStart w:id="40" w:name="pindex104"/>
      <w:bookmarkEnd w:id="40"/>
    </w:p>
    <w:p w14:paraId="007694F4">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（1）项目报名表</w:t>
      </w:r>
      <w:r>
        <w:rPr>
          <w:rFonts w:hint="eastAsia" w:ascii="Times New Roman" w:hAnsi="Times New Roman" w:eastAsia="仿宋_GB2312"/>
          <w:sz w:val="32"/>
          <w:szCs w:val="32"/>
          <w:lang w:eastAsia="zh-CN"/>
        </w:rPr>
        <w:t>（须注明参赛组别；未注明的，按资格审查不通过处理）。</w:t>
      </w:r>
      <w:bookmarkStart w:id="41" w:name="pindex105"/>
      <w:bookmarkEnd w:id="41"/>
    </w:p>
    <w:p w14:paraId="36C1BB27">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（2）企业营业执照</w:t>
      </w:r>
      <w:r>
        <w:rPr>
          <w:rFonts w:hint="eastAsia" w:ascii="Times New Roman" w:hAnsi="Times New Roman" w:eastAsia="仿宋_GB2312"/>
          <w:sz w:val="32"/>
          <w:szCs w:val="32"/>
          <w:lang w:eastAsia="zh-CN"/>
        </w:rPr>
        <w:t>。</w:t>
      </w:r>
      <w:bookmarkStart w:id="42" w:name="pindex106"/>
      <w:bookmarkEnd w:id="42"/>
    </w:p>
    <w:p w14:paraId="56355703">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（3）法人代表或项目负责人身份证</w:t>
      </w:r>
      <w:r>
        <w:rPr>
          <w:rFonts w:hint="eastAsia" w:ascii="Times New Roman" w:hAnsi="Times New Roman" w:eastAsia="仿宋_GB2312"/>
          <w:sz w:val="32"/>
          <w:szCs w:val="32"/>
          <w:lang w:eastAsia="zh-CN"/>
        </w:rPr>
        <w:t>。</w:t>
      </w:r>
      <w:bookmarkStart w:id="43" w:name="pindex107"/>
      <w:bookmarkEnd w:id="43"/>
    </w:p>
    <w:p w14:paraId="42C08C70">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hint="eastAsia" w:ascii="Times New Roman" w:hAnsi="Times New Roman" w:eastAsia="仿宋_GB2312"/>
          <w:sz w:val="32"/>
          <w:szCs w:val="32"/>
          <w:lang w:eastAsia="zh-CN"/>
        </w:rPr>
        <w:t>（4）企业信用信息（在</w:t>
      </w:r>
      <w:r>
        <w:rPr>
          <w:rFonts w:ascii="Times New Roman" w:hAnsi="Times New Roman" w:eastAsia="仿宋_GB2312"/>
          <w:sz w:val="32"/>
          <w:szCs w:val="32"/>
          <w:lang w:eastAsia="zh-CN"/>
        </w:rPr>
        <w:t>“信用中国”查询信息截图</w:t>
      </w:r>
      <w:r>
        <w:rPr>
          <w:rFonts w:hint="eastAsia" w:ascii="Times New Roman" w:hAnsi="Times New Roman" w:eastAsia="仿宋_GB2312"/>
          <w:sz w:val="32"/>
          <w:szCs w:val="32"/>
          <w:lang w:eastAsia="zh-CN"/>
        </w:rPr>
        <w:t>）。</w:t>
      </w:r>
    </w:p>
    <w:p w14:paraId="3CD0AB8B">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5</w:t>
      </w:r>
      <w:r>
        <w:rPr>
          <w:rFonts w:ascii="Times New Roman" w:hAnsi="Times New Roman" w:eastAsia="仿宋_GB2312"/>
          <w:sz w:val="32"/>
          <w:szCs w:val="32"/>
          <w:lang w:eastAsia="zh-CN"/>
        </w:rPr>
        <w:t>）根据评分指标体系需提供的可反映本项目相关情况的材料</w:t>
      </w:r>
      <w:r>
        <w:rPr>
          <w:rFonts w:hint="eastAsia" w:ascii="Times New Roman" w:hAnsi="Times New Roman" w:eastAsia="仿宋_GB2312"/>
          <w:sz w:val="32"/>
          <w:szCs w:val="32"/>
          <w:lang w:eastAsia="zh-CN"/>
        </w:rPr>
        <w:t>。</w:t>
      </w:r>
      <w:bookmarkStart w:id="44" w:name="pindex109"/>
      <w:bookmarkEnd w:id="44"/>
    </w:p>
    <w:p w14:paraId="192E19A0">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bookmarkStart w:id="45" w:name="sys1100110"/>
      <w:r>
        <w:rPr>
          <w:rFonts w:ascii="Times New Roman" w:hAnsi="Times New Roman" w:eastAsia="仿宋_GB2312"/>
          <w:sz w:val="32"/>
          <w:szCs w:val="32"/>
          <w:highlight w:val="white"/>
          <w:lang w:eastAsia="zh-CN"/>
        </w:rPr>
        <w:t>（</w:t>
      </w:r>
      <w:r>
        <w:rPr>
          <w:rFonts w:hint="eastAsia" w:ascii="Times New Roman" w:hAnsi="Times New Roman" w:eastAsia="仿宋_GB2312"/>
          <w:sz w:val="32"/>
          <w:szCs w:val="32"/>
          <w:highlight w:val="white"/>
          <w:lang w:eastAsia="zh-CN"/>
        </w:rPr>
        <w:t>6</w:t>
      </w:r>
      <w:r>
        <w:rPr>
          <w:rFonts w:ascii="Times New Roman" w:hAnsi="Times New Roman" w:eastAsia="仿宋_GB2312"/>
          <w:sz w:val="32"/>
          <w:szCs w:val="32"/>
          <w:highlight w:val="white"/>
          <w:lang w:eastAsia="zh-CN"/>
        </w:rPr>
        <w:t>）</w:t>
      </w:r>
      <w:r>
        <w:rPr>
          <w:rFonts w:ascii="Times New Roman" w:hAnsi="Times New Roman" w:eastAsia="仿宋_GB2312"/>
          <w:sz w:val="32"/>
          <w:szCs w:val="32"/>
          <w:highlight w:val="white"/>
          <w:lang w:eastAsia="zh-CN" w:bidi="ar"/>
        </w:rPr>
        <w:t>粤东西北</w:t>
      </w:r>
      <w:r>
        <w:rPr>
          <w:rFonts w:hint="eastAsia" w:ascii="Times New Roman" w:hAnsi="Times New Roman" w:eastAsia="仿宋_GB2312"/>
          <w:sz w:val="32"/>
          <w:szCs w:val="32"/>
          <w:highlight w:val="white"/>
          <w:lang w:eastAsia="zh-CN" w:bidi="ar"/>
        </w:rPr>
        <w:t>地区</w:t>
      </w:r>
      <w:r>
        <w:rPr>
          <w:rFonts w:ascii="Times New Roman" w:hAnsi="Times New Roman" w:eastAsia="仿宋_GB2312"/>
          <w:sz w:val="32"/>
          <w:szCs w:val="32"/>
          <w:highlight w:val="white"/>
          <w:lang w:eastAsia="zh-CN" w:bidi="ar"/>
        </w:rPr>
        <w:t>相关地市以外的地区或国家经营主体</w:t>
      </w:r>
      <w:r>
        <w:rPr>
          <w:rFonts w:hint="eastAsia" w:ascii="Times New Roman" w:hAnsi="Times New Roman" w:eastAsia="仿宋_GB2312"/>
          <w:sz w:val="32"/>
          <w:szCs w:val="32"/>
          <w:highlight w:val="white"/>
          <w:lang w:eastAsia="zh-CN" w:bidi="ar"/>
        </w:rPr>
        <w:t>与粤东西北地区经营主体</w:t>
      </w:r>
      <w:r>
        <w:rPr>
          <w:rFonts w:hint="eastAsia" w:ascii="Times New Roman" w:hAnsi="Times New Roman" w:eastAsia="仿宋_GB2312"/>
          <w:sz w:val="32"/>
          <w:szCs w:val="32"/>
          <w:highlight w:val="white"/>
          <w:lang w:val="en-US" w:eastAsia="zh-CN" w:bidi="ar"/>
        </w:rPr>
        <w:t>联合</w:t>
      </w:r>
      <w:r>
        <w:rPr>
          <w:rFonts w:hint="eastAsia" w:ascii="Times New Roman" w:hAnsi="Times New Roman" w:eastAsia="仿宋_GB2312"/>
          <w:sz w:val="32"/>
          <w:szCs w:val="32"/>
          <w:highlight w:val="white"/>
          <w:lang w:eastAsia="zh-CN" w:bidi="ar"/>
        </w:rPr>
        <w:t>报名参赛的，需提供</w:t>
      </w:r>
      <w:r>
        <w:rPr>
          <w:rFonts w:ascii="Times New Roman" w:hAnsi="Times New Roman" w:eastAsia="仿宋_GB2312"/>
          <w:sz w:val="32"/>
          <w:szCs w:val="32"/>
          <w:highlight w:val="white"/>
          <w:lang w:eastAsia="zh-CN" w:bidi="ar"/>
        </w:rPr>
        <w:t>相关知识产权已在或有意在粤东西北相关地市进行转化落地的</w:t>
      </w:r>
      <w:r>
        <w:rPr>
          <w:rFonts w:hint="eastAsia" w:ascii="Times New Roman" w:hAnsi="Times New Roman" w:eastAsia="仿宋_GB2312"/>
          <w:sz w:val="32"/>
          <w:szCs w:val="32"/>
          <w:highlight w:val="white"/>
          <w:lang w:eastAsia="zh-CN" w:bidi="ar"/>
        </w:rPr>
        <w:t>相关证明材料，包括且不限于双方签订的转化许可合同、支付的转化许可费用凭据等。</w:t>
      </w:r>
      <w:bookmarkEnd w:id="45"/>
      <w:bookmarkStart w:id="46" w:name="pindex110"/>
      <w:bookmarkEnd w:id="46"/>
    </w:p>
    <w:p w14:paraId="57043A44">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hint="eastAsia" w:ascii="Times New Roman" w:hAnsi="Times New Roman" w:eastAsia="仿宋_GB2312"/>
          <w:sz w:val="32"/>
          <w:szCs w:val="32"/>
          <w:lang w:eastAsia="zh-CN" w:bidi="ar"/>
        </w:rPr>
        <w:t>（7）参赛单位认为可更加全面反映</w:t>
      </w:r>
      <w:r>
        <w:rPr>
          <w:rFonts w:hint="eastAsia" w:ascii="Times New Roman" w:hAnsi="Times New Roman" w:eastAsia="仿宋_GB2312"/>
          <w:sz w:val="32"/>
          <w:szCs w:val="32"/>
          <w:lang w:eastAsia="zh" w:bidi="ar"/>
        </w:rPr>
        <w:t>参赛</w:t>
      </w:r>
      <w:r>
        <w:rPr>
          <w:rFonts w:hint="eastAsia" w:ascii="Times New Roman" w:hAnsi="Times New Roman" w:eastAsia="仿宋_GB2312"/>
          <w:sz w:val="32"/>
          <w:szCs w:val="32"/>
          <w:lang w:eastAsia="zh-CN" w:bidi="ar"/>
        </w:rPr>
        <w:t>项目相关情况的</w:t>
      </w:r>
      <w:r>
        <w:rPr>
          <w:rFonts w:ascii="Times New Roman" w:hAnsi="Times New Roman" w:eastAsia="仿宋_GB2312"/>
          <w:sz w:val="32"/>
          <w:szCs w:val="32"/>
          <w:lang w:eastAsia="zh-CN" w:bidi="ar"/>
        </w:rPr>
        <w:t>其他材料。</w:t>
      </w:r>
      <w:bookmarkStart w:id="47" w:name="pindex111"/>
      <w:bookmarkEnd w:id="47"/>
    </w:p>
    <w:p w14:paraId="0F4085F9">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hint="eastAsia" w:ascii="Times New Roman" w:hAnsi="Times New Roman" w:eastAsia="仿宋_GB2312"/>
          <w:sz w:val="32"/>
          <w:szCs w:val="32"/>
          <w:lang w:eastAsia="zh-CN" w:bidi="ar"/>
        </w:rPr>
        <w:t>以上材料需扫描为PDF格式后上传至报名系统，初赛不需要纸件。</w:t>
      </w:r>
    </w:p>
    <w:p w14:paraId="4E59304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（二）初赛评选阶段（2025年</w:t>
      </w:r>
      <w:r>
        <w:rPr>
          <w:rFonts w:hint="eastAsia" w:eastAsia="楷体_GB2312"/>
          <w:kern w:val="0"/>
          <w:sz w:val="32"/>
          <w:szCs w:val="32"/>
          <w:lang w:bidi="ar"/>
        </w:rPr>
        <w:t>9</w:t>
      </w:r>
      <w:r>
        <w:rPr>
          <w:rFonts w:eastAsia="楷体_GB2312"/>
          <w:kern w:val="0"/>
          <w:sz w:val="32"/>
          <w:szCs w:val="32"/>
          <w:lang w:bidi="ar"/>
        </w:rPr>
        <w:t>月）</w:t>
      </w:r>
      <w:bookmarkStart w:id="48" w:name="pindex113"/>
      <w:bookmarkEnd w:id="48"/>
    </w:p>
    <w:p w14:paraId="21A7E11F">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hint="eastAsia" w:ascii="Times New Roman" w:hAnsi="Times New Roman" w:eastAsia="仿宋_GB2312"/>
          <w:sz w:val="32"/>
          <w:szCs w:val="32"/>
          <w:lang w:eastAsia="zh-CN" w:bidi="ar"/>
        </w:rPr>
        <w:t>1</w:t>
      </w:r>
      <w:r>
        <w:rPr>
          <w:rFonts w:hint="eastAsia" w:ascii="Times New Roman" w:hAnsi="Times New Roman"/>
          <w:sz w:val="32"/>
          <w:szCs w:val="32"/>
          <w:lang w:eastAsia="zh-CN" w:bidi="ar"/>
        </w:rPr>
        <w:t>．</w:t>
      </w:r>
      <w:r>
        <w:rPr>
          <w:rFonts w:ascii="Times New Roman" w:hAnsi="Times New Roman" w:eastAsia="仿宋_GB2312"/>
          <w:sz w:val="32"/>
          <w:szCs w:val="32"/>
          <w:lang w:eastAsia="zh-CN"/>
        </w:rPr>
        <w:t>资格审查</w:t>
      </w:r>
      <w:r>
        <w:rPr>
          <w:rFonts w:hint="eastAsia" w:ascii="Times New Roman" w:hAnsi="Times New Roman" w:eastAsia="仿宋_GB2312"/>
          <w:sz w:val="32"/>
          <w:szCs w:val="32"/>
          <w:lang w:eastAsia="zh-CN"/>
        </w:rPr>
        <w:t>。</w:t>
      </w:r>
    </w:p>
    <w:p w14:paraId="7B89C75E">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ascii="Times New Roman" w:hAnsi="Times New Roman" w:eastAsia="仿宋_GB2312"/>
          <w:sz w:val="32"/>
          <w:szCs w:val="32"/>
          <w:lang w:eastAsia="zh-CN"/>
        </w:rPr>
        <w:t>由评审委员会</w:t>
      </w:r>
      <w:r>
        <w:rPr>
          <w:rFonts w:hint="eastAsia" w:ascii="Times New Roman" w:hAnsi="Times New Roman" w:eastAsia="仿宋_GB2312"/>
          <w:sz w:val="32"/>
          <w:szCs w:val="32"/>
          <w:lang w:eastAsia="zh-CN"/>
        </w:rPr>
        <w:t>审核项目申报</w:t>
      </w:r>
      <w:r>
        <w:rPr>
          <w:rFonts w:ascii="Times New Roman" w:hAnsi="Times New Roman" w:eastAsia="仿宋_GB2312"/>
          <w:sz w:val="32"/>
          <w:szCs w:val="32"/>
          <w:lang w:eastAsia="zh-CN"/>
        </w:rPr>
        <w:t>资料，确认符合参赛资格的参赛项目。除参赛主体自行提交的资料外，对于所有项目，审核人员应查询国家企业信用信息公示系统等网站，查询参赛主体是否存在严重失信行为，是否存在影响品牌声誉或涉及质量问题的行政处罚；对于专利类项目，审核人员应查询国家知识产权局专利检索及分析数据库，确认参赛项目所涉及的专利是否真实有效，确认专利权人与参赛主体是否一致；对于商标类项目，审核人员应查询裁判文书网、国家知识产权商标查询系统等网站，查询是否存在一年内的侵权生效判决，参赛商标是否涉及确权纠纷等</w:t>
      </w:r>
      <w:r>
        <w:rPr>
          <w:rFonts w:hint="eastAsia" w:ascii="Times New Roman" w:hAnsi="Times New Roman" w:eastAsia="仿宋_GB2312"/>
          <w:sz w:val="32"/>
          <w:szCs w:val="32"/>
          <w:lang w:eastAsia="zh-CN"/>
        </w:rPr>
        <w:t>。</w:t>
      </w:r>
      <w:bookmarkStart w:id="49" w:name="pindex114"/>
      <w:bookmarkEnd w:id="49"/>
    </w:p>
    <w:p w14:paraId="6A078686">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上述问题评审委员会无法判断的，提交</w:t>
      </w:r>
      <w:r>
        <w:rPr>
          <w:rFonts w:hint="eastAsia" w:ascii="Times New Roman" w:hAnsi="Times New Roman" w:eastAsia="仿宋_GB2312"/>
          <w:sz w:val="32"/>
          <w:szCs w:val="32"/>
          <w:lang w:eastAsia="zh-CN"/>
        </w:rPr>
        <w:t>仲裁</w:t>
      </w:r>
      <w:r>
        <w:rPr>
          <w:rFonts w:ascii="Times New Roman" w:hAnsi="Times New Roman" w:eastAsia="仿宋_GB2312"/>
          <w:sz w:val="32"/>
          <w:szCs w:val="32"/>
          <w:lang w:eastAsia="zh-CN"/>
        </w:rPr>
        <w:t>委</w:t>
      </w:r>
      <w:r>
        <w:rPr>
          <w:rFonts w:hint="eastAsia" w:ascii="Times New Roman" w:hAnsi="Times New Roman" w:eastAsia="仿宋_GB2312"/>
          <w:sz w:val="32"/>
          <w:szCs w:val="32"/>
          <w:lang w:eastAsia="zh-CN"/>
        </w:rPr>
        <w:t>员</w:t>
      </w:r>
      <w:r>
        <w:rPr>
          <w:rFonts w:ascii="Times New Roman" w:hAnsi="Times New Roman" w:eastAsia="仿宋_GB2312"/>
          <w:sz w:val="32"/>
          <w:szCs w:val="32"/>
          <w:lang w:eastAsia="zh-CN"/>
        </w:rPr>
        <w:t>会判定。</w:t>
      </w:r>
    </w:p>
    <w:p w14:paraId="497665E2">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2</w:t>
      </w:r>
      <w:r>
        <w:rPr>
          <w:rFonts w:hint="eastAsia"/>
          <w:kern w:val="0"/>
          <w:sz w:val="32"/>
          <w:szCs w:val="32"/>
          <w:lang w:eastAsia="zh-CN" w:bidi="ar"/>
        </w:rPr>
        <w:t>．</w:t>
      </w:r>
      <w:r>
        <w:rPr>
          <w:rFonts w:hint="eastAsia" w:eastAsia="仿宋_GB2312"/>
          <w:kern w:val="0"/>
          <w:sz w:val="32"/>
          <w:szCs w:val="32"/>
          <w:lang w:bidi="ar"/>
        </w:rPr>
        <w:t>资格公示</w:t>
      </w:r>
      <w:r>
        <w:rPr>
          <w:rFonts w:hint="eastAsia" w:eastAsia="仿宋_GB2312"/>
          <w:kern w:val="0"/>
          <w:sz w:val="32"/>
          <w:szCs w:val="32"/>
          <w:lang w:eastAsia="zh-CN" w:bidi="ar"/>
        </w:rPr>
        <w:t>。</w:t>
      </w:r>
    </w:p>
    <w:p w14:paraId="14E65F6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经</w:t>
      </w:r>
      <w:r>
        <w:rPr>
          <w:rFonts w:eastAsia="仿宋_GB2312"/>
          <w:kern w:val="0"/>
          <w:sz w:val="32"/>
          <w:szCs w:val="32"/>
        </w:rPr>
        <w:t>资格审查通过的项目进行网上公示，公示时间不少于5个工作日。公示无异议的</w:t>
      </w:r>
      <w:r>
        <w:rPr>
          <w:rFonts w:hint="eastAsia" w:eastAsia="仿宋_GB2312"/>
          <w:kern w:val="0"/>
          <w:sz w:val="32"/>
          <w:szCs w:val="32"/>
        </w:rPr>
        <w:t>项目</w:t>
      </w:r>
      <w:r>
        <w:rPr>
          <w:rFonts w:eastAsia="仿宋_GB2312"/>
          <w:kern w:val="0"/>
          <w:sz w:val="32"/>
          <w:szCs w:val="32"/>
        </w:rPr>
        <w:t>，</w:t>
      </w:r>
      <w:r>
        <w:rPr>
          <w:rFonts w:hint="eastAsia" w:eastAsia="仿宋_GB2312"/>
          <w:kern w:val="0"/>
          <w:sz w:val="32"/>
          <w:szCs w:val="32"/>
        </w:rPr>
        <w:t>进入专家评审环节</w:t>
      </w:r>
      <w:r>
        <w:rPr>
          <w:rFonts w:hint="eastAsia" w:eastAsia="仿宋_GB2312"/>
          <w:kern w:val="0"/>
          <w:sz w:val="32"/>
          <w:szCs w:val="32"/>
          <w:lang w:bidi="ar"/>
        </w:rPr>
        <w:t>；</w:t>
      </w:r>
      <w:r>
        <w:rPr>
          <w:rFonts w:eastAsia="仿宋_GB2312"/>
          <w:kern w:val="0"/>
          <w:sz w:val="32"/>
          <w:szCs w:val="32"/>
        </w:rPr>
        <w:t>对公示有异议的</w:t>
      </w:r>
      <w:r>
        <w:rPr>
          <w:rFonts w:hint="eastAsia" w:eastAsia="仿宋_GB2312"/>
          <w:kern w:val="0"/>
          <w:sz w:val="32"/>
          <w:szCs w:val="32"/>
        </w:rPr>
        <w:t>项目</w:t>
      </w:r>
      <w:r>
        <w:rPr>
          <w:rFonts w:eastAsia="仿宋_GB2312"/>
          <w:kern w:val="0"/>
          <w:sz w:val="32"/>
          <w:szCs w:val="32"/>
        </w:rPr>
        <w:t>，由</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会进行核实并判定</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会判定符合参赛资格</w:t>
      </w:r>
      <w:r>
        <w:rPr>
          <w:rFonts w:hint="eastAsia" w:eastAsia="仿宋_GB2312"/>
          <w:kern w:val="0"/>
          <w:sz w:val="32"/>
          <w:szCs w:val="32"/>
        </w:rPr>
        <w:t>的，进入专家评审环节</w:t>
      </w:r>
      <w:r>
        <w:rPr>
          <w:rFonts w:eastAsia="仿宋_GB2312"/>
          <w:kern w:val="0"/>
          <w:sz w:val="32"/>
          <w:szCs w:val="32"/>
        </w:rPr>
        <w:t>。</w:t>
      </w:r>
      <w:bookmarkStart w:id="50" w:name="pindex116"/>
      <w:bookmarkEnd w:id="50"/>
    </w:p>
    <w:p w14:paraId="1A007063">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eastAsia="仿宋_GB2312"/>
          <w:sz w:val="32"/>
        </w:rPr>
      </w:pPr>
      <w:r>
        <w:rPr>
          <w:rFonts w:hint="eastAsia" w:eastAsia="仿宋_GB2312"/>
          <w:kern w:val="0"/>
          <w:sz w:val="32"/>
          <w:szCs w:val="32"/>
          <w:lang w:val="en-US" w:eastAsia="zh-CN" w:bidi="ar"/>
        </w:rPr>
        <w:t>3</w:t>
      </w:r>
      <w:r>
        <w:rPr>
          <w:rFonts w:hint="eastAsia"/>
          <w:kern w:val="0"/>
          <w:sz w:val="32"/>
          <w:szCs w:val="32"/>
          <w:lang w:val="en-US" w:eastAsia="zh-CN" w:bidi="ar"/>
        </w:rPr>
        <w:t>．</w:t>
      </w:r>
      <w:r>
        <w:rPr>
          <w:rFonts w:hint="eastAsia" w:eastAsia="仿宋_GB2312"/>
          <w:kern w:val="0"/>
          <w:sz w:val="32"/>
          <w:szCs w:val="32"/>
          <w:lang w:bidi="ar"/>
        </w:rPr>
        <w:t>专家评审。</w:t>
      </w:r>
    </w:p>
    <w:p w14:paraId="211033F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初赛专家根据评审规则及评分体系</w:t>
      </w:r>
      <w:r>
        <w:rPr>
          <w:rFonts w:eastAsia="仿宋_GB2312"/>
          <w:kern w:val="0"/>
          <w:sz w:val="32"/>
          <w:szCs w:val="32"/>
          <w:lang w:bidi="ar"/>
        </w:rPr>
        <w:t>对申报项目</w:t>
      </w:r>
      <w:r>
        <w:rPr>
          <w:rFonts w:hint="eastAsia" w:eastAsia="仿宋_GB2312"/>
          <w:kern w:val="0"/>
          <w:sz w:val="32"/>
          <w:szCs w:val="32"/>
          <w:lang w:bidi="ar"/>
        </w:rPr>
        <w:t>材料</w:t>
      </w:r>
      <w:r>
        <w:rPr>
          <w:rFonts w:eastAsia="仿宋_GB2312"/>
          <w:kern w:val="0"/>
          <w:sz w:val="32"/>
          <w:szCs w:val="32"/>
          <w:lang w:bidi="ar"/>
        </w:rPr>
        <w:t>进行评审</w:t>
      </w:r>
      <w:r>
        <w:rPr>
          <w:rFonts w:hint="eastAsia" w:eastAsia="仿宋_GB2312"/>
          <w:kern w:val="0"/>
          <w:sz w:val="32"/>
          <w:szCs w:val="32"/>
          <w:lang w:bidi="ar"/>
        </w:rPr>
        <w:t>，对项目材料中未涉及的内容，均视为无此类情况</w:t>
      </w:r>
      <w:r>
        <w:rPr>
          <w:rFonts w:eastAsia="仿宋_GB2312"/>
          <w:kern w:val="0"/>
          <w:sz w:val="32"/>
          <w:szCs w:val="32"/>
          <w:lang w:bidi="ar"/>
        </w:rPr>
        <w:t>。</w:t>
      </w:r>
      <w:bookmarkStart w:id="51" w:name="pindex117"/>
      <w:bookmarkEnd w:id="51"/>
    </w:p>
    <w:p w14:paraId="041EA63C">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根据</w:t>
      </w:r>
      <w:r>
        <w:rPr>
          <w:rFonts w:hint="eastAsia" w:eastAsia="仿宋_GB2312"/>
          <w:kern w:val="0"/>
          <w:sz w:val="32"/>
          <w:szCs w:val="32"/>
          <w:lang w:bidi="ar"/>
        </w:rPr>
        <w:t>初赛专家</w:t>
      </w:r>
      <w:r>
        <w:rPr>
          <w:rFonts w:eastAsia="仿宋_GB2312"/>
          <w:kern w:val="0"/>
          <w:sz w:val="32"/>
          <w:szCs w:val="32"/>
          <w:lang w:bidi="ar"/>
        </w:rPr>
        <w:t>评审结果，评</w:t>
      </w:r>
      <w:r>
        <w:rPr>
          <w:rFonts w:hint="eastAsia" w:eastAsia="仿宋_GB2312"/>
          <w:kern w:val="0"/>
          <w:sz w:val="32"/>
          <w:szCs w:val="32"/>
          <w:lang w:bidi="ar"/>
        </w:rPr>
        <w:t>选</w:t>
      </w:r>
      <w:r>
        <w:rPr>
          <w:rFonts w:eastAsia="仿宋_GB2312"/>
          <w:kern w:val="0"/>
          <w:sz w:val="32"/>
          <w:szCs w:val="32"/>
          <w:lang w:bidi="ar"/>
        </w:rPr>
        <w:t>出第三届粤创赛百强项目，其中专利组60个（初创组和成长组各30个）</w:t>
      </w:r>
      <w:r>
        <w:rPr>
          <w:rFonts w:hint="eastAsia" w:eastAsia="仿宋_GB2312"/>
          <w:kern w:val="0"/>
          <w:sz w:val="32"/>
          <w:szCs w:val="32"/>
          <w:lang w:eastAsia="zh-CN" w:bidi="ar"/>
        </w:rPr>
        <w:t>、</w:t>
      </w:r>
      <w:r>
        <w:rPr>
          <w:rFonts w:eastAsia="仿宋_GB2312"/>
          <w:kern w:val="0"/>
          <w:sz w:val="32"/>
          <w:szCs w:val="32"/>
          <w:lang w:bidi="ar"/>
        </w:rPr>
        <w:t>商标组20个</w:t>
      </w:r>
      <w:r>
        <w:rPr>
          <w:rFonts w:hint="eastAsia" w:eastAsia="仿宋_GB2312"/>
          <w:kern w:val="0"/>
          <w:sz w:val="32"/>
          <w:szCs w:val="32"/>
          <w:lang w:eastAsia="zh-CN" w:bidi="ar"/>
        </w:rPr>
        <w:t>、</w:t>
      </w:r>
      <w:r>
        <w:rPr>
          <w:rFonts w:eastAsia="仿宋_GB2312"/>
          <w:kern w:val="0"/>
          <w:sz w:val="32"/>
          <w:szCs w:val="32"/>
          <w:lang w:bidi="ar"/>
        </w:rPr>
        <w:t>地理标志组20个。</w:t>
      </w:r>
    </w:p>
    <w:p w14:paraId="53EC8B23">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eastAsia="仿宋_GB2312"/>
          <w:sz w:val="32"/>
        </w:rPr>
      </w:pPr>
      <w:r>
        <w:rPr>
          <w:rFonts w:hint="eastAsia" w:eastAsia="仿宋_GB2312"/>
          <w:kern w:val="0"/>
          <w:sz w:val="32"/>
          <w:szCs w:val="32"/>
          <w:lang w:val="en-US" w:eastAsia="zh-CN" w:bidi="ar"/>
        </w:rPr>
        <w:t>4</w:t>
      </w:r>
      <w:r>
        <w:rPr>
          <w:rFonts w:hint="eastAsia"/>
          <w:kern w:val="0"/>
          <w:sz w:val="32"/>
          <w:szCs w:val="32"/>
          <w:lang w:val="en-US" w:eastAsia="zh-CN" w:bidi="ar"/>
        </w:rPr>
        <w:t>．</w:t>
      </w:r>
      <w:r>
        <w:rPr>
          <w:rFonts w:eastAsia="仿宋_GB2312"/>
          <w:kern w:val="0"/>
          <w:sz w:val="32"/>
          <w:szCs w:val="32"/>
          <w:lang w:bidi="ar"/>
        </w:rPr>
        <w:t>百强项目</w:t>
      </w:r>
      <w:r>
        <w:rPr>
          <w:rFonts w:hint="eastAsia" w:eastAsia="仿宋_GB2312"/>
          <w:kern w:val="0"/>
          <w:sz w:val="32"/>
          <w:szCs w:val="32"/>
          <w:lang w:bidi="ar"/>
        </w:rPr>
        <w:t>公示</w:t>
      </w:r>
    </w:p>
    <w:p w14:paraId="7EA6D5AC">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eastAsia="zh" w:bidi="ar"/>
        </w:rPr>
        <w:t>对</w:t>
      </w:r>
      <w:r>
        <w:rPr>
          <w:rFonts w:hint="eastAsia" w:eastAsia="仿宋_GB2312"/>
          <w:kern w:val="0"/>
          <w:sz w:val="32"/>
          <w:szCs w:val="32"/>
          <w:lang w:bidi="ar"/>
        </w:rPr>
        <w:t>入选</w:t>
      </w:r>
      <w:r>
        <w:rPr>
          <w:rFonts w:eastAsia="仿宋_GB2312"/>
          <w:kern w:val="0"/>
          <w:sz w:val="32"/>
          <w:szCs w:val="32"/>
          <w:lang w:bidi="ar"/>
        </w:rPr>
        <w:t>第三届粤创赛</w:t>
      </w:r>
      <w:r>
        <w:rPr>
          <w:rFonts w:hint="eastAsia" w:eastAsia="仿宋_GB2312"/>
          <w:kern w:val="0"/>
          <w:sz w:val="32"/>
          <w:szCs w:val="32"/>
          <w:lang w:eastAsia="zh" w:bidi="ar"/>
        </w:rPr>
        <w:t>的</w:t>
      </w:r>
      <w:r>
        <w:rPr>
          <w:rFonts w:eastAsia="仿宋_GB2312"/>
          <w:kern w:val="0"/>
          <w:sz w:val="32"/>
          <w:szCs w:val="32"/>
          <w:lang w:bidi="ar"/>
        </w:rPr>
        <w:t>百强项目</w:t>
      </w:r>
      <w:r>
        <w:rPr>
          <w:rFonts w:hint="eastAsia" w:eastAsia="仿宋_GB2312"/>
          <w:kern w:val="0"/>
          <w:sz w:val="32"/>
          <w:szCs w:val="32"/>
          <w:lang w:bidi="ar"/>
        </w:rPr>
        <w:t>进行</w:t>
      </w:r>
      <w:r>
        <w:rPr>
          <w:rFonts w:eastAsia="仿宋_GB2312"/>
          <w:kern w:val="0"/>
          <w:sz w:val="32"/>
          <w:szCs w:val="32"/>
          <w:lang w:bidi="ar"/>
        </w:rPr>
        <w:t>公示，公示时间不少于5个工作日。</w:t>
      </w:r>
      <w:r>
        <w:rPr>
          <w:rFonts w:eastAsia="仿宋_GB2312"/>
          <w:kern w:val="0"/>
          <w:sz w:val="32"/>
          <w:szCs w:val="32"/>
        </w:rPr>
        <w:t>公示无异议的项目进入决赛；公示有异议的项目，由</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会进行核实并判定是否进入决赛。经</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会核实并判定不能进入决赛的，不再</w:t>
      </w:r>
      <w:r>
        <w:rPr>
          <w:rFonts w:hint="eastAsia" w:eastAsia="仿宋_GB2312"/>
          <w:kern w:val="0"/>
          <w:sz w:val="32"/>
          <w:szCs w:val="32"/>
        </w:rPr>
        <w:t>安排</w:t>
      </w:r>
      <w:r>
        <w:rPr>
          <w:rFonts w:eastAsia="仿宋_GB2312"/>
          <w:kern w:val="0"/>
          <w:sz w:val="32"/>
          <w:szCs w:val="32"/>
        </w:rPr>
        <w:t>替补。</w:t>
      </w:r>
    </w:p>
    <w:p w14:paraId="2E34888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（三）决赛评选及颁奖阶段（2025年1</w:t>
      </w:r>
      <w:r>
        <w:rPr>
          <w:rFonts w:hint="eastAsia" w:eastAsia="楷体_GB2312"/>
          <w:kern w:val="0"/>
          <w:sz w:val="32"/>
          <w:szCs w:val="32"/>
          <w:lang w:val="en-US" w:eastAsia="zh-CN" w:bidi="ar"/>
        </w:rPr>
        <w:t>0</w:t>
      </w:r>
      <w:r>
        <w:rPr>
          <w:rFonts w:hint="eastAsia" w:eastAsia="楷体_GB2312"/>
          <w:kern w:val="0"/>
          <w:sz w:val="32"/>
          <w:szCs w:val="32"/>
          <w:lang w:bidi="ar"/>
        </w:rPr>
        <w:t>—</w:t>
      </w:r>
      <w:r>
        <w:rPr>
          <w:rFonts w:eastAsia="楷体_GB2312"/>
          <w:kern w:val="0"/>
          <w:sz w:val="32"/>
          <w:szCs w:val="32"/>
          <w:lang w:bidi="ar"/>
        </w:rPr>
        <w:t>12月）</w:t>
      </w:r>
      <w:bookmarkStart w:id="52" w:name="pindex120"/>
      <w:bookmarkEnd w:id="52"/>
    </w:p>
    <w:p w14:paraId="7179EE81">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eastAsia="仿宋_GB2312"/>
          <w:kern w:val="0"/>
          <w:sz w:val="32"/>
          <w:szCs w:val="32"/>
          <w:lang w:bidi="ar"/>
        </w:rPr>
        <w:t>1</w:t>
      </w:r>
      <w:r>
        <w:rPr>
          <w:rFonts w:hint="eastAsia"/>
          <w:kern w:val="0"/>
          <w:sz w:val="32"/>
          <w:szCs w:val="32"/>
          <w:lang w:eastAsia="zh-CN" w:bidi="ar"/>
        </w:rPr>
        <w:t>．</w:t>
      </w:r>
      <w:r>
        <w:rPr>
          <w:rFonts w:eastAsia="仿宋_GB2312"/>
          <w:kern w:val="0"/>
          <w:sz w:val="32"/>
          <w:szCs w:val="32"/>
          <w:lang w:bidi="ar"/>
        </w:rPr>
        <w:t>赛前培训</w:t>
      </w:r>
      <w:r>
        <w:rPr>
          <w:rFonts w:hint="eastAsia" w:eastAsia="仿宋_GB2312"/>
          <w:kern w:val="0"/>
          <w:sz w:val="32"/>
          <w:szCs w:val="32"/>
          <w:lang w:eastAsia="zh-CN" w:bidi="ar"/>
        </w:rPr>
        <w:t>。</w:t>
      </w:r>
    </w:p>
    <w:p w14:paraId="3B39960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对晋级决赛的参赛项目开展培训。</w:t>
      </w:r>
      <w:bookmarkStart w:id="53" w:name="pindex121"/>
      <w:bookmarkEnd w:id="53"/>
    </w:p>
    <w:p w14:paraId="294D1C74">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eastAsia="仿宋_GB2312"/>
          <w:kern w:val="0"/>
          <w:sz w:val="32"/>
          <w:szCs w:val="32"/>
          <w:lang w:bidi="ar"/>
        </w:rPr>
        <w:t>2</w:t>
      </w:r>
      <w:r>
        <w:rPr>
          <w:rFonts w:hint="eastAsia"/>
          <w:kern w:val="0"/>
          <w:sz w:val="32"/>
          <w:szCs w:val="32"/>
          <w:lang w:eastAsia="zh-CN" w:bidi="ar"/>
        </w:rPr>
        <w:t>．</w:t>
      </w:r>
      <w:r>
        <w:rPr>
          <w:rFonts w:eastAsia="仿宋_GB2312"/>
          <w:kern w:val="0"/>
          <w:sz w:val="32"/>
          <w:szCs w:val="32"/>
          <w:lang w:bidi="ar"/>
        </w:rPr>
        <w:t>网上投票</w:t>
      </w:r>
      <w:r>
        <w:rPr>
          <w:rFonts w:hint="eastAsia" w:eastAsia="仿宋_GB2312"/>
          <w:kern w:val="0"/>
          <w:sz w:val="32"/>
          <w:szCs w:val="32"/>
          <w:lang w:eastAsia="zh-CN" w:bidi="ar"/>
        </w:rPr>
        <w:t>。</w:t>
      </w:r>
    </w:p>
    <w:p w14:paraId="4778C780">
      <w:pPr>
        <w:keepNext w:val="0"/>
        <w:keepLines w:val="0"/>
        <w:pageBreakBefore w:val="0"/>
        <w:kinsoku/>
        <w:wordWrap/>
        <w:overflowPunct/>
        <w:topLinePunct w:val="0"/>
        <w:bidi w:val="0"/>
        <w:adjustRightInd w:val="0"/>
        <w:snapToGrid w:val="0"/>
        <w:spacing w:line="560" w:lineRule="exact"/>
        <w:ind w:firstLine="608" w:firstLineChars="200"/>
        <w:textAlignment w:val="auto"/>
        <w:rPr>
          <w:sz w:val="32"/>
        </w:rPr>
      </w:pPr>
      <w:r>
        <w:rPr>
          <w:rFonts w:eastAsia="仿宋_GB2312"/>
          <w:sz w:val="32"/>
          <w:szCs w:val="32"/>
          <w:lang w:bidi="ar"/>
        </w:rPr>
        <w:t>对</w:t>
      </w:r>
      <w:r>
        <w:rPr>
          <w:rFonts w:hint="eastAsia" w:eastAsia="仿宋_GB2312"/>
          <w:sz w:val="32"/>
          <w:szCs w:val="32"/>
          <w:lang w:bidi="ar"/>
        </w:rPr>
        <w:t>进入决赛的</w:t>
      </w:r>
      <w:r>
        <w:rPr>
          <w:rFonts w:eastAsia="仿宋_GB2312"/>
          <w:sz w:val="32"/>
          <w:szCs w:val="32"/>
          <w:lang w:bidi="ar"/>
        </w:rPr>
        <w:t>参赛项目在网络上进行公布，并开通网络投票通道，面向公众发起网络投票，社会大众在规定时间内可对所支持的参赛项目进行投票。</w:t>
      </w:r>
      <w:bookmarkStart w:id="54" w:name="pindex122"/>
      <w:bookmarkEnd w:id="54"/>
    </w:p>
    <w:p w14:paraId="04C2D828">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3</w:t>
      </w:r>
      <w:r>
        <w:rPr>
          <w:rFonts w:hint="eastAsia"/>
          <w:kern w:val="0"/>
          <w:sz w:val="32"/>
          <w:szCs w:val="32"/>
          <w:lang w:eastAsia="zh-CN" w:bidi="ar"/>
        </w:rPr>
        <w:t>．</w:t>
      </w:r>
      <w:r>
        <w:rPr>
          <w:rFonts w:eastAsia="仿宋_GB2312"/>
          <w:kern w:val="0"/>
          <w:sz w:val="32"/>
          <w:szCs w:val="32"/>
          <w:lang w:bidi="ar"/>
        </w:rPr>
        <w:t>项目路演</w:t>
      </w:r>
      <w:r>
        <w:rPr>
          <w:rFonts w:hint="eastAsia" w:eastAsia="仿宋_GB2312"/>
          <w:kern w:val="0"/>
          <w:sz w:val="32"/>
          <w:szCs w:val="32"/>
          <w:lang w:eastAsia="zh-CN" w:bidi="ar"/>
        </w:rPr>
        <w:t>。</w:t>
      </w:r>
    </w:p>
    <w:p w14:paraId="61EFC223">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sz w:val="32"/>
          <w:szCs w:val="32"/>
          <w:lang w:bidi="ar"/>
        </w:rPr>
        <w:t>进入决赛的</w:t>
      </w:r>
      <w:r>
        <w:rPr>
          <w:rFonts w:eastAsia="仿宋_GB2312"/>
          <w:sz w:val="32"/>
          <w:szCs w:val="32"/>
          <w:lang w:bidi="ar"/>
        </w:rPr>
        <w:t>参赛项目</w:t>
      </w:r>
      <w:r>
        <w:rPr>
          <w:rFonts w:hint="eastAsia" w:eastAsia="仿宋_GB2312"/>
          <w:sz w:val="32"/>
          <w:szCs w:val="32"/>
          <w:lang w:bidi="ar"/>
        </w:rPr>
        <w:t>进行路演，</w:t>
      </w:r>
      <w:r>
        <w:rPr>
          <w:rFonts w:hint="eastAsia" w:eastAsia="仿宋_GB2312"/>
          <w:kern w:val="0"/>
          <w:sz w:val="32"/>
          <w:szCs w:val="32"/>
          <w:lang w:bidi="ar"/>
        </w:rPr>
        <w:t>每个</w:t>
      </w:r>
      <w:r>
        <w:rPr>
          <w:rFonts w:eastAsia="仿宋_GB2312"/>
          <w:kern w:val="0"/>
          <w:sz w:val="32"/>
          <w:szCs w:val="32"/>
          <w:lang w:bidi="ar"/>
        </w:rPr>
        <w:t>项目路演</w:t>
      </w:r>
      <w:r>
        <w:rPr>
          <w:rFonts w:hint="eastAsia" w:eastAsia="仿宋_GB2312"/>
          <w:kern w:val="0"/>
          <w:sz w:val="32"/>
          <w:szCs w:val="32"/>
          <w:lang w:bidi="ar"/>
        </w:rPr>
        <w:t>时间为10分钟。</w:t>
      </w:r>
    </w:p>
    <w:p w14:paraId="0B48E86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专利组路演</w:t>
      </w:r>
      <w:r>
        <w:rPr>
          <w:rFonts w:eastAsia="仿宋_GB2312"/>
          <w:kern w:val="0"/>
          <w:sz w:val="32"/>
          <w:szCs w:val="32"/>
          <w:lang w:bidi="ar"/>
        </w:rPr>
        <w:t>重点包括：</w:t>
      </w:r>
      <w:r>
        <w:rPr>
          <w:rFonts w:hint="eastAsia" w:eastAsia="仿宋_GB2312"/>
          <w:kern w:val="0"/>
          <w:sz w:val="32"/>
          <w:szCs w:val="32"/>
          <w:lang w:bidi="ar"/>
        </w:rPr>
        <w:t>参赛项目牵头单位及主要单位研发创新、知识产权建设情况，参赛核心专利技术的质量情况及专利布局情况，专利转化运用、产业化情况及转化效益情况，专利技术的市场前景情况等。</w:t>
      </w:r>
      <w:bookmarkStart w:id="55" w:name="pindex123"/>
      <w:bookmarkEnd w:id="55"/>
    </w:p>
    <w:p w14:paraId="72F4794F">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商标组路演</w:t>
      </w:r>
      <w:r>
        <w:rPr>
          <w:rFonts w:eastAsia="仿宋_GB2312"/>
          <w:kern w:val="0"/>
          <w:sz w:val="32"/>
          <w:szCs w:val="32"/>
          <w:lang w:bidi="ar"/>
        </w:rPr>
        <w:t>重点包括：</w:t>
      </w:r>
      <w:r>
        <w:rPr>
          <w:rFonts w:hint="eastAsia" w:eastAsia="仿宋_GB2312"/>
          <w:kern w:val="0"/>
          <w:sz w:val="32"/>
          <w:szCs w:val="32"/>
          <w:lang w:bidi="ar"/>
        </w:rPr>
        <w:t>参赛项目牵头单位及主要单位商标品牌建设情况，商标培育、品牌规划及布局情况，品牌保护、品牌运营及推广等情况，商标品牌转化收益等情况。</w:t>
      </w:r>
    </w:p>
    <w:p w14:paraId="5D0050B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地理标志组路演</w:t>
      </w:r>
      <w:r>
        <w:rPr>
          <w:rFonts w:eastAsia="仿宋_GB2312"/>
          <w:kern w:val="0"/>
          <w:sz w:val="32"/>
          <w:szCs w:val="32"/>
          <w:lang w:bidi="ar"/>
        </w:rPr>
        <w:t>重点包括：</w:t>
      </w:r>
      <w:r>
        <w:rPr>
          <w:rFonts w:hint="eastAsia" w:eastAsia="仿宋_GB2312"/>
          <w:kern w:val="0"/>
          <w:sz w:val="32"/>
          <w:szCs w:val="32"/>
          <w:lang w:bidi="ar"/>
        </w:rPr>
        <w:t>参赛项目牵头单位及主要单位地理标志管理及地理标志品牌建设情况，地理标志文化传承、质量监管、产品特色情况，地理标志品牌推广、市场营收、商业运营等情况，地理标志转化效益</w:t>
      </w:r>
      <w:r>
        <w:rPr>
          <w:rFonts w:hint="eastAsia" w:eastAsia="仿宋_GB2312"/>
          <w:kern w:val="0"/>
          <w:sz w:val="32"/>
          <w:szCs w:val="32"/>
          <w:lang w:eastAsia="zh-CN" w:bidi="ar"/>
        </w:rPr>
        <w:t>（</w:t>
      </w:r>
      <w:r>
        <w:rPr>
          <w:rFonts w:hint="eastAsia" w:eastAsia="仿宋_GB2312"/>
          <w:kern w:val="0"/>
          <w:sz w:val="32"/>
          <w:szCs w:val="32"/>
          <w:lang w:val="en-US" w:eastAsia="zh-CN" w:bidi="ar"/>
        </w:rPr>
        <w:t>营业销售、推介渠道</w:t>
      </w:r>
      <w:r>
        <w:rPr>
          <w:rFonts w:hint="eastAsia" w:eastAsia="仿宋_GB2312"/>
          <w:kern w:val="0"/>
          <w:sz w:val="32"/>
          <w:szCs w:val="32"/>
          <w:lang w:eastAsia="zh-CN" w:bidi="ar"/>
        </w:rPr>
        <w:t>）</w:t>
      </w:r>
      <w:r>
        <w:rPr>
          <w:rFonts w:hint="eastAsia" w:eastAsia="仿宋_GB2312"/>
          <w:kern w:val="0"/>
          <w:sz w:val="32"/>
          <w:szCs w:val="32"/>
          <w:lang w:bidi="ar"/>
        </w:rPr>
        <w:t>等情况。</w:t>
      </w:r>
    </w:p>
    <w:p w14:paraId="34065097">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4</w:t>
      </w:r>
      <w:r>
        <w:rPr>
          <w:rFonts w:hint="eastAsia"/>
          <w:kern w:val="0"/>
          <w:sz w:val="32"/>
          <w:szCs w:val="32"/>
          <w:lang w:eastAsia="zh-CN" w:bidi="ar"/>
        </w:rPr>
        <w:t>．</w:t>
      </w:r>
      <w:r>
        <w:rPr>
          <w:rFonts w:eastAsia="仿宋_GB2312"/>
          <w:kern w:val="0"/>
          <w:sz w:val="32"/>
          <w:szCs w:val="32"/>
          <w:lang w:bidi="ar"/>
        </w:rPr>
        <w:t>现场答辩</w:t>
      </w:r>
      <w:r>
        <w:rPr>
          <w:rFonts w:hint="eastAsia" w:eastAsia="仿宋_GB2312"/>
          <w:kern w:val="0"/>
          <w:sz w:val="32"/>
          <w:szCs w:val="32"/>
          <w:lang w:eastAsia="zh-CN" w:bidi="ar"/>
        </w:rPr>
        <w:t>。</w:t>
      </w:r>
    </w:p>
    <w:p w14:paraId="7FA9713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参赛项目路演结束后，由</w:t>
      </w:r>
      <w:r>
        <w:rPr>
          <w:rFonts w:eastAsia="仿宋_GB2312"/>
          <w:kern w:val="0"/>
          <w:sz w:val="32"/>
          <w:szCs w:val="32"/>
          <w:lang w:bidi="ar"/>
        </w:rPr>
        <w:t>答辩人</w:t>
      </w:r>
      <w:r>
        <w:rPr>
          <w:rFonts w:hint="eastAsia" w:eastAsia="仿宋_GB2312"/>
          <w:kern w:val="0"/>
          <w:sz w:val="32"/>
          <w:szCs w:val="32"/>
          <w:lang w:bidi="ar"/>
        </w:rPr>
        <w:t>在问题库中</w:t>
      </w:r>
      <w:r>
        <w:rPr>
          <w:rFonts w:eastAsia="仿宋_GB2312"/>
          <w:kern w:val="0"/>
          <w:sz w:val="32"/>
          <w:szCs w:val="32"/>
          <w:lang w:bidi="ar"/>
        </w:rPr>
        <w:t>随机抽取1个问题进行</w:t>
      </w:r>
      <w:r>
        <w:rPr>
          <w:rFonts w:hint="eastAsia" w:eastAsia="仿宋_GB2312"/>
          <w:kern w:val="0"/>
          <w:sz w:val="32"/>
          <w:szCs w:val="32"/>
          <w:lang w:bidi="ar"/>
        </w:rPr>
        <w:t>现场</w:t>
      </w:r>
      <w:r>
        <w:rPr>
          <w:rFonts w:eastAsia="仿宋_GB2312"/>
          <w:kern w:val="0"/>
          <w:sz w:val="32"/>
          <w:szCs w:val="32"/>
          <w:lang w:bidi="ar"/>
        </w:rPr>
        <w:t>答辩</w:t>
      </w:r>
      <w:r>
        <w:rPr>
          <w:rFonts w:hint="eastAsia" w:eastAsia="仿宋_GB2312"/>
          <w:kern w:val="0"/>
          <w:sz w:val="32"/>
          <w:szCs w:val="32"/>
          <w:lang w:bidi="ar"/>
        </w:rPr>
        <w:t>，</w:t>
      </w:r>
      <w:r>
        <w:rPr>
          <w:rFonts w:eastAsia="仿宋_GB2312"/>
          <w:kern w:val="0"/>
          <w:sz w:val="32"/>
          <w:szCs w:val="32"/>
          <w:lang w:bidi="ar"/>
        </w:rPr>
        <w:t>答辩</w:t>
      </w:r>
      <w:r>
        <w:rPr>
          <w:rFonts w:hint="eastAsia" w:eastAsia="仿宋_GB2312"/>
          <w:kern w:val="0"/>
          <w:sz w:val="32"/>
          <w:szCs w:val="32"/>
          <w:lang w:bidi="ar"/>
        </w:rPr>
        <w:t>时</w:t>
      </w:r>
      <w:r>
        <w:rPr>
          <w:rFonts w:eastAsia="仿宋_GB2312"/>
          <w:kern w:val="0"/>
          <w:sz w:val="32"/>
          <w:szCs w:val="32"/>
          <w:lang w:bidi="ar"/>
        </w:rPr>
        <w:t>间为5分钟</w:t>
      </w:r>
      <w:r>
        <w:rPr>
          <w:rFonts w:hint="eastAsia" w:eastAsia="仿宋_GB2312"/>
          <w:kern w:val="0"/>
          <w:sz w:val="32"/>
          <w:szCs w:val="32"/>
          <w:lang w:bidi="ar"/>
        </w:rPr>
        <w:t>（包括思考时间）</w:t>
      </w:r>
      <w:r>
        <w:rPr>
          <w:rFonts w:eastAsia="仿宋_GB2312"/>
          <w:kern w:val="0"/>
          <w:sz w:val="32"/>
          <w:szCs w:val="32"/>
          <w:lang w:bidi="ar"/>
        </w:rPr>
        <w:t>。</w:t>
      </w:r>
      <w:bookmarkStart w:id="56" w:name="pindex127"/>
      <w:bookmarkEnd w:id="56"/>
    </w:p>
    <w:p w14:paraId="0F2D635E">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hint="eastAsia" w:eastAsia="仿宋_GB2312"/>
          <w:sz w:val="32"/>
          <w:lang w:eastAsia="zh-CN"/>
        </w:rPr>
      </w:pPr>
      <w:r>
        <w:rPr>
          <w:rFonts w:hint="eastAsia" w:eastAsia="仿宋_GB2312"/>
          <w:kern w:val="0"/>
          <w:sz w:val="32"/>
          <w:szCs w:val="32"/>
          <w:lang w:val="en-US" w:eastAsia="zh-CN" w:bidi="ar"/>
        </w:rPr>
        <w:t>5</w:t>
      </w:r>
      <w:r>
        <w:rPr>
          <w:rFonts w:hint="eastAsia"/>
          <w:kern w:val="0"/>
          <w:sz w:val="32"/>
          <w:szCs w:val="32"/>
          <w:lang w:val="en-US" w:eastAsia="zh-CN" w:bidi="ar"/>
        </w:rPr>
        <w:t>．</w:t>
      </w:r>
      <w:r>
        <w:rPr>
          <w:rFonts w:eastAsia="仿宋_GB2312"/>
          <w:kern w:val="0"/>
          <w:sz w:val="32"/>
          <w:szCs w:val="32"/>
          <w:lang w:bidi="ar"/>
        </w:rPr>
        <w:t>评审打分</w:t>
      </w:r>
      <w:r>
        <w:rPr>
          <w:rFonts w:hint="eastAsia" w:eastAsia="仿宋_GB2312"/>
          <w:kern w:val="0"/>
          <w:sz w:val="32"/>
          <w:szCs w:val="32"/>
          <w:lang w:eastAsia="zh-CN" w:bidi="ar"/>
        </w:rPr>
        <w:t>。</w:t>
      </w:r>
    </w:p>
    <w:p w14:paraId="6D11789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评审专家</w:t>
      </w:r>
      <w:r>
        <w:rPr>
          <w:rFonts w:hint="eastAsia" w:eastAsia="仿宋_GB2312"/>
          <w:kern w:val="0"/>
          <w:sz w:val="32"/>
          <w:szCs w:val="32"/>
          <w:lang w:bidi="ar"/>
        </w:rPr>
        <w:t>根据决赛阶段评分标准、项目路演情况、</w:t>
      </w:r>
      <w:r>
        <w:rPr>
          <w:rFonts w:eastAsia="仿宋_GB2312"/>
          <w:kern w:val="0"/>
          <w:sz w:val="32"/>
          <w:szCs w:val="32"/>
          <w:lang w:bidi="ar"/>
        </w:rPr>
        <w:t>现场答辩</w:t>
      </w:r>
      <w:r>
        <w:rPr>
          <w:rFonts w:hint="eastAsia" w:eastAsia="仿宋_GB2312"/>
          <w:kern w:val="0"/>
          <w:sz w:val="32"/>
          <w:szCs w:val="32"/>
          <w:lang w:bidi="ar"/>
        </w:rPr>
        <w:t>情况，</w:t>
      </w:r>
      <w:r>
        <w:rPr>
          <w:rFonts w:eastAsia="仿宋_GB2312"/>
          <w:kern w:val="0"/>
          <w:sz w:val="32"/>
          <w:szCs w:val="32"/>
          <w:lang w:bidi="ar"/>
        </w:rPr>
        <w:t>对项目进行打分</w:t>
      </w:r>
      <w:r>
        <w:rPr>
          <w:rFonts w:hint="eastAsia" w:eastAsia="仿宋_GB2312"/>
          <w:kern w:val="0"/>
          <w:sz w:val="32"/>
          <w:szCs w:val="32"/>
          <w:lang w:bidi="ar"/>
        </w:rPr>
        <w:t>，</w:t>
      </w:r>
      <w:r>
        <w:rPr>
          <w:rFonts w:eastAsia="仿宋_GB2312"/>
          <w:kern w:val="0"/>
          <w:sz w:val="32"/>
          <w:szCs w:val="32"/>
          <w:lang w:bidi="ar"/>
        </w:rPr>
        <w:t>根据项目最终得分综合评定获奖项目。</w:t>
      </w:r>
      <w:r>
        <w:rPr>
          <w:rFonts w:hint="eastAsia" w:eastAsia="仿宋_GB2312"/>
          <w:kern w:val="0"/>
          <w:sz w:val="32"/>
          <w:szCs w:val="32"/>
          <w:lang w:bidi="ar"/>
        </w:rPr>
        <w:t>项目最终得分=初赛得分×20%+项目路演×15%+现场</w:t>
      </w:r>
      <w:r>
        <w:rPr>
          <w:rFonts w:eastAsia="仿宋_GB2312"/>
          <w:kern w:val="0"/>
          <w:sz w:val="32"/>
          <w:szCs w:val="32"/>
          <w:lang w:bidi="ar"/>
        </w:rPr>
        <w:t>答辩</w:t>
      </w:r>
      <w:r>
        <w:rPr>
          <w:rFonts w:hint="eastAsia" w:eastAsia="仿宋_GB2312"/>
          <w:kern w:val="0"/>
          <w:sz w:val="32"/>
          <w:szCs w:val="32"/>
          <w:lang w:bidi="ar"/>
        </w:rPr>
        <w:t>×5%+决赛得分×60%。</w:t>
      </w:r>
      <w:bookmarkStart w:id="57" w:name="pindex128"/>
      <w:bookmarkEnd w:id="57"/>
    </w:p>
    <w:p w14:paraId="0D0A9002">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hint="eastAsia" w:eastAsia="仿宋_GB2312"/>
          <w:sz w:val="32"/>
          <w:lang w:eastAsia="zh-CN"/>
        </w:rPr>
      </w:pPr>
      <w:r>
        <w:rPr>
          <w:rFonts w:hint="eastAsia" w:eastAsia="仿宋_GB2312"/>
          <w:kern w:val="0"/>
          <w:sz w:val="32"/>
          <w:szCs w:val="32"/>
          <w:lang w:val="en-US" w:eastAsia="zh-CN" w:bidi="ar"/>
        </w:rPr>
        <w:t>6</w:t>
      </w:r>
      <w:r>
        <w:rPr>
          <w:rFonts w:hint="eastAsia"/>
          <w:kern w:val="0"/>
          <w:sz w:val="32"/>
          <w:szCs w:val="32"/>
          <w:lang w:val="en-US" w:eastAsia="zh-CN" w:bidi="ar"/>
        </w:rPr>
        <w:t>．</w:t>
      </w:r>
      <w:r>
        <w:rPr>
          <w:rFonts w:hint="eastAsia" w:eastAsia="仿宋_GB2312"/>
          <w:kern w:val="0"/>
          <w:sz w:val="32"/>
          <w:szCs w:val="32"/>
          <w:lang w:bidi="ar"/>
        </w:rPr>
        <w:t>公示及</w:t>
      </w:r>
      <w:r>
        <w:rPr>
          <w:rFonts w:eastAsia="仿宋_GB2312"/>
          <w:kern w:val="0"/>
          <w:sz w:val="32"/>
          <w:szCs w:val="32"/>
          <w:lang w:bidi="ar"/>
        </w:rPr>
        <w:t>获奖名单确定</w:t>
      </w:r>
      <w:r>
        <w:rPr>
          <w:rFonts w:hint="eastAsia" w:eastAsia="仿宋_GB2312"/>
          <w:kern w:val="0"/>
          <w:sz w:val="32"/>
          <w:szCs w:val="32"/>
          <w:lang w:eastAsia="zh-CN" w:bidi="ar"/>
        </w:rPr>
        <w:t>。</w:t>
      </w:r>
    </w:p>
    <w:p w14:paraId="28473C10">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default" w:eastAsia="仿宋_GB2312"/>
          <w:sz w:val="32"/>
          <w:lang w:val="en-US" w:eastAsia="zh-CN"/>
        </w:rPr>
      </w:pPr>
      <w:r>
        <w:rPr>
          <w:rFonts w:eastAsia="仿宋_GB2312"/>
          <w:kern w:val="0"/>
          <w:sz w:val="32"/>
          <w:szCs w:val="32"/>
          <w:lang w:bidi="ar"/>
        </w:rPr>
        <w:t>获奖项目通过大赛官网、公众号</w:t>
      </w:r>
      <w:r>
        <w:rPr>
          <w:rFonts w:hint="eastAsia" w:eastAsia="仿宋_GB2312"/>
          <w:kern w:val="0"/>
          <w:sz w:val="32"/>
          <w:szCs w:val="32"/>
          <w:lang w:bidi="ar"/>
        </w:rPr>
        <w:t>等</w:t>
      </w:r>
      <w:r>
        <w:rPr>
          <w:rFonts w:eastAsia="仿宋_GB2312"/>
          <w:kern w:val="0"/>
          <w:sz w:val="32"/>
          <w:szCs w:val="32"/>
          <w:lang w:bidi="ar"/>
        </w:rPr>
        <w:t>进行公示，公示时间</w:t>
      </w:r>
      <w:r>
        <w:rPr>
          <w:rFonts w:hint="eastAsia" w:eastAsia="仿宋_GB2312"/>
          <w:kern w:val="0"/>
          <w:sz w:val="32"/>
          <w:szCs w:val="32"/>
          <w:lang w:bidi="ar"/>
        </w:rPr>
        <w:t>不少于</w:t>
      </w:r>
      <w:r>
        <w:rPr>
          <w:rFonts w:eastAsia="仿宋_GB2312"/>
          <w:kern w:val="0"/>
          <w:sz w:val="32"/>
          <w:szCs w:val="32"/>
          <w:lang w:bidi="ar"/>
        </w:rPr>
        <w:t>5个工作日</w:t>
      </w:r>
      <w:r>
        <w:rPr>
          <w:rFonts w:hint="eastAsia" w:eastAsia="仿宋_GB2312"/>
          <w:kern w:val="0"/>
          <w:sz w:val="32"/>
          <w:szCs w:val="32"/>
          <w:lang w:bidi="ar"/>
        </w:rPr>
        <w:t>。经公</w:t>
      </w:r>
      <w:r>
        <w:rPr>
          <w:rFonts w:eastAsia="仿宋_GB2312"/>
          <w:kern w:val="0"/>
          <w:sz w:val="32"/>
          <w:szCs w:val="32"/>
          <w:lang w:bidi="ar"/>
        </w:rPr>
        <w:t>示有异议</w:t>
      </w:r>
      <w:r>
        <w:rPr>
          <w:rFonts w:hint="eastAsia" w:eastAsia="仿宋_GB2312"/>
          <w:kern w:val="0"/>
          <w:sz w:val="32"/>
          <w:szCs w:val="32"/>
          <w:lang w:bidi="ar"/>
        </w:rPr>
        <w:t>的项目，</w:t>
      </w:r>
      <w:r>
        <w:rPr>
          <w:rFonts w:eastAsia="仿宋_GB2312"/>
          <w:kern w:val="0"/>
          <w:sz w:val="32"/>
          <w:szCs w:val="32"/>
          <w:lang w:bidi="ar"/>
        </w:rPr>
        <w:t>由</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w:t>
      </w:r>
      <w:r>
        <w:rPr>
          <w:rFonts w:eastAsia="仿宋_GB2312"/>
          <w:kern w:val="0"/>
          <w:sz w:val="32"/>
          <w:szCs w:val="32"/>
          <w:lang w:bidi="ar"/>
        </w:rPr>
        <w:t>审核</w:t>
      </w:r>
      <w:r>
        <w:rPr>
          <w:rFonts w:hint="eastAsia" w:eastAsia="仿宋_GB2312"/>
          <w:kern w:val="0"/>
          <w:sz w:val="32"/>
          <w:szCs w:val="32"/>
          <w:lang w:bidi="ar"/>
        </w:rPr>
        <w:t>，</w:t>
      </w:r>
      <w:r>
        <w:rPr>
          <w:rFonts w:eastAsia="仿宋_GB2312"/>
          <w:kern w:val="0"/>
          <w:sz w:val="32"/>
          <w:szCs w:val="32"/>
          <w:lang w:bidi="ar"/>
        </w:rPr>
        <w:t>异议理由成立的，取消</w:t>
      </w:r>
      <w:r>
        <w:rPr>
          <w:rFonts w:hint="eastAsia" w:eastAsia="仿宋_GB2312"/>
          <w:kern w:val="0"/>
          <w:sz w:val="32"/>
          <w:szCs w:val="32"/>
          <w:lang w:bidi="ar"/>
        </w:rPr>
        <w:t>该项目</w:t>
      </w:r>
      <w:r>
        <w:rPr>
          <w:rFonts w:eastAsia="仿宋_GB2312"/>
          <w:kern w:val="0"/>
          <w:sz w:val="32"/>
          <w:szCs w:val="32"/>
          <w:lang w:bidi="ar"/>
        </w:rPr>
        <w:t>进入获奖名单的资格，并按分数增补</w:t>
      </w:r>
      <w:r>
        <w:rPr>
          <w:rFonts w:hint="eastAsia" w:eastAsia="仿宋_GB2312"/>
          <w:kern w:val="0"/>
          <w:sz w:val="32"/>
          <w:szCs w:val="32"/>
          <w:lang w:bidi="ar"/>
        </w:rPr>
        <w:t>项目，增补项目</w:t>
      </w:r>
      <w:r>
        <w:rPr>
          <w:rFonts w:eastAsia="仿宋_GB2312"/>
          <w:kern w:val="0"/>
          <w:sz w:val="32"/>
          <w:szCs w:val="32"/>
          <w:lang w:bidi="ar"/>
        </w:rPr>
        <w:t>公示</w:t>
      </w:r>
      <w:r>
        <w:rPr>
          <w:rFonts w:hint="eastAsia" w:eastAsia="仿宋_GB2312"/>
          <w:kern w:val="0"/>
          <w:sz w:val="32"/>
          <w:szCs w:val="32"/>
          <w:lang w:bidi="ar"/>
        </w:rPr>
        <w:t>时间不少于</w:t>
      </w:r>
      <w:r>
        <w:rPr>
          <w:rFonts w:eastAsia="仿宋_GB2312"/>
          <w:kern w:val="0"/>
          <w:sz w:val="32"/>
          <w:szCs w:val="32"/>
          <w:lang w:bidi="ar"/>
        </w:rPr>
        <w:t>5</w:t>
      </w:r>
      <w:r>
        <w:rPr>
          <w:rFonts w:hint="eastAsia" w:eastAsia="仿宋_GB2312"/>
          <w:kern w:val="0"/>
          <w:sz w:val="32"/>
          <w:szCs w:val="32"/>
          <w:lang w:bidi="ar"/>
        </w:rPr>
        <w:t>个工作</w:t>
      </w:r>
      <w:r>
        <w:rPr>
          <w:rFonts w:eastAsia="仿宋_GB2312"/>
          <w:kern w:val="0"/>
          <w:sz w:val="32"/>
          <w:szCs w:val="32"/>
          <w:lang w:bidi="ar"/>
        </w:rPr>
        <w:t>日。</w:t>
      </w:r>
      <w:r>
        <w:rPr>
          <w:rFonts w:hint="eastAsia" w:eastAsia="仿宋_GB2312"/>
          <w:kern w:val="0"/>
          <w:sz w:val="32"/>
          <w:szCs w:val="32"/>
          <w:lang w:val="en-US" w:eastAsia="zh-CN" w:bidi="ar"/>
        </w:rPr>
        <w:t>如存在异议理由不合理或不成立的情况，由仲裁委员会决定予以否决。</w:t>
      </w:r>
      <w:r>
        <w:rPr>
          <w:rFonts w:eastAsia="仿宋_GB2312"/>
          <w:kern w:val="0"/>
          <w:sz w:val="32"/>
          <w:szCs w:val="32"/>
          <w:lang w:bidi="ar"/>
        </w:rPr>
        <w:t>经公示无异议</w:t>
      </w:r>
      <w:r>
        <w:rPr>
          <w:rFonts w:hint="eastAsia" w:eastAsia="仿宋_GB2312"/>
          <w:kern w:val="0"/>
          <w:sz w:val="32"/>
          <w:szCs w:val="32"/>
          <w:lang w:val="en-US" w:eastAsia="zh-CN" w:bidi="ar"/>
        </w:rPr>
        <w:t>或存在异议理由不合理或不成立</w:t>
      </w:r>
      <w:r>
        <w:rPr>
          <w:rFonts w:eastAsia="仿宋_GB2312"/>
          <w:kern w:val="0"/>
          <w:sz w:val="32"/>
          <w:szCs w:val="32"/>
          <w:lang w:bidi="ar"/>
        </w:rPr>
        <w:t>的</w:t>
      </w:r>
      <w:r>
        <w:rPr>
          <w:rFonts w:hint="eastAsia" w:eastAsia="仿宋_GB2312"/>
          <w:kern w:val="0"/>
          <w:sz w:val="32"/>
          <w:szCs w:val="32"/>
          <w:lang w:bidi="ar"/>
        </w:rPr>
        <w:t>项目</w:t>
      </w:r>
      <w:r>
        <w:rPr>
          <w:rFonts w:hint="eastAsia" w:eastAsia="仿宋_GB2312"/>
          <w:kern w:val="0"/>
          <w:sz w:val="32"/>
          <w:szCs w:val="32"/>
          <w:lang w:val="en-US" w:eastAsia="zh-CN" w:bidi="ar"/>
        </w:rPr>
        <w:t>正常排名</w:t>
      </w:r>
      <w:r>
        <w:rPr>
          <w:rFonts w:eastAsia="仿宋_GB2312"/>
          <w:kern w:val="0"/>
          <w:sz w:val="32"/>
          <w:szCs w:val="32"/>
          <w:lang w:bidi="ar"/>
        </w:rPr>
        <w:t>，确定</w:t>
      </w:r>
      <w:r>
        <w:rPr>
          <w:rFonts w:hint="eastAsia" w:eastAsia="仿宋_GB2312"/>
          <w:kern w:val="0"/>
          <w:sz w:val="32"/>
          <w:szCs w:val="32"/>
          <w:lang w:val="en-US" w:eastAsia="zh-CN" w:bidi="ar"/>
        </w:rPr>
        <w:t>为</w:t>
      </w:r>
      <w:r>
        <w:rPr>
          <w:rFonts w:eastAsia="仿宋_GB2312"/>
          <w:kern w:val="0"/>
          <w:sz w:val="32"/>
          <w:szCs w:val="32"/>
          <w:lang w:bidi="ar"/>
        </w:rPr>
        <w:t>最终获奖名单。</w:t>
      </w:r>
    </w:p>
    <w:p w14:paraId="11770AD1">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7</w:t>
      </w:r>
      <w:r>
        <w:rPr>
          <w:rFonts w:hint="eastAsia"/>
          <w:kern w:val="0"/>
          <w:sz w:val="32"/>
          <w:szCs w:val="32"/>
          <w:lang w:eastAsia="zh-CN" w:bidi="ar"/>
        </w:rPr>
        <w:t>．</w:t>
      </w:r>
      <w:r>
        <w:rPr>
          <w:rFonts w:eastAsia="仿宋_GB2312"/>
          <w:kern w:val="0"/>
          <w:sz w:val="32"/>
          <w:szCs w:val="32"/>
          <w:lang w:bidi="ar"/>
        </w:rPr>
        <w:t>现场观摩对接</w:t>
      </w:r>
      <w:r>
        <w:rPr>
          <w:rFonts w:hint="eastAsia" w:eastAsia="仿宋_GB2312"/>
          <w:kern w:val="0"/>
          <w:sz w:val="32"/>
          <w:szCs w:val="32"/>
          <w:lang w:eastAsia="zh-CN" w:bidi="ar"/>
        </w:rPr>
        <w:t>。</w:t>
      </w:r>
    </w:p>
    <w:p w14:paraId="7DB527F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决赛现场将邀请相关部门、产业园区、上下游企业、投融资机构、服务机构等组成观摩团，现场观看项目路演，与有意向的项目对接交流，进一步推进优秀项目的成果转化运用。</w:t>
      </w:r>
      <w:bookmarkStart w:id="58" w:name="pindex130"/>
      <w:bookmarkEnd w:id="58"/>
    </w:p>
    <w:p w14:paraId="2A6DB6C5">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楷体_GB2312"/>
          <w:sz w:val="32"/>
          <w:lang w:eastAsia="zh-CN"/>
        </w:rPr>
      </w:pPr>
      <w:r>
        <w:rPr>
          <w:rFonts w:hint="eastAsia" w:eastAsia="楷体_GB2312"/>
          <w:kern w:val="0"/>
          <w:sz w:val="32"/>
          <w:szCs w:val="32"/>
          <w:lang w:bidi="ar"/>
        </w:rPr>
        <w:t>8</w:t>
      </w:r>
      <w:r>
        <w:rPr>
          <w:rFonts w:hint="eastAsia" w:eastAsia="楷体_GB2312"/>
          <w:kern w:val="0"/>
          <w:sz w:val="32"/>
          <w:szCs w:val="32"/>
          <w:lang w:eastAsia="zh-CN" w:bidi="ar"/>
        </w:rPr>
        <w:t>．</w:t>
      </w:r>
      <w:r>
        <w:rPr>
          <w:rFonts w:hint="eastAsia" w:ascii="仿宋_GB2312" w:hAnsi="仿宋_GB2312" w:eastAsia="仿宋_GB2312" w:cs="仿宋_GB2312"/>
          <w:kern w:val="0"/>
          <w:sz w:val="32"/>
          <w:szCs w:val="32"/>
          <w:lang w:bidi="ar"/>
        </w:rPr>
        <w:t>颁奖</w:t>
      </w:r>
      <w:r>
        <w:rPr>
          <w:rFonts w:hint="eastAsia" w:ascii="仿宋_GB2312" w:hAnsi="仿宋_GB2312" w:eastAsia="仿宋_GB2312" w:cs="仿宋_GB2312"/>
          <w:kern w:val="0"/>
          <w:sz w:val="32"/>
          <w:szCs w:val="32"/>
          <w:lang w:eastAsia="zh-CN" w:bidi="ar"/>
        </w:rPr>
        <w:t>。</w:t>
      </w:r>
    </w:p>
    <w:p w14:paraId="7479DD1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大赛颁奖大会拟于1</w:t>
      </w:r>
      <w:r>
        <w:rPr>
          <w:rFonts w:hint="eastAsia" w:eastAsia="仿宋_GB2312"/>
          <w:kern w:val="0"/>
          <w:sz w:val="32"/>
          <w:szCs w:val="32"/>
          <w:lang w:bidi="ar"/>
        </w:rPr>
        <w:t>2</w:t>
      </w:r>
      <w:r>
        <w:rPr>
          <w:rFonts w:eastAsia="仿宋_GB2312"/>
          <w:kern w:val="0"/>
          <w:sz w:val="32"/>
          <w:szCs w:val="32"/>
          <w:lang w:bidi="ar"/>
        </w:rPr>
        <w:t>月举行，对获奖单位进行表彰，总结大赛经验，发放大赛奖金。</w:t>
      </w:r>
      <w:bookmarkStart w:id="59" w:name="pindex131"/>
      <w:bookmarkEnd w:id="59"/>
    </w:p>
    <w:p w14:paraId="5A57664B">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hint="eastAsia" w:eastAsia="黑体"/>
          <w:kern w:val="0"/>
          <w:sz w:val="32"/>
          <w:szCs w:val="32"/>
        </w:rPr>
        <w:t>六</w:t>
      </w:r>
      <w:r>
        <w:rPr>
          <w:rFonts w:eastAsia="黑体"/>
          <w:kern w:val="0"/>
          <w:sz w:val="32"/>
          <w:szCs w:val="32"/>
          <w:lang w:val="zh-CN"/>
        </w:rPr>
        <w:t>、</w:t>
      </w:r>
      <w:r>
        <w:rPr>
          <w:rFonts w:eastAsia="黑体"/>
          <w:kern w:val="0"/>
          <w:sz w:val="32"/>
          <w:szCs w:val="32"/>
        </w:rPr>
        <w:t>奖励激励</w:t>
      </w:r>
      <w:r>
        <w:rPr>
          <w:rFonts w:hint="eastAsia" w:eastAsia="黑体"/>
          <w:kern w:val="0"/>
          <w:sz w:val="32"/>
          <w:szCs w:val="32"/>
          <w:lang w:bidi="ar"/>
        </w:rPr>
        <w:t>及成果运用</w:t>
      </w:r>
      <w:bookmarkStart w:id="60" w:name="pindex132"/>
      <w:bookmarkEnd w:id="60"/>
    </w:p>
    <w:p w14:paraId="155FCE0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val="zh-CN"/>
        </w:rPr>
        <w:t>（一）奖项设置及奖金激励</w:t>
      </w:r>
      <w:bookmarkStart w:id="61" w:name="pindex133"/>
      <w:bookmarkEnd w:id="61"/>
    </w:p>
    <w:p w14:paraId="163BCECA">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1</w:t>
      </w:r>
      <w:r>
        <w:rPr>
          <w:rFonts w:hint="eastAsia"/>
          <w:kern w:val="0"/>
          <w:sz w:val="32"/>
          <w:szCs w:val="32"/>
          <w:lang w:val="zh-CN"/>
        </w:rPr>
        <w:t>．</w:t>
      </w:r>
      <w:r>
        <w:rPr>
          <w:rFonts w:eastAsia="仿宋_GB2312"/>
          <w:kern w:val="0"/>
          <w:sz w:val="32"/>
          <w:szCs w:val="32"/>
          <w:lang w:val="zh-CN"/>
        </w:rPr>
        <w:t>百强奖</w:t>
      </w:r>
      <w:r>
        <w:rPr>
          <w:rFonts w:hint="eastAsia" w:eastAsia="仿宋_GB2312"/>
          <w:kern w:val="0"/>
          <w:sz w:val="32"/>
          <w:szCs w:val="32"/>
          <w:lang w:val="zh-CN"/>
        </w:rPr>
        <w:t>。</w:t>
      </w:r>
    </w:p>
    <w:p w14:paraId="5F0F1951">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百强榜获奖单位，颁发相应获奖证书。</w:t>
      </w:r>
      <w:bookmarkStart w:id="62" w:name="pindex134"/>
      <w:bookmarkEnd w:id="62"/>
    </w:p>
    <w:p w14:paraId="597B2C87">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2</w:t>
      </w:r>
      <w:r>
        <w:rPr>
          <w:rFonts w:hint="eastAsia"/>
          <w:kern w:val="0"/>
          <w:sz w:val="32"/>
          <w:szCs w:val="32"/>
          <w:lang w:val="zh-CN"/>
        </w:rPr>
        <w:t>．</w:t>
      </w:r>
      <w:r>
        <w:rPr>
          <w:rFonts w:eastAsia="仿宋_GB2312"/>
          <w:kern w:val="0"/>
          <w:sz w:val="32"/>
          <w:szCs w:val="32"/>
          <w:lang w:val="zh-CN"/>
        </w:rPr>
        <w:t>金</w:t>
      </w:r>
      <w:r>
        <w:rPr>
          <w:rFonts w:hint="eastAsia" w:eastAsia="仿宋_GB2312"/>
          <w:kern w:val="0"/>
          <w:sz w:val="32"/>
          <w:szCs w:val="32"/>
          <w:lang w:val="zh-CN"/>
        </w:rPr>
        <w:t>奖和</w:t>
      </w:r>
      <w:r>
        <w:rPr>
          <w:rFonts w:eastAsia="仿宋_GB2312"/>
          <w:kern w:val="0"/>
          <w:sz w:val="32"/>
          <w:szCs w:val="32"/>
          <w:lang w:val="zh-CN"/>
        </w:rPr>
        <w:t>银奖。</w:t>
      </w:r>
      <w:bookmarkStart w:id="63" w:name="sys135748"/>
    </w:p>
    <w:p w14:paraId="1E9EDEDB">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highlight w:val="white"/>
          <w:lang w:val="zh-CN"/>
        </w:rPr>
        <w:t>第三届粤创赛设金奖10项，</w:t>
      </w:r>
      <w:r>
        <w:rPr>
          <w:rFonts w:hint="eastAsia" w:eastAsia="仿宋_GB2312"/>
          <w:kern w:val="0"/>
          <w:sz w:val="32"/>
          <w:szCs w:val="32"/>
          <w:highlight w:val="white"/>
          <w:lang w:val="zh-CN"/>
        </w:rPr>
        <w:t>其中</w:t>
      </w:r>
      <w:r>
        <w:rPr>
          <w:rFonts w:eastAsia="仿宋_GB2312"/>
          <w:kern w:val="0"/>
          <w:sz w:val="32"/>
          <w:szCs w:val="32"/>
          <w:highlight w:val="white"/>
          <w:lang w:val="zh-CN"/>
        </w:rPr>
        <w:t>专利组</w:t>
      </w:r>
      <w:r>
        <w:rPr>
          <w:rFonts w:hint="eastAsia" w:eastAsia="仿宋_GB2312"/>
          <w:kern w:val="0"/>
          <w:sz w:val="32"/>
          <w:szCs w:val="32"/>
          <w:highlight w:val="white"/>
        </w:rPr>
        <w:t>6</w:t>
      </w:r>
      <w:r>
        <w:rPr>
          <w:rFonts w:eastAsia="仿宋_GB2312"/>
          <w:kern w:val="0"/>
          <w:sz w:val="32"/>
          <w:szCs w:val="32"/>
          <w:highlight w:val="white"/>
          <w:lang w:val="zh-CN"/>
        </w:rPr>
        <w:t>项（初创组</w:t>
      </w:r>
      <w:r>
        <w:rPr>
          <w:rFonts w:hint="eastAsia" w:eastAsia="仿宋_GB2312"/>
          <w:kern w:val="0"/>
          <w:sz w:val="32"/>
          <w:szCs w:val="32"/>
          <w:highlight w:val="white"/>
          <w:lang w:val="zh-CN"/>
        </w:rPr>
        <w:t>及成长组各</w:t>
      </w:r>
      <w:r>
        <w:rPr>
          <w:rFonts w:eastAsia="仿宋_GB2312"/>
          <w:kern w:val="0"/>
          <w:sz w:val="32"/>
          <w:szCs w:val="32"/>
          <w:highlight w:val="white"/>
          <w:lang w:val="zh-CN"/>
        </w:rPr>
        <w:t>3项）、商标组2项、地</w:t>
      </w:r>
      <w:r>
        <w:rPr>
          <w:rFonts w:hint="eastAsia" w:eastAsia="仿宋_GB2312"/>
          <w:kern w:val="0"/>
          <w:sz w:val="32"/>
          <w:szCs w:val="32"/>
          <w:highlight w:val="white"/>
          <w:lang w:val="zh-CN"/>
        </w:rPr>
        <w:t>理</w:t>
      </w:r>
      <w:r>
        <w:rPr>
          <w:rFonts w:eastAsia="仿宋_GB2312"/>
          <w:kern w:val="0"/>
          <w:sz w:val="32"/>
          <w:szCs w:val="32"/>
          <w:highlight w:val="white"/>
          <w:lang w:val="zh-CN"/>
        </w:rPr>
        <w:t>标</w:t>
      </w:r>
      <w:r>
        <w:rPr>
          <w:rFonts w:hint="eastAsia" w:eastAsia="仿宋_GB2312"/>
          <w:kern w:val="0"/>
          <w:sz w:val="32"/>
          <w:szCs w:val="32"/>
          <w:highlight w:val="white"/>
          <w:lang w:val="zh-CN"/>
        </w:rPr>
        <w:t>志</w:t>
      </w:r>
      <w:r>
        <w:rPr>
          <w:rFonts w:eastAsia="仿宋_GB2312"/>
          <w:kern w:val="0"/>
          <w:sz w:val="32"/>
          <w:szCs w:val="32"/>
          <w:highlight w:val="white"/>
          <w:lang w:val="zh-CN"/>
        </w:rPr>
        <w:t>组</w:t>
      </w:r>
      <w:r>
        <w:rPr>
          <w:rFonts w:hint="eastAsia" w:eastAsia="仿宋_GB2312"/>
          <w:kern w:val="0"/>
          <w:sz w:val="32"/>
          <w:szCs w:val="32"/>
          <w:highlight w:val="white"/>
        </w:rPr>
        <w:t>2</w:t>
      </w:r>
      <w:r>
        <w:rPr>
          <w:rFonts w:eastAsia="仿宋_GB2312"/>
          <w:kern w:val="0"/>
          <w:sz w:val="32"/>
          <w:szCs w:val="32"/>
          <w:highlight w:val="white"/>
          <w:lang w:val="zh-CN"/>
        </w:rPr>
        <w:t>项</w:t>
      </w:r>
      <w:r>
        <w:rPr>
          <w:rFonts w:hint="eastAsia" w:eastAsia="仿宋_GB2312"/>
          <w:kern w:val="0"/>
          <w:sz w:val="32"/>
          <w:szCs w:val="32"/>
          <w:highlight w:val="white"/>
          <w:lang w:val="zh-CN"/>
        </w:rPr>
        <w:t>；</w:t>
      </w:r>
      <w:bookmarkEnd w:id="63"/>
      <w:bookmarkStart w:id="64" w:name="sys1355541"/>
      <w:r>
        <w:rPr>
          <w:rFonts w:eastAsia="仿宋_GB2312"/>
          <w:kern w:val="0"/>
          <w:sz w:val="32"/>
          <w:szCs w:val="32"/>
          <w:highlight w:val="white"/>
          <w:lang w:val="zh-CN"/>
        </w:rPr>
        <w:t>设银奖20项，其中专利组12项（初创组及成长组各</w:t>
      </w:r>
      <w:r>
        <w:rPr>
          <w:rFonts w:eastAsia="仿宋_GB2312"/>
          <w:kern w:val="0"/>
          <w:sz w:val="32"/>
          <w:szCs w:val="32"/>
          <w:highlight w:val="white"/>
        </w:rPr>
        <w:t>6</w:t>
      </w:r>
      <w:r>
        <w:rPr>
          <w:rFonts w:eastAsia="仿宋_GB2312"/>
          <w:kern w:val="0"/>
          <w:sz w:val="32"/>
          <w:szCs w:val="32"/>
          <w:highlight w:val="white"/>
          <w:lang w:val="zh-CN"/>
        </w:rPr>
        <w:t>项）、商标组4项、地</w:t>
      </w:r>
      <w:r>
        <w:rPr>
          <w:rFonts w:hint="eastAsia" w:eastAsia="仿宋_GB2312"/>
          <w:kern w:val="0"/>
          <w:sz w:val="32"/>
          <w:szCs w:val="32"/>
          <w:highlight w:val="white"/>
          <w:lang w:val="zh-CN"/>
        </w:rPr>
        <w:t>理</w:t>
      </w:r>
      <w:r>
        <w:rPr>
          <w:rFonts w:eastAsia="仿宋_GB2312"/>
          <w:kern w:val="0"/>
          <w:sz w:val="32"/>
          <w:szCs w:val="32"/>
          <w:highlight w:val="white"/>
          <w:lang w:val="zh-CN"/>
        </w:rPr>
        <w:t>标</w:t>
      </w:r>
      <w:r>
        <w:rPr>
          <w:rFonts w:hint="eastAsia" w:eastAsia="仿宋_GB2312"/>
          <w:kern w:val="0"/>
          <w:sz w:val="32"/>
          <w:szCs w:val="32"/>
          <w:highlight w:val="white"/>
          <w:lang w:val="zh-CN"/>
        </w:rPr>
        <w:t>志</w:t>
      </w:r>
      <w:r>
        <w:rPr>
          <w:rFonts w:eastAsia="仿宋_GB2312"/>
          <w:kern w:val="0"/>
          <w:sz w:val="32"/>
          <w:szCs w:val="32"/>
          <w:highlight w:val="white"/>
          <w:lang w:val="zh-CN"/>
        </w:rPr>
        <w:t>组4项</w:t>
      </w:r>
      <w:r>
        <w:rPr>
          <w:rFonts w:hint="eastAsia" w:eastAsia="仿宋_GB2312"/>
          <w:kern w:val="0"/>
          <w:sz w:val="32"/>
          <w:szCs w:val="32"/>
          <w:highlight w:val="white"/>
          <w:lang w:val="zh-CN"/>
        </w:rPr>
        <w:t>。</w:t>
      </w:r>
      <w:bookmarkEnd w:id="64"/>
      <w:bookmarkStart w:id="65" w:name="pindex135"/>
      <w:bookmarkEnd w:id="65"/>
    </w:p>
    <w:p w14:paraId="1D704B01">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金奖奖金为</w:t>
      </w:r>
      <w:r>
        <w:rPr>
          <w:rFonts w:hint="eastAsia" w:eastAsia="仿宋_GB2312"/>
          <w:kern w:val="0"/>
          <w:sz w:val="32"/>
          <w:szCs w:val="32"/>
        </w:rPr>
        <w:t>10</w:t>
      </w:r>
      <w:r>
        <w:rPr>
          <w:rFonts w:eastAsia="仿宋_GB2312"/>
          <w:kern w:val="0"/>
          <w:sz w:val="32"/>
          <w:szCs w:val="32"/>
        </w:rPr>
        <w:t>万元</w:t>
      </w:r>
      <w:r>
        <w:rPr>
          <w:rFonts w:eastAsia="仿宋_GB2312"/>
          <w:kern w:val="0"/>
          <w:sz w:val="32"/>
          <w:szCs w:val="32"/>
          <w:lang w:val="zh-CN"/>
        </w:rPr>
        <w:t>/项，银奖奖金为</w:t>
      </w:r>
      <w:r>
        <w:rPr>
          <w:rFonts w:hint="eastAsia" w:eastAsia="仿宋_GB2312"/>
          <w:kern w:val="0"/>
          <w:sz w:val="32"/>
          <w:szCs w:val="32"/>
        </w:rPr>
        <w:t>4</w:t>
      </w:r>
      <w:r>
        <w:rPr>
          <w:rFonts w:eastAsia="仿宋_GB2312"/>
          <w:kern w:val="0"/>
          <w:sz w:val="32"/>
          <w:szCs w:val="32"/>
        </w:rPr>
        <w:t>万元</w:t>
      </w:r>
      <w:r>
        <w:rPr>
          <w:rFonts w:eastAsia="仿宋_GB2312"/>
          <w:kern w:val="0"/>
          <w:sz w:val="32"/>
          <w:szCs w:val="32"/>
          <w:lang w:val="zh-CN"/>
        </w:rPr>
        <w:t>/项，获奖项目颁发相应奖杯和获奖证书。</w:t>
      </w:r>
    </w:p>
    <w:p w14:paraId="2A13A3AE">
      <w:pPr>
        <w:keepNext w:val="0"/>
        <w:keepLines w:val="0"/>
        <w:pageBreakBefore w:val="0"/>
        <w:kinsoku/>
        <w:wordWrap/>
        <w:overflowPunct/>
        <w:topLinePunct w:val="0"/>
        <w:bidi w:val="0"/>
        <w:adjustRightInd w:val="0"/>
        <w:snapToGrid w:val="0"/>
        <w:spacing w:line="560" w:lineRule="exact"/>
        <w:ind w:firstLine="564"/>
        <w:textAlignment w:val="auto"/>
        <w:rPr>
          <w:rFonts w:hint="eastAsia" w:eastAsia="仿宋_GB2312"/>
          <w:sz w:val="32"/>
          <w:lang w:eastAsia="zh-CN"/>
        </w:rPr>
      </w:pPr>
      <w:r>
        <w:rPr>
          <w:rFonts w:hint="eastAsia" w:eastAsia="仿宋_GB2312"/>
          <w:kern w:val="0"/>
          <w:sz w:val="32"/>
          <w:szCs w:val="32"/>
        </w:rPr>
        <w:t>3</w:t>
      </w:r>
      <w:r>
        <w:rPr>
          <w:rFonts w:hint="eastAsia"/>
          <w:kern w:val="0"/>
          <w:sz w:val="32"/>
          <w:szCs w:val="32"/>
          <w:lang w:eastAsia="zh-CN"/>
        </w:rPr>
        <w:t>．</w:t>
      </w:r>
      <w:r>
        <w:rPr>
          <w:rFonts w:hint="eastAsia" w:eastAsia="仿宋_GB2312"/>
          <w:kern w:val="0"/>
          <w:sz w:val="32"/>
          <w:szCs w:val="32"/>
        </w:rPr>
        <w:t>转化潜力奖</w:t>
      </w:r>
      <w:r>
        <w:rPr>
          <w:rFonts w:hint="eastAsia" w:eastAsia="仿宋_GB2312"/>
          <w:kern w:val="0"/>
          <w:sz w:val="32"/>
          <w:szCs w:val="32"/>
          <w:lang w:eastAsia="zh-CN"/>
        </w:rPr>
        <w:t>。</w:t>
      </w:r>
    </w:p>
    <w:p w14:paraId="58E34A52">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bidi="ar"/>
        </w:rPr>
        <w:t>除</w:t>
      </w:r>
      <w:r>
        <w:rPr>
          <w:rFonts w:hint="eastAsia" w:eastAsia="仿宋_GB2312"/>
          <w:kern w:val="0"/>
          <w:sz w:val="32"/>
          <w:szCs w:val="32"/>
        </w:rPr>
        <w:t>金奖、银奖外，在</w:t>
      </w:r>
      <w:r>
        <w:rPr>
          <w:rFonts w:eastAsia="仿宋_GB2312"/>
          <w:kern w:val="0"/>
          <w:sz w:val="32"/>
          <w:szCs w:val="32"/>
          <w:lang w:val="zh-CN"/>
        </w:rPr>
        <w:t>百强</w:t>
      </w:r>
      <w:r>
        <w:rPr>
          <w:rFonts w:hint="eastAsia" w:eastAsia="仿宋_GB2312"/>
          <w:kern w:val="0"/>
          <w:sz w:val="32"/>
          <w:szCs w:val="32"/>
          <w:lang w:val="zh-CN"/>
        </w:rPr>
        <w:t>项目中，</w:t>
      </w:r>
      <w:r>
        <w:rPr>
          <w:rFonts w:hint="eastAsia" w:eastAsia="仿宋_GB2312"/>
          <w:kern w:val="0"/>
          <w:sz w:val="32"/>
          <w:szCs w:val="32"/>
        </w:rPr>
        <w:t>各组别分别综合评定具有较强转化潜力的项目，</w:t>
      </w:r>
      <w:r>
        <w:rPr>
          <w:rFonts w:eastAsia="仿宋_GB2312"/>
          <w:kern w:val="0"/>
          <w:sz w:val="32"/>
          <w:szCs w:val="32"/>
          <w:lang w:val="zh-CN"/>
        </w:rPr>
        <w:t>颁发相应获奖证书</w:t>
      </w:r>
      <w:r>
        <w:rPr>
          <w:rFonts w:eastAsia="仿宋_GB2312"/>
          <w:kern w:val="0"/>
          <w:sz w:val="32"/>
          <w:szCs w:val="32"/>
          <w:shd w:val="clear" w:color="auto" w:fill="FFFFFF"/>
          <w:lang w:bidi="ar"/>
        </w:rPr>
        <w:t>。</w:t>
      </w:r>
      <w:r>
        <w:rPr>
          <w:rFonts w:hint="eastAsia" w:eastAsia="仿宋_GB2312"/>
          <w:kern w:val="0"/>
          <w:sz w:val="32"/>
          <w:szCs w:val="32"/>
          <w:shd w:val="clear" w:color="auto" w:fill="FFFFFF"/>
          <w:lang w:bidi="ar"/>
        </w:rPr>
        <w:t>其中</w:t>
      </w:r>
      <w:r>
        <w:rPr>
          <w:rFonts w:hint="eastAsia" w:eastAsia="仿宋_GB2312"/>
          <w:kern w:val="0"/>
          <w:sz w:val="32"/>
          <w:szCs w:val="32"/>
          <w:shd w:val="clear" w:color="auto" w:fill="FFFFFF"/>
          <w:lang w:eastAsia="zh-CN" w:bidi="ar"/>
        </w:rPr>
        <w:t>，</w:t>
      </w:r>
      <w:r>
        <w:rPr>
          <w:rFonts w:hint="eastAsia" w:eastAsia="仿宋_GB2312"/>
          <w:kern w:val="0"/>
          <w:sz w:val="32"/>
          <w:szCs w:val="32"/>
          <w:shd w:val="clear" w:color="auto" w:fill="FFFFFF"/>
          <w:lang w:bidi="ar"/>
        </w:rPr>
        <w:t>专利组10项，商标组5项，地理标志组5项。</w:t>
      </w:r>
      <w:bookmarkStart w:id="66" w:name="pindex137"/>
      <w:bookmarkEnd w:id="66"/>
    </w:p>
    <w:p w14:paraId="0FC46D1C">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rPr>
        <w:t>4</w:t>
      </w:r>
      <w:r>
        <w:rPr>
          <w:rFonts w:hint="eastAsia"/>
          <w:kern w:val="0"/>
          <w:sz w:val="32"/>
          <w:szCs w:val="32"/>
          <w:lang w:eastAsia="zh-CN"/>
        </w:rPr>
        <w:t>．</w:t>
      </w:r>
      <w:r>
        <w:rPr>
          <w:rFonts w:eastAsia="仿宋_GB2312"/>
          <w:kern w:val="0"/>
          <w:sz w:val="32"/>
          <w:szCs w:val="32"/>
          <w:lang w:val="zh-CN"/>
        </w:rPr>
        <w:t>最佳组织奖</w:t>
      </w:r>
      <w:r>
        <w:rPr>
          <w:rFonts w:hint="eastAsia" w:eastAsia="仿宋_GB2312"/>
          <w:kern w:val="0"/>
          <w:sz w:val="32"/>
          <w:szCs w:val="32"/>
          <w:lang w:val="zh-CN"/>
        </w:rPr>
        <w:t>。</w:t>
      </w:r>
    </w:p>
    <w:p w14:paraId="02FE0EFF">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由大赛执委会根据粤东西北</w:t>
      </w:r>
      <w:r>
        <w:rPr>
          <w:rFonts w:hint="eastAsia" w:eastAsia="仿宋_GB2312"/>
          <w:kern w:val="0"/>
          <w:sz w:val="32"/>
          <w:szCs w:val="32"/>
          <w:lang w:val="zh-CN"/>
        </w:rPr>
        <w:t>地区</w:t>
      </w:r>
      <w:r>
        <w:rPr>
          <w:rFonts w:eastAsia="仿宋_GB2312"/>
          <w:kern w:val="0"/>
          <w:sz w:val="32"/>
          <w:szCs w:val="32"/>
          <w:lang w:val="zh-CN"/>
        </w:rPr>
        <w:t>各地市协助组织、发动本地区做好大赛各项工作情况，</w:t>
      </w:r>
      <w:r>
        <w:rPr>
          <w:rFonts w:hint="eastAsia" w:eastAsia="仿宋_GB2312"/>
          <w:kern w:val="0"/>
          <w:sz w:val="32"/>
          <w:szCs w:val="32"/>
          <w:lang w:val="en-US" w:eastAsia="zh-CN"/>
        </w:rPr>
        <w:t>根据工作情况，</w:t>
      </w:r>
      <w:r>
        <w:rPr>
          <w:rFonts w:eastAsia="仿宋_GB2312"/>
          <w:kern w:val="0"/>
          <w:sz w:val="32"/>
          <w:szCs w:val="32"/>
          <w:lang w:val="zh-CN"/>
        </w:rPr>
        <w:t>在市、县</w:t>
      </w:r>
      <w:r>
        <w:rPr>
          <w:rFonts w:hint="eastAsia" w:eastAsia="仿宋_GB2312"/>
          <w:kern w:val="0"/>
          <w:sz w:val="32"/>
          <w:szCs w:val="32"/>
          <w:lang w:val="zh-CN"/>
        </w:rPr>
        <w:t>级</w:t>
      </w:r>
      <w:r>
        <w:rPr>
          <w:rFonts w:eastAsia="仿宋_GB2312"/>
          <w:kern w:val="0"/>
          <w:sz w:val="32"/>
          <w:szCs w:val="32"/>
          <w:lang w:val="zh-CN"/>
        </w:rPr>
        <w:t>市场监管部门评选</w:t>
      </w:r>
      <w:r>
        <w:rPr>
          <w:rFonts w:hint="eastAsia" w:eastAsia="仿宋_GB2312"/>
          <w:kern w:val="0"/>
          <w:sz w:val="32"/>
          <w:szCs w:val="32"/>
          <w:lang w:val="en-US" w:eastAsia="zh-CN"/>
        </w:rPr>
        <w:t>5—10个“最佳组织奖”</w:t>
      </w:r>
      <w:r>
        <w:rPr>
          <w:rFonts w:eastAsia="仿宋_GB2312"/>
          <w:kern w:val="0"/>
          <w:sz w:val="32"/>
          <w:szCs w:val="32"/>
          <w:lang w:val="zh-CN"/>
        </w:rPr>
        <w:t>。</w:t>
      </w:r>
      <w:bookmarkStart w:id="67" w:name="pindex138"/>
      <w:bookmarkEnd w:id="67"/>
    </w:p>
    <w:p w14:paraId="3CFDCACA">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rPr>
        <w:t>5</w:t>
      </w:r>
      <w:r>
        <w:rPr>
          <w:rFonts w:hint="eastAsia"/>
          <w:kern w:val="0"/>
          <w:sz w:val="32"/>
          <w:szCs w:val="32"/>
          <w:lang w:eastAsia="zh-CN"/>
        </w:rPr>
        <w:t>．</w:t>
      </w:r>
      <w:r>
        <w:rPr>
          <w:rFonts w:eastAsia="仿宋_GB2312"/>
          <w:kern w:val="0"/>
          <w:sz w:val="32"/>
          <w:szCs w:val="32"/>
          <w:lang w:val="zh-CN"/>
        </w:rPr>
        <w:t>优秀专利转化运用技术经理人奖</w:t>
      </w:r>
      <w:r>
        <w:rPr>
          <w:rFonts w:hint="eastAsia" w:eastAsia="仿宋_GB2312"/>
          <w:kern w:val="0"/>
          <w:sz w:val="32"/>
          <w:szCs w:val="32"/>
          <w:lang w:val="zh-CN"/>
        </w:rPr>
        <w:t>。</w:t>
      </w:r>
    </w:p>
    <w:p w14:paraId="05A3C47F">
      <w:pPr>
        <w:keepNext w:val="0"/>
        <w:keepLines w:val="0"/>
        <w:pageBreakBefore w:val="0"/>
        <w:kinsoku/>
        <w:wordWrap/>
        <w:overflowPunct/>
        <w:topLinePunct w:val="0"/>
        <w:bidi w:val="0"/>
        <w:adjustRightInd w:val="0"/>
        <w:snapToGrid w:val="0"/>
        <w:spacing w:line="560" w:lineRule="exact"/>
        <w:ind w:firstLine="564"/>
        <w:textAlignment w:val="auto"/>
        <w:rPr>
          <w:rFonts w:eastAsia="楷体_GB2312"/>
          <w:sz w:val="32"/>
        </w:rPr>
      </w:pPr>
      <w:r>
        <w:rPr>
          <w:rFonts w:hint="eastAsia" w:eastAsia="仿宋_GB2312"/>
          <w:kern w:val="0"/>
          <w:sz w:val="32"/>
          <w:szCs w:val="32"/>
          <w:lang w:val="en-US" w:eastAsia="zh-CN"/>
        </w:rPr>
        <w:t>在所有进入决赛的百强项目中进行评选。根据工作情况，酌情评比5—10名</w:t>
      </w:r>
      <w:r>
        <w:rPr>
          <w:rFonts w:eastAsia="仿宋_GB2312"/>
          <w:kern w:val="0"/>
          <w:sz w:val="32"/>
          <w:szCs w:val="32"/>
          <w:lang w:val="zh-CN"/>
        </w:rPr>
        <w:t>在项目转化过程中发挥较好作用、取得显著成效的专利转化运用技术经理人进行表彰</w:t>
      </w:r>
      <w:r>
        <w:rPr>
          <w:rFonts w:hint="eastAsia" w:eastAsia="仿宋_GB2312"/>
          <w:kern w:val="0"/>
          <w:sz w:val="32"/>
          <w:szCs w:val="32"/>
          <w:lang w:val="zh-CN"/>
        </w:rPr>
        <w:t>。</w:t>
      </w:r>
      <w:bookmarkStart w:id="68" w:name="pindex139"/>
      <w:bookmarkEnd w:id="68"/>
    </w:p>
    <w:p w14:paraId="64D27A8F">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ascii="楷体_GB2312" w:hAnsi="楷体_GB2312" w:eastAsia="楷体_GB2312"/>
          <w:sz w:val="32"/>
        </w:rPr>
      </w:pPr>
      <w:r>
        <w:rPr>
          <w:rFonts w:hint="eastAsia" w:ascii="楷体_GB2312" w:hAnsi="楷体_GB2312" w:eastAsia="楷体_GB2312"/>
          <w:kern w:val="0"/>
          <w:sz w:val="32"/>
          <w:szCs w:val="32"/>
          <w:lang w:bidi="ar"/>
        </w:rPr>
        <w:t>（二）政策激励及成果运用</w:t>
      </w:r>
      <w:bookmarkStart w:id="69" w:name="pindex140"/>
      <w:bookmarkEnd w:id="69"/>
    </w:p>
    <w:p w14:paraId="0B89EAB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1</w:t>
      </w:r>
      <w:r>
        <w:rPr>
          <w:rFonts w:hint="eastAsia"/>
          <w:kern w:val="0"/>
          <w:sz w:val="32"/>
          <w:szCs w:val="32"/>
          <w:lang w:val="en-US" w:eastAsia="zh-CN"/>
        </w:rPr>
        <w:t>．</w:t>
      </w:r>
      <w:r>
        <w:rPr>
          <w:rFonts w:eastAsia="仿宋_GB2312"/>
          <w:kern w:val="0"/>
          <w:sz w:val="32"/>
          <w:szCs w:val="32"/>
          <w:lang w:val="zh-CN"/>
        </w:rPr>
        <w:t>通过传统媒体和新媒体等同步宣传</w:t>
      </w:r>
      <w:r>
        <w:rPr>
          <w:rFonts w:hint="eastAsia" w:eastAsia="仿宋_GB2312"/>
          <w:kern w:val="0"/>
          <w:sz w:val="32"/>
          <w:szCs w:val="32"/>
          <w:lang w:val="zh-CN"/>
        </w:rPr>
        <w:t>。</w:t>
      </w:r>
    </w:p>
    <w:p w14:paraId="1DA33D11">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val="zh-CN"/>
        </w:rPr>
        <w:t>组织省内媒体重点宣传与专题报道</w:t>
      </w:r>
      <w:r>
        <w:rPr>
          <w:rFonts w:hint="eastAsia" w:eastAsia="仿宋_GB2312"/>
          <w:kern w:val="0"/>
          <w:sz w:val="32"/>
          <w:szCs w:val="32"/>
          <w:lang w:val="zh-CN"/>
        </w:rPr>
        <w:t>获奖的项目</w:t>
      </w:r>
      <w:r>
        <w:rPr>
          <w:rFonts w:eastAsia="仿宋_GB2312"/>
          <w:kern w:val="0"/>
          <w:sz w:val="32"/>
          <w:szCs w:val="32"/>
          <w:lang w:val="zh-CN"/>
        </w:rPr>
        <w:t>，在</w:t>
      </w:r>
      <w:r>
        <w:rPr>
          <w:rFonts w:hint="eastAsia" w:eastAsia="仿宋_GB2312"/>
          <w:kern w:val="0"/>
          <w:sz w:val="32"/>
          <w:szCs w:val="32"/>
          <w:lang w:val="zh-CN"/>
        </w:rPr>
        <w:t>“</w:t>
      </w:r>
      <w:r>
        <w:rPr>
          <w:rFonts w:eastAsia="仿宋_GB2312"/>
          <w:kern w:val="0"/>
          <w:sz w:val="32"/>
          <w:szCs w:val="32"/>
          <w:lang w:val="zh-CN"/>
        </w:rPr>
        <w:t>中国知识产权年会</w:t>
      </w:r>
      <w:r>
        <w:rPr>
          <w:rFonts w:hint="eastAsia" w:eastAsia="仿宋_GB2312"/>
          <w:kern w:val="0"/>
          <w:sz w:val="32"/>
          <w:szCs w:val="32"/>
          <w:lang w:val="zh-CN"/>
        </w:rPr>
        <w:t>”</w:t>
      </w:r>
      <w:r>
        <w:rPr>
          <w:rFonts w:eastAsia="仿宋_GB2312"/>
          <w:kern w:val="0"/>
          <w:sz w:val="32"/>
          <w:szCs w:val="32"/>
          <w:lang w:val="zh-CN"/>
        </w:rPr>
        <w:t>等大型活动上</w:t>
      </w:r>
      <w:r>
        <w:rPr>
          <w:rFonts w:hint="eastAsia" w:eastAsia="仿宋_GB2312"/>
          <w:kern w:val="0"/>
          <w:sz w:val="32"/>
          <w:szCs w:val="32"/>
          <w:lang w:val="zh-CN"/>
        </w:rPr>
        <w:t>公布</w:t>
      </w:r>
      <w:r>
        <w:rPr>
          <w:rFonts w:eastAsia="仿宋_GB2312"/>
          <w:kern w:val="0"/>
          <w:sz w:val="32"/>
          <w:szCs w:val="32"/>
          <w:lang w:val="zh-CN"/>
        </w:rPr>
        <w:t>百强奖名单，在</w:t>
      </w:r>
      <w:r>
        <w:rPr>
          <w:rFonts w:hint="eastAsia" w:eastAsia="仿宋_GB2312"/>
          <w:kern w:val="0"/>
          <w:sz w:val="32"/>
          <w:szCs w:val="32"/>
          <w:lang w:val="zh-CN"/>
        </w:rPr>
        <w:t>“</w:t>
      </w:r>
      <w:r>
        <w:rPr>
          <w:rFonts w:eastAsia="仿宋_GB2312"/>
          <w:kern w:val="0"/>
          <w:sz w:val="32"/>
          <w:szCs w:val="32"/>
          <w:lang w:val="zh-CN"/>
        </w:rPr>
        <w:t>粤港澳大湾区知识产权交易博览会</w:t>
      </w:r>
      <w:r>
        <w:rPr>
          <w:rFonts w:hint="eastAsia" w:eastAsia="仿宋_GB2312"/>
          <w:kern w:val="0"/>
          <w:sz w:val="32"/>
          <w:szCs w:val="32"/>
          <w:lang w:val="zh-CN"/>
        </w:rPr>
        <w:t>”</w:t>
      </w:r>
      <w:r>
        <w:rPr>
          <w:rFonts w:eastAsia="仿宋_GB2312"/>
          <w:kern w:val="0"/>
          <w:sz w:val="32"/>
          <w:szCs w:val="32"/>
          <w:lang w:val="zh-CN"/>
        </w:rPr>
        <w:t>等相关活动上</w:t>
      </w:r>
      <w:r>
        <w:rPr>
          <w:rFonts w:hint="eastAsia" w:eastAsia="仿宋_GB2312"/>
          <w:kern w:val="0"/>
          <w:sz w:val="32"/>
          <w:szCs w:val="32"/>
          <w:lang w:val="zh-CN"/>
        </w:rPr>
        <w:t>公布</w:t>
      </w:r>
      <w:r>
        <w:rPr>
          <w:rFonts w:eastAsia="仿宋_GB2312"/>
          <w:kern w:val="0"/>
          <w:sz w:val="32"/>
          <w:szCs w:val="32"/>
          <w:lang w:val="zh-CN"/>
        </w:rPr>
        <w:t>获奖项目信息，</w:t>
      </w:r>
      <w:r>
        <w:rPr>
          <w:rFonts w:hint="eastAsia" w:eastAsia="仿宋_GB2312"/>
          <w:kern w:val="0"/>
          <w:sz w:val="32"/>
          <w:szCs w:val="32"/>
          <w:lang w:val="zh-CN"/>
        </w:rPr>
        <w:t>提升</w:t>
      </w:r>
      <w:r>
        <w:rPr>
          <w:rFonts w:eastAsia="仿宋_GB2312"/>
          <w:kern w:val="0"/>
          <w:sz w:val="32"/>
          <w:szCs w:val="32"/>
          <w:lang w:val="zh-CN"/>
        </w:rPr>
        <w:t>优质企业、项目</w:t>
      </w:r>
      <w:r>
        <w:rPr>
          <w:rFonts w:hint="eastAsia" w:eastAsia="仿宋_GB2312"/>
          <w:kern w:val="0"/>
          <w:sz w:val="32"/>
          <w:szCs w:val="32"/>
          <w:lang w:val="zh-CN"/>
        </w:rPr>
        <w:t>社会知晓度。</w:t>
      </w:r>
      <w:bookmarkStart w:id="70" w:name="pindex141"/>
      <w:bookmarkEnd w:id="70"/>
    </w:p>
    <w:p w14:paraId="32D8BE87">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2</w:t>
      </w:r>
      <w:r>
        <w:rPr>
          <w:rFonts w:hint="eastAsia"/>
          <w:kern w:val="0"/>
          <w:sz w:val="32"/>
          <w:szCs w:val="32"/>
          <w:lang w:val="en-US" w:eastAsia="zh-CN"/>
        </w:rPr>
        <w:t>．</w:t>
      </w:r>
      <w:r>
        <w:rPr>
          <w:rFonts w:hint="eastAsia" w:eastAsia="仿宋_GB2312"/>
          <w:kern w:val="0"/>
          <w:sz w:val="32"/>
          <w:szCs w:val="32"/>
        </w:rPr>
        <w:t>允许</w:t>
      </w:r>
      <w:r>
        <w:rPr>
          <w:rFonts w:eastAsia="仿宋_GB2312"/>
          <w:kern w:val="0"/>
          <w:sz w:val="32"/>
          <w:szCs w:val="32"/>
          <w:lang w:val="zh-CN"/>
        </w:rPr>
        <w:t>大赛获奖项目</w:t>
      </w:r>
      <w:r>
        <w:rPr>
          <w:rFonts w:hint="eastAsia" w:eastAsia="仿宋_GB2312"/>
          <w:kern w:val="0"/>
          <w:sz w:val="32"/>
          <w:szCs w:val="32"/>
          <w:lang w:val="zh-CN"/>
        </w:rPr>
        <w:t>的</w:t>
      </w:r>
      <w:r>
        <w:rPr>
          <w:rFonts w:eastAsia="仿宋_GB2312"/>
          <w:kern w:val="0"/>
          <w:sz w:val="32"/>
          <w:szCs w:val="32"/>
          <w:lang w:val="zh-CN"/>
        </w:rPr>
        <w:t>参赛主体</w:t>
      </w:r>
      <w:r>
        <w:rPr>
          <w:rFonts w:hint="eastAsia" w:eastAsia="仿宋_GB2312"/>
          <w:kern w:val="0"/>
          <w:sz w:val="32"/>
          <w:szCs w:val="32"/>
          <w:lang w:val="zh-CN"/>
        </w:rPr>
        <w:t>，</w:t>
      </w:r>
      <w:r>
        <w:rPr>
          <w:rFonts w:eastAsia="仿宋_GB2312"/>
          <w:kern w:val="0"/>
          <w:sz w:val="32"/>
          <w:szCs w:val="32"/>
          <w:lang w:val="zh-CN"/>
        </w:rPr>
        <w:t>可在其专利产品上标注第三届粤创赛名称、大赛LOGO及本届次在内的规范奖项名称</w:t>
      </w:r>
      <w:r>
        <w:rPr>
          <w:rFonts w:hint="eastAsia" w:eastAsia="仿宋_GB2312"/>
          <w:kern w:val="0"/>
          <w:sz w:val="32"/>
          <w:szCs w:val="32"/>
          <w:lang w:val="zh-CN"/>
        </w:rPr>
        <w:t>。</w:t>
      </w:r>
      <w:bookmarkStart w:id="71" w:name="pindex142"/>
      <w:bookmarkEnd w:id="71"/>
    </w:p>
    <w:p w14:paraId="7D41F925">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lang w:val="en-US" w:eastAsia="zh-CN"/>
        </w:rPr>
        <w:t>3</w:t>
      </w:r>
      <w:r>
        <w:rPr>
          <w:rFonts w:hint="eastAsia"/>
          <w:kern w:val="0"/>
          <w:sz w:val="32"/>
          <w:szCs w:val="32"/>
          <w:lang w:val="en-US" w:eastAsia="zh-CN"/>
        </w:rPr>
        <w:t>．</w:t>
      </w:r>
      <w:r>
        <w:rPr>
          <w:rFonts w:eastAsia="仿宋_GB2312"/>
          <w:kern w:val="0"/>
          <w:sz w:val="32"/>
          <w:szCs w:val="32"/>
          <w:lang w:val="zh-CN"/>
        </w:rPr>
        <w:t>知识产权出版社有限责任公司为百强项目参赛主体提供一年期国产化大数据专利检索分析系统服务</w:t>
      </w:r>
      <w:r>
        <w:rPr>
          <w:rFonts w:hint="eastAsia" w:eastAsia="仿宋_GB2312"/>
          <w:kern w:val="0"/>
          <w:sz w:val="32"/>
          <w:szCs w:val="32"/>
          <w:lang w:val="zh-CN"/>
        </w:rPr>
        <w:t>。</w:t>
      </w:r>
      <w:bookmarkStart w:id="72" w:name="pindex143"/>
      <w:bookmarkEnd w:id="72"/>
    </w:p>
    <w:p w14:paraId="79BBAACD">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lang w:val="en-US" w:eastAsia="zh-CN"/>
        </w:rPr>
        <w:t>4</w:t>
      </w:r>
      <w:r>
        <w:rPr>
          <w:rFonts w:hint="eastAsia"/>
          <w:kern w:val="0"/>
          <w:sz w:val="32"/>
          <w:szCs w:val="32"/>
          <w:lang w:val="en-US" w:eastAsia="zh-CN"/>
        </w:rPr>
        <w:t>．</w:t>
      </w:r>
      <w:r>
        <w:rPr>
          <w:rFonts w:eastAsia="仿宋_GB2312"/>
          <w:kern w:val="0"/>
          <w:sz w:val="32"/>
          <w:szCs w:val="32"/>
          <w:lang w:val="zh-CN"/>
        </w:rPr>
        <w:t>广东省知识产权保护中心对符合新一代信息产业和生物产业的专利组获奖主体（含金</w:t>
      </w:r>
      <w:r>
        <w:rPr>
          <w:rFonts w:hint="eastAsia" w:eastAsia="仿宋_GB2312"/>
          <w:kern w:val="0"/>
          <w:sz w:val="32"/>
          <w:szCs w:val="32"/>
          <w:lang w:val="zh-CN"/>
        </w:rPr>
        <w:t>奖</w:t>
      </w:r>
      <w:r>
        <w:rPr>
          <w:rFonts w:eastAsia="仿宋_GB2312"/>
          <w:kern w:val="0"/>
          <w:sz w:val="32"/>
          <w:szCs w:val="32"/>
          <w:lang w:val="zh-CN"/>
        </w:rPr>
        <w:t>、银奖、百强奖）提供专利预审快速备案通道，实现“当日提出申请</w:t>
      </w:r>
      <w:r>
        <w:rPr>
          <w:rFonts w:hint="eastAsia" w:eastAsia="仿宋_GB2312"/>
          <w:kern w:val="0"/>
          <w:sz w:val="32"/>
          <w:szCs w:val="32"/>
          <w:lang w:val="zh-CN"/>
        </w:rPr>
        <w:t>，</w:t>
      </w:r>
      <w:r>
        <w:rPr>
          <w:rFonts w:eastAsia="仿宋_GB2312"/>
          <w:kern w:val="0"/>
          <w:sz w:val="32"/>
          <w:szCs w:val="32"/>
          <w:lang w:val="zh-CN"/>
        </w:rPr>
        <w:t>三日内出具审核结论”；符合条件的金</w:t>
      </w:r>
      <w:r>
        <w:rPr>
          <w:rFonts w:hint="eastAsia" w:eastAsia="仿宋_GB2312"/>
          <w:kern w:val="0"/>
          <w:sz w:val="32"/>
          <w:szCs w:val="32"/>
          <w:lang w:val="zh-CN"/>
        </w:rPr>
        <w:t>奖和</w:t>
      </w:r>
      <w:r>
        <w:rPr>
          <w:rFonts w:eastAsia="仿宋_GB2312"/>
          <w:kern w:val="0"/>
          <w:sz w:val="32"/>
          <w:szCs w:val="32"/>
          <w:lang w:val="zh-CN"/>
        </w:rPr>
        <w:t>银奖创新主体，可申请增加预审年额度数量</w:t>
      </w:r>
      <w:r>
        <w:rPr>
          <w:rFonts w:hint="eastAsia" w:eastAsia="仿宋_GB2312"/>
          <w:kern w:val="0"/>
          <w:sz w:val="32"/>
          <w:szCs w:val="32"/>
          <w:lang w:val="zh-CN"/>
        </w:rPr>
        <w:t>。</w:t>
      </w:r>
      <w:bookmarkStart w:id="73" w:name="pindex144"/>
      <w:bookmarkEnd w:id="73"/>
    </w:p>
    <w:p w14:paraId="66AC6E6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5</w:t>
      </w:r>
      <w:r>
        <w:rPr>
          <w:rFonts w:hint="eastAsia"/>
          <w:kern w:val="0"/>
          <w:sz w:val="32"/>
          <w:szCs w:val="32"/>
          <w:lang w:val="en-US" w:eastAsia="zh-CN"/>
        </w:rPr>
        <w:t>．</w:t>
      </w:r>
      <w:r>
        <w:rPr>
          <w:rFonts w:eastAsia="仿宋_GB2312"/>
          <w:kern w:val="0"/>
          <w:sz w:val="32"/>
          <w:szCs w:val="32"/>
          <w:lang w:val="zh-CN"/>
        </w:rPr>
        <w:t>依托广东省战略性产业集群知识产权协同运营中心、重点园区知识产权综合运营服务中心</w:t>
      </w:r>
      <w:r>
        <w:rPr>
          <w:rFonts w:hint="eastAsia" w:eastAsia="仿宋_GB2312"/>
          <w:kern w:val="0"/>
          <w:sz w:val="32"/>
          <w:szCs w:val="32"/>
          <w:lang w:val="zh-CN"/>
        </w:rPr>
        <w:t>等</w:t>
      </w:r>
      <w:r>
        <w:rPr>
          <w:rFonts w:eastAsia="仿宋_GB2312"/>
          <w:kern w:val="0"/>
          <w:sz w:val="32"/>
          <w:szCs w:val="32"/>
          <w:lang w:val="zh-CN"/>
        </w:rPr>
        <w:t>资源优势，</w:t>
      </w:r>
      <w:r>
        <w:rPr>
          <w:rFonts w:hint="eastAsia" w:eastAsia="仿宋_GB2312"/>
          <w:kern w:val="0"/>
          <w:sz w:val="32"/>
          <w:szCs w:val="32"/>
          <w:lang w:val="zh-CN"/>
        </w:rPr>
        <w:t>为</w:t>
      </w:r>
      <w:r>
        <w:rPr>
          <w:rFonts w:eastAsia="仿宋_GB2312"/>
          <w:kern w:val="0"/>
          <w:sz w:val="32"/>
          <w:szCs w:val="32"/>
          <w:lang w:val="zh-CN"/>
        </w:rPr>
        <w:t>获奖项目</w:t>
      </w:r>
      <w:r>
        <w:rPr>
          <w:rFonts w:hint="eastAsia" w:eastAsia="仿宋_GB2312"/>
          <w:kern w:val="0"/>
          <w:sz w:val="32"/>
          <w:szCs w:val="32"/>
          <w:lang w:val="zh-CN"/>
        </w:rPr>
        <w:t>提供</w:t>
      </w:r>
      <w:r>
        <w:rPr>
          <w:rFonts w:eastAsia="仿宋_GB2312"/>
          <w:kern w:val="0"/>
          <w:sz w:val="32"/>
          <w:szCs w:val="32"/>
          <w:lang w:val="zh-CN"/>
        </w:rPr>
        <w:t>知识产权导航、分析评议、品牌建设咨询、地理标志产品保护及运</w:t>
      </w:r>
      <w:r>
        <w:rPr>
          <w:rFonts w:hint="eastAsia" w:eastAsia="仿宋_GB2312"/>
          <w:kern w:val="0"/>
          <w:sz w:val="32"/>
          <w:szCs w:val="32"/>
          <w:lang w:val="zh-CN"/>
        </w:rPr>
        <w:t>用、</w:t>
      </w:r>
      <w:r>
        <w:rPr>
          <w:rFonts w:eastAsia="仿宋_GB2312"/>
          <w:kern w:val="0"/>
          <w:sz w:val="32"/>
          <w:szCs w:val="32"/>
          <w:lang w:val="zh-CN"/>
        </w:rPr>
        <w:t>维权援助</w:t>
      </w:r>
      <w:r>
        <w:rPr>
          <w:rFonts w:hint="eastAsia" w:eastAsia="仿宋_GB2312"/>
          <w:kern w:val="0"/>
          <w:sz w:val="32"/>
          <w:szCs w:val="32"/>
          <w:lang w:val="zh-CN"/>
        </w:rPr>
        <w:t>等专项服务。</w:t>
      </w:r>
      <w:bookmarkStart w:id="74" w:name="pindex145"/>
      <w:bookmarkEnd w:id="74"/>
    </w:p>
    <w:p w14:paraId="37F8AE2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6</w:t>
      </w:r>
      <w:r>
        <w:rPr>
          <w:rFonts w:hint="eastAsia"/>
          <w:kern w:val="0"/>
          <w:sz w:val="32"/>
          <w:szCs w:val="32"/>
          <w:lang w:val="en-US" w:eastAsia="zh-CN"/>
        </w:rPr>
        <w:t>．</w:t>
      </w:r>
      <w:r>
        <w:rPr>
          <w:rFonts w:hint="eastAsia" w:eastAsia="仿宋_GB2312"/>
          <w:kern w:val="0"/>
          <w:sz w:val="32"/>
          <w:szCs w:val="32"/>
        </w:rPr>
        <w:t>为</w:t>
      </w:r>
      <w:r>
        <w:rPr>
          <w:rFonts w:eastAsia="仿宋_GB2312"/>
          <w:kern w:val="0"/>
          <w:sz w:val="32"/>
          <w:szCs w:val="32"/>
          <w:lang w:val="zh-CN"/>
        </w:rPr>
        <w:t>参赛项目</w:t>
      </w:r>
      <w:r>
        <w:rPr>
          <w:rFonts w:hint="eastAsia" w:eastAsia="仿宋_GB2312"/>
          <w:kern w:val="0"/>
          <w:sz w:val="32"/>
          <w:szCs w:val="32"/>
          <w:lang w:val="zh-CN"/>
        </w:rPr>
        <w:t>提供</w:t>
      </w:r>
      <w:r>
        <w:rPr>
          <w:rFonts w:eastAsia="仿宋_GB2312"/>
          <w:kern w:val="0"/>
          <w:sz w:val="32"/>
          <w:szCs w:val="32"/>
          <w:lang w:val="zh-CN"/>
        </w:rPr>
        <w:t>知识产权</w:t>
      </w:r>
      <w:r>
        <w:rPr>
          <w:rFonts w:hint="eastAsia" w:eastAsia="仿宋_GB2312"/>
          <w:kern w:val="0"/>
          <w:sz w:val="32"/>
          <w:szCs w:val="32"/>
          <w:lang w:val="zh-CN"/>
        </w:rPr>
        <w:t>金融专项对接服务。</w:t>
      </w:r>
      <w:bookmarkStart w:id="75" w:name="pindex146"/>
      <w:bookmarkEnd w:id="75"/>
    </w:p>
    <w:p w14:paraId="66E139DB">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7</w:t>
      </w:r>
      <w:r>
        <w:rPr>
          <w:rFonts w:hint="eastAsia"/>
          <w:kern w:val="0"/>
          <w:sz w:val="32"/>
          <w:szCs w:val="32"/>
          <w:lang w:val="en-US" w:eastAsia="zh-CN"/>
        </w:rPr>
        <w:t>．</w:t>
      </w:r>
      <w:r>
        <w:rPr>
          <w:rFonts w:eastAsia="仿宋_GB2312"/>
          <w:kern w:val="0"/>
          <w:sz w:val="32"/>
          <w:szCs w:val="32"/>
          <w:lang w:val="zh-CN"/>
        </w:rPr>
        <w:t>优先推荐晋级决赛的中小企业加入国家专利产业化样板企业培育库</w:t>
      </w:r>
      <w:r>
        <w:rPr>
          <w:rFonts w:hint="eastAsia" w:eastAsia="仿宋_GB2312"/>
          <w:kern w:val="0"/>
          <w:sz w:val="32"/>
          <w:szCs w:val="32"/>
          <w:lang w:val="zh-CN"/>
        </w:rPr>
        <w:t>。</w:t>
      </w:r>
      <w:bookmarkStart w:id="76" w:name="pindex147"/>
      <w:bookmarkEnd w:id="76"/>
    </w:p>
    <w:p w14:paraId="38860A6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8</w:t>
      </w:r>
      <w:r>
        <w:rPr>
          <w:rFonts w:hint="eastAsia"/>
          <w:kern w:val="0"/>
          <w:sz w:val="32"/>
          <w:szCs w:val="32"/>
          <w:lang w:val="en-US" w:eastAsia="zh-CN"/>
        </w:rPr>
        <w:t>．</w:t>
      </w:r>
      <w:r>
        <w:rPr>
          <w:rFonts w:eastAsia="仿宋_GB2312"/>
          <w:kern w:val="0"/>
          <w:sz w:val="32"/>
          <w:szCs w:val="32"/>
          <w:lang w:val="zh-CN"/>
        </w:rPr>
        <w:t>决赛获奖的广东省内专利类项目，其参赛核心专利可由各市市场监督管理局（知识产权局）推荐参评广东专利奖，不占</w:t>
      </w:r>
      <w:r>
        <w:rPr>
          <w:rFonts w:hint="eastAsia" w:eastAsia="仿宋_GB2312"/>
          <w:kern w:val="0"/>
          <w:sz w:val="32"/>
          <w:szCs w:val="32"/>
          <w:lang w:val="en-US" w:eastAsia="zh-CN"/>
        </w:rPr>
        <w:t>省内原本</w:t>
      </w:r>
      <w:r>
        <w:rPr>
          <w:rFonts w:eastAsia="仿宋_GB2312"/>
          <w:kern w:val="0"/>
          <w:sz w:val="32"/>
          <w:szCs w:val="32"/>
          <w:lang w:val="zh-CN"/>
        </w:rPr>
        <w:t>推荐名额</w:t>
      </w:r>
      <w:r>
        <w:rPr>
          <w:rFonts w:hint="eastAsia" w:eastAsia="仿宋_GB2312"/>
          <w:kern w:val="0"/>
          <w:sz w:val="32"/>
          <w:szCs w:val="32"/>
          <w:lang w:val="zh-CN"/>
        </w:rPr>
        <w:t>，</w:t>
      </w:r>
      <w:r>
        <w:rPr>
          <w:rFonts w:hint="eastAsia" w:eastAsia="仿宋_GB2312"/>
          <w:kern w:val="0"/>
          <w:sz w:val="32"/>
          <w:szCs w:val="32"/>
          <w:lang w:val="en-US" w:eastAsia="zh-CN"/>
        </w:rPr>
        <w:t>为新增额外名额</w:t>
      </w:r>
      <w:r>
        <w:rPr>
          <w:rFonts w:hint="eastAsia" w:eastAsia="仿宋_GB2312"/>
          <w:kern w:val="0"/>
          <w:sz w:val="32"/>
          <w:szCs w:val="32"/>
          <w:lang w:val="zh-CN"/>
        </w:rPr>
        <w:t>。</w:t>
      </w:r>
      <w:bookmarkStart w:id="77" w:name="pindex148"/>
      <w:bookmarkEnd w:id="77"/>
    </w:p>
    <w:p w14:paraId="669F11FA">
      <w:pPr>
        <w:keepNext w:val="0"/>
        <w:keepLines w:val="0"/>
        <w:pageBreakBefore w:val="0"/>
        <w:kinsoku/>
        <w:wordWrap/>
        <w:overflowPunct/>
        <w:topLinePunct w:val="0"/>
        <w:bidi w:val="0"/>
        <w:adjustRightInd w:val="0"/>
        <w:snapToGrid w:val="0"/>
        <w:spacing w:line="560" w:lineRule="exact"/>
        <w:ind w:firstLine="564"/>
        <w:jc w:val="both"/>
        <w:textAlignment w:val="auto"/>
        <w:rPr>
          <w:rFonts w:eastAsia="仿宋_GB2312"/>
          <w:sz w:val="32"/>
          <w:highlight w:val="none"/>
        </w:rPr>
      </w:pPr>
      <w:r>
        <w:rPr>
          <w:rFonts w:hint="eastAsia" w:eastAsia="仿宋_GB2312"/>
          <w:kern w:val="0"/>
          <w:sz w:val="32"/>
          <w:szCs w:val="32"/>
          <w:lang w:val="en-US" w:eastAsia="zh-CN"/>
        </w:rPr>
        <w:t>9</w:t>
      </w:r>
      <w:r>
        <w:rPr>
          <w:rFonts w:hint="eastAsia"/>
          <w:kern w:val="0"/>
          <w:sz w:val="32"/>
          <w:szCs w:val="32"/>
          <w:lang w:val="en-US" w:eastAsia="zh-CN"/>
        </w:rPr>
        <w:t>．</w:t>
      </w:r>
      <w:r>
        <w:rPr>
          <w:rFonts w:hint="eastAsia" w:eastAsia="仿宋_GB2312"/>
          <w:kern w:val="0"/>
          <w:sz w:val="32"/>
          <w:szCs w:val="32"/>
        </w:rPr>
        <w:t>大赛安排组建涵盖法律、经济、文化、知识产权等多领</w:t>
      </w:r>
      <w:r>
        <w:rPr>
          <w:rFonts w:hint="eastAsia" w:eastAsia="仿宋_GB2312"/>
          <w:kern w:val="0"/>
          <w:sz w:val="32"/>
          <w:szCs w:val="32"/>
          <w:highlight w:val="none"/>
        </w:rPr>
        <w:t>域的专家团队库，为参赛企业及项目提供项目诊断、产业对接指导等服务。</w:t>
      </w:r>
      <w:bookmarkStart w:id="78" w:name="pindex149"/>
      <w:bookmarkEnd w:id="78"/>
    </w:p>
    <w:p w14:paraId="0EE52D71">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highlight w:val="none"/>
        </w:rPr>
      </w:pPr>
      <w:r>
        <w:rPr>
          <w:rFonts w:hint="eastAsia" w:eastAsia="仿宋_GB2312"/>
          <w:kern w:val="0"/>
          <w:sz w:val="32"/>
          <w:szCs w:val="32"/>
          <w:highlight w:val="none"/>
          <w:lang w:val="en-US" w:eastAsia="zh-CN"/>
        </w:rPr>
        <w:t>10</w:t>
      </w:r>
      <w:r>
        <w:rPr>
          <w:rFonts w:hint="eastAsia"/>
          <w:kern w:val="0"/>
          <w:sz w:val="32"/>
          <w:szCs w:val="32"/>
          <w:highlight w:val="none"/>
          <w:lang w:val="en-US" w:eastAsia="zh-CN"/>
        </w:rPr>
        <w:t>．</w:t>
      </w:r>
      <w:r>
        <w:rPr>
          <w:rFonts w:hint="eastAsia" w:eastAsia="仿宋_GB2312"/>
          <w:kern w:val="0"/>
          <w:sz w:val="32"/>
          <w:szCs w:val="32"/>
          <w:highlight w:val="none"/>
          <w:lang w:val="en-US" w:eastAsia="zh-CN"/>
        </w:rPr>
        <w:t>针对</w:t>
      </w:r>
      <w:r>
        <w:rPr>
          <w:rFonts w:eastAsia="仿宋_GB2312"/>
          <w:kern w:val="0"/>
          <w:sz w:val="32"/>
          <w:szCs w:val="32"/>
          <w:highlight w:val="none"/>
          <w:lang w:val="zh-CN"/>
        </w:rPr>
        <w:t>有</w:t>
      </w:r>
      <w:r>
        <w:rPr>
          <w:rFonts w:hint="eastAsia" w:eastAsia="仿宋_GB2312"/>
          <w:kern w:val="0"/>
          <w:sz w:val="32"/>
          <w:szCs w:val="32"/>
          <w:highlight w:val="none"/>
          <w:lang w:val="en-US" w:eastAsia="zh-CN"/>
        </w:rPr>
        <w:t>意向</w:t>
      </w:r>
      <w:r>
        <w:rPr>
          <w:rFonts w:eastAsia="仿宋_GB2312"/>
          <w:kern w:val="0"/>
          <w:sz w:val="32"/>
          <w:szCs w:val="32"/>
          <w:highlight w:val="none"/>
          <w:lang w:val="zh-CN"/>
        </w:rPr>
        <w:t>在粤东西北地区落地转化的参赛项目，可根据实际情况享受相关地市人民政府有关创新创业、成果转化、招商引资、人才引进、知识产权等落地转化实施优惠政策。</w:t>
      </w:r>
      <w:bookmarkStart w:id="79" w:name="pindex150"/>
      <w:bookmarkEnd w:id="79"/>
    </w:p>
    <w:p w14:paraId="3992722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highlight w:val="none"/>
        </w:rPr>
      </w:pPr>
      <w:r>
        <w:rPr>
          <w:rFonts w:hint="eastAsia" w:eastAsia="黑体"/>
          <w:kern w:val="0"/>
          <w:sz w:val="32"/>
          <w:szCs w:val="32"/>
          <w:highlight w:val="none"/>
          <w:lang w:bidi="ar"/>
        </w:rPr>
        <w:t>七</w:t>
      </w:r>
      <w:r>
        <w:rPr>
          <w:rFonts w:eastAsia="黑体"/>
          <w:kern w:val="0"/>
          <w:sz w:val="32"/>
          <w:szCs w:val="32"/>
          <w:highlight w:val="none"/>
          <w:lang w:bidi="ar"/>
        </w:rPr>
        <w:t>、</w:t>
      </w:r>
      <w:r>
        <w:rPr>
          <w:rFonts w:hint="eastAsia" w:eastAsia="黑体"/>
          <w:kern w:val="0"/>
          <w:sz w:val="32"/>
          <w:szCs w:val="32"/>
          <w:highlight w:val="none"/>
          <w:lang w:bidi="ar"/>
        </w:rPr>
        <w:t>赛事</w:t>
      </w:r>
      <w:r>
        <w:rPr>
          <w:rFonts w:eastAsia="黑体"/>
          <w:kern w:val="0"/>
          <w:sz w:val="32"/>
          <w:szCs w:val="32"/>
          <w:highlight w:val="none"/>
          <w:lang w:bidi="ar"/>
        </w:rPr>
        <w:t>宣传</w:t>
      </w:r>
      <w:bookmarkStart w:id="80" w:name="pindex151"/>
      <w:bookmarkEnd w:id="80"/>
    </w:p>
    <w:p w14:paraId="1EF66154">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highlight w:val="none"/>
          <w:lang w:bidi="ar"/>
        </w:rPr>
        <w:t>围绕赛事重要环节开展全方位、多角度、多层次、多媒体的立体宣传。</w:t>
      </w:r>
      <w:r>
        <w:rPr>
          <w:rFonts w:hint="eastAsia" w:eastAsia="仿宋_GB2312"/>
          <w:kern w:val="0"/>
          <w:sz w:val="32"/>
          <w:szCs w:val="32"/>
          <w:highlight w:val="none"/>
          <w:lang w:bidi="ar"/>
        </w:rPr>
        <w:t>建设“第三届粤创</w:t>
      </w:r>
      <w:r>
        <w:rPr>
          <w:rFonts w:eastAsia="仿宋_GB2312"/>
          <w:kern w:val="0"/>
          <w:sz w:val="32"/>
          <w:szCs w:val="32"/>
          <w:highlight w:val="none"/>
          <w:lang w:bidi="ar"/>
        </w:rPr>
        <w:t>赛</w:t>
      </w:r>
      <w:r>
        <w:rPr>
          <w:rFonts w:hint="eastAsia" w:eastAsia="仿宋_GB2312"/>
          <w:kern w:val="0"/>
          <w:sz w:val="32"/>
          <w:szCs w:val="32"/>
          <w:highlight w:val="none"/>
          <w:lang w:bidi="ar"/>
        </w:rPr>
        <w:t>”</w:t>
      </w:r>
      <w:r>
        <w:rPr>
          <w:rFonts w:eastAsia="仿宋_GB2312"/>
          <w:kern w:val="0"/>
          <w:sz w:val="32"/>
          <w:szCs w:val="32"/>
          <w:highlight w:val="none"/>
          <w:lang w:bidi="ar"/>
        </w:rPr>
        <w:t>官网、</w:t>
      </w:r>
      <w:r>
        <w:rPr>
          <w:rFonts w:hint="eastAsia" w:eastAsia="仿宋_GB2312"/>
          <w:kern w:val="0"/>
          <w:sz w:val="32"/>
          <w:szCs w:val="32"/>
          <w:highlight w:val="none"/>
          <w:lang w:bidi="ar"/>
        </w:rPr>
        <w:t>微信</w:t>
      </w:r>
      <w:r>
        <w:rPr>
          <w:rFonts w:eastAsia="仿宋_GB2312"/>
          <w:kern w:val="0"/>
          <w:sz w:val="32"/>
          <w:szCs w:val="32"/>
          <w:highlight w:val="none"/>
          <w:lang w:bidi="ar"/>
        </w:rPr>
        <w:t>公众号等</w:t>
      </w:r>
      <w:r>
        <w:rPr>
          <w:rFonts w:hint="eastAsia" w:eastAsia="仿宋_GB2312"/>
          <w:kern w:val="0"/>
          <w:sz w:val="32"/>
          <w:szCs w:val="32"/>
          <w:highlight w:val="none"/>
          <w:lang w:bidi="ar"/>
        </w:rPr>
        <w:t>，</w:t>
      </w:r>
      <w:r>
        <w:rPr>
          <w:rFonts w:hint="eastAsia" w:eastAsia="仿宋_GB2312"/>
          <w:kern w:val="0"/>
          <w:sz w:val="32"/>
          <w:szCs w:val="32"/>
          <w:lang w:bidi="ar"/>
        </w:rPr>
        <w:t>发布赛事情况</w:t>
      </w:r>
      <w:r>
        <w:rPr>
          <w:rFonts w:eastAsia="仿宋_GB2312"/>
          <w:kern w:val="0"/>
          <w:sz w:val="32"/>
          <w:szCs w:val="32"/>
          <w:lang w:bidi="ar"/>
        </w:rPr>
        <w:t>。</w:t>
      </w:r>
      <w:r>
        <w:rPr>
          <w:rFonts w:hint="eastAsia" w:eastAsia="仿宋_GB2312"/>
          <w:kern w:val="0"/>
          <w:sz w:val="32"/>
          <w:szCs w:val="32"/>
          <w:lang w:bidi="ar"/>
        </w:rPr>
        <w:t>组织</w:t>
      </w:r>
      <w:r>
        <w:rPr>
          <w:rFonts w:eastAsia="仿宋_GB2312"/>
          <w:kern w:val="0"/>
          <w:sz w:val="32"/>
          <w:szCs w:val="32"/>
        </w:rPr>
        <w:t>粤东西北地</w:t>
      </w:r>
      <w:r>
        <w:rPr>
          <w:rFonts w:hint="eastAsia" w:eastAsia="仿宋_GB2312"/>
          <w:kern w:val="0"/>
          <w:sz w:val="32"/>
          <w:szCs w:val="32"/>
        </w:rPr>
        <w:t>市赴相关省市开展赛事</w:t>
      </w:r>
      <w:r>
        <w:rPr>
          <w:rFonts w:eastAsia="仿宋_GB2312"/>
          <w:kern w:val="0"/>
          <w:sz w:val="32"/>
          <w:szCs w:val="32"/>
        </w:rPr>
        <w:t>巡讲会</w:t>
      </w:r>
      <w:r>
        <w:rPr>
          <w:rFonts w:hint="eastAsia" w:eastAsia="仿宋_GB2312"/>
          <w:kern w:val="0"/>
          <w:sz w:val="32"/>
          <w:szCs w:val="32"/>
        </w:rPr>
        <w:t>或</w:t>
      </w:r>
      <w:r>
        <w:rPr>
          <w:rFonts w:eastAsia="仿宋_GB2312"/>
          <w:kern w:val="0"/>
          <w:sz w:val="32"/>
          <w:szCs w:val="32"/>
        </w:rPr>
        <w:t>专场</w:t>
      </w:r>
      <w:r>
        <w:rPr>
          <w:rFonts w:hint="eastAsia" w:eastAsia="仿宋_GB2312"/>
          <w:kern w:val="0"/>
          <w:sz w:val="32"/>
          <w:szCs w:val="32"/>
        </w:rPr>
        <w:t>推介</w:t>
      </w:r>
      <w:r>
        <w:rPr>
          <w:rFonts w:eastAsia="仿宋_GB2312"/>
          <w:kern w:val="0"/>
          <w:sz w:val="32"/>
          <w:szCs w:val="32"/>
        </w:rPr>
        <w:t>会。赛期定期举办专题培训，推广高价值专利布局和运营、商标品牌培训、地理标志建设相关专业知识。</w:t>
      </w:r>
    </w:p>
    <w:p w14:paraId="205B69E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hint="eastAsia" w:eastAsia="黑体"/>
          <w:kern w:val="0"/>
          <w:sz w:val="32"/>
          <w:szCs w:val="32"/>
          <w:lang w:bidi="ar"/>
        </w:rPr>
        <w:t>八</w:t>
      </w:r>
      <w:r>
        <w:rPr>
          <w:rFonts w:eastAsia="黑体"/>
          <w:kern w:val="0"/>
          <w:sz w:val="32"/>
          <w:szCs w:val="32"/>
          <w:lang w:bidi="ar"/>
        </w:rPr>
        <w:t>、赛事监管</w:t>
      </w:r>
      <w:bookmarkStart w:id="81" w:name="pindex153"/>
      <w:bookmarkEnd w:id="81"/>
    </w:p>
    <w:p w14:paraId="22E3975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为保障本届赛事公平公正，保证办赛效果，设置以下赛事监管方式，规范参赛与获奖管理。</w:t>
      </w:r>
    </w:p>
    <w:p w14:paraId="791E3FB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（一）参赛承诺</w:t>
      </w:r>
    </w:p>
    <w:p w14:paraId="25B8A5E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参赛主体须在报名参赛时签署参赛承诺书以及相关法律文件，承诺对参赛填报资料的真实性负责，服从大赛工作方案、规则和执委会对赛事的各项安排，承诺在内地及港澳地区无知识产权侵权行为、无不良经营记录和不存在与其他注册商标存在争议等情况，如被发现存有弄虚作假、恶意隐瞒等行为，承诺放弃参赛资格；如有获奖的参赛主体出现上述行为，由执委会撤销授奖、追回证书和奖金，并予以公布，且对该参赛主体保留法律追究权利。</w:t>
      </w:r>
      <w:bookmarkStart w:id="82" w:name="pindex155"/>
      <w:bookmarkEnd w:id="82"/>
    </w:p>
    <w:p w14:paraId="11BFC78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（二）举报投诉</w:t>
      </w:r>
    </w:p>
    <w:p w14:paraId="52D0A92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比赛期间，任何单位和个人均可针对不符合参赛要求的项目向执委会提出举报投诉，但须提供有效的证明材料。执委会根据核查结果判定是否符合参赛资格。</w:t>
      </w:r>
      <w:bookmarkStart w:id="83" w:name="pindex156"/>
      <w:bookmarkEnd w:id="83"/>
    </w:p>
    <w:p w14:paraId="09CE726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楷体_GB2312"/>
          <w:kern w:val="0"/>
          <w:sz w:val="32"/>
          <w:szCs w:val="32"/>
          <w:lang w:bidi="ar"/>
        </w:rPr>
        <w:t>（三）公示与异议</w:t>
      </w:r>
    </w:p>
    <w:p w14:paraId="6F6AA5A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bidi="ar"/>
        </w:rPr>
        <w:t>大</w:t>
      </w:r>
      <w:r>
        <w:rPr>
          <w:rFonts w:eastAsia="仿宋_GB2312"/>
          <w:kern w:val="0"/>
          <w:sz w:val="32"/>
          <w:szCs w:val="32"/>
          <w:lang w:bidi="ar"/>
        </w:rPr>
        <w:t>赛对晋级与获奖结果实行异议制度。进入初赛、决赛以及获奖单位等名单，将通过大赛网站、微信公众号等平台</w:t>
      </w:r>
      <w:r>
        <w:rPr>
          <w:rFonts w:hint="eastAsia" w:eastAsia="仿宋_GB2312"/>
          <w:kern w:val="0"/>
          <w:sz w:val="32"/>
          <w:szCs w:val="32"/>
          <w:lang w:bidi="ar"/>
        </w:rPr>
        <w:t>以及媒体</w:t>
      </w:r>
      <w:r>
        <w:rPr>
          <w:rFonts w:eastAsia="仿宋_GB2312"/>
          <w:kern w:val="0"/>
          <w:sz w:val="32"/>
          <w:szCs w:val="32"/>
          <w:lang w:bidi="ar"/>
        </w:rPr>
        <w:t>向社会公示，接受社会监督。提出异议的单位或者个人应当自公布之日起5日内向执委会提供书面异议材料和有效的证明材料。个人提出异议的，应当在异议材料上签署真实姓名，写明通信地址以及联系电话。以单位名义提出异议的，应当加盖本单位公章并注明法定代表人姓名以及联系电话。凡是匿名或者单位未盖公章的异议材料不予受理。执委会对异议内容进行核查并进行处理。</w:t>
      </w:r>
      <w:bookmarkStart w:id="84" w:name="pindex157"/>
      <w:bookmarkEnd w:id="84"/>
    </w:p>
    <w:p w14:paraId="74928EE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（四）申诉与仲裁</w:t>
      </w:r>
      <w:bookmarkStart w:id="85" w:name="pindex158"/>
      <w:bookmarkEnd w:id="85"/>
    </w:p>
    <w:p w14:paraId="7D8127CA">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1．</w:t>
      </w:r>
      <w:r>
        <w:rPr>
          <w:rFonts w:eastAsia="仿宋_GB2312"/>
          <w:kern w:val="0"/>
          <w:sz w:val="32"/>
          <w:szCs w:val="32"/>
          <w:lang w:bidi="ar"/>
        </w:rPr>
        <w:t>参赛单位有权对不符合竞赛规定或有失公正的评判、奖励等行为提出申诉</w:t>
      </w:r>
      <w:r>
        <w:rPr>
          <w:rFonts w:hint="eastAsia" w:eastAsia="仿宋_GB2312"/>
          <w:kern w:val="0"/>
          <w:sz w:val="32"/>
          <w:szCs w:val="32"/>
          <w:lang w:eastAsia="zh-CN" w:bidi="ar"/>
        </w:rPr>
        <w:t>。</w:t>
      </w:r>
      <w:bookmarkStart w:id="86" w:name="pindex159"/>
      <w:bookmarkEnd w:id="86"/>
    </w:p>
    <w:p w14:paraId="5516BAC3">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2．</w:t>
      </w:r>
      <w:r>
        <w:rPr>
          <w:rFonts w:eastAsia="仿宋_GB2312"/>
          <w:kern w:val="0"/>
          <w:sz w:val="32"/>
          <w:szCs w:val="32"/>
          <w:lang w:bidi="ar"/>
        </w:rPr>
        <w:t>申诉时，应递交由参赛团队负责人亲笔签字同意的书面报告，报告应对申诉事件的经过、发生的时间、涉及的人员、申诉依据与理由等进行充分、实事求是的叙述。事实依据不充分的申诉不予受理</w:t>
      </w:r>
      <w:r>
        <w:rPr>
          <w:rFonts w:hint="eastAsia" w:eastAsia="仿宋_GB2312"/>
          <w:kern w:val="0"/>
          <w:sz w:val="32"/>
          <w:szCs w:val="32"/>
          <w:lang w:bidi="ar"/>
        </w:rPr>
        <w:t>。</w:t>
      </w:r>
      <w:bookmarkStart w:id="87" w:name="pindex160"/>
      <w:bookmarkEnd w:id="87"/>
    </w:p>
    <w:p w14:paraId="6597543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3．</w:t>
      </w:r>
      <w:r>
        <w:rPr>
          <w:rFonts w:eastAsia="仿宋_GB2312"/>
          <w:kern w:val="0"/>
          <w:sz w:val="32"/>
          <w:szCs w:val="32"/>
          <w:lang w:bidi="ar"/>
        </w:rPr>
        <w:t>申诉时效：行为发生后2</w:t>
      </w:r>
      <w:r>
        <w:rPr>
          <w:rFonts w:hint="eastAsia" w:eastAsia="仿宋_GB2312"/>
          <w:kern w:val="0"/>
          <w:sz w:val="32"/>
          <w:szCs w:val="32"/>
          <w:lang w:val="en-US" w:eastAsia="zh-CN" w:bidi="ar"/>
        </w:rPr>
        <w:t>日</w:t>
      </w:r>
      <w:r>
        <w:rPr>
          <w:rFonts w:eastAsia="仿宋_GB2312"/>
          <w:kern w:val="0"/>
          <w:sz w:val="32"/>
          <w:szCs w:val="32"/>
          <w:lang w:bidi="ar"/>
        </w:rPr>
        <w:t>之内提出申诉，超过时效的申诉不予受理</w:t>
      </w:r>
      <w:r>
        <w:rPr>
          <w:rFonts w:hint="eastAsia" w:eastAsia="仿宋_GB2312"/>
          <w:kern w:val="0"/>
          <w:sz w:val="32"/>
          <w:szCs w:val="32"/>
          <w:lang w:bidi="ar"/>
        </w:rPr>
        <w:t>。</w:t>
      </w:r>
      <w:bookmarkStart w:id="88" w:name="pindex161"/>
      <w:bookmarkEnd w:id="88"/>
    </w:p>
    <w:p w14:paraId="66490721">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4．</w:t>
      </w:r>
      <w:r>
        <w:rPr>
          <w:rFonts w:eastAsia="仿宋_GB2312"/>
          <w:kern w:val="0"/>
          <w:sz w:val="32"/>
          <w:szCs w:val="32"/>
          <w:lang w:bidi="ar"/>
        </w:rPr>
        <w:t>仲裁处理：仲裁委员会在收到申诉报告之后，根据申诉事由进行审查，审查结果报执委会批准后，以书面通知申诉方，告知申诉处理结果</w:t>
      </w:r>
      <w:r>
        <w:rPr>
          <w:rFonts w:hint="eastAsia" w:eastAsia="仿宋_GB2312"/>
          <w:kern w:val="0"/>
          <w:sz w:val="32"/>
          <w:szCs w:val="32"/>
          <w:lang w:bidi="ar"/>
        </w:rPr>
        <w:t>。</w:t>
      </w:r>
      <w:bookmarkStart w:id="89" w:name="pindex162"/>
      <w:bookmarkEnd w:id="89"/>
    </w:p>
    <w:p w14:paraId="6E55AB1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5．</w:t>
      </w:r>
      <w:r>
        <w:rPr>
          <w:rFonts w:eastAsia="仿宋_GB2312"/>
          <w:kern w:val="0"/>
          <w:sz w:val="32"/>
          <w:szCs w:val="32"/>
          <w:lang w:bidi="ar"/>
        </w:rPr>
        <w:t>申诉人不得无故拒不接受处理结果，不得采取过激行为刁难、攻击工作人员，否则视为放弃申诉</w:t>
      </w:r>
      <w:r>
        <w:rPr>
          <w:rFonts w:hint="eastAsia" w:eastAsia="仿宋_GB2312"/>
          <w:kern w:val="0"/>
          <w:sz w:val="32"/>
          <w:szCs w:val="32"/>
          <w:lang w:bidi="ar"/>
        </w:rPr>
        <w:t>。</w:t>
      </w:r>
      <w:bookmarkStart w:id="90" w:name="pindex163"/>
      <w:bookmarkEnd w:id="90"/>
    </w:p>
    <w:p w14:paraId="5F18DA7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6．</w:t>
      </w:r>
      <w:r>
        <w:rPr>
          <w:rFonts w:eastAsia="仿宋_GB2312"/>
          <w:kern w:val="0"/>
          <w:sz w:val="32"/>
          <w:szCs w:val="32"/>
          <w:lang w:bidi="ar"/>
        </w:rPr>
        <w:t>有关申诉与仲裁</w:t>
      </w:r>
      <w:r>
        <w:rPr>
          <w:rFonts w:hint="eastAsia" w:eastAsia="仿宋_GB2312"/>
          <w:kern w:val="0"/>
          <w:sz w:val="32"/>
          <w:szCs w:val="32"/>
          <w:lang w:val="en-US" w:eastAsia="zh-CN" w:bidi="ar"/>
        </w:rPr>
        <w:t>的材料，</w:t>
      </w:r>
      <w:r>
        <w:rPr>
          <w:rFonts w:eastAsia="仿宋_GB2312"/>
          <w:kern w:val="0"/>
          <w:sz w:val="32"/>
          <w:szCs w:val="32"/>
          <w:lang w:bidi="ar"/>
        </w:rPr>
        <w:t>向大赛仲裁委员会提交。</w:t>
      </w:r>
      <w:bookmarkStart w:id="91" w:name="pindex164"/>
      <w:bookmarkEnd w:id="91"/>
    </w:p>
    <w:p w14:paraId="55AFB9F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（五）获奖承诺</w:t>
      </w:r>
    </w:p>
    <w:p w14:paraId="41483C9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获奖项目在参赛过程中有弄虚作假或其他违反公平竞争行为的，或获奖主体发生不良经营现象、违法违规事项的，经执委会调查核实。若情况属实者，由执委会提出撤销授奖意见，经大赛主办单位审议批准后，由执委会撤销授奖、追回证书和奖金，并予以公布。</w:t>
      </w:r>
      <w:bookmarkStart w:id="92" w:name="pindex165"/>
      <w:bookmarkEnd w:id="92"/>
    </w:p>
    <w:p w14:paraId="0E3A17E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（六）监管部门</w:t>
      </w:r>
    </w:p>
    <w:p w14:paraId="03210F7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由承办单位指派相关</w:t>
      </w:r>
      <w:r>
        <w:rPr>
          <w:rFonts w:hint="eastAsia" w:eastAsia="仿宋_GB2312"/>
          <w:kern w:val="0"/>
          <w:sz w:val="32"/>
          <w:szCs w:val="32"/>
          <w:lang w:bidi="ar"/>
        </w:rPr>
        <w:t>工作人员</w:t>
      </w:r>
      <w:r>
        <w:rPr>
          <w:rFonts w:eastAsia="仿宋_GB2312"/>
          <w:kern w:val="0"/>
          <w:sz w:val="32"/>
          <w:szCs w:val="32"/>
          <w:lang w:bidi="ar"/>
        </w:rPr>
        <w:t>与大赛指导专家、法律专家共同组成赛事监管部门，承办单位负责赛期具体执行相关事务，法律专家负责起草并审核相关法律文件，指导专家对大赛整体事项进行监督，监督结果报执委会确认后进行处理。</w:t>
      </w:r>
      <w:bookmarkStart w:id="93" w:name="pindex166"/>
      <w:bookmarkEnd w:id="93"/>
    </w:p>
    <w:p w14:paraId="1731657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（七）免责声明与律师声明</w:t>
      </w:r>
    </w:p>
    <w:p w14:paraId="103B78F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大赛委托律师事务所草拟免责声明并出具律师声明，明确比赛性质，避免背书风险。</w:t>
      </w:r>
      <w:bookmarkStart w:id="94" w:name="pindex167"/>
      <w:bookmarkEnd w:id="94"/>
    </w:p>
    <w:p w14:paraId="7E394E68">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p>
    <w:p w14:paraId="1419C18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附件：1</w:t>
      </w:r>
      <w:r>
        <w:rPr>
          <w:rFonts w:hint="eastAsia"/>
          <w:kern w:val="0"/>
          <w:sz w:val="32"/>
          <w:szCs w:val="32"/>
          <w:lang w:eastAsia="zh-CN" w:bidi="ar"/>
        </w:rPr>
        <w:t>．</w:t>
      </w:r>
      <w:r>
        <w:rPr>
          <w:rFonts w:eastAsia="仿宋_GB2312"/>
          <w:kern w:val="0"/>
          <w:sz w:val="32"/>
          <w:szCs w:val="32"/>
          <w:lang w:bidi="ar"/>
        </w:rPr>
        <w:t>第三届粤创赛评分指标体系（专利组</w:t>
      </w:r>
      <w:r>
        <w:rPr>
          <w:rFonts w:hint="eastAsia" w:eastAsia="仿宋_GB2312"/>
          <w:kern w:val="0"/>
          <w:sz w:val="32"/>
          <w:szCs w:val="32"/>
          <w:lang w:bidi="ar"/>
        </w:rPr>
        <w:t>初</w:t>
      </w:r>
      <w:r>
        <w:rPr>
          <w:rFonts w:eastAsia="仿宋_GB2312"/>
          <w:kern w:val="0"/>
          <w:sz w:val="32"/>
          <w:szCs w:val="32"/>
          <w:lang w:bidi="ar"/>
        </w:rPr>
        <w:t>赛）</w:t>
      </w:r>
      <w:bookmarkStart w:id="95" w:name="pindex169"/>
      <w:bookmarkEnd w:id="95"/>
    </w:p>
    <w:p w14:paraId="5748C6E4">
      <w:pPr>
        <w:keepNext w:val="0"/>
        <w:keepLines w:val="0"/>
        <w:pageBreakBefore w:val="0"/>
        <w:kinsoku/>
        <w:wordWrap/>
        <w:overflowPunct/>
        <w:topLinePunct w:val="0"/>
        <w:bidi w:val="0"/>
        <w:adjustRightInd w:val="0"/>
        <w:snapToGrid w:val="0"/>
        <w:spacing w:line="560" w:lineRule="exact"/>
        <w:ind w:firstLine="1520" w:firstLineChars="500"/>
        <w:textAlignment w:val="auto"/>
        <w:rPr>
          <w:rFonts w:eastAsia="仿宋_GB2312"/>
          <w:sz w:val="32"/>
        </w:rPr>
      </w:pPr>
      <w:r>
        <w:rPr>
          <w:rFonts w:hint="eastAsia" w:eastAsia="仿宋_GB2312"/>
          <w:kern w:val="0"/>
          <w:sz w:val="32"/>
          <w:szCs w:val="32"/>
          <w:lang w:bidi="ar"/>
        </w:rPr>
        <w:t>2</w:t>
      </w:r>
      <w:r>
        <w:rPr>
          <w:rFonts w:hint="eastAsia"/>
          <w:kern w:val="0"/>
          <w:sz w:val="32"/>
          <w:szCs w:val="32"/>
          <w:lang w:eastAsia="zh-CN" w:bidi="ar"/>
        </w:rPr>
        <w:t>．</w:t>
      </w:r>
      <w:r>
        <w:rPr>
          <w:rFonts w:eastAsia="仿宋_GB2312"/>
          <w:kern w:val="0"/>
          <w:sz w:val="32"/>
          <w:szCs w:val="32"/>
          <w:lang w:bidi="ar"/>
        </w:rPr>
        <w:t>第三届粤创赛评分指标体系（专利组决赛）</w:t>
      </w:r>
      <w:bookmarkStart w:id="96" w:name="pindex170"/>
      <w:bookmarkEnd w:id="96"/>
    </w:p>
    <w:p w14:paraId="790383C3">
      <w:pPr>
        <w:keepNext w:val="0"/>
        <w:keepLines w:val="0"/>
        <w:pageBreakBefore w:val="0"/>
        <w:kinsoku/>
        <w:wordWrap/>
        <w:overflowPunct/>
        <w:topLinePunct w:val="0"/>
        <w:bidi w:val="0"/>
        <w:adjustRightInd w:val="0"/>
        <w:snapToGrid w:val="0"/>
        <w:spacing w:line="560" w:lineRule="exact"/>
        <w:ind w:firstLine="1520" w:firstLineChars="500"/>
        <w:textAlignment w:val="auto"/>
        <w:rPr>
          <w:rFonts w:eastAsia="仿宋_GB2312"/>
          <w:sz w:val="32"/>
        </w:rPr>
      </w:pPr>
      <w:r>
        <w:rPr>
          <w:rFonts w:hint="eastAsia" w:eastAsia="仿宋_GB2312"/>
          <w:kern w:val="0"/>
          <w:sz w:val="32"/>
          <w:szCs w:val="32"/>
          <w:lang w:bidi="ar"/>
        </w:rPr>
        <w:t>3</w:t>
      </w:r>
      <w:r>
        <w:rPr>
          <w:rFonts w:hint="eastAsia"/>
          <w:kern w:val="0"/>
          <w:sz w:val="32"/>
          <w:szCs w:val="32"/>
          <w:lang w:eastAsia="zh-CN" w:bidi="ar"/>
        </w:rPr>
        <w:t>．</w:t>
      </w:r>
      <w:r>
        <w:rPr>
          <w:rFonts w:eastAsia="仿宋_GB2312"/>
          <w:kern w:val="0"/>
          <w:sz w:val="32"/>
          <w:szCs w:val="32"/>
          <w:lang w:bidi="ar"/>
        </w:rPr>
        <w:t>第三届粤创赛评分指标体系（</w:t>
      </w:r>
      <w:r>
        <w:rPr>
          <w:rFonts w:hint="eastAsia" w:eastAsia="仿宋_GB2312"/>
          <w:kern w:val="0"/>
          <w:sz w:val="32"/>
          <w:szCs w:val="32"/>
          <w:lang w:bidi="ar"/>
        </w:rPr>
        <w:t>商标</w:t>
      </w:r>
      <w:r>
        <w:rPr>
          <w:rFonts w:eastAsia="仿宋_GB2312"/>
          <w:kern w:val="0"/>
          <w:sz w:val="32"/>
          <w:szCs w:val="32"/>
          <w:lang w:bidi="ar"/>
        </w:rPr>
        <w:t>组）</w:t>
      </w:r>
      <w:bookmarkStart w:id="97" w:name="pindex171"/>
      <w:bookmarkEnd w:id="97"/>
    </w:p>
    <w:p w14:paraId="5DDE6CFA">
      <w:pPr>
        <w:keepNext w:val="0"/>
        <w:keepLines w:val="0"/>
        <w:pageBreakBefore w:val="0"/>
        <w:kinsoku/>
        <w:wordWrap/>
        <w:overflowPunct/>
        <w:topLinePunct w:val="0"/>
        <w:bidi w:val="0"/>
        <w:adjustRightInd w:val="0"/>
        <w:snapToGrid w:val="0"/>
        <w:spacing w:line="560" w:lineRule="exact"/>
        <w:ind w:firstLine="1520" w:firstLineChars="500"/>
        <w:textAlignment w:val="auto"/>
        <w:rPr>
          <w:rFonts w:eastAsia="仿宋_GB2312"/>
          <w:sz w:val="32"/>
        </w:rPr>
      </w:pPr>
      <w:r>
        <w:rPr>
          <w:rFonts w:hint="eastAsia" w:eastAsia="仿宋_GB2312"/>
          <w:kern w:val="0"/>
          <w:sz w:val="32"/>
          <w:szCs w:val="32"/>
          <w:lang w:bidi="ar"/>
        </w:rPr>
        <w:t>4</w:t>
      </w:r>
      <w:r>
        <w:rPr>
          <w:rFonts w:hint="eastAsia"/>
          <w:kern w:val="0"/>
          <w:sz w:val="32"/>
          <w:szCs w:val="32"/>
          <w:lang w:eastAsia="zh-CN" w:bidi="ar"/>
        </w:rPr>
        <w:t>．</w:t>
      </w:r>
      <w:r>
        <w:rPr>
          <w:rFonts w:eastAsia="仿宋_GB2312"/>
          <w:kern w:val="0"/>
          <w:sz w:val="32"/>
          <w:szCs w:val="32"/>
          <w:lang w:bidi="ar"/>
        </w:rPr>
        <w:t>第三届粤创赛评分指标体系（</w:t>
      </w:r>
      <w:r>
        <w:rPr>
          <w:rFonts w:hint="eastAsia" w:eastAsia="仿宋_GB2312"/>
          <w:kern w:val="0"/>
          <w:sz w:val="32"/>
          <w:szCs w:val="32"/>
          <w:lang w:bidi="ar"/>
        </w:rPr>
        <w:t>地理标志</w:t>
      </w:r>
      <w:r>
        <w:rPr>
          <w:rFonts w:eastAsia="仿宋_GB2312"/>
          <w:kern w:val="0"/>
          <w:sz w:val="32"/>
          <w:szCs w:val="32"/>
          <w:lang w:bidi="ar"/>
        </w:rPr>
        <w:t>组）</w:t>
      </w:r>
      <w:bookmarkStart w:id="98" w:name="pindex173"/>
      <w:bookmarkEnd w:id="98"/>
    </w:p>
    <w:p w14:paraId="7F25DD4C">
      <w:pPr>
        <w:pStyle w:val="4"/>
        <w:rPr>
          <w:rFonts w:hint="eastAsia"/>
        </w:rPr>
      </w:pPr>
    </w:p>
    <w:p w14:paraId="31C14491">
      <w:pPr>
        <w:pStyle w:val="3"/>
        <w:rPr>
          <w:rFonts w:hint="eastAsia"/>
        </w:rPr>
      </w:pPr>
    </w:p>
    <w:p w14:paraId="7BD56028">
      <w:pPr>
        <w:rPr>
          <w:rFonts w:hint="eastAsia"/>
        </w:rPr>
      </w:pPr>
    </w:p>
    <w:p w14:paraId="21C090A9">
      <w:pPr>
        <w:spacing w:line="560" w:lineRule="exact"/>
        <w:rPr>
          <w:rFonts w:eastAsia="黑体"/>
          <w:sz w:val="32"/>
          <w:szCs w:val="32"/>
        </w:rPr>
      </w:pPr>
    </w:p>
    <w:p w14:paraId="2F6175D5">
      <w:pPr>
        <w:spacing w:line="560" w:lineRule="exact"/>
        <w:rPr>
          <w:rFonts w:eastAsia="黑体"/>
          <w:sz w:val="32"/>
          <w:szCs w:val="32"/>
        </w:rPr>
      </w:pPr>
    </w:p>
    <w:p w14:paraId="633886C4">
      <w:pPr>
        <w:spacing w:line="560" w:lineRule="exact"/>
        <w:rPr>
          <w:rFonts w:eastAsia="黑体"/>
          <w:sz w:val="32"/>
          <w:szCs w:val="32"/>
        </w:rPr>
      </w:pPr>
    </w:p>
    <w:p w14:paraId="7E8AC765">
      <w:pPr>
        <w:spacing w:line="560" w:lineRule="exact"/>
        <w:rPr>
          <w:rFonts w:eastAsia="黑体"/>
          <w:sz w:val="32"/>
          <w:szCs w:val="32"/>
        </w:rPr>
        <w:sectPr>
          <w:footerReference r:id="rId4" w:type="first"/>
          <w:footerReference r:id="rId3" w:type="default"/>
          <w:pgSz w:w="11906" w:h="16838"/>
          <w:pgMar w:top="1984" w:right="1474" w:bottom="1701" w:left="1587" w:header="851" w:footer="1191" w:gutter="0"/>
          <w:pgNumType w:fmt="decimal"/>
          <w:cols w:space="720" w:num="1"/>
          <w:titlePg/>
          <w:rtlGutter w:val="0"/>
          <w:docGrid w:type="linesAndChars" w:linePitch="597" w:charSpace="-3336"/>
        </w:sectPr>
      </w:pPr>
    </w:p>
    <w:p w14:paraId="501A5E93">
      <w:pPr>
        <w:spacing w:line="560" w:lineRule="exact"/>
        <w:rPr>
          <w:rFonts w:eastAsia="黑体"/>
          <w:sz w:val="32"/>
        </w:rPr>
      </w:pPr>
      <w:r>
        <w:rPr>
          <w:rFonts w:eastAsia="黑体"/>
          <w:sz w:val="32"/>
          <w:szCs w:val="32"/>
        </w:rPr>
        <w:t>附件1</w:t>
      </w:r>
    </w:p>
    <w:p w14:paraId="44BC66E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第三届粤创赛评分指标体系（专利组初赛）</w:t>
      </w:r>
    </w:p>
    <w:tbl>
      <w:tblPr>
        <w:tblStyle w:val="7"/>
        <w:tblpPr w:leftFromText="180" w:rightFromText="180" w:vertAnchor="text" w:horzAnchor="page" w:tblpX="1633" w:tblpY="277"/>
        <w:tblOverlap w:val="never"/>
        <w:tblW w:w="21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815"/>
        <w:gridCol w:w="780"/>
        <w:gridCol w:w="855"/>
        <w:gridCol w:w="1050"/>
        <w:gridCol w:w="1995"/>
        <w:gridCol w:w="5820"/>
        <w:gridCol w:w="5886"/>
        <w:gridCol w:w="2040"/>
      </w:tblGrid>
      <w:tr w14:paraId="5E8F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23FB660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一级指标</w:t>
            </w:r>
          </w:p>
        </w:tc>
        <w:tc>
          <w:tcPr>
            <w:tcW w:w="1815" w:type="dxa"/>
            <w:vMerge w:val="restart"/>
            <w:noWrap w:val="0"/>
            <w:vAlign w:val="center"/>
          </w:tcPr>
          <w:p w14:paraId="4DDFCE98">
            <w:pPr>
              <w:keepNext w:val="0"/>
              <w:keepLines w:val="0"/>
              <w:pageBreakBefore w:val="0"/>
              <w:widowControl w:val="0"/>
              <w:tabs>
                <w:tab w:val="left" w:pos="1050"/>
              </w:tabs>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二级指标</w:t>
            </w:r>
          </w:p>
        </w:tc>
        <w:tc>
          <w:tcPr>
            <w:tcW w:w="1635" w:type="dxa"/>
            <w:gridSpan w:val="2"/>
            <w:noWrap w:val="0"/>
            <w:vAlign w:val="center"/>
          </w:tcPr>
          <w:p w14:paraId="6F23949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分值</w:t>
            </w:r>
          </w:p>
        </w:tc>
        <w:tc>
          <w:tcPr>
            <w:tcW w:w="1050" w:type="dxa"/>
            <w:vMerge w:val="restart"/>
            <w:noWrap w:val="0"/>
            <w:vAlign w:val="center"/>
          </w:tcPr>
          <w:p w14:paraId="2FD7A8C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评分方法</w:t>
            </w:r>
          </w:p>
        </w:tc>
        <w:tc>
          <w:tcPr>
            <w:tcW w:w="1995" w:type="dxa"/>
            <w:vMerge w:val="restart"/>
            <w:noWrap w:val="0"/>
            <w:vAlign w:val="center"/>
          </w:tcPr>
          <w:p w14:paraId="7F9AEF6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数据来源</w:t>
            </w:r>
          </w:p>
        </w:tc>
        <w:tc>
          <w:tcPr>
            <w:tcW w:w="5820" w:type="dxa"/>
            <w:vMerge w:val="restart"/>
            <w:noWrap w:val="0"/>
            <w:vAlign w:val="center"/>
          </w:tcPr>
          <w:p w14:paraId="0BF32CA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指标说明</w:t>
            </w:r>
          </w:p>
        </w:tc>
        <w:tc>
          <w:tcPr>
            <w:tcW w:w="5886" w:type="dxa"/>
            <w:vMerge w:val="restart"/>
            <w:noWrap w:val="0"/>
            <w:vAlign w:val="center"/>
          </w:tcPr>
          <w:p w14:paraId="5CBD7F9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sz w:val="18"/>
                <w:szCs w:val="18"/>
              </w:rPr>
              <w:t>评价标准</w:t>
            </w:r>
          </w:p>
        </w:tc>
        <w:tc>
          <w:tcPr>
            <w:tcW w:w="2040" w:type="dxa"/>
            <w:vMerge w:val="restart"/>
            <w:noWrap w:val="0"/>
            <w:vAlign w:val="center"/>
          </w:tcPr>
          <w:p w14:paraId="59E71C0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备注</w:t>
            </w:r>
          </w:p>
        </w:tc>
      </w:tr>
      <w:tr w14:paraId="645C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7B2A7BF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vMerge w:val="continue"/>
            <w:noWrap w:val="0"/>
            <w:vAlign w:val="center"/>
          </w:tcPr>
          <w:p w14:paraId="2D8229D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780" w:type="dxa"/>
            <w:noWrap w:val="0"/>
            <w:vAlign w:val="center"/>
          </w:tcPr>
          <w:p w14:paraId="171E8E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初创组</w:t>
            </w:r>
          </w:p>
        </w:tc>
        <w:tc>
          <w:tcPr>
            <w:tcW w:w="855" w:type="dxa"/>
            <w:noWrap w:val="0"/>
            <w:vAlign w:val="center"/>
          </w:tcPr>
          <w:p w14:paraId="4BAD67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成长组</w:t>
            </w:r>
          </w:p>
        </w:tc>
        <w:tc>
          <w:tcPr>
            <w:tcW w:w="1050" w:type="dxa"/>
            <w:vMerge w:val="continue"/>
            <w:noWrap w:val="0"/>
            <w:vAlign w:val="center"/>
          </w:tcPr>
          <w:p w14:paraId="64EC16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995" w:type="dxa"/>
            <w:vMerge w:val="continue"/>
            <w:noWrap w:val="0"/>
            <w:vAlign w:val="center"/>
          </w:tcPr>
          <w:p w14:paraId="624D4EF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5820" w:type="dxa"/>
            <w:vMerge w:val="continue"/>
            <w:noWrap w:val="0"/>
            <w:vAlign w:val="center"/>
          </w:tcPr>
          <w:p w14:paraId="7E3055D4">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sz w:val="18"/>
                <w:szCs w:val="18"/>
              </w:rPr>
            </w:pPr>
          </w:p>
        </w:tc>
        <w:tc>
          <w:tcPr>
            <w:tcW w:w="5886" w:type="dxa"/>
            <w:vMerge w:val="continue"/>
            <w:noWrap w:val="0"/>
            <w:vAlign w:val="center"/>
          </w:tcPr>
          <w:p w14:paraId="6AE87CB9">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sz w:val="18"/>
                <w:szCs w:val="18"/>
              </w:rPr>
            </w:pPr>
          </w:p>
        </w:tc>
        <w:tc>
          <w:tcPr>
            <w:tcW w:w="2040" w:type="dxa"/>
            <w:vMerge w:val="continue"/>
            <w:noWrap w:val="0"/>
            <w:vAlign w:val="center"/>
          </w:tcPr>
          <w:p w14:paraId="625D53DA">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sz w:val="18"/>
                <w:szCs w:val="18"/>
              </w:rPr>
            </w:pPr>
          </w:p>
        </w:tc>
      </w:tr>
      <w:tr w14:paraId="41FB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5A62135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宏观管理</w:t>
            </w:r>
          </w:p>
        </w:tc>
        <w:tc>
          <w:tcPr>
            <w:tcW w:w="1815" w:type="dxa"/>
            <w:noWrap w:val="0"/>
            <w:vAlign w:val="center"/>
          </w:tcPr>
          <w:p w14:paraId="161F69B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组织动员</w:t>
            </w:r>
          </w:p>
        </w:tc>
        <w:tc>
          <w:tcPr>
            <w:tcW w:w="780" w:type="dxa"/>
            <w:noWrap w:val="0"/>
            <w:vAlign w:val="center"/>
          </w:tcPr>
          <w:p w14:paraId="3338B33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855" w:type="dxa"/>
            <w:noWrap w:val="0"/>
            <w:vAlign w:val="center"/>
          </w:tcPr>
          <w:p w14:paraId="341C13A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1050" w:type="dxa"/>
            <w:noWrap w:val="0"/>
            <w:vAlign w:val="center"/>
          </w:tcPr>
          <w:p w14:paraId="38FDCD8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445EA8B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国家知识产权局或省市场监管局相关数据通报</w:t>
            </w:r>
          </w:p>
        </w:tc>
        <w:tc>
          <w:tcPr>
            <w:tcW w:w="5820" w:type="dxa"/>
            <w:noWrap w:val="0"/>
            <w:vAlign w:val="center"/>
          </w:tcPr>
          <w:p w14:paraId="41FFFBE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bCs w:val="0"/>
                <w:color w:val="000000"/>
                <w:sz w:val="18"/>
                <w:szCs w:val="18"/>
                <w:highlight w:val="none"/>
                <w:vertAlign w:val="baseline"/>
                <w:lang w:val="en-US" w:eastAsia="zh-CN"/>
              </w:rPr>
              <w:t>主要反映赛事启动后（自2025年7月起算，下同），各地市通过开展赛事发动、组织动员等，推动知识产权转化运用的整体情况</w:t>
            </w:r>
          </w:p>
        </w:tc>
        <w:tc>
          <w:tcPr>
            <w:tcW w:w="5886" w:type="dxa"/>
            <w:noWrap w:val="0"/>
            <w:vAlign w:val="center"/>
          </w:tcPr>
          <w:p w14:paraId="7EE4958E">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赛事期间</w:t>
            </w:r>
            <w:r>
              <w:rPr>
                <w:rFonts w:hint="default" w:ascii="Times New Roman" w:hAnsi="Times New Roman" w:eastAsia="宋体" w:cs="Times New Roman"/>
                <w:color w:val="000000"/>
                <w:sz w:val="18"/>
                <w:szCs w:val="18"/>
                <w:highlight w:val="none"/>
                <w:lang w:eastAsia="zh-CN"/>
              </w:rPr>
              <w:t>本市</w:t>
            </w:r>
            <w:r>
              <w:rPr>
                <w:rFonts w:hint="default" w:ascii="Times New Roman" w:hAnsi="Times New Roman" w:eastAsia="宋体" w:cs="Times New Roman"/>
                <w:color w:val="000000"/>
                <w:sz w:val="18"/>
                <w:szCs w:val="18"/>
                <w:highlight w:val="none"/>
              </w:rPr>
              <w:t>专利转化许可</w:t>
            </w:r>
            <w:r>
              <w:rPr>
                <w:rFonts w:hint="default" w:ascii="Times New Roman" w:hAnsi="Times New Roman" w:eastAsia="宋体" w:cs="Times New Roman"/>
                <w:color w:val="000000"/>
                <w:sz w:val="18"/>
                <w:szCs w:val="18"/>
                <w:highlight w:val="none"/>
                <w:lang w:eastAsia="zh-CN"/>
              </w:rPr>
              <w:t>情况，</w:t>
            </w:r>
            <w:r>
              <w:rPr>
                <w:rFonts w:hint="default" w:ascii="Times New Roman" w:hAnsi="Times New Roman" w:eastAsia="宋体" w:cs="Times New Roman"/>
                <w:color w:val="000000"/>
                <w:sz w:val="18"/>
                <w:szCs w:val="18"/>
                <w:highlight w:val="none"/>
                <w:lang w:val="en-US" w:eastAsia="zh-CN"/>
              </w:rPr>
              <w:t>各地在赛事期间开展赛事发动、组织动员等情况</w:t>
            </w:r>
          </w:p>
        </w:tc>
        <w:tc>
          <w:tcPr>
            <w:tcW w:w="2040" w:type="dxa"/>
            <w:noWrap w:val="0"/>
            <w:vAlign w:val="center"/>
          </w:tcPr>
          <w:p w14:paraId="567158EB">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21DF3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5C92A5E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E72EB6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团队建设</w:t>
            </w:r>
          </w:p>
        </w:tc>
        <w:tc>
          <w:tcPr>
            <w:tcW w:w="780" w:type="dxa"/>
            <w:noWrap w:val="0"/>
            <w:vAlign w:val="center"/>
          </w:tcPr>
          <w:p w14:paraId="425B9A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7</w:t>
            </w:r>
          </w:p>
        </w:tc>
        <w:tc>
          <w:tcPr>
            <w:tcW w:w="855" w:type="dxa"/>
            <w:noWrap w:val="0"/>
            <w:vAlign w:val="center"/>
          </w:tcPr>
          <w:p w14:paraId="22CA5CB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7</w:t>
            </w:r>
          </w:p>
        </w:tc>
        <w:tc>
          <w:tcPr>
            <w:tcW w:w="1050" w:type="dxa"/>
            <w:noWrap w:val="0"/>
            <w:vAlign w:val="center"/>
          </w:tcPr>
          <w:p w14:paraId="5C4AD2A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62EA109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0A07D0E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主要反映参赛项目牵头单位在研发创新平台建设、知识产权储备和激励、技术或成果转化项目实施、人才队伍建设等方面的综合情况</w:t>
            </w:r>
          </w:p>
        </w:tc>
        <w:tc>
          <w:tcPr>
            <w:tcW w:w="5886" w:type="dxa"/>
            <w:noWrap w:val="0"/>
            <w:vAlign w:val="center"/>
          </w:tcPr>
          <w:p w14:paraId="4443101E">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参赛项目的核心技术能力情况，知识产权储备丰富度及转化激励机制完善程度，专业团队与转化团队实力，以及主导重大技术攻关或专利成果转化项目的经验</w:t>
            </w:r>
          </w:p>
        </w:tc>
        <w:tc>
          <w:tcPr>
            <w:tcW w:w="2040" w:type="dxa"/>
            <w:noWrap w:val="0"/>
            <w:vAlign w:val="center"/>
          </w:tcPr>
          <w:p w14:paraId="2CA10A2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5416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2D5CFB6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专利</w:t>
            </w:r>
            <w:r>
              <w:rPr>
                <w:rFonts w:hint="default" w:ascii="Times New Roman" w:hAnsi="Times New Roman" w:eastAsia="宋体" w:cs="Times New Roman"/>
                <w:color w:val="000000"/>
                <w:sz w:val="18"/>
                <w:szCs w:val="18"/>
              </w:rPr>
              <w:t>质量</w:t>
            </w:r>
          </w:p>
        </w:tc>
        <w:tc>
          <w:tcPr>
            <w:tcW w:w="1815" w:type="dxa"/>
            <w:noWrap w:val="0"/>
            <w:vAlign w:val="center"/>
          </w:tcPr>
          <w:p w14:paraId="376AE33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技术先进性（创新性）</w:t>
            </w:r>
          </w:p>
        </w:tc>
        <w:tc>
          <w:tcPr>
            <w:tcW w:w="780" w:type="dxa"/>
            <w:noWrap w:val="0"/>
            <w:vAlign w:val="center"/>
          </w:tcPr>
          <w:p w14:paraId="589FA0A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rPr>
              <w:t>1</w:t>
            </w:r>
            <w:r>
              <w:rPr>
                <w:rFonts w:hint="default" w:ascii="Times New Roman" w:hAnsi="Times New Roman" w:eastAsia="宋体" w:cs="Times New Roman"/>
                <w:color w:val="000000"/>
                <w:sz w:val="18"/>
                <w:szCs w:val="18"/>
                <w:highlight w:val="none"/>
                <w:lang w:val="en-US" w:eastAsia="zh-CN"/>
              </w:rPr>
              <w:t>5</w:t>
            </w:r>
          </w:p>
        </w:tc>
        <w:tc>
          <w:tcPr>
            <w:tcW w:w="855" w:type="dxa"/>
            <w:noWrap w:val="0"/>
            <w:vAlign w:val="center"/>
          </w:tcPr>
          <w:p w14:paraId="5C0D2D3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5</w:t>
            </w:r>
          </w:p>
        </w:tc>
        <w:tc>
          <w:tcPr>
            <w:tcW w:w="1050" w:type="dxa"/>
            <w:noWrap w:val="0"/>
            <w:vAlign w:val="center"/>
          </w:tcPr>
          <w:p w14:paraId="2921B1D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3C3C1EA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45502AE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主要反映参赛项目核心专利的技术创新水平、解决技术难题的能力、技术成熟度等专利技术先进性方面的综合情况</w:t>
            </w:r>
          </w:p>
        </w:tc>
        <w:tc>
          <w:tcPr>
            <w:tcW w:w="5886" w:type="dxa"/>
            <w:noWrap w:val="0"/>
            <w:vAlign w:val="center"/>
          </w:tcPr>
          <w:p w14:paraId="542C0C1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1.对于发明专利和实用新型专利：技术创新水平、对现有技术的改进及解决技术问题的能力，以及专利转化所处阶段；</w:t>
            </w:r>
          </w:p>
          <w:p w14:paraId="3F95986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2.对于外观专利：创新设计思路与手段、与现有方案的差异、独特性及艺术设计价值，以及实际应用或批量生产情况</w:t>
            </w:r>
          </w:p>
        </w:tc>
        <w:tc>
          <w:tcPr>
            <w:tcW w:w="2040" w:type="dxa"/>
            <w:noWrap w:val="0"/>
            <w:vAlign w:val="center"/>
          </w:tcPr>
          <w:p w14:paraId="0977D9B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6BBF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36442B6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82C73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权利稳定性</w:t>
            </w:r>
          </w:p>
        </w:tc>
        <w:tc>
          <w:tcPr>
            <w:tcW w:w="780" w:type="dxa"/>
            <w:noWrap w:val="0"/>
            <w:vAlign w:val="center"/>
          </w:tcPr>
          <w:p w14:paraId="2FF2095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3DAC996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10</w:t>
            </w:r>
          </w:p>
        </w:tc>
        <w:tc>
          <w:tcPr>
            <w:tcW w:w="1050" w:type="dxa"/>
            <w:noWrap w:val="0"/>
            <w:vAlign w:val="center"/>
          </w:tcPr>
          <w:p w14:paraId="2EA294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6E95FE1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6A006EA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主要反映参赛项目核心专利的法律状态、专利权属、纠纷争议等权利稳定性方面的综合情况</w:t>
            </w:r>
          </w:p>
        </w:tc>
        <w:tc>
          <w:tcPr>
            <w:tcW w:w="5886" w:type="dxa"/>
            <w:noWrap w:val="0"/>
            <w:vAlign w:val="center"/>
          </w:tcPr>
          <w:p w14:paraId="0B87D31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项目技术的自主研发情况及对其他技术许可的依赖程度，专利法律状态、专利权属及是否存在争议，以及核心技术点的覆盖情况</w:t>
            </w:r>
          </w:p>
        </w:tc>
        <w:tc>
          <w:tcPr>
            <w:tcW w:w="2040" w:type="dxa"/>
            <w:noWrap w:val="0"/>
            <w:vAlign w:val="center"/>
          </w:tcPr>
          <w:p w14:paraId="449E24A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7D1F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6B6FBF9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7D44AF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技术替代性</w:t>
            </w:r>
          </w:p>
        </w:tc>
        <w:tc>
          <w:tcPr>
            <w:tcW w:w="780" w:type="dxa"/>
            <w:noWrap w:val="0"/>
            <w:vAlign w:val="center"/>
          </w:tcPr>
          <w:p w14:paraId="45F46E7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406B21E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10</w:t>
            </w:r>
          </w:p>
        </w:tc>
        <w:tc>
          <w:tcPr>
            <w:tcW w:w="1050" w:type="dxa"/>
            <w:noWrap w:val="0"/>
            <w:vAlign w:val="center"/>
          </w:tcPr>
          <w:p w14:paraId="5D20B49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3B4F0E0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6230A62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主要反映参赛项目的核心专利或专利产品的市场替代情况，专利保护自身发展及提升自身竞争力等方面的综合情况</w:t>
            </w:r>
          </w:p>
        </w:tc>
        <w:tc>
          <w:tcPr>
            <w:tcW w:w="5886" w:type="dxa"/>
            <w:noWrap w:val="0"/>
            <w:vAlign w:val="center"/>
          </w:tcPr>
          <w:p w14:paraId="706361D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参赛项目当前市场是否存在替代产品、技术是否独家，专利保护的发展、技术门槛和市场竞争力情况</w:t>
            </w:r>
          </w:p>
        </w:tc>
        <w:tc>
          <w:tcPr>
            <w:tcW w:w="2040" w:type="dxa"/>
            <w:noWrap w:val="0"/>
            <w:vAlign w:val="center"/>
          </w:tcPr>
          <w:p w14:paraId="75F0B988">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3A7B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7E850F8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专利布局</w:t>
            </w:r>
          </w:p>
        </w:tc>
        <w:tc>
          <w:tcPr>
            <w:tcW w:w="1815" w:type="dxa"/>
            <w:noWrap w:val="0"/>
            <w:vAlign w:val="center"/>
          </w:tcPr>
          <w:p w14:paraId="7761888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bidi="ar"/>
              </w:rPr>
              <w:t>方案可行性</w:t>
            </w:r>
          </w:p>
        </w:tc>
        <w:tc>
          <w:tcPr>
            <w:tcW w:w="780" w:type="dxa"/>
            <w:noWrap w:val="0"/>
            <w:vAlign w:val="center"/>
          </w:tcPr>
          <w:p w14:paraId="3DF0653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10</w:t>
            </w:r>
          </w:p>
        </w:tc>
        <w:tc>
          <w:tcPr>
            <w:tcW w:w="855" w:type="dxa"/>
            <w:noWrap w:val="0"/>
            <w:vAlign w:val="center"/>
          </w:tcPr>
          <w:p w14:paraId="5BDAEB1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142F617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70D6BFE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4A38A77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主要反映参赛项目或项目核心专利在落地转化的规划合理性、方案可行性等情况</w:t>
            </w:r>
          </w:p>
        </w:tc>
        <w:tc>
          <w:tcPr>
            <w:tcW w:w="5886" w:type="dxa"/>
            <w:noWrap w:val="0"/>
            <w:vAlign w:val="center"/>
          </w:tcPr>
          <w:p w14:paraId="3A07E2B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参赛项目转化规划情况，包括资金预算、本地化生产或研发资源配置及团队常驻支持计划等具体步骤</w:t>
            </w:r>
          </w:p>
        </w:tc>
        <w:tc>
          <w:tcPr>
            <w:tcW w:w="2040" w:type="dxa"/>
            <w:noWrap w:val="0"/>
            <w:vAlign w:val="center"/>
          </w:tcPr>
          <w:p w14:paraId="7879C90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0BD5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3169131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20E8D206">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培育布局规划</w:t>
            </w:r>
          </w:p>
        </w:tc>
        <w:tc>
          <w:tcPr>
            <w:tcW w:w="780" w:type="dxa"/>
            <w:noWrap w:val="0"/>
            <w:vAlign w:val="center"/>
          </w:tcPr>
          <w:p w14:paraId="3E5D6A8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p w14:paraId="42CB4F1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p>
        </w:tc>
        <w:tc>
          <w:tcPr>
            <w:tcW w:w="855" w:type="dxa"/>
            <w:noWrap w:val="0"/>
            <w:vAlign w:val="center"/>
          </w:tcPr>
          <w:p w14:paraId="7AD0008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p w14:paraId="47FAE6A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p>
        </w:tc>
        <w:tc>
          <w:tcPr>
            <w:tcW w:w="1050" w:type="dxa"/>
            <w:noWrap w:val="0"/>
            <w:vAlign w:val="center"/>
          </w:tcPr>
          <w:p w14:paraId="7D1C873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502289E4">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1EC4E45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主要反映参赛项目通过建立全流程专利导航决策及分析机制、专利申请前评估机制、专利分级分类机制等方式，对于未来知识产权培育布局的规划、思路和保护策略</w:t>
            </w:r>
          </w:p>
        </w:tc>
        <w:tc>
          <w:tcPr>
            <w:tcW w:w="5886" w:type="dxa"/>
            <w:noWrap w:val="0"/>
            <w:vAlign w:val="center"/>
          </w:tcPr>
          <w:p w14:paraId="1E006BB9">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参赛项目的知识产权培育布局规划和保护策略，采用的专利导航决策机制，建立事前评估、分级分类管理体系情况，以及运用创新性布局方法形成的典型经验</w:t>
            </w:r>
          </w:p>
        </w:tc>
        <w:tc>
          <w:tcPr>
            <w:tcW w:w="2040" w:type="dxa"/>
            <w:noWrap w:val="0"/>
            <w:vAlign w:val="center"/>
          </w:tcPr>
          <w:p w14:paraId="4347EFC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22986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04D9FE0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4D7F130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核心专利情况</w:t>
            </w:r>
          </w:p>
        </w:tc>
        <w:tc>
          <w:tcPr>
            <w:tcW w:w="780" w:type="dxa"/>
            <w:noWrap w:val="0"/>
            <w:vAlign w:val="center"/>
          </w:tcPr>
          <w:p w14:paraId="0AF1510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10</w:t>
            </w:r>
          </w:p>
        </w:tc>
        <w:tc>
          <w:tcPr>
            <w:tcW w:w="855" w:type="dxa"/>
            <w:noWrap w:val="0"/>
            <w:vAlign w:val="center"/>
          </w:tcPr>
          <w:p w14:paraId="385BBA8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3785653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p w14:paraId="5871FF1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7FE9C7E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5B94412C">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主要反映参赛项目核心专利及专利组合的数量及质量情况，以及项目核心专利、专利组合或核心技术在国家、部委、省市获得专利奖、科技奖的情况</w:t>
            </w:r>
          </w:p>
        </w:tc>
        <w:tc>
          <w:tcPr>
            <w:tcW w:w="5886" w:type="dxa"/>
            <w:noWrap w:val="0"/>
            <w:vAlign w:val="center"/>
          </w:tcPr>
          <w:p w14:paraId="7DAE733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参赛项目核心专利的保护剩余年限、权利要求数；获国家或地区授权情况；专利组合及发明专利情况</w:t>
            </w:r>
          </w:p>
          <w:p w14:paraId="55252F7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核心专利或专利组合含港澳台或国外专利情况，检查国内专利（不含港澳台）申请状态情况；核心专利、专利组合、核心技术获中国专利奖等国家级或国际级奖项情况，获省级（含省政府各相关部门）奖项情况</w:t>
            </w:r>
          </w:p>
        </w:tc>
        <w:tc>
          <w:tcPr>
            <w:tcW w:w="2040" w:type="dxa"/>
            <w:noWrap w:val="0"/>
            <w:vAlign w:val="center"/>
          </w:tcPr>
          <w:p w14:paraId="5429F49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6637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2A34C9B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6950D77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多元化布局情况</w:t>
            </w:r>
          </w:p>
        </w:tc>
        <w:tc>
          <w:tcPr>
            <w:tcW w:w="780" w:type="dxa"/>
            <w:noWrap w:val="0"/>
            <w:vAlign w:val="center"/>
          </w:tcPr>
          <w:p w14:paraId="192C6A6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74E964C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5</w:t>
            </w:r>
          </w:p>
        </w:tc>
        <w:tc>
          <w:tcPr>
            <w:tcW w:w="1050" w:type="dxa"/>
            <w:noWrap w:val="0"/>
            <w:vAlign w:val="center"/>
          </w:tcPr>
          <w:p w14:paraId="1614C0E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p w14:paraId="3E1C4B5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1D1E6EB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126829C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主要反映参赛项目相关的其他知识产权情况，如商业秘密、商标、软著、集成电路布图、数据知识产权等，评估参赛项目知识产权立体保护情况及对商业运作的加成作用</w:t>
            </w:r>
          </w:p>
        </w:tc>
        <w:tc>
          <w:tcPr>
            <w:tcW w:w="5886" w:type="dxa"/>
            <w:noWrap w:val="0"/>
            <w:vAlign w:val="center"/>
          </w:tcPr>
          <w:p w14:paraId="0B4617F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参赛项目拥有的知识产权类型（如商业秘密、商标、软著、集成电路布图、数据知识产权等）；知识产权保护情况，及对商业运作的加成情况</w:t>
            </w:r>
          </w:p>
        </w:tc>
        <w:tc>
          <w:tcPr>
            <w:tcW w:w="2040" w:type="dxa"/>
            <w:noWrap w:val="0"/>
            <w:vAlign w:val="center"/>
          </w:tcPr>
          <w:p w14:paraId="6585377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57DA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38FC662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市场前景</w:t>
            </w:r>
          </w:p>
        </w:tc>
        <w:tc>
          <w:tcPr>
            <w:tcW w:w="1815" w:type="dxa"/>
            <w:noWrap w:val="0"/>
            <w:vAlign w:val="center"/>
          </w:tcPr>
          <w:p w14:paraId="5A5410A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市场空间</w:t>
            </w:r>
          </w:p>
        </w:tc>
        <w:tc>
          <w:tcPr>
            <w:tcW w:w="780" w:type="dxa"/>
            <w:noWrap w:val="0"/>
            <w:vAlign w:val="center"/>
          </w:tcPr>
          <w:p w14:paraId="599603E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6A0B43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435DCFD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0E77824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7FA0FC3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主要反映参赛项目技术应用领域的市场规模、市场前景、市场潜力，以及团队和商业模式与市场需求契合度等方面的情况</w:t>
            </w:r>
          </w:p>
        </w:tc>
        <w:tc>
          <w:tcPr>
            <w:tcW w:w="5886" w:type="dxa"/>
            <w:noWrap w:val="0"/>
            <w:vAlign w:val="center"/>
          </w:tcPr>
          <w:p w14:paraId="5E4D279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参赛项目专利技术在生产领域目标市场的应用情况；目标市场对专利技术的需求，商业模式、市场需求与专利技术的契合度，专利技术的盈利路径</w:t>
            </w:r>
          </w:p>
        </w:tc>
        <w:tc>
          <w:tcPr>
            <w:tcW w:w="2040" w:type="dxa"/>
            <w:noWrap w:val="0"/>
            <w:vAlign w:val="center"/>
          </w:tcPr>
          <w:p w14:paraId="3893E9B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1EA4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50B5C2C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7848576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盈利能力</w:t>
            </w:r>
          </w:p>
        </w:tc>
        <w:tc>
          <w:tcPr>
            <w:tcW w:w="780" w:type="dxa"/>
            <w:noWrap w:val="0"/>
            <w:vAlign w:val="center"/>
          </w:tcPr>
          <w:p w14:paraId="795A283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232DCA4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0FD3AA0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p w14:paraId="568BE7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4C89A3B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3E9815E3">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主要反映项目在多领域中的年度营业收入、年度利润总额、盈利能力及发展增速等</w:t>
            </w:r>
          </w:p>
        </w:tc>
        <w:tc>
          <w:tcPr>
            <w:tcW w:w="5886" w:type="dxa"/>
            <w:noWrap w:val="0"/>
            <w:vAlign w:val="center"/>
          </w:tcPr>
          <w:p w14:paraId="64061D90">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参赛项目预计年度营业收入及利润情况，包括盈利能力、发展增速的情况等</w:t>
            </w:r>
          </w:p>
        </w:tc>
        <w:tc>
          <w:tcPr>
            <w:tcW w:w="2040" w:type="dxa"/>
            <w:noWrap w:val="0"/>
            <w:vAlign w:val="center"/>
          </w:tcPr>
          <w:p w14:paraId="1F2DF50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50EA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02B0A23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7874FD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可持续发展</w:t>
            </w:r>
          </w:p>
        </w:tc>
        <w:tc>
          <w:tcPr>
            <w:tcW w:w="780" w:type="dxa"/>
            <w:noWrap w:val="0"/>
            <w:vAlign w:val="center"/>
          </w:tcPr>
          <w:p w14:paraId="17EBEC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0C3BFFD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7F0C852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5EE1CB3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521CEFD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主要反映项目落地转化后的可持续发展能力或落地转化后的发展预期</w:t>
            </w:r>
          </w:p>
        </w:tc>
        <w:tc>
          <w:tcPr>
            <w:tcW w:w="5886" w:type="dxa"/>
            <w:noWrap w:val="0"/>
            <w:vAlign w:val="center"/>
          </w:tcPr>
          <w:p w14:paraId="474D3D5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明确项目技术所处发展阶段，市场发展规模情况，制定相关技术迭代路线图、盈利模式等情况</w:t>
            </w:r>
          </w:p>
        </w:tc>
        <w:tc>
          <w:tcPr>
            <w:tcW w:w="2040" w:type="dxa"/>
            <w:noWrap w:val="0"/>
            <w:vAlign w:val="center"/>
          </w:tcPr>
          <w:p w14:paraId="463288B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7DE58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65AF5F6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转化效益</w:t>
            </w:r>
          </w:p>
        </w:tc>
        <w:tc>
          <w:tcPr>
            <w:tcW w:w="1815" w:type="dxa"/>
            <w:noWrap w:val="0"/>
            <w:vAlign w:val="center"/>
          </w:tcPr>
          <w:p w14:paraId="7497B5A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bidi="ar"/>
              </w:rPr>
              <w:t>产业匹配度</w:t>
            </w:r>
          </w:p>
        </w:tc>
        <w:tc>
          <w:tcPr>
            <w:tcW w:w="780" w:type="dxa"/>
            <w:noWrap w:val="0"/>
            <w:vAlign w:val="center"/>
          </w:tcPr>
          <w:p w14:paraId="2A94E4B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10</w:t>
            </w:r>
          </w:p>
        </w:tc>
        <w:tc>
          <w:tcPr>
            <w:tcW w:w="855" w:type="dxa"/>
            <w:noWrap w:val="0"/>
            <w:vAlign w:val="center"/>
          </w:tcPr>
          <w:p w14:paraId="05C1344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10</w:t>
            </w:r>
          </w:p>
        </w:tc>
        <w:tc>
          <w:tcPr>
            <w:tcW w:w="1050" w:type="dxa"/>
            <w:noWrap w:val="0"/>
            <w:vAlign w:val="center"/>
          </w:tcPr>
          <w:p w14:paraId="544F9D2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4C156C5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1FB34902">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主要反映参赛项目的技术领域与意愿落地地市产业发展需求的匹配程度，或与相关地市产业发展方向的互补程度，港澳台及国外专利与国内产业发展的适配情况等</w:t>
            </w:r>
          </w:p>
        </w:tc>
        <w:tc>
          <w:tcPr>
            <w:tcW w:w="5886" w:type="dxa"/>
            <w:noWrap w:val="0"/>
            <w:vAlign w:val="center"/>
          </w:tcPr>
          <w:p w14:paraId="423B49E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参赛项目技术与落地地市重点产业升级方向的匹配度情况，在细分领域具备的优势情况，港澳台、国外专利完成国内适配性验证情况</w:t>
            </w:r>
          </w:p>
        </w:tc>
        <w:tc>
          <w:tcPr>
            <w:tcW w:w="2040" w:type="dxa"/>
            <w:noWrap w:val="0"/>
            <w:vAlign w:val="center"/>
          </w:tcPr>
          <w:p w14:paraId="4D13324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05F3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26624A3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3D7AD6E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bidi="ar"/>
              </w:rPr>
              <w:t>产业化程度</w:t>
            </w:r>
          </w:p>
        </w:tc>
        <w:tc>
          <w:tcPr>
            <w:tcW w:w="780" w:type="dxa"/>
            <w:noWrap w:val="0"/>
            <w:vAlign w:val="center"/>
          </w:tcPr>
          <w:p w14:paraId="1C65DC0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7BB3251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10</w:t>
            </w:r>
          </w:p>
        </w:tc>
        <w:tc>
          <w:tcPr>
            <w:tcW w:w="1050" w:type="dxa"/>
            <w:noWrap w:val="0"/>
            <w:vAlign w:val="center"/>
          </w:tcPr>
          <w:p w14:paraId="277B2B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r>
              <w:rPr>
                <w:rFonts w:hint="default" w:ascii="Times New Roman" w:hAnsi="Times New Roman" w:eastAsia="宋体" w:cs="Times New Roman"/>
                <w:color w:val="000000"/>
                <w:sz w:val="18"/>
                <w:szCs w:val="18"/>
                <w:highlight w:val="none"/>
                <w:lang w:eastAsia="zh-CN"/>
              </w:rPr>
              <w:t>、</w:t>
            </w:r>
            <w:r>
              <w:rPr>
                <w:rFonts w:hint="default" w:ascii="Times New Roman" w:hAnsi="Times New Roman" w:eastAsia="宋体" w:cs="Times New Roman"/>
                <w:color w:val="000000"/>
                <w:sz w:val="18"/>
                <w:szCs w:val="18"/>
                <w:highlight w:val="none"/>
                <w:lang w:val="en-US" w:eastAsia="zh-CN"/>
              </w:rPr>
              <w:t>客观数据</w:t>
            </w:r>
          </w:p>
        </w:tc>
        <w:tc>
          <w:tcPr>
            <w:tcW w:w="1995" w:type="dxa"/>
            <w:noWrap w:val="0"/>
            <w:vAlign w:val="center"/>
          </w:tcPr>
          <w:p w14:paraId="2392859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7BC39E42">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主要反映参赛项目或项目核心专利</w:t>
            </w:r>
            <w:r>
              <w:rPr>
                <w:rFonts w:hint="default" w:ascii="Times New Roman" w:hAnsi="Times New Roman" w:eastAsia="宋体" w:cs="Times New Roman"/>
                <w:sz w:val="18"/>
                <w:szCs w:val="18"/>
                <w:lang w:val="en-US" w:eastAsia="zh-CN"/>
              </w:rPr>
              <w:t>用于生产出专利产品并投放市场的情况，具体包括自行产业化、已许可专利由被许可方实现产业化、已转让专利由受让方实现产业化、由共有专利权人实现产业化等情况</w:t>
            </w:r>
          </w:p>
        </w:tc>
        <w:tc>
          <w:tcPr>
            <w:tcW w:w="5886" w:type="dxa"/>
            <w:noWrap w:val="0"/>
            <w:vAlign w:val="center"/>
          </w:tcPr>
          <w:p w14:paraId="2D6AD23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项目核心专利是否关联实际产品（或项目核心专利与实际产品的关联度），是否已转化为具体产品或服务，并具备实际产值，占比企业销售份额等具体经营指标；客观评估项目对经营成果的实际贡献和市场价值</w:t>
            </w:r>
          </w:p>
        </w:tc>
        <w:tc>
          <w:tcPr>
            <w:tcW w:w="2040" w:type="dxa"/>
            <w:noWrap w:val="0"/>
            <w:vAlign w:val="center"/>
          </w:tcPr>
          <w:p w14:paraId="5FABC09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2E8F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5D2EF77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AE07D1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经济及社会效益</w:t>
            </w:r>
          </w:p>
        </w:tc>
        <w:tc>
          <w:tcPr>
            <w:tcW w:w="780" w:type="dxa"/>
            <w:noWrap w:val="0"/>
            <w:vAlign w:val="center"/>
          </w:tcPr>
          <w:p w14:paraId="0738BB1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1F6D2B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10</w:t>
            </w:r>
          </w:p>
        </w:tc>
        <w:tc>
          <w:tcPr>
            <w:tcW w:w="1050" w:type="dxa"/>
            <w:noWrap w:val="0"/>
            <w:vAlign w:val="center"/>
          </w:tcPr>
          <w:p w14:paraId="2120ADD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0B98037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31B83549">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主要反映参赛项目或项目核心专利产生的经济及社会效益，主要包括项目转化后为目标主体及所在地市的产业发展带来的产值、税收等经济效益或预期经济效益，以及项目实施带动社会就业等社会效益等情况</w:t>
            </w:r>
          </w:p>
        </w:tc>
        <w:tc>
          <w:tcPr>
            <w:tcW w:w="5886" w:type="dxa"/>
            <w:noWrap w:val="0"/>
            <w:vAlign w:val="center"/>
          </w:tcPr>
          <w:p w14:paraId="3CC0FA08">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技术成果对解决重大社会问题的作用，投入产出比于行业的水平，及盈利情况</w:t>
            </w:r>
          </w:p>
        </w:tc>
        <w:tc>
          <w:tcPr>
            <w:tcW w:w="2040" w:type="dxa"/>
            <w:noWrap w:val="0"/>
            <w:vAlign w:val="center"/>
          </w:tcPr>
          <w:p w14:paraId="5334A3D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4D9D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637B127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附加分</w:t>
            </w:r>
          </w:p>
        </w:tc>
        <w:tc>
          <w:tcPr>
            <w:tcW w:w="1815" w:type="dxa"/>
            <w:noWrap w:val="0"/>
            <w:vAlign w:val="center"/>
          </w:tcPr>
          <w:p w14:paraId="41FBC57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政策环境</w:t>
            </w:r>
          </w:p>
        </w:tc>
        <w:tc>
          <w:tcPr>
            <w:tcW w:w="780" w:type="dxa"/>
            <w:noWrap w:val="0"/>
            <w:vAlign w:val="center"/>
          </w:tcPr>
          <w:p w14:paraId="64DA635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2</w:t>
            </w:r>
          </w:p>
        </w:tc>
        <w:tc>
          <w:tcPr>
            <w:tcW w:w="855" w:type="dxa"/>
            <w:noWrap w:val="0"/>
            <w:vAlign w:val="center"/>
          </w:tcPr>
          <w:p w14:paraId="38AD46D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2</w:t>
            </w:r>
          </w:p>
        </w:tc>
        <w:tc>
          <w:tcPr>
            <w:tcW w:w="1050" w:type="dxa"/>
            <w:noWrap w:val="0"/>
            <w:vAlign w:val="center"/>
          </w:tcPr>
          <w:p w14:paraId="1909BF1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专家评审、客观数据</w:t>
            </w:r>
          </w:p>
        </w:tc>
        <w:tc>
          <w:tcPr>
            <w:tcW w:w="1995" w:type="dxa"/>
            <w:noWrap w:val="0"/>
            <w:vAlign w:val="center"/>
          </w:tcPr>
          <w:p w14:paraId="1781F2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相关地市局网站、新闻媒体等</w:t>
            </w:r>
          </w:p>
        </w:tc>
        <w:tc>
          <w:tcPr>
            <w:tcW w:w="5820" w:type="dxa"/>
            <w:noWrap w:val="0"/>
            <w:vAlign w:val="center"/>
          </w:tcPr>
          <w:p w14:paraId="565BEAC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主要反映项目所在地市或项目拟落地转化地市在知识产权转化运用方面的政策法规等宏观环境建设情况</w:t>
            </w:r>
          </w:p>
        </w:tc>
        <w:tc>
          <w:tcPr>
            <w:tcW w:w="5886" w:type="dxa"/>
            <w:noWrap w:val="0"/>
            <w:vAlign w:val="center"/>
          </w:tcPr>
          <w:p w14:paraId="5D66AAA3">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地市知识产权转化运用政策法规等整体情况，年度（指2024年度，下同）全市专利转让许可情况等</w:t>
            </w:r>
          </w:p>
        </w:tc>
        <w:tc>
          <w:tcPr>
            <w:tcW w:w="2040" w:type="dxa"/>
            <w:noWrap w:val="0"/>
            <w:vAlign w:val="center"/>
          </w:tcPr>
          <w:p w14:paraId="11205A5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3F5F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064EA935">
            <w:pPr>
              <w:pStyle w:val="4"/>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18"/>
                <w:szCs w:val="18"/>
              </w:rPr>
            </w:pPr>
          </w:p>
        </w:tc>
        <w:tc>
          <w:tcPr>
            <w:tcW w:w="1815" w:type="dxa"/>
            <w:noWrap w:val="0"/>
            <w:vAlign w:val="center"/>
          </w:tcPr>
          <w:p w14:paraId="44A283B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专利产品</w:t>
            </w:r>
            <w:r>
              <w:rPr>
                <w:rFonts w:hint="default" w:ascii="Times New Roman" w:hAnsi="Times New Roman" w:eastAsia="宋体" w:cs="Times New Roman"/>
                <w:color w:val="000000"/>
                <w:sz w:val="18"/>
                <w:szCs w:val="18"/>
                <w:highlight w:val="none"/>
                <w:lang w:eastAsia="zh-CN"/>
              </w:rPr>
              <w:t>备案</w:t>
            </w:r>
            <w:r>
              <w:rPr>
                <w:rFonts w:hint="default" w:ascii="Times New Roman" w:hAnsi="Times New Roman" w:eastAsia="宋体" w:cs="Times New Roman"/>
                <w:color w:val="000000"/>
                <w:sz w:val="18"/>
                <w:szCs w:val="18"/>
                <w:highlight w:val="none"/>
              </w:rPr>
              <w:t>情况</w:t>
            </w:r>
          </w:p>
        </w:tc>
        <w:tc>
          <w:tcPr>
            <w:tcW w:w="780" w:type="dxa"/>
            <w:noWrap w:val="0"/>
            <w:vAlign w:val="center"/>
          </w:tcPr>
          <w:p w14:paraId="63584DF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855" w:type="dxa"/>
            <w:noWrap w:val="0"/>
            <w:vAlign w:val="center"/>
          </w:tcPr>
          <w:p w14:paraId="71FAE1D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1050" w:type="dxa"/>
            <w:noWrap w:val="0"/>
            <w:vAlign w:val="center"/>
          </w:tcPr>
          <w:p w14:paraId="568349B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客观指标</w:t>
            </w:r>
          </w:p>
        </w:tc>
        <w:tc>
          <w:tcPr>
            <w:tcW w:w="1995" w:type="dxa"/>
            <w:noWrap w:val="0"/>
            <w:vAlign w:val="center"/>
          </w:tcPr>
          <w:p w14:paraId="6DD2D7E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r>
              <w:rPr>
                <w:rFonts w:hint="default" w:ascii="Times New Roman" w:hAnsi="Times New Roman" w:eastAsia="宋体" w:cs="Times New Roman"/>
                <w:color w:val="000000"/>
                <w:sz w:val="18"/>
                <w:szCs w:val="18"/>
                <w:highlight w:val="none"/>
                <w:lang w:eastAsia="zh-CN"/>
              </w:rPr>
              <w:t>、</w:t>
            </w:r>
            <w:r>
              <w:rPr>
                <w:rFonts w:hint="default" w:ascii="Times New Roman" w:hAnsi="Times New Roman" w:eastAsia="宋体" w:cs="Times New Roman"/>
                <w:color w:val="000000"/>
                <w:sz w:val="18"/>
                <w:szCs w:val="18"/>
                <w:highlight w:val="none"/>
              </w:rPr>
              <w:t>路演介绍</w:t>
            </w:r>
          </w:p>
        </w:tc>
        <w:tc>
          <w:tcPr>
            <w:tcW w:w="5820" w:type="dxa"/>
            <w:noWrap w:val="0"/>
            <w:vAlign w:val="center"/>
          </w:tcPr>
          <w:p w14:paraId="7B153AC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主要反映项目中产品或服务的专利技术集成度与知识产权价值密度的申请情况</w:t>
            </w:r>
          </w:p>
        </w:tc>
        <w:tc>
          <w:tcPr>
            <w:tcW w:w="5886" w:type="dxa"/>
            <w:noWrap w:val="0"/>
            <w:vAlign w:val="center"/>
          </w:tcPr>
          <w:p w14:paraId="4B66FEA8">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专利产品是否在国家专利密集型产品备案认定试点平台进行备案</w:t>
            </w:r>
          </w:p>
        </w:tc>
        <w:tc>
          <w:tcPr>
            <w:tcW w:w="2040" w:type="dxa"/>
            <w:noWrap w:val="0"/>
            <w:vAlign w:val="center"/>
          </w:tcPr>
          <w:p w14:paraId="57D32D0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4655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70" w:type="dxa"/>
            <w:gridSpan w:val="2"/>
            <w:noWrap w:val="0"/>
            <w:vAlign w:val="center"/>
          </w:tcPr>
          <w:p w14:paraId="3FAEF7A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合计</w:t>
            </w:r>
          </w:p>
        </w:tc>
        <w:tc>
          <w:tcPr>
            <w:tcW w:w="780" w:type="dxa"/>
            <w:noWrap w:val="0"/>
            <w:vAlign w:val="center"/>
          </w:tcPr>
          <w:p w14:paraId="7A82512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10</w:t>
            </w:r>
            <w:r>
              <w:rPr>
                <w:rFonts w:hint="default" w:ascii="Times New Roman" w:hAnsi="Times New Roman" w:eastAsia="宋体" w:cs="Times New Roman"/>
                <w:color w:val="000000"/>
                <w:sz w:val="18"/>
                <w:szCs w:val="18"/>
                <w:lang w:val="en-US" w:eastAsia="zh-CN"/>
              </w:rPr>
              <w:t>5</w:t>
            </w:r>
          </w:p>
        </w:tc>
        <w:tc>
          <w:tcPr>
            <w:tcW w:w="855" w:type="dxa"/>
            <w:noWrap w:val="0"/>
            <w:vAlign w:val="center"/>
          </w:tcPr>
          <w:p w14:paraId="26E436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w:t>
            </w:r>
            <w:r>
              <w:rPr>
                <w:rFonts w:hint="default" w:ascii="Times New Roman" w:hAnsi="Times New Roman" w:eastAsia="宋体" w:cs="Times New Roman"/>
                <w:color w:val="000000"/>
                <w:sz w:val="18"/>
                <w:szCs w:val="18"/>
                <w:lang w:val="en-US" w:eastAsia="zh-CN"/>
              </w:rPr>
              <w:t>05</w:t>
            </w:r>
          </w:p>
        </w:tc>
        <w:tc>
          <w:tcPr>
            <w:tcW w:w="16791" w:type="dxa"/>
            <w:gridSpan w:val="5"/>
            <w:noWrap w:val="0"/>
            <w:vAlign w:val="center"/>
          </w:tcPr>
          <w:p w14:paraId="58A735E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bl>
    <w:p w14:paraId="50D9D35A">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黑体"/>
          <w:sz w:val="32"/>
          <w:szCs w:val="32"/>
        </w:rPr>
      </w:pPr>
    </w:p>
    <w:p w14:paraId="0F924F9D">
      <w:pPr>
        <w:spacing w:line="560" w:lineRule="exact"/>
        <w:rPr>
          <w:rFonts w:eastAsia="黑体"/>
          <w:sz w:val="32"/>
        </w:rPr>
      </w:pPr>
      <w:r>
        <w:rPr>
          <w:rFonts w:eastAsia="黑体"/>
          <w:sz w:val="32"/>
          <w:szCs w:val="32"/>
        </w:rPr>
        <w:t>附件</w:t>
      </w:r>
      <w:r>
        <w:rPr>
          <w:rFonts w:hint="eastAsia" w:eastAsia="黑体"/>
          <w:sz w:val="32"/>
          <w:szCs w:val="32"/>
        </w:rPr>
        <w:t>2</w:t>
      </w:r>
    </w:p>
    <w:p w14:paraId="63BF62EE">
      <w:pPr>
        <w:spacing w:line="56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rPr>
        <w:t>第三届粤创赛评分指标体系（专利组决赛）</w:t>
      </w:r>
    </w:p>
    <w:tbl>
      <w:tblPr>
        <w:tblStyle w:val="7"/>
        <w:tblW w:w="21421"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1"/>
        <w:gridCol w:w="1589"/>
        <w:gridCol w:w="992"/>
        <w:gridCol w:w="1018"/>
        <w:gridCol w:w="1275"/>
        <w:gridCol w:w="1561"/>
        <w:gridCol w:w="6314"/>
        <w:gridCol w:w="6181"/>
        <w:gridCol w:w="1440"/>
      </w:tblGrid>
      <w:tr w14:paraId="544A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0A3FC56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1589" w:type="dxa"/>
            <w:vMerge w:val="restart"/>
            <w:noWrap w:val="0"/>
            <w:vAlign w:val="center"/>
          </w:tcPr>
          <w:p w14:paraId="7F5D4BE2">
            <w:pPr>
              <w:keepNext w:val="0"/>
              <w:keepLines w:val="0"/>
              <w:pageBreakBefore w:val="0"/>
              <w:widowControl w:val="0"/>
              <w:tabs>
                <w:tab w:val="left" w:pos="1050"/>
              </w:tabs>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2010" w:type="dxa"/>
            <w:gridSpan w:val="2"/>
            <w:noWrap w:val="0"/>
            <w:vAlign w:val="center"/>
          </w:tcPr>
          <w:p w14:paraId="06DC28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分值</w:t>
            </w:r>
          </w:p>
        </w:tc>
        <w:tc>
          <w:tcPr>
            <w:tcW w:w="1275" w:type="dxa"/>
            <w:vMerge w:val="restart"/>
            <w:noWrap w:val="0"/>
            <w:vAlign w:val="center"/>
          </w:tcPr>
          <w:p w14:paraId="6B39B3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评分方法</w:t>
            </w:r>
          </w:p>
        </w:tc>
        <w:tc>
          <w:tcPr>
            <w:tcW w:w="1561" w:type="dxa"/>
            <w:vMerge w:val="restart"/>
            <w:noWrap w:val="0"/>
            <w:vAlign w:val="center"/>
          </w:tcPr>
          <w:p w14:paraId="3968B6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数据来源</w:t>
            </w:r>
          </w:p>
        </w:tc>
        <w:tc>
          <w:tcPr>
            <w:tcW w:w="6314" w:type="dxa"/>
            <w:vMerge w:val="restart"/>
            <w:noWrap w:val="0"/>
            <w:vAlign w:val="center"/>
          </w:tcPr>
          <w:p w14:paraId="0B4912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指标解释</w:t>
            </w:r>
          </w:p>
        </w:tc>
        <w:tc>
          <w:tcPr>
            <w:tcW w:w="6181" w:type="dxa"/>
            <w:vMerge w:val="restart"/>
            <w:noWrap w:val="0"/>
            <w:vAlign w:val="center"/>
          </w:tcPr>
          <w:p w14:paraId="6BAFAE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评价标准</w:t>
            </w:r>
          </w:p>
        </w:tc>
        <w:tc>
          <w:tcPr>
            <w:tcW w:w="1440" w:type="dxa"/>
            <w:vMerge w:val="restart"/>
            <w:noWrap w:val="0"/>
            <w:vAlign w:val="center"/>
          </w:tcPr>
          <w:p w14:paraId="50F7B3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备注</w:t>
            </w:r>
          </w:p>
        </w:tc>
      </w:tr>
      <w:tr w14:paraId="3941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46E190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89" w:type="dxa"/>
            <w:vMerge w:val="continue"/>
            <w:noWrap w:val="0"/>
            <w:vAlign w:val="center"/>
          </w:tcPr>
          <w:p w14:paraId="74DB76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992" w:type="dxa"/>
            <w:noWrap w:val="0"/>
            <w:vAlign w:val="center"/>
          </w:tcPr>
          <w:p w14:paraId="30778B7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初创组</w:t>
            </w:r>
          </w:p>
        </w:tc>
        <w:tc>
          <w:tcPr>
            <w:tcW w:w="1018" w:type="dxa"/>
            <w:noWrap w:val="0"/>
            <w:vAlign w:val="center"/>
          </w:tcPr>
          <w:p w14:paraId="08E880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成长组</w:t>
            </w:r>
          </w:p>
        </w:tc>
        <w:tc>
          <w:tcPr>
            <w:tcW w:w="1275" w:type="dxa"/>
            <w:vMerge w:val="continue"/>
            <w:noWrap w:val="0"/>
            <w:vAlign w:val="center"/>
          </w:tcPr>
          <w:p w14:paraId="360201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61" w:type="dxa"/>
            <w:vMerge w:val="continue"/>
            <w:noWrap w:val="0"/>
            <w:vAlign w:val="center"/>
          </w:tcPr>
          <w:p w14:paraId="744E272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c>
          <w:tcPr>
            <w:tcW w:w="6314" w:type="dxa"/>
            <w:vMerge w:val="continue"/>
            <w:noWrap w:val="0"/>
            <w:vAlign w:val="center"/>
          </w:tcPr>
          <w:p w14:paraId="094D5BCD">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c>
          <w:tcPr>
            <w:tcW w:w="6181" w:type="dxa"/>
            <w:vMerge w:val="continue"/>
            <w:noWrap w:val="0"/>
            <w:vAlign w:val="center"/>
          </w:tcPr>
          <w:p w14:paraId="6159557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c>
          <w:tcPr>
            <w:tcW w:w="1440" w:type="dxa"/>
            <w:vMerge w:val="continue"/>
            <w:noWrap w:val="0"/>
            <w:vAlign w:val="center"/>
          </w:tcPr>
          <w:p w14:paraId="2A8374D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r>
      <w:tr w14:paraId="5C2D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219BE0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团队能力</w:t>
            </w:r>
          </w:p>
        </w:tc>
        <w:tc>
          <w:tcPr>
            <w:tcW w:w="1589" w:type="dxa"/>
            <w:noWrap w:val="0"/>
            <w:vAlign w:val="center"/>
          </w:tcPr>
          <w:p w14:paraId="7033A9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研发能力</w:t>
            </w:r>
          </w:p>
        </w:tc>
        <w:tc>
          <w:tcPr>
            <w:tcW w:w="992" w:type="dxa"/>
            <w:noWrap w:val="0"/>
            <w:vAlign w:val="center"/>
          </w:tcPr>
          <w:p w14:paraId="7E6416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18" w:type="dxa"/>
            <w:noWrap w:val="0"/>
            <w:vAlign w:val="center"/>
          </w:tcPr>
          <w:p w14:paraId="580C7B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75" w:type="dxa"/>
            <w:noWrap w:val="0"/>
            <w:vAlign w:val="center"/>
          </w:tcPr>
          <w:p w14:paraId="777D91E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专家评审</w:t>
            </w:r>
          </w:p>
        </w:tc>
        <w:tc>
          <w:tcPr>
            <w:tcW w:w="1561" w:type="dxa"/>
            <w:noWrap w:val="0"/>
            <w:vAlign w:val="center"/>
          </w:tcPr>
          <w:p w14:paraId="14CD783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项目提交材料、路演介绍</w:t>
            </w:r>
          </w:p>
        </w:tc>
        <w:tc>
          <w:tcPr>
            <w:tcW w:w="6314" w:type="dxa"/>
            <w:noWrap w:val="0"/>
            <w:vAlign w:val="center"/>
          </w:tcPr>
          <w:p w14:paraId="18F5CE7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参赛团队围绕发明专利的全流程技术攻坚与创新实践能力，包括技术研发深度（核心技术突破程度、方案原创性、技术难点攻克能力）、研发过程规范性（流程科学性、数据可靠性、知识产权管理合规性）</w:t>
            </w:r>
          </w:p>
        </w:tc>
        <w:tc>
          <w:tcPr>
            <w:tcW w:w="6181" w:type="dxa"/>
            <w:noWrap w:val="0"/>
            <w:vAlign w:val="center"/>
          </w:tcPr>
          <w:p w14:paraId="5C31643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发明专利技术方案的重大突破情况，包括是否显著超越现有技术水平，技术的中试或产业化验证情况，性能稳定性及应用价值情况</w:t>
            </w:r>
          </w:p>
        </w:tc>
        <w:tc>
          <w:tcPr>
            <w:tcW w:w="1440" w:type="dxa"/>
            <w:noWrap w:val="0"/>
            <w:vAlign w:val="center"/>
          </w:tcPr>
          <w:p w14:paraId="7B7967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57D8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214C8D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89" w:type="dxa"/>
            <w:noWrap w:val="0"/>
            <w:vAlign w:val="center"/>
          </w:tcPr>
          <w:p w14:paraId="485AFAE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管理能力</w:t>
            </w:r>
          </w:p>
        </w:tc>
        <w:tc>
          <w:tcPr>
            <w:tcW w:w="992" w:type="dxa"/>
            <w:noWrap w:val="0"/>
            <w:vAlign w:val="center"/>
          </w:tcPr>
          <w:p w14:paraId="7608611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18" w:type="dxa"/>
            <w:noWrap w:val="0"/>
            <w:vAlign w:val="center"/>
          </w:tcPr>
          <w:p w14:paraId="03C2DE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75" w:type="dxa"/>
            <w:noWrap w:val="0"/>
            <w:vAlign w:val="center"/>
          </w:tcPr>
          <w:p w14:paraId="5FA102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专家评审</w:t>
            </w:r>
          </w:p>
        </w:tc>
        <w:tc>
          <w:tcPr>
            <w:tcW w:w="1561" w:type="dxa"/>
            <w:noWrap w:val="0"/>
            <w:vAlign w:val="center"/>
          </w:tcPr>
          <w:p w14:paraId="08257EF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项目提交材料、路演介绍</w:t>
            </w:r>
          </w:p>
        </w:tc>
        <w:tc>
          <w:tcPr>
            <w:tcW w:w="6314" w:type="dxa"/>
            <w:noWrap w:val="0"/>
            <w:vAlign w:val="center"/>
          </w:tcPr>
          <w:p w14:paraId="0F943F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主要反映团队对发明专利从研发到转化全周期的资源整合、组织协调与风险管控能力，包括专利布局规划、维护策略、侵权风险防范、研发进度把控及资源分配合理性</w:t>
            </w:r>
          </w:p>
        </w:tc>
        <w:tc>
          <w:tcPr>
            <w:tcW w:w="6181" w:type="dxa"/>
            <w:noWrap w:val="0"/>
            <w:vAlign w:val="center"/>
          </w:tcPr>
          <w:p w14:paraId="7D2058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专利布局情况，专利全生命周期资源调配协同情况及规避侵权风险能力情况，研发过程的权属纠纷情况</w:t>
            </w:r>
          </w:p>
        </w:tc>
        <w:tc>
          <w:tcPr>
            <w:tcW w:w="1440" w:type="dxa"/>
            <w:noWrap w:val="0"/>
            <w:vAlign w:val="center"/>
          </w:tcPr>
          <w:p w14:paraId="10E1BD0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38D5F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566BE7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89" w:type="dxa"/>
            <w:noWrap w:val="0"/>
            <w:vAlign w:val="center"/>
          </w:tcPr>
          <w:p w14:paraId="09270D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人力资源</w:t>
            </w:r>
          </w:p>
        </w:tc>
        <w:tc>
          <w:tcPr>
            <w:tcW w:w="992" w:type="dxa"/>
            <w:noWrap w:val="0"/>
            <w:vAlign w:val="center"/>
          </w:tcPr>
          <w:p w14:paraId="407F3C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18" w:type="dxa"/>
            <w:noWrap w:val="0"/>
            <w:vAlign w:val="center"/>
          </w:tcPr>
          <w:p w14:paraId="2DCF66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75" w:type="dxa"/>
            <w:noWrap w:val="0"/>
            <w:vAlign w:val="center"/>
          </w:tcPr>
          <w:p w14:paraId="424827E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专家评审</w:t>
            </w:r>
          </w:p>
        </w:tc>
        <w:tc>
          <w:tcPr>
            <w:tcW w:w="1561" w:type="dxa"/>
            <w:noWrap w:val="0"/>
            <w:vAlign w:val="center"/>
          </w:tcPr>
          <w:p w14:paraId="4067A7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项目提交材料</w:t>
            </w:r>
            <w:r>
              <w:rPr>
                <w:rFonts w:hint="eastAsia" w:ascii="宋体" w:hAnsi="宋体" w:eastAsia="宋体" w:cs="宋体"/>
                <w:sz w:val="21"/>
                <w:szCs w:val="21"/>
                <w:lang w:eastAsia="zh-CN"/>
              </w:rPr>
              <w:t>、</w:t>
            </w:r>
            <w:r>
              <w:rPr>
                <w:rFonts w:hint="eastAsia" w:ascii="宋体" w:hAnsi="宋体" w:eastAsia="宋体" w:cs="宋体"/>
                <w:sz w:val="21"/>
                <w:szCs w:val="21"/>
              </w:rPr>
              <w:t>路演介绍</w:t>
            </w:r>
          </w:p>
        </w:tc>
        <w:tc>
          <w:tcPr>
            <w:tcW w:w="6314" w:type="dxa"/>
            <w:noWrap w:val="0"/>
            <w:vAlign w:val="center"/>
          </w:tcPr>
          <w:p w14:paraId="53C88EC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 xml:space="preserve">主要反映团队人才结构合理性、专业能力适配性及协同效率，包括成员在技术研发、知识产权管理、市场运营等领域的专业覆盖与知识互补性，负责人及关键岗位人员的行业经验与学术影响力 </w:t>
            </w:r>
          </w:p>
        </w:tc>
        <w:tc>
          <w:tcPr>
            <w:tcW w:w="6181" w:type="dxa"/>
            <w:noWrap w:val="0"/>
            <w:vAlign w:val="center"/>
          </w:tcPr>
          <w:p w14:paraId="0192B11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团队负责人主导重大技术攻关或专利转化经验情况；成员涉及的专业领域、协作情况，成员技能与项目需求的契合度</w:t>
            </w:r>
          </w:p>
        </w:tc>
        <w:tc>
          <w:tcPr>
            <w:tcW w:w="1440" w:type="dxa"/>
            <w:noWrap w:val="0"/>
            <w:vAlign w:val="center"/>
          </w:tcPr>
          <w:p w14:paraId="7DB1B39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1713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5C86440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转化运用</w:t>
            </w:r>
          </w:p>
        </w:tc>
        <w:tc>
          <w:tcPr>
            <w:tcW w:w="1589" w:type="dxa"/>
            <w:noWrap w:val="0"/>
            <w:vAlign w:val="center"/>
          </w:tcPr>
          <w:p w14:paraId="7D1F45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转化落地情况</w:t>
            </w:r>
          </w:p>
        </w:tc>
        <w:tc>
          <w:tcPr>
            <w:tcW w:w="992" w:type="dxa"/>
            <w:noWrap w:val="0"/>
            <w:vAlign w:val="center"/>
          </w:tcPr>
          <w:p w14:paraId="4F21E2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015DF1C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75" w:type="dxa"/>
            <w:noWrap w:val="0"/>
            <w:vAlign w:val="center"/>
          </w:tcPr>
          <w:p w14:paraId="600BB7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291BBF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623732F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主要反映项目是否已达成转移转化落地目标（如许可转让、作价入股等），或与相关单位落实转化意向，评估转化科学合理性及实际成果与预期效益</w:t>
            </w:r>
          </w:p>
        </w:tc>
        <w:tc>
          <w:tcPr>
            <w:tcW w:w="6181" w:type="dxa"/>
            <w:noWrap w:val="0"/>
            <w:vAlign w:val="center"/>
          </w:tcPr>
          <w:p w14:paraId="12A38BB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落地转移转化方案和意向情况，包括成立公司、完成专利转让、许可、人才团队落地或达成作价入股等</w:t>
            </w:r>
          </w:p>
        </w:tc>
        <w:tc>
          <w:tcPr>
            <w:tcW w:w="1440" w:type="dxa"/>
            <w:noWrap w:val="0"/>
            <w:vAlign w:val="center"/>
          </w:tcPr>
          <w:p w14:paraId="2961370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18C3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shd w:val="clear" w:color="auto" w:fill="auto"/>
            <w:noWrap w:val="0"/>
            <w:vAlign w:val="center"/>
          </w:tcPr>
          <w:p w14:paraId="2493F8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shd w:val="clear" w:color="auto" w:fill="auto"/>
            <w:noWrap w:val="0"/>
            <w:vAlign w:val="center"/>
          </w:tcPr>
          <w:p w14:paraId="0C5AC7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项目融资情况</w:t>
            </w:r>
          </w:p>
        </w:tc>
        <w:tc>
          <w:tcPr>
            <w:tcW w:w="992" w:type="dxa"/>
            <w:shd w:val="clear" w:color="auto" w:fill="auto"/>
            <w:noWrap w:val="0"/>
            <w:vAlign w:val="center"/>
          </w:tcPr>
          <w:p w14:paraId="6722C9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18" w:type="dxa"/>
            <w:shd w:val="clear" w:color="auto" w:fill="auto"/>
            <w:noWrap w:val="0"/>
            <w:vAlign w:val="center"/>
          </w:tcPr>
          <w:p w14:paraId="2536D4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shd w:val="clear" w:color="auto" w:fill="auto"/>
            <w:noWrap w:val="0"/>
            <w:vAlign w:val="center"/>
          </w:tcPr>
          <w:p w14:paraId="3F563B6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shd w:val="clear" w:color="auto" w:fill="auto"/>
            <w:noWrap w:val="0"/>
            <w:vAlign w:val="center"/>
          </w:tcPr>
          <w:p w14:paraId="12A0A9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shd w:val="clear" w:color="auto" w:fill="auto"/>
            <w:noWrap w:val="0"/>
            <w:vAlign w:val="center"/>
          </w:tcPr>
          <w:p w14:paraId="0EA5298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主要反映项目是否获得转移转化融资或融资意向，评估融资方案清晰度、资金使用合理性及产融结合可行性</w:t>
            </w:r>
          </w:p>
        </w:tc>
        <w:tc>
          <w:tcPr>
            <w:tcW w:w="6181" w:type="dxa"/>
            <w:shd w:val="clear" w:color="auto" w:fill="FFFFFF"/>
            <w:noWrap w:val="0"/>
            <w:vAlign w:val="center"/>
          </w:tcPr>
          <w:p w14:paraId="6FF497A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项目转移转化落地融资情况，方案齐全度，包括融资方案、募集资金使用流向、产融结合可行性等</w:t>
            </w:r>
          </w:p>
        </w:tc>
        <w:tc>
          <w:tcPr>
            <w:tcW w:w="1440" w:type="dxa"/>
            <w:shd w:val="clear" w:color="auto" w:fill="FFFFFF"/>
            <w:noWrap w:val="0"/>
            <w:vAlign w:val="center"/>
          </w:tcPr>
          <w:p w14:paraId="3F00BD7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10C8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4BE1B4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1C6BAD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项目运营情况</w:t>
            </w:r>
          </w:p>
        </w:tc>
        <w:tc>
          <w:tcPr>
            <w:tcW w:w="992" w:type="dxa"/>
            <w:noWrap w:val="0"/>
            <w:vAlign w:val="center"/>
          </w:tcPr>
          <w:p w14:paraId="24C715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3309CB2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3C625D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563EAE3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13876A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主要反映专利技术的规模化生产与商业化应用程度，包括生产工艺、供应链体系、质量管控及资金分配效率</w:t>
            </w:r>
          </w:p>
        </w:tc>
        <w:tc>
          <w:tcPr>
            <w:tcW w:w="6181" w:type="dxa"/>
            <w:noWrap w:val="0"/>
            <w:vAlign w:val="center"/>
          </w:tcPr>
          <w:p w14:paraId="6B3A18D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专利技术的规模化生产或多场景商业化应用情况；生产工艺、供应链体系及质量管控情况；研发、生产、运营等环节资金分配的科学性，投入产出比情况</w:t>
            </w:r>
          </w:p>
        </w:tc>
        <w:tc>
          <w:tcPr>
            <w:tcW w:w="1440" w:type="dxa"/>
            <w:noWrap w:val="0"/>
            <w:vAlign w:val="center"/>
          </w:tcPr>
          <w:p w14:paraId="2241958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8B1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4B8D36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6AFD46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产业链上下游布局情况</w:t>
            </w:r>
          </w:p>
        </w:tc>
        <w:tc>
          <w:tcPr>
            <w:tcW w:w="992" w:type="dxa"/>
            <w:noWrap w:val="0"/>
            <w:vAlign w:val="center"/>
          </w:tcPr>
          <w:p w14:paraId="0892184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1FD815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2FFB31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098EBD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7B18913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主要反映项目整合产业链上下游资源的能力，评估转移转化资源整合的可行性与方案详细程度</w:t>
            </w:r>
          </w:p>
        </w:tc>
        <w:tc>
          <w:tcPr>
            <w:tcW w:w="6181" w:type="dxa"/>
            <w:noWrap w:val="0"/>
            <w:vAlign w:val="center"/>
          </w:tcPr>
          <w:p w14:paraId="23BCF00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产业链上下游资源的情况，转移转化资源整合能力情况，方案可行度</w:t>
            </w:r>
          </w:p>
        </w:tc>
        <w:tc>
          <w:tcPr>
            <w:tcW w:w="1440" w:type="dxa"/>
            <w:noWrap w:val="0"/>
            <w:vAlign w:val="center"/>
          </w:tcPr>
          <w:p w14:paraId="16E53DD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4AC8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1FD781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产业化</w:t>
            </w:r>
          </w:p>
        </w:tc>
        <w:tc>
          <w:tcPr>
            <w:tcW w:w="1589" w:type="dxa"/>
            <w:noWrap w:val="0"/>
            <w:vAlign w:val="center"/>
          </w:tcPr>
          <w:p w14:paraId="2C2772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技术优势</w:t>
            </w:r>
          </w:p>
          <w:p w14:paraId="0399CE9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（设计优势）</w:t>
            </w:r>
          </w:p>
        </w:tc>
        <w:tc>
          <w:tcPr>
            <w:tcW w:w="992" w:type="dxa"/>
            <w:noWrap w:val="0"/>
            <w:vAlign w:val="center"/>
          </w:tcPr>
          <w:p w14:paraId="4F03CF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18" w:type="dxa"/>
            <w:noWrap w:val="0"/>
            <w:vAlign w:val="center"/>
          </w:tcPr>
          <w:p w14:paraId="2F31D3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0D68A7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69FE74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0016EA6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主要反映项目技术发展趋势、核心专利及组合的产业竞争优势（含标准必要专利）、技术壁垒构成，若核心专利为中国港澳台地区专利或国外专利，需评估适配性改进</w:t>
            </w:r>
          </w:p>
        </w:tc>
        <w:tc>
          <w:tcPr>
            <w:tcW w:w="6181" w:type="dxa"/>
            <w:noWrap w:val="0"/>
            <w:vAlign w:val="center"/>
          </w:tcPr>
          <w:p w14:paraId="3813FBB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1.发明专利和实用新型专利：项目技术发展趋势情况；核心专利及专利组合包含标准必要专利情况，构建技术壁垒情况；核心专利为港澳台或国外专利的，考察国内适配情况；</w:t>
            </w:r>
          </w:p>
          <w:p w14:paraId="1D4F388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2.外观专利：专利产品创新设计思路、设计手段情况；产品独特性情况，构筑设计壁垒及生产应用情况，具备的潜力价值情况</w:t>
            </w:r>
          </w:p>
        </w:tc>
        <w:tc>
          <w:tcPr>
            <w:tcW w:w="1440" w:type="dxa"/>
            <w:noWrap w:val="0"/>
            <w:vAlign w:val="center"/>
          </w:tcPr>
          <w:p w14:paraId="5CC2A0B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2531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C30B80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106F11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投入情况</w:t>
            </w:r>
          </w:p>
        </w:tc>
        <w:tc>
          <w:tcPr>
            <w:tcW w:w="992" w:type="dxa"/>
            <w:noWrap w:val="0"/>
            <w:vAlign w:val="center"/>
          </w:tcPr>
          <w:p w14:paraId="3F0562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18" w:type="dxa"/>
            <w:noWrap w:val="0"/>
            <w:vAlign w:val="center"/>
          </w:tcPr>
          <w:p w14:paraId="148B41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503432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2E938B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1E3B1F5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主要反映项目落地转化所需的场地建设、设备购置等经费需求的合理性与可行性</w:t>
            </w:r>
          </w:p>
        </w:tc>
        <w:tc>
          <w:tcPr>
            <w:tcW w:w="6181" w:type="dxa"/>
            <w:noWrap w:val="0"/>
            <w:vAlign w:val="center"/>
          </w:tcPr>
          <w:p w14:paraId="1EB2CD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项目的场地建设及设备购置计划，经费使用需求的合理性等</w:t>
            </w:r>
          </w:p>
        </w:tc>
        <w:tc>
          <w:tcPr>
            <w:tcW w:w="1440" w:type="dxa"/>
            <w:noWrap w:val="0"/>
            <w:vAlign w:val="center"/>
          </w:tcPr>
          <w:p w14:paraId="7D55BF4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165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5B3C1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3F3749F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转化难度</w:t>
            </w:r>
          </w:p>
        </w:tc>
        <w:tc>
          <w:tcPr>
            <w:tcW w:w="992" w:type="dxa"/>
            <w:noWrap w:val="0"/>
            <w:vAlign w:val="center"/>
          </w:tcPr>
          <w:p w14:paraId="12B698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018" w:type="dxa"/>
            <w:noWrap w:val="0"/>
            <w:vAlign w:val="center"/>
          </w:tcPr>
          <w:p w14:paraId="039B7F1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275" w:type="dxa"/>
            <w:noWrap w:val="0"/>
            <w:vAlign w:val="center"/>
          </w:tcPr>
          <w:p w14:paraId="522F2EE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65D7B3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46505A1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主要反映项目产业化对生产人员（学历、经验、专业能力）及设备（易得性、核心设备类型）的要求，评估转移转化的难易程度</w:t>
            </w:r>
          </w:p>
        </w:tc>
        <w:tc>
          <w:tcPr>
            <w:tcW w:w="6181" w:type="dxa"/>
            <w:noWrap w:val="0"/>
            <w:vAlign w:val="center"/>
          </w:tcPr>
          <w:p w14:paraId="6CAEF63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项目产业化对相关人员的需求情况；所需设备及核心设备的易得性，核心设备的外部协作情况；专利转移转化难度及转化方案的可行性情况</w:t>
            </w:r>
          </w:p>
        </w:tc>
        <w:tc>
          <w:tcPr>
            <w:tcW w:w="1440" w:type="dxa"/>
            <w:noWrap w:val="0"/>
            <w:vAlign w:val="center"/>
          </w:tcPr>
          <w:p w14:paraId="0854F1C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7F71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13CF9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570539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bidi="ar"/>
              </w:rPr>
              <w:t>产业化程度</w:t>
            </w:r>
          </w:p>
        </w:tc>
        <w:tc>
          <w:tcPr>
            <w:tcW w:w="992" w:type="dxa"/>
            <w:noWrap w:val="0"/>
            <w:vAlign w:val="center"/>
          </w:tcPr>
          <w:p w14:paraId="326874A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5</w:t>
            </w:r>
          </w:p>
        </w:tc>
        <w:tc>
          <w:tcPr>
            <w:tcW w:w="1018" w:type="dxa"/>
            <w:noWrap w:val="0"/>
            <w:vAlign w:val="center"/>
          </w:tcPr>
          <w:p w14:paraId="33AB237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10</w:t>
            </w:r>
          </w:p>
        </w:tc>
        <w:tc>
          <w:tcPr>
            <w:tcW w:w="1275" w:type="dxa"/>
            <w:noWrap w:val="0"/>
            <w:vAlign w:val="center"/>
          </w:tcPr>
          <w:p w14:paraId="333929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专家评审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客观数据</w:t>
            </w:r>
          </w:p>
        </w:tc>
        <w:tc>
          <w:tcPr>
            <w:tcW w:w="1561" w:type="dxa"/>
            <w:noWrap w:val="0"/>
            <w:vAlign w:val="center"/>
          </w:tcPr>
          <w:p w14:paraId="7954E5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项目提交材料</w:t>
            </w:r>
          </w:p>
        </w:tc>
        <w:tc>
          <w:tcPr>
            <w:tcW w:w="6314" w:type="dxa"/>
            <w:noWrap w:val="0"/>
            <w:vAlign w:val="center"/>
          </w:tcPr>
          <w:p w14:paraId="0FCBA65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kern w:val="2"/>
                <w:sz w:val="21"/>
                <w:szCs w:val="21"/>
                <w:highlight w:val="none"/>
                <w:vertAlign w:val="baseline"/>
                <w:lang w:val="en-US" w:eastAsia="zh-CN" w:bidi="ar-SA"/>
              </w:rPr>
            </w:pPr>
            <w:r>
              <w:rPr>
                <w:rFonts w:hint="eastAsia" w:ascii="宋体" w:hAnsi="宋体" w:eastAsia="宋体" w:cs="宋体"/>
                <w:bCs w:val="0"/>
                <w:color w:val="000000"/>
                <w:sz w:val="21"/>
                <w:szCs w:val="21"/>
                <w:highlight w:val="none"/>
                <w:vertAlign w:val="baseline"/>
                <w:lang w:val="en-US" w:eastAsia="zh-CN"/>
              </w:rPr>
              <w:t>主要反映参赛项目或项目核心专利</w:t>
            </w:r>
            <w:r>
              <w:rPr>
                <w:rFonts w:hint="eastAsia" w:ascii="宋体" w:hAnsi="宋体" w:eastAsia="宋体" w:cs="宋体"/>
                <w:sz w:val="21"/>
                <w:szCs w:val="21"/>
                <w:lang w:val="en-US" w:eastAsia="zh-CN"/>
              </w:rPr>
              <w:t>用于生产出专利产品并投放市场的情况，具体包括自行产业化、已许可专利由被许可方实现产业化、已转让专利由受让方实现产业化、由共有专利权人实现产业化等情况</w:t>
            </w:r>
          </w:p>
        </w:tc>
        <w:tc>
          <w:tcPr>
            <w:tcW w:w="6181" w:type="dxa"/>
            <w:noWrap w:val="0"/>
            <w:vAlign w:val="center"/>
          </w:tcPr>
          <w:p w14:paraId="6FEC372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kern w:val="2"/>
                <w:sz w:val="21"/>
                <w:szCs w:val="21"/>
                <w:highlight w:val="none"/>
                <w:vertAlign w:val="baseline"/>
                <w:lang w:val="en-US" w:eastAsia="zh-CN" w:bidi="ar-SA"/>
              </w:rPr>
            </w:pPr>
            <w:r>
              <w:rPr>
                <w:rFonts w:hint="eastAsia" w:ascii="宋体" w:hAnsi="宋体" w:eastAsia="宋体" w:cs="宋体"/>
                <w:bCs w:val="0"/>
                <w:color w:val="000000"/>
                <w:sz w:val="21"/>
                <w:szCs w:val="21"/>
                <w:highlight w:val="none"/>
                <w:vertAlign w:val="baseline"/>
                <w:lang w:val="en-US" w:eastAsia="zh-CN"/>
              </w:rPr>
              <w:t>参赛项目项目核心专利是否关联实际产品（或项目核心专利与实际产品的关联度），是否已转化为具体产品或服务，并具备实际产值，占比企业销售份额等具体经营指标；客观评估项目对经营成果的实际贡献和市场价值</w:t>
            </w:r>
          </w:p>
        </w:tc>
        <w:tc>
          <w:tcPr>
            <w:tcW w:w="1440" w:type="dxa"/>
            <w:noWrap w:val="0"/>
            <w:vAlign w:val="center"/>
          </w:tcPr>
          <w:p w14:paraId="1F91A74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E5B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shd w:val="clear" w:color="auto" w:fill="auto"/>
            <w:noWrap w:val="0"/>
            <w:vAlign w:val="center"/>
          </w:tcPr>
          <w:p w14:paraId="6A9C29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shd w:val="clear" w:color="auto" w:fill="FFFFFF"/>
            <w:noWrap w:val="0"/>
            <w:vAlign w:val="center"/>
          </w:tcPr>
          <w:p w14:paraId="3CF5F6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市场竞争力</w:t>
            </w:r>
          </w:p>
        </w:tc>
        <w:tc>
          <w:tcPr>
            <w:tcW w:w="992" w:type="dxa"/>
            <w:noWrap w:val="0"/>
            <w:vAlign w:val="center"/>
          </w:tcPr>
          <w:p w14:paraId="31C1CE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018" w:type="dxa"/>
            <w:noWrap w:val="0"/>
            <w:vAlign w:val="center"/>
          </w:tcPr>
          <w:p w14:paraId="4DCA0A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275" w:type="dxa"/>
            <w:noWrap w:val="0"/>
            <w:vAlign w:val="center"/>
          </w:tcPr>
          <w:p w14:paraId="6516080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3934B0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09AEAD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主要反映项目商业模式、市场运作方案、盈利模式及竞争对手态势分析，评估项目竞争优势</w:t>
            </w:r>
          </w:p>
        </w:tc>
        <w:tc>
          <w:tcPr>
            <w:tcW w:w="6181" w:type="dxa"/>
            <w:noWrap w:val="0"/>
            <w:vAlign w:val="center"/>
          </w:tcPr>
          <w:p w14:paraId="1C273AD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项目商业模式、市场运作及盈利模式情况，对于竞争对手态势的把控情况及项目优势分析等</w:t>
            </w:r>
          </w:p>
        </w:tc>
        <w:tc>
          <w:tcPr>
            <w:tcW w:w="1440" w:type="dxa"/>
            <w:noWrap w:val="0"/>
            <w:vAlign w:val="center"/>
          </w:tcPr>
          <w:p w14:paraId="4A92411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0254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shd w:val="clear" w:color="auto" w:fill="auto"/>
            <w:noWrap w:val="0"/>
            <w:vAlign w:val="center"/>
          </w:tcPr>
          <w:p w14:paraId="6209A2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shd w:val="clear" w:color="auto" w:fill="FFFFFF"/>
            <w:noWrap w:val="0"/>
            <w:vAlign w:val="center"/>
          </w:tcPr>
          <w:p w14:paraId="644A422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产业前景</w:t>
            </w:r>
          </w:p>
        </w:tc>
        <w:tc>
          <w:tcPr>
            <w:tcW w:w="992" w:type="dxa"/>
            <w:noWrap w:val="0"/>
            <w:vAlign w:val="center"/>
          </w:tcPr>
          <w:p w14:paraId="4A4B6C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0AF34D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531DCEF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79CF0D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2FD06BD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主要反映产业所处阶段（初创、成长、成熟、衰退）、项目与行业市场发展的契合度及解决行业痛点的能力，评估市场前景</w:t>
            </w:r>
          </w:p>
        </w:tc>
        <w:tc>
          <w:tcPr>
            <w:tcW w:w="6181" w:type="dxa"/>
            <w:noWrap w:val="0"/>
            <w:vAlign w:val="center"/>
          </w:tcPr>
          <w:p w14:paraId="4228070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项目产业所处的生长周期情况，项目的市场发展境况，能否解决行业痛点，产业发展前景</w:t>
            </w:r>
          </w:p>
        </w:tc>
        <w:tc>
          <w:tcPr>
            <w:tcW w:w="1440" w:type="dxa"/>
            <w:noWrap w:val="0"/>
            <w:vAlign w:val="center"/>
          </w:tcPr>
          <w:p w14:paraId="1001C73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171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78BDA02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1577D1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可持续发展</w:t>
            </w:r>
          </w:p>
        </w:tc>
        <w:tc>
          <w:tcPr>
            <w:tcW w:w="992" w:type="dxa"/>
            <w:noWrap w:val="0"/>
            <w:vAlign w:val="center"/>
          </w:tcPr>
          <w:p w14:paraId="5CB055B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018" w:type="dxa"/>
            <w:noWrap w:val="0"/>
            <w:vAlign w:val="center"/>
          </w:tcPr>
          <w:p w14:paraId="18C925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40BDD6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5FB622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081FCE6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主要从产业生命周期、技术先进性、市场规模、商业模式、竞争对手态势等方面，评估转移转化后的可持续发展能力及落地预期</w:t>
            </w:r>
          </w:p>
        </w:tc>
        <w:tc>
          <w:tcPr>
            <w:tcW w:w="6181" w:type="dxa"/>
            <w:noWrap w:val="0"/>
            <w:vAlign w:val="center"/>
          </w:tcPr>
          <w:p w14:paraId="418D72E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项目技术与产业发展潜力如何你赶快，具备的技术迭代路线图与研发计划，及盈利稳定性</w:t>
            </w:r>
          </w:p>
        </w:tc>
        <w:tc>
          <w:tcPr>
            <w:tcW w:w="1440" w:type="dxa"/>
            <w:noWrap w:val="0"/>
            <w:vAlign w:val="center"/>
          </w:tcPr>
          <w:p w14:paraId="67E6789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7723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5569354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转化效益</w:t>
            </w:r>
          </w:p>
        </w:tc>
        <w:tc>
          <w:tcPr>
            <w:tcW w:w="1589" w:type="dxa"/>
            <w:noWrap w:val="0"/>
            <w:vAlign w:val="center"/>
          </w:tcPr>
          <w:p w14:paraId="3DD6DC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经济效益</w:t>
            </w:r>
          </w:p>
        </w:tc>
        <w:tc>
          <w:tcPr>
            <w:tcW w:w="992" w:type="dxa"/>
            <w:noWrap w:val="0"/>
            <w:vAlign w:val="center"/>
          </w:tcPr>
          <w:p w14:paraId="6811E9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31CA8F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75" w:type="dxa"/>
            <w:noWrap w:val="0"/>
            <w:vAlign w:val="center"/>
          </w:tcPr>
          <w:p w14:paraId="7567F6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5E33EB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176036C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主要反映项目为转化目标主体带来的直接经济效益（营收、利润、资产增长）及间接经济效益（效率提升、成本降低等）</w:t>
            </w:r>
          </w:p>
        </w:tc>
        <w:tc>
          <w:tcPr>
            <w:tcW w:w="6181" w:type="dxa"/>
            <w:noWrap w:val="0"/>
            <w:vAlign w:val="center"/>
          </w:tcPr>
          <w:p w14:paraId="3735EE8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项目实施带来的直接或间接经济效益情况；参赛专利对产品竞争力的提升情况</w:t>
            </w:r>
          </w:p>
        </w:tc>
        <w:tc>
          <w:tcPr>
            <w:tcW w:w="1440" w:type="dxa"/>
            <w:noWrap w:val="0"/>
            <w:vAlign w:val="center"/>
          </w:tcPr>
          <w:p w14:paraId="59DE1A1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r>
      <w:tr w14:paraId="7EC6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F4846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63564E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社会效益</w:t>
            </w:r>
          </w:p>
        </w:tc>
        <w:tc>
          <w:tcPr>
            <w:tcW w:w="992" w:type="dxa"/>
            <w:noWrap w:val="0"/>
            <w:vAlign w:val="center"/>
          </w:tcPr>
          <w:p w14:paraId="55A4E0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17152E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75" w:type="dxa"/>
            <w:noWrap w:val="0"/>
            <w:vAlign w:val="center"/>
          </w:tcPr>
          <w:p w14:paraId="5C20FC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211115F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7027B77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主要反映项目对技术进步、产业升级、科学管理、教育水平的促进作用及提供就业岗位的数量与质量</w:t>
            </w:r>
          </w:p>
        </w:tc>
        <w:tc>
          <w:tcPr>
            <w:tcW w:w="6181" w:type="dxa"/>
            <w:noWrap w:val="0"/>
            <w:vAlign w:val="center"/>
          </w:tcPr>
          <w:p w14:paraId="5C1C008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项目对技术进步与产业发展的促进情况；提供就业岗位及社会效益情况</w:t>
            </w:r>
          </w:p>
        </w:tc>
        <w:tc>
          <w:tcPr>
            <w:tcW w:w="1440" w:type="dxa"/>
            <w:noWrap w:val="0"/>
            <w:vAlign w:val="center"/>
          </w:tcPr>
          <w:p w14:paraId="4FD71EE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70E8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494DE1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附加分</w:t>
            </w:r>
          </w:p>
        </w:tc>
        <w:tc>
          <w:tcPr>
            <w:tcW w:w="1589" w:type="dxa"/>
            <w:noWrap w:val="0"/>
            <w:vAlign w:val="center"/>
          </w:tcPr>
          <w:p w14:paraId="0E340F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获奖情况</w:t>
            </w:r>
          </w:p>
        </w:tc>
        <w:tc>
          <w:tcPr>
            <w:tcW w:w="992" w:type="dxa"/>
            <w:noWrap w:val="0"/>
            <w:vAlign w:val="center"/>
          </w:tcPr>
          <w:p w14:paraId="42417C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18" w:type="dxa"/>
            <w:noWrap w:val="0"/>
            <w:vAlign w:val="center"/>
          </w:tcPr>
          <w:p w14:paraId="4E6874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75" w:type="dxa"/>
            <w:noWrap w:val="0"/>
            <w:vAlign w:val="center"/>
          </w:tcPr>
          <w:p w14:paraId="047BAD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66FE16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2C7DB07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主要反映参赛团队及项目已获得的权威性奖项、认证或荣誉，评估技术创新价值、市场认可度及行业影响力</w:t>
            </w:r>
          </w:p>
        </w:tc>
        <w:tc>
          <w:tcPr>
            <w:tcW w:w="6181" w:type="dxa"/>
            <w:noWrap w:val="0"/>
            <w:vAlign w:val="center"/>
          </w:tcPr>
          <w:p w14:paraId="3AEA86D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项目专利技术获奖情况：具备的国际知识产权奖项、国家级奖项、省部级或区域级奖项、市县级奖励情况，及项目技术的关联性情况</w:t>
            </w:r>
          </w:p>
        </w:tc>
        <w:tc>
          <w:tcPr>
            <w:tcW w:w="1440" w:type="dxa"/>
            <w:noWrap w:val="0"/>
            <w:vAlign w:val="center"/>
          </w:tcPr>
          <w:p w14:paraId="4ECE47C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4983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271D9F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486DA35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专利密集型产品认定情况</w:t>
            </w:r>
          </w:p>
        </w:tc>
        <w:tc>
          <w:tcPr>
            <w:tcW w:w="992" w:type="dxa"/>
            <w:noWrap w:val="0"/>
            <w:vAlign w:val="center"/>
          </w:tcPr>
          <w:p w14:paraId="113E1E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18" w:type="dxa"/>
            <w:noWrap w:val="0"/>
            <w:vAlign w:val="center"/>
          </w:tcPr>
          <w:p w14:paraId="1DEAED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75" w:type="dxa"/>
            <w:noWrap w:val="0"/>
            <w:vAlign w:val="center"/>
          </w:tcPr>
          <w:p w14:paraId="4453275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1F85A46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2218792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主要反映项目中产品或服务的专利技术集成度与知识产权价值密度</w:t>
            </w:r>
          </w:p>
        </w:tc>
        <w:tc>
          <w:tcPr>
            <w:tcW w:w="6181" w:type="dxa"/>
            <w:noWrap w:val="0"/>
            <w:vAlign w:val="center"/>
          </w:tcPr>
          <w:p w14:paraId="06A5FE3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专利产品是否被国家知识产权局认定为专利密集型产品</w:t>
            </w:r>
          </w:p>
        </w:tc>
        <w:tc>
          <w:tcPr>
            <w:tcW w:w="1440" w:type="dxa"/>
            <w:noWrap w:val="0"/>
            <w:vAlign w:val="center"/>
          </w:tcPr>
          <w:p w14:paraId="596C3F8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67F9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52AB38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5907A8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网络投票</w:t>
            </w:r>
          </w:p>
        </w:tc>
        <w:tc>
          <w:tcPr>
            <w:tcW w:w="992" w:type="dxa"/>
            <w:noWrap w:val="0"/>
            <w:vAlign w:val="center"/>
          </w:tcPr>
          <w:p w14:paraId="22E383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5F160A0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22D9B2B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0B7299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网络投票</w:t>
            </w:r>
          </w:p>
        </w:tc>
        <w:tc>
          <w:tcPr>
            <w:tcW w:w="6314" w:type="dxa"/>
            <w:noWrap w:val="0"/>
            <w:vAlign w:val="center"/>
          </w:tcPr>
          <w:p w14:paraId="3A37964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初赛完成后根据赛程安排将组织网络投票，根据投票情况进行分数核算</w:t>
            </w:r>
          </w:p>
        </w:tc>
        <w:tc>
          <w:tcPr>
            <w:tcW w:w="6181" w:type="dxa"/>
            <w:noWrap w:val="0"/>
            <w:vAlign w:val="center"/>
          </w:tcPr>
          <w:p w14:paraId="70A90C9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0—500票（网络投票得分为总得票数除以100，得分保留小数点后两位）</w:t>
            </w:r>
          </w:p>
        </w:tc>
        <w:tc>
          <w:tcPr>
            <w:tcW w:w="1440" w:type="dxa"/>
            <w:noWrap w:val="0"/>
            <w:vAlign w:val="center"/>
          </w:tcPr>
          <w:p w14:paraId="6B202BA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15EB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640" w:type="dxa"/>
            <w:gridSpan w:val="2"/>
            <w:noWrap w:val="0"/>
            <w:vAlign w:val="center"/>
          </w:tcPr>
          <w:p w14:paraId="216EC2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分数合计</w:t>
            </w:r>
          </w:p>
        </w:tc>
        <w:tc>
          <w:tcPr>
            <w:tcW w:w="992" w:type="dxa"/>
            <w:noWrap w:val="0"/>
            <w:vAlign w:val="center"/>
          </w:tcPr>
          <w:p w14:paraId="174D8A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1018" w:type="dxa"/>
            <w:noWrap w:val="0"/>
            <w:vAlign w:val="center"/>
          </w:tcPr>
          <w:p w14:paraId="7D06817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16771" w:type="dxa"/>
            <w:gridSpan w:val="5"/>
            <w:noWrap w:val="0"/>
            <w:vAlign w:val="center"/>
          </w:tcPr>
          <w:p w14:paraId="2AD2453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sz w:val="21"/>
                <w:szCs w:val="21"/>
              </w:rPr>
            </w:pPr>
          </w:p>
        </w:tc>
      </w:tr>
    </w:tbl>
    <w:p w14:paraId="3D320C12">
      <w:pPr>
        <w:spacing w:line="560" w:lineRule="exact"/>
        <w:rPr>
          <w:rFonts w:eastAsia="黑体"/>
          <w:sz w:val="32"/>
        </w:rPr>
      </w:pPr>
    </w:p>
    <w:p w14:paraId="31A7CE14">
      <w:pPr>
        <w:spacing w:line="560" w:lineRule="exact"/>
        <w:rPr>
          <w:rFonts w:eastAsia="黑体"/>
          <w:sz w:val="32"/>
        </w:rPr>
      </w:pPr>
    </w:p>
    <w:p w14:paraId="45F33386">
      <w:pPr>
        <w:spacing w:line="560" w:lineRule="exact"/>
        <w:rPr>
          <w:rFonts w:eastAsia="黑体"/>
          <w:sz w:val="32"/>
        </w:rPr>
      </w:pPr>
    </w:p>
    <w:p w14:paraId="7697BC63">
      <w:pPr>
        <w:spacing w:line="560" w:lineRule="exact"/>
        <w:rPr>
          <w:rFonts w:eastAsia="黑体"/>
          <w:sz w:val="32"/>
          <w:szCs w:val="32"/>
        </w:rPr>
      </w:pPr>
    </w:p>
    <w:p w14:paraId="11DA8609">
      <w:pPr>
        <w:spacing w:line="560" w:lineRule="exact"/>
        <w:rPr>
          <w:rFonts w:eastAsia="黑体"/>
          <w:sz w:val="32"/>
          <w:szCs w:val="32"/>
        </w:rPr>
      </w:pPr>
    </w:p>
    <w:p w14:paraId="0A352474">
      <w:pPr>
        <w:pStyle w:val="4"/>
        <w:rPr>
          <w:rFonts w:eastAsia="黑体"/>
          <w:sz w:val="32"/>
          <w:szCs w:val="32"/>
        </w:rPr>
      </w:pPr>
    </w:p>
    <w:p w14:paraId="68F88971">
      <w:pPr>
        <w:pStyle w:val="3"/>
        <w:rPr>
          <w:rFonts w:eastAsia="黑体"/>
          <w:sz w:val="32"/>
          <w:szCs w:val="32"/>
        </w:rPr>
      </w:pPr>
    </w:p>
    <w:p w14:paraId="6CEA9955">
      <w:pPr>
        <w:rPr>
          <w:rFonts w:eastAsia="黑体"/>
          <w:sz w:val="32"/>
          <w:szCs w:val="32"/>
        </w:rPr>
      </w:pPr>
    </w:p>
    <w:p w14:paraId="48C436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3ED1E5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3E3370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50DBC76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706CF4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0099D2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32B2A6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269ED42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07406B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rPr>
      </w:pPr>
      <w:r>
        <w:rPr>
          <w:rFonts w:eastAsia="黑体"/>
          <w:sz w:val="32"/>
          <w:szCs w:val="32"/>
        </w:rPr>
        <w:t>附件3</w:t>
      </w:r>
    </w:p>
    <w:p w14:paraId="1C7144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第三届粤创赛评分指标体系（商标组）</w:t>
      </w:r>
    </w:p>
    <w:tbl>
      <w:tblPr>
        <w:tblStyle w:val="6"/>
        <w:tblpPr w:leftFromText="180" w:rightFromText="180" w:vertAnchor="text" w:horzAnchor="page" w:tblpX="1221" w:tblpY="58"/>
        <w:tblOverlap w:val="never"/>
        <w:tblW w:w="217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995"/>
        <w:gridCol w:w="675"/>
        <w:gridCol w:w="735"/>
        <w:gridCol w:w="966"/>
        <w:gridCol w:w="2027"/>
        <w:gridCol w:w="4642"/>
        <w:gridCol w:w="7036"/>
        <w:gridCol w:w="2557"/>
      </w:tblGrid>
      <w:tr w14:paraId="75109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7775B7D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eastAsia="zh-CN"/>
              </w:rPr>
              <w:t>一</w:t>
            </w:r>
            <w:r>
              <w:rPr>
                <w:rFonts w:hint="eastAsia" w:ascii="黑体" w:hAnsi="黑体" w:eastAsia="黑体" w:cs="黑体"/>
                <w:sz w:val="18"/>
                <w:szCs w:val="18"/>
              </w:rPr>
              <w:t>级指标</w:t>
            </w:r>
          </w:p>
        </w:tc>
        <w:tc>
          <w:tcPr>
            <w:tcW w:w="1995" w:type="dxa"/>
            <w:vMerge w:val="restart"/>
            <w:noWrap w:val="0"/>
            <w:vAlign w:val="center"/>
          </w:tcPr>
          <w:p w14:paraId="24F6BA29">
            <w:pPr>
              <w:keepNext w:val="0"/>
              <w:keepLines w:val="0"/>
              <w:pageBreakBefore w:val="0"/>
              <w:widowControl w:val="0"/>
              <w:tabs>
                <w:tab w:val="left" w:pos="1050"/>
              </w:tabs>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二级指标</w:t>
            </w:r>
          </w:p>
        </w:tc>
        <w:tc>
          <w:tcPr>
            <w:tcW w:w="1410" w:type="dxa"/>
            <w:gridSpan w:val="2"/>
            <w:noWrap w:val="0"/>
            <w:vAlign w:val="center"/>
          </w:tcPr>
          <w:p w14:paraId="37AE91A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分值</w:t>
            </w:r>
          </w:p>
        </w:tc>
        <w:tc>
          <w:tcPr>
            <w:tcW w:w="966" w:type="dxa"/>
            <w:vMerge w:val="restart"/>
            <w:noWrap w:val="0"/>
            <w:vAlign w:val="center"/>
          </w:tcPr>
          <w:p w14:paraId="168CB95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评分方法</w:t>
            </w:r>
          </w:p>
        </w:tc>
        <w:tc>
          <w:tcPr>
            <w:tcW w:w="2027" w:type="dxa"/>
            <w:vMerge w:val="restart"/>
            <w:noWrap w:val="0"/>
            <w:vAlign w:val="center"/>
          </w:tcPr>
          <w:p w14:paraId="05746E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数据来源</w:t>
            </w:r>
          </w:p>
        </w:tc>
        <w:tc>
          <w:tcPr>
            <w:tcW w:w="4642" w:type="dxa"/>
            <w:vMerge w:val="restart"/>
            <w:noWrap w:val="0"/>
            <w:vAlign w:val="center"/>
          </w:tcPr>
          <w:p w14:paraId="1DB4A4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指标说明</w:t>
            </w:r>
          </w:p>
        </w:tc>
        <w:tc>
          <w:tcPr>
            <w:tcW w:w="7036" w:type="dxa"/>
            <w:vMerge w:val="restart"/>
            <w:noWrap w:val="0"/>
            <w:vAlign w:val="center"/>
          </w:tcPr>
          <w:p w14:paraId="34083F1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评价标准</w:t>
            </w:r>
          </w:p>
        </w:tc>
        <w:tc>
          <w:tcPr>
            <w:tcW w:w="2557" w:type="dxa"/>
            <w:vMerge w:val="restart"/>
            <w:noWrap w:val="0"/>
            <w:vAlign w:val="center"/>
          </w:tcPr>
          <w:p w14:paraId="0B1BE3D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r>
      <w:tr w14:paraId="67C2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5714FD5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lang w:eastAsia="zh-CN"/>
              </w:rPr>
            </w:pPr>
          </w:p>
        </w:tc>
        <w:tc>
          <w:tcPr>
            <w:tcW w:w="1995" w:type="dxa"/>
            <w:vMerge w:val="continue"/>
            <w:noWrap w:val="0"/>
            <w:vAlign w:val="center"/>
          </w:tcPr>
          <w:p w14:paraId="5E820984">
            <w:pPr>
              <w:keepNext w:val="0"/>
              <w:keepLines w:val="0"/>
              <w:pageBreakBefore w:val="0"/>
              <w:widowControl w:val="0"/>
              <w:tabs>
                <w:tab w:val="left" w:pos="1050"/>
              </w:tabs>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p>
        </w:tc>
        <w:tc>
          <w:tcPr>
            <w:tcW w:w="675" w:type="dxa"/>
            <w:noWrap w:val="0"/>
            <w:vAlign w:val="center"/>
          </w:tcPr>
          <w:p w14:paraId="66118BD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初赛</w:t>
            </w:r>
          </w:p>
        </w:tc>
        <w:tc>
          <w:tcPr>
            <w:tcW w:w="735" w:type="dxa"/>
            <w:noWrap w:val="0"/>
            <w:vAlign w:val="center"/>
          </w:tcPr>
          <w:p w14:paraId="2D88BE4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决赛</w:t>
            </w:r>
          </w:p>
        </w:tc>
        <w:tc>
          <w:tcPr>
            <w:tcW w:w="966" w:type="dxa"/>
            <w:vMerge w:val="continue"/>
            <w:noWrap w:val="0"/>
            <w:vAlign w:val="center"/>
          </w:tcPr>
          <w:p w14:paraId="54934E1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2027" w:type="dxa"/>
            <w:vMerge w:val="continue"/>
            <w:noWrap w:val="0"/>
            <w:vAlign w:val="center"/>
          </w:tcPr>
          <w:p w14:paraId="1A036A6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4642" w:type="dxa"/>
            <w:vMerge w:val="continue"/>
            <w:noWrap w:val="0"/>
            <w:vAlign w:val="center"/>
          </w:tcPr>
          <w:p w14:paraId="0A67277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7036" w:type="dxa"/>
            <w:vMerge w:val="continue"/>
            <w:noWrap w:val="0"/>
            <w:vAlign w:val="center"/>
          </w:tcPr>
          <w:p w14:paraId="75A8319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2557" w:type="dxa"/>
            <w:vMerge w:val="continue"/>
            <w:noWrap w:val="0"/>
            <w:vAlign w:val="center"/>
          </w:tcPr>
          <w:p w14:paraId="443D081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r>
      <w:tr w14:paraId="4153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5C2B124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宏观环境</w:t>
            </w:r>
          </w:p>
        </w:tc>
        <w:tc>
          <w:tcPr>
            <w:tcW w:w="1995" w:type="dxa"/>
            <w:noWrap w:val="0"/>
            <w:vAlign w:val="center"/>
          </w:tcPr>
          <w:p w14:paraId="3F9FE00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组织动员</w:t>
            </w:r>
          </w:p>
        </w:tc>
        <w:tc>
          <w:tcPr>
            <w:tcW w:w="675" w:type="dxa"/>
            <w:noWrap w:val="0"/>
            <w:vAlign w:val="center"/>
          </w:tcPr>
          <w:p w14:paraId="369A1A8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w:t>
            </w:r>
          </w:p>
        </w:tc>
        <w:tc>
          <w:tcPr>
            <w:tcW w:w="735" w:type="dxa"/>
            <w:noWrap w:val="0"/>
            <w:vAlign w:val="center"/>
          </w:tcPr>
          <w:p w14:paraId="58629DD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966" w:type="dxa"/>
            <w:noWrap w:val="0"/>
            <w:vAlign w:val="center"/>
          </w:tcPr>
          <w:p w14:paraId="02DAD90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客观数据</w:t>
            </w:r>
          </w:p>
        </w:tc>
        <w:tc>
          <w:tcPr>
            <w:tcW w:w="2027" w:type="dxa"/>
            <w:noWrap w:val="0"/>
            <w:vAlign w:val="center"/>
          </w:tcPr>
          <w:p w14:paraId="7E29C65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国家知识产权局或省市场监管局相关数据通报</w:t>
            </w:r>
          </w:p>
        </w:tc>
        <w:tc>
          <w:tcPr>
            <w:tcW w:w="4642" w:type="dxa"/>
            <w:noWrap w:val="0"/>
            <w:vAlign w:val="center"/>
          </w:tcPr>
          <w:p w14:paraId="627ADC3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主要反映赛事启动后，各地市通过开展赛事发动、组织动员等，推动商标申请注册和转化运用的整体情况</w:t>
            </w:r>
          </w:p>
        </w:tc>
        <w:tc>
          <w:tcPr>
            <w:tcW w:w="7036" w:type="dxa"/>
            <w:noWrap w:val="0"/>
            <w:vAlign w:val="center"/>
          </w:tcPr>
          <w:p w14:paraId="392196F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本市商标申请注册、质押融资情况，赛事期间开展赛事发动、组织动员等情况</w:t>
            </w:r>
          </w:p>
        </w:tc>
        <w:tc>
          <w:tcPr>
            <w:tcW w:w="2557" w:type="dxa"/>
            <w:noWrap w:val="0"/>
            <w:vAlign w:val="center"/>
          </w:tcPr>
          <w:p w14:paraId="03EC69C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53377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59D4768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p>
        </w:tc>
        <w:tc>
          <w:tcPr>
            <w:tcW w:w="1995" w:type="dxa"/>
            <w:noWrap w:val="0"/>
            <w:vAlign w:val="center"/>
          </w:tcPr>
          <w:p w14:paraId="275A95C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管理机制</w:t>
            </w:r>
          </w:p>
        </w:tc>
        <w:tc>
          <w:tcPr>
            <w:tcW w:w="675" w:type="dxa"/>
            <w:noWrap w:val="0"/>
            <w:vAlign w:val="center"/>
          </w:tcPr>
          <w:p w14:paraId="44D6885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7</w:t>
            </w:r>
          </w:p>
        </w:tc>
        <w:tc>
          <w:tcPr>
            <w:tcW w:w="735" w:type="dxa"/>
            <w:noWrap w:val="0"/>
            <w:vAlign w:val="center"/>
          </w:tcPr>
          <w:p w14:paraId="4CD648C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5</w:t>
            </w:r>
          </w:p>
        </w:tc>
        <w:tc>
          <w:tcPr>
            <w:tcW w:w="966" w:type="dxa"/>
            <w:noWrap w:val="0"/>
            <w:vAlign w:val="center"/>
          </w:tcPr>
          <w:p w14:paraId="08476FF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0A4A46E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color w:val="000000"/>
                <w:sz w:val="18"/>
                <w:szCs w:val="18"/>
                <w:lang w:eastAsia="zh-CN"/>
              </w:rPr>
              <w:t>（仅决赛时增加</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sz w:val="18"/>
                <w:szCs w:val="18"/>
                <w:highlight w:val="none"/>
                <w:lang w:val="en-US" w:eastAsia="zh-CN"/>
              </w:rPr>
              <w:t>，</w:t>
            </w:r>
            <w:r>
              <w:rPr>
                <w:rFonts w:hint="default" w:ascii="Times New Roman" w:hAnsi="Times New Roman" w:eastAsia="宋体" w:cs="Times New Roman"/>
                <w:color w:val="000000"/>
                <w:sz w:val="18"/>
                <w:szCs w:val="18"/>
                <w:lang w:eastAsia="zh-CN"/>
              </w:rPr>
              <w:t>下同</w:t>
            </w:r>
            <w:r>
              <w:rPr>
                <w:rFonts w:hint="default" w:ascii="Times New Roman" w:hAnsi="Times New Roman" w:eastAsia="宋体" w:cs="Times New Roman"/>
                <w:sz w:val="18"/>
                <w:szCs w:val="18"/>
                <w:highlight w:val="none"/>
                <w:lang w:val="en-US" w:eastAsia="zh-CN"/>
              </w:rPr>
              <w:t>）</w:t>
            </w:r>
          </w:p>
        </w:tc>
        <w:tc>
          <w:tcPr>
            <w:tcW w:w="4642" w:type="dxa"/>
            <w:noWrap w:val="0"/>
            <w:vAlign w:val="center"/>
          </w:tcPr>
          <w:p w14:paraId="07CD484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主要反映参赛主体商标管理机构、制度、人员等方面配置情况</w:t>
            </w:r>
          </w:p>
        </w:tc>
        <w:tc>
          <w:tcPr>
            <w:tcW w:w="7036" w:type="dxa"/>
            <w:noWrap w:val="0"/>
            <w:vAlign w:val="center"/>
          </w:tcPr>
          <w:p w14:paraId="09BA45E7">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企业规模及业务范围设立专职商标管理部门情况，配备有专业管理人员情况；商标管理制度与企业规模、业务范围的契合度，制度建设和实施情况</w:t>
            </w:r>
          </w:p>
        </w:tc>
        <w:tc>
          <w:tcPr>
            <w:tcW w:w="2557" w:type="dxa"/>
            <w:noWrap w:val="0"/>
            <w:vAlign w:val="center"/>
          </w:tcPr>
          <w:p w14:paraId="2E3B16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bCs w:val="0"/>
                <w:color w:val="000000"/>
                <w:sz w:val="18"/>
                <w:szCs w:val="18"/>
                <w:highlight w:val="white"/>
                <w:vertAlign w:val="baseline"/>
                <w:lang w:val="en-US" w:eastAsia="zh-CN"/>
              </w:rPr>
            </w:pPr>
          </w:p>
        </w:tc>
      </w:tr>
      <w:tr w14:paraId="68FC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24F667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商标注册</w:t>
            </w:r>
          </w:p>
          <w:p w14:paraId="2CF2D74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和保护</w:t>
            </w:r>
          </w:p>
        </w:tc>
        <w:tc>
          <w:tcPr>
            <w:tcW w:w="1995" w:type="dxa"/>
            <w:noWrap w:val="0"/>
            <w:vAlign w:val="center"/>
          </w:tcPr>
          <w:p w14:paraId="3108490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商标注册及使用</w:t>
            </w:r>
          </w:p>
        </w:tc>
        <w:tc>
          <w:tcPr>
            <w:tcW w:w="675" w:type="dxa"/>
            <w:noWrap w:val="0"/>
            <w:vAlign w:val="center"/>
          </w:tcPr>
          <w:p w14:paraId="731E7FB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3E18F05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ED9403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客观指标</w:t>
            </w:r>
          </w:p>
        </w:tc>
        <w:tc>
          <w:tcPr>
            <w:tcW w:w="2027" w:type="dxa"/>
            <w:noWrap w:val="0"/>
            <w:vAlign w:val="center"/>
          </w:tcPr>
          <w:p w14:paraId="74E2D59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4CFAE56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主要反映参赛主体商标国内注册及使用情况</w:t>
            </w:r>
          </w:p>
        </w:tc>
        <w:tc>
          <w:tcPr>
            <w:tcW w:w="7036" w:type="dxa"/>
            <w:noWrap w:val="0"/>
            <w:vAlign w:val="center"/>
          </w:tcPr>
          <w:p w14:paraId="4D5536A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商标国内注册时间，在法律保护期限内的有效状态及持续使用时间</w:t>
            </w:r>
          </w:p>
        </w:tc>
        <w:tc>
          <w:tcPr>
            <w:tcW w:w="2557" w:type="dxa"/>
            <w:noWrap w:val="0"/>
            <w:vAlign w:val="center"/>
          </w:tcPr>
          <w:p w14:paraId="4E7C8A4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r>
      <w:tr w14:paraId="740A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4436BBE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p>
        </w:tc>
        <w:tc>
          <w:tcPr>
            <w:tcW w:w="1995" w:type="dxa"/>
            <w:noWrap w:val="0"/>
            <w:vAlign w:val="center"/>
          </w:tcPr>
          <w:p w14:paraId="58229F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国际注册</w:t>
            </w:r>
          </w:p>
        </w:tc>
        <w:tc>
          <w:tcPr>
            <w:tcW w:w="675" w:type="dxa"/>
            <w:noWrap w:val="0"/>
            <w:vAlign w:val="center"/>
          </w:tcPr>
          <w:p w14:paraId="10550EA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58425E0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4C4A58D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客观指标</w:t>
            </w:r>
          </w:p>
        </w:tc>
        <w:tc>
          <w:tcPr>
            <w:tcW w:w="2027" w:type="dxa"/>
            <w:noWrap w:val="0"/>
            <w:vAlign w:val="center"/>
          </w:tcPr>
          <w:p w14:paraId="6A96CA6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7B92B7CC">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主要反映企业在出口、加工、中转等商业活动过程中，在相关国家或地区的商标注册情况</w:t>
            </w:r>
          </w:p>
        </w:tc>
        <w:tc>
          <w:tcPr>
            <w:tcW w:w="7036" w:type="dxa"/>
            <w:noWrap w:val="0"/>
            <w:vAlign w:val="center"/>
          </w:tcPr>
          <w:p w14:paraId="096900E9">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1.对出口国或出口地区：核心商标注册覆盖出口国或出口地区情况；</w:t>
            </w:r>
          </w:p>
          <w:p w14:paraId="35DEB340">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2.对加工国或加工地区：核心商标在加工合作国或加工地区注册情况，加工相关核心类别情况；</w:t>
            </w:r>
          </w:p>
          <w:p w14:paraId="723961C9">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3.对中转国或中转地区：核心商标覆盖关键中转枢纽情况，注册类别与业务需求对应情况</w:t>
            </w:r>
          </w:p>
        </w:tc>
        <w:tc>
          <w:tcPr>
            <w:tcW w:w="2557" w:type="dxa"/>
            <w:noWrap w:val="0"/>
            <w:vAlign w:val="center"/>
          </w:tcPr>
          <w:p w14:paraId="088F104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r>
      <w:tr w14:paraId="44E8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00FF11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p>
        </w:tc>
        <w:tc>
          <w:tcPr>
            <w:tcW w:w="1995" w:type="dxa"/>
            <w:noWrap w:val="0"/>
            <w:vAlign w:val="center"/>
          </w:tcPr>
          <w:p w14:paraId="30A9348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商标保护</w:t>
            </w:r>
          </w:p>
        </w:tc>
        <w:tc>
          <w:tcPr>
            <w:tcW w:w="675" w:type="dxa"/>
            <w:noWrap w:val="0"/>
            <w:vAlign w:val="center"/>
          </w:tcPr>
          <w:p w14:paraId="28849CC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230DA11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7242D38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74DD282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5C2CB59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主要反映商标行政和司法保护情况及权属纠纷情况</w:t>
            </w:r>
          </w:p>
        </w:tc>
        <w:tc>
          <w:tcPr>
            <w:tcW w:w="7036" w:type="dxa"/>
            <w:noWrap w:val="0"/>
            <w:vAlign w:val="center"/>
          </w:tcPr>
          <w:p w14:paraId="1DE62857">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商标权属纠纷情况；行政或司法维权情况；企业日常监控、响应、维权意识和能力情况</w:t>
            </w:r>
          </w:p>
        </w:tc>
        <w:tc>
          <w:tcPr>
            <w:tcW w:w="2557" w:type="dxa"/>
            <w:noWrap w:val="0"/>
            <w:vAlign w:val="center"/>
          </w:tcPr>
          <w:p w14:paraId="5C84249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r>
      <w:tr w14:paraId="3897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29D010D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商标品牌</w:t>
            </w:r>
          </w:p>
          <w:p w14:paraId="725FB0D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培育</w:t>
            </w:r>
          </w:p>
        </w:tc>
        <w:tc>
          <w:tcPr>
            <w:tcW w:w="1995" w:type="dxa"/>
            <w:noWrap w:val="0"/>
            <w:vAlign w:val="center"/>
          </w:tcPr>
          <w:p w14:paraId="7D131B4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商标布局</w:t>
            </w:r>
          </w:p>
        </w:tc>
        <w:tc>
          <w:tcPr>
            <w:tcW w:w="675" w:type="dxa"/>
            <w:noWrap w:val="0"/>
            <w:vAlign w:val="center"/>
          </w:tcPr>
          <w:p w14:paraId="3BF085F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14A6724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5239B1E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4B6C1B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068548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主要反映核心商标在核心业务类别及防御性商标注册的完整性及商标布局的前瞻性</w:t>
            </w:r>
          </w:p>
        </w:tc>
        <w:tc>
          <w:tcPr>
            <w:tcW w:w="7036" w:type="dxa"/>
            <w:noWrap w:val="0"/>
            <w:vAlign w:val="center"/>
          </w:tcPr>
          <w:p w14:paraId="71744BA1">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核心商标覆盖业务类别全面性，及防御性注册率情况</w:t>
            </w:r>
          </w:p>
        </w:tc>
        <w:tc>
          <w:tcPr>
            <w:tcW w:w="2557" w:type="dxa"/>
            <w:noWrap w:val="0"/>
            <w:vAlign w:val="center"/>
          </w:tcPr>
          <w:p w14:paraId="49497786">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5D67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2814792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5535A8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商标品牌战略</w:t>
            </w:r>
          </w:p>
        </w:tc>
        <w:tc>
          <w:tcPr>
            <w:tcW w:w="675" w:type="dxa"/>
            <w:noWrap w:val="0"/>
            <w:vAlign w:val="center"/>
          </w:tcPr>
          <w:p w14:paraId="06C71A1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37E1DCC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B071BF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5A952D0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08FA454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主要反映商标品牌发展战略方案、目标的合理性、完整性，以及市场定位、产品推广、机制构建等情况</w:t>
            </w:r>
          </w:p>
        </w:tc>
        <w:tc>
          <w:tcPr>
            <w:tcW w:w="7036" w:type="dxa"/>
            <w:noWrap w:val="0"/>
            <w:vAlign w:val="center"/>
          </w:tcPr>
          <w:p w14:paraId="51AE387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商标品牌发展目标情况；战略发展方案及覆盖度情况；商标品牌发展战略与企业实际的契合度；战略实施效果、投入资源及商标品牌意识情况</w:t>
            </w:r>
          </w:p>
        </w:tc>
        <w:tc>
          <w:tcPr>
            <w:tcW w:w="2557" w:type="dxa"/>
            <w:noWrap w:val="0"/>
            <w:vAlign w:val="center"/>
          </w:tcPr>
          <w:p w14:paraId="00677BB4">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1247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00E760D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77F95DE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商标品牌培育规范</w:t>
            </w:r>
            <w:r>
              <w:rPr>
                <w:rFonts w:hint="default" w:ascii="Times New Roman" w:hAnsi="Times New Roman" w:eastAsia="宋体" w:cs="Times New Roman"/>
                <w:sz w:val="18"/>
                <w:szCs w:val="18"/>
                <w:highlight w:val="none"/>
                <w:lang w:eastAsia="zh-CN"/>
              </w:rPr>
              <w:t>性</w:t>
            </w:r>
          </w:p>
        </w:tc>
        <w:tc>
          <w:tcPr>
            <w:tcW w:w="675" w:type="dxa"/>
            <w:noWrap w:val="0"/>
            <w:vAlign w:val="center"/>
          </w:tcPr>
          <w:p w14:paraId="053662A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304C873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2E60E27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2770DD8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164A8C4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主要反映商标全流程培育、全生命周期管理的规范性等</w:t>
            </w:r>
          </w:p>
        </w:tc>
        <w:tc>
          <w:tcPr>
            <w:tcW w:w="7036" w:type="dxa"/>
            <w:noWrap w:val="0"/>
            <w:vAlign w:val="center"/>
          </w:tcPr>
          <w:p w14:paraId="634EABB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商标培育流程（需求分析、策划、评估、实施）的规范性情况；商标品牌全生命周期管理、培育工作的亮点与创新情况</w:t>
            </w:r>
          </w:p>
        </w:tc>
        <w:tc>
          <w:tcPr>
            <w:tcW w:w="2557" w:type="dxa"/>
            <w:noWrap w:val="0"/>
            <w:vAlign w:val="center"/>
          </w:tcPr>
          <w:p w14:paraId="09F1BD44">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7201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7C364B6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eastAsia="zh-CN"/>
              </w:rPr>
              <w:t>商标</w:t>
            </w:r>
            <w:r>
              <w:rPr>
                <w:rFonts w:hint="default" w:ascii="Times New Roman" w:hAnsi="Times New Roman" w:eastAsia="宋体" w:cs="Times New Roman"/>
                <w:sz w:val="18"/>
                <w:szCs w:val="18"/>
                <w:highlight w:val="none"/>
                <w:lang w:val="en-US" w:eastAsia="zh-CN"/>
              </w:rPr>
              <w:t>品牌</w:t>
            </w:r>
          </w:p>
          <w:p w14:paraId="4977076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质量</w:t>
            </w:r>
          </w:p>
        </w:tc>
        <w:tc>
          <w:tcPr>
            <w:tcW w:w="1995" w:type="dxa"/>
            <w:noWrap w:val="0"/>
            <w:vAlign w:val="center"/>
          </w:tcPr>
          <w:p w14:paraId="777B12F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商标质量</w:t>
            </w:r>
            <w:r>
              <w:rPr>
                <w:rFonts w:hint="default" w:ascii="Times New Roman" w:hAnsi="Times New Roman" w:eastAsia="宋体" w:cs="Times New Roman"/>
                <w:sz w:val="18"/>
                <w:szCs w:val="18"/>
                <w:highlight w:val="none"/>
                <w:lang w:eastAsia="zh-CN"/>
              </w:rPr>
              <w:t>标准</w:t>
            </w:r>
          </w:p>
        </w:tc>
        <w:tc>
          <w:tcPr>
            <w:tcW w:w="675" w:type="dxa"/>
            <w:noWrap w:val="0"/>
            <w:vAlign w:val="center"/>
          </w:tcPr>
          <w:p w14:paraId="18BAA33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45354D7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66" w:type="dxa"/>
            <w:noWrap w:val="0"/>
            <w:vAlign w:val="center"/>
          </w:tcPr>
          <w:p w14:paraId="22F5F95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专家评审</w:t>
            </w:r>
          </w:p>
        </w:tc>
        <w:tc>
          <w:tcPr>
            <w:tcW w:w="2027" w:type="dxa"/>
            <w:noWrap w:val="0"/>
            <w:vAlign w:val="center"/>
          </w:tcPr>
          <w:p w14:paraId="5C5E145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EF8009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主要反映商标品牌商品、服务执行标准、抽检抽查、售后服务等情况</w:t>
            </w:r>
          </w:p>
        </w:tc>
        <w:tc>
          <w:tcPr>
            <w:tcW w:w="7036" w:type="dxa"/>
            <w:noWrap w:val="0"/>
            <w:vAlign w:val="center"/>
          </w:tcPr>
          <w:p w14:paraId="7E753D0D">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企业质量管理体系认证情况；执行、使用或参与制订相关国家标准、地方标准或团体标准情况；商品或服务抽检表现情况；企业售后流程制度、售后管理制度等情况</w:t>
            </w:r>
          </w:p>
        </w:tc>
        <w:tc>
          <w:tcPr>
            <w:tcW w:w="2557" w:type="dxa"/>
            <w:noWrap w:val="0"/>
            <w:vAlign w:val="center"/>
          </w:tcPr>
          <w:p w14:paraId="2C7FD55C">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FEB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410039D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p>
        </w:tc>
        <w:tc>
          <w:tcPr>
            <w:tcW w:w="1995" w:type="dxa"/>
            <w:noWrap w:val="0"/>
            <w:vAlign w:val="center"/>
          </w:tcPr>
          <w:p w14:paraId="32041C2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商标稳定性</w:t>
            </w:r>
          </w:p>
        </w:tc>
        <w:tc>
          <w:tcPr>
            <w:tcW w:w="675" w:type="dxa"/>
            <w:noWrap w:val="0"/>
            <w:vAlign w:val="center"/>
          </w:tcPr>
          <w:p w14:paraId="7305DB8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00F83D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E0FC23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8801E3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568E87B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主要反映商标的稳定性情况</w:t>
            </w:r>
          </w:p>
        </w:tc>
        <w:tc>
          <w:tcPr>
            <w:tcW w:w="7036" w:type="dxa"/>
            <w:noWrap w:val="0"/>
            <w:vAlign w:val="center"/>
          </w:tcPr>
          <w:p w14:paraId="4F02BD7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1.注册群组：核心群组、关联群组、未来经营发展可能涉及的群组、易造成市场混淆的群组的注册情况</w:t>
            </w:r>
          </w:p>
          <w:p w14:paraId="5A3F4C70">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2.联合商标：核心商标要素、中英文、拼音、特有产品名称、商号的注册情况</w:t>
            </w:r>
          </w:p>
        </w:tc>
        <w:tc>
          <w:tcPr>
            <w:tcW w:w="2557" w:type="dxa"/>
            <w:noWrap w:val="0"/>
            <w:vAlign w:val="center"/>
          </w:tcPr>
          <w:p w14:paraId="0752785D">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6324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68A57EC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p>
        </w:tc>
        <w:tc>
          <w:tcPr>
            <w:tcW w:w="1995" w:type="dxa"/>
            <w:noWrap w:val="0"/>
            <w:vAlign w:val="center"/>
          </w:tcPr>
          <w:p w14:paraId="33BD12C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商标风险监控</w:t>
            </w:r>
          </w:p>
        </w:tc>
        <w:tc>
          <w:tcPr>
            <w:tcW w:w="675" w:type="dxa"/>
            <w:noWrap w:val="0"/>
            <w:vAlign w:val="center"/>
          </w:tcPr>
          <w:p w14:paraId="7C97533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735" w:type="dxa"/>
            <w:noWrap w:val="0"/>
            <w:vAlign w:val="center"/>
          </w:tcPr>
          <w:p w14:paraId="474B330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966" w:type="dxa"/>
            <w:noWrap w:val="0"/>
            <w:vAlign w:val="center"/>
          </w:tcPr>
          <w:p w14:paraId="476EE35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7BCFE01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20358045">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主要反映参赛主体对商标在侵权预防、应急处理等方面的风险防控能力</w:t>
            </w:r>
          </w:p>
        </w:tc>
        <w:tc>
          <w:tcPr>
            <w:tcW w:w="7036" w:type="dxa"/>
            <w:noWrap w:val="0"/>
            <w:vAlign w:val="center"/>
          </w:tcPr>
          <w:p w14:paraId="35FBE39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参赛主体的商标品牌侵权预防、应急处理等风险监测体系情况，及技术监测手段</w:t>
            </w:r>
          </w:p>
        </w:tc>
        <w:tc>
          <w:tcPr>
            <w:tcW w:w="2557" w:type="dxa"/>
            <w:noWrap w:val="0"/>
            <w:vAlign w:val="center"/>
          </w:tcPr>
          <w:p w14:paraId="223773F6">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444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1F5103C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CA7846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w:t>
            </w:r>
            <w:r>
              <w:rPr>
                <w:rFonts w:hint="default" w:ascii="Times New Roman" w:hAnsi="Times New Roman" w:eastAsia="宋体" w:cs="Times New Roman"/>
                <w:sz w:val="18"/>
                <w:szCs w:val="18"/>
                <w:highlight w:val="none"/>
                <w:lang w:eastAsia="zh-CN"/>
              </w:rPr>
              <w:t>品牌</w:t>
            </w:r>
            <w:r>
              <w:rPr>
                <w:rFonts w:hint="default" w:ascii="Times New Roman" w:hAnsi="Times New Roman" w:eastAsia="宋体" w:cs="Times New Roman"/>
                <w:sz w:val="18"/>
                <w:szCs w:val="18"/>
                <w:highlight w:val="none"/>
              </w:rPr>
              <w:t>知名度</w:t>
            </w:r>
          </w:p>
        </w:tc>
        <w:tc>
          <w:tcPr>
            <w:tcW w:w="675" w:type="dxa"/>
            <w:noWrap w:val="0"/>
            <w:vAlign w:val="center"/>
          </w:tcPr>
          <w:p w14:paraId="1C83F22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3C6C764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A18064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341F8E1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08DBD08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主要反映相关公众对商标品牌的知晓情况</w:t>
            </w:r>
          </w:p>
        </w:tc>
        <w:tc>
          <w:tcPr>
            <w:tcW w:w="7036" w:type="dxa"/>
            <w:noWrap w:val="0"/>
            <w:vAlign w:val="center"/>
          </w:tcPr>
          <w:p w14:paraId="28DE971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宣传投入、媒体报道等情况。参赛主体宣传材料、媒体报道证明资料情况</w:t>
            </w:r>
          </w:p>
        </w:tc>
        <w:tc>
          <w:tcPr>
            <w:tcW w:w="2557" w:type="dxa"/>
            <w:noWrap w:val="0"/>
            <w:vAlign w:val="center"/>
          </w:tcPr>
          <w:p w14:paraId="7AE5B655">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40234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1F75D90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41B1B2F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商标品牌美誉度</w:t>
            </w:r>
          </w:p>
        </w:tc>
        <w:tc>
          <w:tcPr>
            <w:tcW w:w="675" w:type="dxa"/>
            <w:noWrap w:val="0"/>
            <w:vAlign w:val="center"/>
          </w:tcPr>
          <w:p w14:paraId="596E07A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w:t>
            </w:r>
          </w:p>
        </w:tc>
        <w:tc>
          <w:tcPr>
            <w:tcW w:w="735" w:type="dxa"/>
            <w:noWrap w:val="0"/>
            <w:vAlign w:val="center"/>
          </w:tcPr>
          <w:p w14:paraId="6917A2D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480133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专家评审</w:t>
            </w:r>
          </w:p>
        </w:tc>
        <w:tc>
          <w:tcPr>
            <w:tcW w:w="2027" w:type="dxa"/>
            <w:noWrap w:val="0"/>
            <w:vAlign w:val="center"/>
          </w:tcPr>
          <w:p w14:paraId="187020C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7C25FC8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主要反映相关公众对商标品牌的认可情况</w:t>
            </w:r>
          </w:p>
        </w:tc>
        <w:tc>
          <w:tcPr>
            <w:tcW w:w="7036" w:type="dxa"/>
            <w:noWrap w:val="0"/>
            <w:vAlign w:val="center"/>
          </w:tcPr>
          <w:p w14:paraId="3A756585">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公众对商标品牌认可程度，在商标品牌产品质量或服务方面获奖情况等。参赛主体可提供相关研究机构已公开发布的对此项内容的研究报告、相关获奖证据等证明资料</w:t>
            </w:r>
          </w:p>
        </w:tc>
        <w:tc>
          <w:tcPr>
            <w:tcW w:w="2557" w:type="dxa"/>
            <w:noWrap w:val="0"/>
            <w:vAlign w:val="center"/>
          </w:tcPr>
          <w:p w14:paraId="057655B4">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3EBF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45BCE67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商标品牌</w:t>
            </w:r>
          </w:p>
          <w:p w14:paraId="5E912EE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效益</w:t>
            </w:r>
          </w:p>
        </w:tc>
        <w:tc>
          <w:tcPr>
            <w:tcW w:w="1995" w:type="dxa"/>
            <w:noWrap w:val="0"/>
            <w:vAlign w:val="center"/>
          </w:tcPr>
          <w:p w14:paraId="5504D36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w:t>
            </w:r>
            <w:r>
              <w:rPr>
                <w:rFonts w:hint="default" w:ascii="Times New Roman" w:hAnsi="Times New Roman" w:eastAsia="宋体" w:cs="Times New Roman"/>
                <w:sz w:val="18"/>
                <w:szCs w:val="18"/>
                <w:highlight w:val="none"/>
                <w:lang w:eastAsia="zh-CN"/>
              </w:rPr>
              <w:t>品牌</w:t>
            </w:r>
            <w:r>
              <w:rPr>
                <w:rFonts w:hint="default" w:ascii="Times New Roman" w:hAnsi="Times New Roman" w:eastAsia="宋体" w:cs="Times New Roman"/>
                <w:sz w:val="18"/>
                <w:szCs w:val="18"/>
                <w:highlight w:val="none"/>
              </w:rPr>
              <w:t>投入</w:t>
            </w:r>
          </w:p>
        </w:tc>
        <w:tc>
          <w:tcPr>
            <w:tcW w:w="675" w:type="dxa"/>
            <w:noWrap w:val="0"/>
            <w:vAlign w:val="center"/>
          </w:tcPr>
          <w:p w14:paraId="13B4509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74A50C1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66" w:type="dxa"/>
            <w:noWrap w:val="0"/>
            <w:vAlign w:val="center"/>
          </w:tcPr>
          <w:p w14:paraId="4E4E6F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3ECA8B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82A4E7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主要反映近三年以来（2022年以来，企业成立不满足3年的，为成立以来，下同）参赛主体对商标品牌的投入情况</w:t>
            </w:r>
          </w:p>
        </w:tc>
        <w:tc>
          <w:tcPr>
            <w:tcW w:w="7036" w:type="dxa"/>
            <w:noWrap w:val="0"/>
            <w:vAlign w:val="center"/>
          </w:tcPr>
          <w:p w14:paraId="07EAAAA3">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2022 年以来（企业成立不满 3 年的，为成立以来，下同），参赛主体对商标品牌的直接投入情况，需提交有效的合同、发票、付款凭证等证明资料（涉及商业秘密的，需脱敏处理并标注仅供本赛事使用，且须完整体现投入总金额等数据并作说明）；企业年均投入与行业均值的对比及，渠道覆盖情况</w:t>
            </w:r>
          </w:p>
        </w:tc>
        <w:tc>
          <w:tcPr>
            <w:tcW w:w="2557" w:type="dxa"/>
            <w:noWrap w:val="0"/>
            <w:vAlign w:val="center"/>
          </w:tcPr>
          <w:p w14:paraId="7D27C406">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1F991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002A6A6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C6C96D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eastAsia="zh-CN"/>
              </w:rPr>
              <w:t>经济效益</w:t>
            </w:r>
          </w:p>
        </w:tc>
        <w:tc>
          <w:tcPr>
            <w:tcW w:w="675" w:type="dxa"/>
            <w:noWrap w:val="0"/>
            <w:vAlign w:val="center"/>
          </w:tcPr>
          <w:p w14:paraId="3778D78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63E8703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66" w:type="dxa"/>
            <w:noWrap w:val="0"/>
            <w:vAlign w:val="center"/>
          </w:tcPr>
          <w:p w14:paraId="640106F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305A65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BCB10E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主要反映近三年以来企业的经济收益情况</w:t>
            </w:r>
          </w:p>
        </w:tc>
        <w:tc>
          <w:tcPr>
            <w:tcW w:w="7036" w:type="dxa"/>
            <w:noWrap w:val="0"/>
            <w:vAlign w:val="center"/>
          </w:tcPr>
          <w:p w14:paraId="7B580FE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企业近三年来销售总额、增长率及商标品牌对经济收益的影响情况（如涉及企业商业秘密的，请脱敏处理并标注仅供本赛事使用，但须完整体现本指标的相关数据并作相应说明）</w:t>
            </w:r>
          </w:p>
        </w:tc>
        <w:tc>
          <w:tcPr>
            <w:tcW w:w="2557" w:type="dxa"/>
            <w:noWrap w:val="0"/>
            <w:vAlign w:val="center"/>
          </w:tcPr>
          <w:p w14:paraId="7688DB5C">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0F6C8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36A033E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542B09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社会效益</w:t>
            </w:r>
          </w:p>
        </w:tc>
        <w:tc>
          <w:tcPr>
            <w:tcW w:w="675" w:type="dxa"/>
            <w:noWrap w:val="0"/>
            <w:vAlign w:val="center"/>
          </w:tcPr>
          <w:p w14:paraId="054AFFF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735" w:type="dxa"/>
            <w:noWrap w:val="0"/>
            <w:vAlign w:val="center"/>
          </w:tcPr>
          <w:p w14:paraId="25C9E18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10</w:t>
            </w:r>
          </w:p>
        </w:tc>
        <w:tc>
          <w:tcPr>
            <w:tcW w:w="966" w:type="dxa"/>
            <w:noWrap w:val="0"/>
            <w:vAlign w:val="center"/>
          </w:tcPr>
          <w:p w14:paraId="0AD0AE1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139BF6D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6E1CEB0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主要反映近三年以来带动就业人数、产业协同发展案例及乡村振兴贡献，评估社会价值</w:t>
            </w:r>
          </w:p>
        </w:tc>
        <w:tc>
          <w:tcPr>
            <w:tcW w:w="7036" w:type="dxa"/>
            <w:noWrap w:val="0"/>
            <w:vAlign w:val="center"/>
          </w:tcPr>
          <w:p w14:paraId="221D7BAD">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近三年以来新增就业岗位情况，产业协同发展成效，助力乡村振兴发展成效等</w:t>
            </w:r>
          </w:p>
        </w:tc>
        <w:tc>
          <w:tcPr>
            <w:tcW w:w="2557" w:type="dxa"/>
            <w:noWrap w:val="0"/>
            <w:vAlign w:val="center"/>
          </w:tcPr>
          <w:p w14:paraId="5371ACDD">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403C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780E497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40AE957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rPr>
              <w:t>可持续发展</w:t>
            </w:r>
          </w:p>
        </w:tc>
        <w:tc>
          <w:tcPr>
            <w:tcW w:w="675" w:type="dxa"/>
            <w:noWrap w:val="0"/>
            <w:vAlign w:val="center"/>
          </w:tcPr>
          <w:p w14:paraId="0BFEDDF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w:t>
            </w:r>
          </w:p>
        </w:tc>
        <w:tc>
          <w:tcPr>
            <w:tcW w:w="735" w:type="dxa"/>
            <w:noWrap w:val="0"/>
            <w:vAlign w:val="center"/>
          </w:tcPr>
          <w:p w14:paraId="7C70732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15B5810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192FD6A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279911C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主要反映企业商标品牌可持续发展能力</w:t>
            </w:r>
          </w:p>
        </w:tc>
        <w:tc>
          <w:tcPr>
            <w:tcW w:w="7036" w:type="dxa"/>
            <w:noWrap w:val="0"/>
            <w:vAlign w:val="center"/>
          </w:tcPr>
          <w:p w14:paraId="19A38E7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企业商标品牌发展方案是否合理，预计的市场发展情况，能否持续性发展</w:t>
            </w:r>
          </w:p>
        </w:tc>
        <w:tc>
          <w:tcPr>
            <w:tcW w:w="2557" w:type="dxa"/>
            <w:noWrap w:val="0"/>
            <w:vAlign w:val="center"/>
          </w:tcPr>
          <w:p w14:paraId="7C029E8D">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5D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5C88AA6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附加分</w:t>
            </w:r>
          </w:p>
        </w:tc>
        <w:tc>
          <w:tcPr>
            <w:tcW w:w="1995" w:type="dxa"/>
            <w:noWrap w:val="0"/>
            <w:vAlign w:val="center"/>
          </w:tcPr>
          <w:p w14:paraId="695283C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政策环境</w:t>
            </w:r>
          </w:p>
        </w:tc>
        <w:tc>
          <w:tcPr>
            <w:tcW w:w="675" w:type="dxa"/>
            <w:noWrap w:val="0"/>
            <w:vAlign w:val="center"/>
          </w:tcPr>
          <w:p w14:paraId="5ADD6A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2</w:t>
            </w:r>
          </w:p>
        </w:tc>
        <w:tc>
          <w:tcPr>
            <w:tcW w:w="735" w:type="dxa"/>
            <w:noWrap w:val="0"/>
            <w:vAlign w:val="center"/>
          </w:tcPr>
          <w:p w14:paraId="57B62F0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w:t>
            </w:r>
          </w:p>
        </w:tc>
        <w:tc>
          <w:tcPr>
            <w:tcW w:w="966" w:type="dxa"/>
            <w:noWrap w:val="0"/>
            <w:vAlign w:val="center"/>
          </w:tcPr>
          <w:p w14:paraId="4C8F1F8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专家评审、</w:t>
            </w:r>
          </w:p>
          <w:p w14:paraId="6AB4B2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客观数据</w:t>
            </w:r>
          </w:p>
        </w:tc>
        <w:tc>
          <w:tcPr>
            <w:tcW w:w="2027" w:type="dxa"/>
            <w:noWrap w:val="0"/>
            <w:vAlign w:val="center"/>
          </w:tcPr>
          <w:p w14:paraId="4CB6FC8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45DBE88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主要反映项目所在地市或项目拟落地转化地市在商标转化运用方面的政策法规等宏观环境建设情况</w:t>
            </w:r>
          </w:p>
        </w:tc>
        <w:tc>
          <w:tcPr>
            <w:tcW w:w="7036" w:type="dxa"/>
            <w:noWrap w:val="0"/>
            <w:vAlign w:val="center"/>
          </w:tcPr>
          <w:p w14:paraId="46BFD82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地市的商标转化运用政策整体情况，年度全市商标注册申请、商标质押融资情况等</w:t>
            </w:r>
          </w:p>
        </w:tc>
        <w:tc>
          <w:tcPr>
            <w:tcW w:w="2557" w:type="dxa"/>
            <w:noWrap w:val="0"/>
            <w:vAlign w:val="center"/>
          </w:tcPr>
          <w:p w14:paraId="1709FACB">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163DF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2BB01A0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601BC4B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商标品牌培育工作的亮点与创新</w:t>
            </w:r>
          </w:p>
        </w:tc>
        <w:tc>
          <w:tcPr>
            <w:tcW w:w="675" w:type="dxa"/>
            <w:noWrap w:val="0"/>
            <w:vAlign w:val="center"/>
          </w:tcPr>
          <w:p w14:paraId="4C328C9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3</w:t>
            </w:r>
          </w:p>
        </w:tc>
        <w:tc>
          <w:tcPr>
            <w:tcW w:w="735" w:type="dxa"/>
            <w:noWrap w:val="0"/>
            <w:vAlign w:val="center"/>
          </w:tcPr>
          <w:p w14:paraId="7B326A4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w:t>
            </w:r>
          </w:p>
        </w:tc>
        <w:tc>
          <w:tcPr>
            <w:tcW w:w="966" w:type="dxa"/>
            <w:noWrap w:val="0"/>
            <w:vAlign w:val="center"/>
          </w:tcPr>
          <w:p w14:paraId="3A76DDC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3D95C9A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4D126521">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主要反映项目参赛主体在商标品牌工作方面的创新举措和成效</w:t>
            </w:r>
          </w:p>
        </w:tc>
        <w:tc>
          <w:tcPr>
            <w:tcW w:w="7036" w:type="dxa"/>
            <w:noWrap w:val="0"/>
            <w:vAlign w:val="center"/>
          </w:tcPr>
          <w:p w14:paraId="1C5B4C1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参赛主体在商标品牌培育、商标品牌设计和创作、商标品牌培育和经营、商标品牌投入和产出、商品品牌战略制定与实施、商标品牌推广和宣传等方面的创新性工作情况</w:t>
            </w:r>
          </w:p>
        </w:tc>
        <w:tc>
          <w:tcPr>
            <w:tcW w:w="2557" w:type="dxa"/>
            <w:noWrap w:val="0"/>
            <w:vAlign w:val="center"/>
          </w:tcPr>
          <w:p w14:paraId="039BC54A">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6F091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4D06623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748BA74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rPr>
              <w:t>商标品牌附加值</w:t>
            </w:r>
          </w:p>
        </w:tc>
        <w:tc>
          <w:tcPr>
            <w:tcW w:w="675" w:type="dxa"/>
            <w:noWrap w:val="0"/>
            <w:vAlign w:val="center"/>
          </w:tcPr>
          <w:p w14:paraId="0282C77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735" w:type="dxa"/>
            <w:noWrap w:val="0"/>
            <w:vAlign w:val="center"/>
          </w:tcPr>
          <w:p w14:paraId="41C40B7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w:t>
            </w:r>
          </w:p>
        </w:tc>
        <w:tc>
          <w:tcPr>
            <w:tcW w:w="966" w:type="dxa"/>
            <w:noWrap w:val="0"/>
            <w:vAlign w:val="center"/>
          </w:tcPr>
          <w:p w14:paraId="234E196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4904802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2102EB0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主要反映商标及与商标有关的专利、版权等情况</w:t>
            </w:r>
          </w:p>
        </w:tc>
        <w:tc>
          <w:tcPr>
            <w:tcW w:w="7036" w:type="dxa"/>
            <w:noWrap w:val="0"/>
            <w:vAlign w:val="center"/>
          </w:tcPr>
          <w:p w14:paraId="7022DE5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商标品牌商品或服务的专利、版权以及获奖情况、品牌相关商品和服务有其他经司法判决确认的知识产权权利。重点考虑商标品牌商品或服务的专利布局、专利挖掘和专利保护情况</w:t>
            </w:r>
          </w:p>
        </w:tc>
        <w:tc>
          <w:tcPr>
            <w:tcW w:w="2557" w:type="dxa"/>
            <w:noWrap w:val="0"/>
            <w:vAlign w:val="center"/>
          </w:tcPr>
          <w:p w14:paraId="78594CBB">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19D2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794BB98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085710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网络投票</w:t>
            </w:r>
          </w:p>
        </w:tc>
        <w:tc>
          <w:tcPr>
            <w:tcW w:w="675" w:type="dxa"/>
            <w:noWrap w:val="0"/>
            <w:vAlign w:val="center"/>
          </w:tcPr>
          <w:p w14:paraId="7C83FD5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35" w:type="dxa"/>
            <w:noWrap w:val="0"/>
            <w:vAlign w:val="center"/>
          </w:tcPr>
          <w:p w14:paraId="4F5384B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966" w:type="dxa"/>
            <w:noWrap w:val="0"/>
            <w:vAlign w:val="center"/>
          </w:tcPr>
          <w:p w14:paraId="280357C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客观指标</w:t>
            </w:r>
          </w:p>
        </w:tc>
        <w:tc>
          <w:tcPr>
            <w:tcW w:w="2027" w:type="dxa"/>
            <w:noWrap w:val="0"/>
            <w:vAlign w:val="center"/>
          </w:tcPr>
          <w:p w14:paraId="3BC1872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网站信息</w:t>
            </w:r>
          </w:p>
        </w:tc>
        <w:tc>
          <w:tcPr>
            <w:tcW w:w="4642" w:type="dxa"/>
            <w:noWrap w:val="0"/>
            <w:vAlign w:val="center"/>
          </w:tcPr>
          <w:p w14:paraId="39A8907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初赛完成后根据赛程安排将组织网络投票，根据投票情况进行分数核算</w:t>
            </w:r>
          </w:p>
        </w:tc>
        <w:tc>
          <w:tcPr>
            <w:tcW w:w="7036" w:type="dxa"/>
            <w:noWrap w:val="0"/>
            <w:vAlign w:val="center"/>
          </w:tcPr>
          <w:p w14:paraId="6697C56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0—500票（网络投票得分为总得票数除以100，得分保留小数点后两位）</w:t>
            </w:r>
          </w:p>
        </w:tc>
        <w:tc>
          <w:tcPr>
            <w:tcW w:w="2557" w:type="dxa"/>
            <w:noWrap w:val="0"/>
            <w:vAlign w:val="center"/>
          </w:tcPr>
          <w:p w14:paraId="5BCEDA5A">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CE6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29" w:type="dxa"/>
            <w:gridSpan w:val="2"/>
            <w:noWrap w:val="0"/>
            <w:vAlign w:val="center"/>
          </w:tcPr>
          <w:p w14:paraId="62D81D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合计</w:t>
            </w:r>
          </w:p>
        </w:tc>
        <w:tc>
          <w:tcPr>
            <w:tcW w:w="675" w:type="dxa"/>
            <w:noWrap w:val="0"/>
            <w:vAlign w:val="center"/>
          </w:tcPr>
          <w:p w14:paraId="6CB69C5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105</w:t>
            </w:r>
          </w:p>
        </w:tc>
        <w:tc>
          <w:tcPr>
            <w:tcW w:w="735" w:type="dxa"/>
            <w:noWrap w:val="0"/>
            <w:vAlign w:val="center"/>
          </w:tcPr>
          <w:p w14:paraId="369049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110</w:t>
            </w:r>
          </w:p>
        </w:tc>
        <w:tc>
          <w:tcPr>
            <w:tcW w:w="17228" w:type="dxa"/>
            <w:gridSpan w:val="5"/>
            <w:noWrap w:val="0"/>
            <w:vAlign w:val="center"/>
          </w:tcPr>
          <w:p w14:paraId="5077F8D8">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bl>
    <w:p w14:paraId="413E88E1">
      <w:pPr>
        <w:spacing w:line="560" w:lineRule="exact"/>
        <w:rPr>
          <w:rFonts w:hint="eastAsia" w:eastAsia="黑体"/>
          <w:sz w:val="32"/>
          <w:lang w:eastAsia="zh-CN"/>
        </w:rPr>
      </w:pPr>
      <w:r>
        <w:rPr>
          <w:rFonts w:eastAsia="黑体"/>
          <w:sz w:val="32"/>
          <w:szCs w:val="32"/>
        </w:rPr>
        <w:t>附件</w:t>
      </w:r>
      <w:r>
        <w:rPr>
          <w:rFonts w:hint="eastAsia" w:eastAsia="黑体"/>
          <w:sz w:val="32"/>
          <w:szCs w:val="32"/>
          <w:lang w:val="en-US" w:eastAsia="zh-CN"/>
        </w:rPr>
        <w:t>4</w:t>
      </w:r>
    </w:p>
    <w:p w14:paraId="006AE741">
      <w:pPr>
        <w:spacing w:line="560" w:lineRule="exact"/>
        <w:jc w:val="center"/>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szCs w:val="44"/>
        </w:rPr>
        <w:t>第三届粤创赛评分指标体系（地理标志组）</w:t>
      </w:r>
    </w:p>
    <w:tbl>
      <w:tblPr>
        <w:tblStyle w:val="7"/>
        <w:tblpPr w:leftFromText="180" w:rightFromText="180" w:vertAnchor="text" w:horzAnchor="page" w:tblpX="1281" w:tblpY="372"/>
        <w:tblOverlap w:val="never"/>
        <w:tblW w:w="21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0"/>
        <w:gridCol w:w="1365"/>
        <w:gridCol w:w="675"/>
        <w:gridCol w:w="720"/>
        <w:gridCol w:w="1785"/>
        <w:gridCol w:w="2250"/>
        <w:gridCol w:w="5340"/>
        <w:gridCol w:w="7142"/>
        <w:gridCol w:w="1035"/>
      </w:tblGrid>
      <w:tr w14:paraId="0F81C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843298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一级指标</w:t>
            </w:r>
          </w:p>
        </w:tc>
        <w:tc>
          <w:tcPr>
            <w:tcW w:w="1365" w:type="dxa"/>
            <w:vMerge w:val="restart"/>
            <w:noWrap w:val="0"/>
            <w:vAlign w:val="center"/>
          </w:tcPr>
          <w:p w14:paraId="49C76F1A">
            <w:pPr>
              <w:keepNext w:val="0"/>
              <w:keepLines w:val="0"/>
              <w:pageBreakBefore w:val="0"/>
              <w:widowControl w:val="0"/>
              <w:tabs>
                <w:tab w:val="left" w:pos="1050"/>
              </w:tabs>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二级指标</w:t>
            </w:r>
          </w:p>
        </w:tc>
        <w:tc>
          <w:tcPr>
            <w:tcW w:w="1395" w:type="dxa"/>
            <w:gridSpan w:val="2"/>
            <w:noWrap w:val="0"/>
            <w:vAlign w:val="center"/>
          </w:tcPr>
          <w:p w14:paraId="4DDC634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分值</w:t>
            </w:r>
          </w:p>
        </w:tc>
        <w:tc>
          <w:tcPr>
            <w:tcW w:w="1785" w:type="dxa"/>
            <w:vMerge w:val="restart"/>
            <w:noWrap w:val="0"/>
            <w:vAlign w:val="center"/>
          </w:tcPr>
          <w:p w14:paraId="197BF88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评分方法</w:t>
            </w:r>
          </w:p>
        </w:tc>
        <w:tc>
          <w:tcPr>
            <w:tcW w:w="2250" w:type="dxa"/>
            <w:vMerge w:val="restart"/>
            <w:noWrap w:val="0"/>
            <w:vAlign w:val="center"/>
          </w:tcPr>
          <w:p w14:paraId="7B8213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数据来源</w:t>
            </w:r>
          </w:p>
        </w:tc>
        <w:tc>
          <w:tcPr>
            <w:tcW w:w="5340" w:type="dxa"/>
            <w:vMerge w:val="restart"/>
            <w:noWrap w:val="0"/>
            <w:vAlign w:val="center"/>
          </w:tcPr>
          <w:p w14:paraId="34CD12A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指标说明</w:t>
            </w:r>
          </w:p>
        </w:tc>
        <w:tc>
          <w:tcPr>
            <w:tcW w:w="7142" w:type="dxa"/>
            <w:vMerge w:val="restart"/>
            <w:noWrap w:val="0"/>
            <w:vAlign w:val="center"/>
          </w:tcPr>
          <w:p w14:paraId="132167F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评价标准</w:t>
            </w:r>
          </w:p>
        </w:tc>
        <w:tc>
          <w:tcPr>
            <w:tcW w:w="1035" w:type="dxa"/>
            <w:vMerge w:val="restart"/>
            <w:noWrap w:val="0"/>
            <w:vAlign w:val="center"/>
          </w:tcPr>
          <w:p w14:paraId="01D67CB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r>
      <w:tr w14:paraId="4762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6CB6894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vMerge w:val="continue"/>
            <w:noWrap w:val="0"/>
            <w:vAlign w:val="center"/>
          </w:tcPr>
          <w:p w14:paraId="5A3AEB9E">
            <w:pPr>
              <w:keepNext w:val="0"/>
              <w:keepLines w:val="0"/>
              <w:pageBreakBefore w:val="0"/>
              <w:widowControl w:val="0"/>
              <w:tabs>
                <w:tab w:val="left" w:pos="1050"/>
              </w:tabs>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675" w:type="dxa"/>
            <w:noWrap w:val="0"/>
            <w:vAlign w:val="center"/>
          </w:tcPr>
          <w:p w14:paraId="2AA3BDD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初赛</w:t>
            </w:r>
          </w:p>
        </w:tc>
        <w:tc>
          <w:tcPr>
            <w:tcW w:w="720" w:type="dxa"/>
            <w:noWrap w:val="0"/>
            <w:vAlign w:val="center"/>
          </w:tcPr>
          <w:p w14:paraId="58BD5A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决赛</w:t>
            </w:r>
          </w:p>
        </w:tc>
        <w:tc>
          <w:tcPr>
            <w:tcW w:w="1785" w:type="dxa"/>
            <w:vMerge w:val="continue"/>
            <w:noWrap w:val="0"/>
            <w:vAlign w:val="center"/>
          </w:tcPr>
          <w:p w14:paraId="2B3DDF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2250" w:type="dxa"/>
            <w:vMerge w:val="continue"/>
            <w:noWrap w:val="0"/>
            <w:vAlign w:val="center"/>
          </w:tcPr>
          <w:p w14:paraId="754C7A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5340" w:type="dxa"/>
            <w:vMerge w:val="continue"/>
            <w:noWrap w:val="0"/>
            <w:vAlign w:val="center"/>
          </w:tcPr>
          <w:p w14:paraId="7C282BA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7142" w:type="dxa"/>
            <w:vMerge w:val="continue"/>
            <w:noWrap w:val="0"/>
            <w:vAlign w:val="center"/>
          </w:tcPr>
          <w:p w14:paraId="250DDD0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035" w:type="dxa"/>
            <w:vMerge w:val="continue"/>
            <w:noWrap w:val="0"/>
            <w:vAlign w:val="center"/>
          </w:tcPr>
          <w:p w14:paraId="4719185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r>
      <w:tr w14:paraId="338C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2A411A7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地理标志传承</w:t>
            </w:r>
          </w:p>
        </w:tc>
        <w:tc>
          <w:tcPr>
            <w:tcW w:w="1365" w:type="dxa"/>
            <w:noWrap w:val="0"/>
            <w:vAlign w:val="center"/>
          </w:tcPr>
          <w:p w14:paraId="38E8F22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管理机制</w:t>
            </w:r>
          </w:p>
        </w:tc>
        <w:tc>
          <w:tcPr>
            <w:tcW w:w="675" w:type="dxa"/>
            <w:noWrap w:val="0"/>
            <w:vAlign w:val="center"/>
          </w:tcPr>
          <w:p w14:paraId="4B968E3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720" w:type="dxa"/>
            <w:noWrap w:val="0"/>
            <w:vAlign w:val="center"/>
          </w:tcPr>
          <w:p w14:paraId="41B11FE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34EECA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1A3853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color w:val="000000"/>
                <w:sz w:val="18"/>
                <w:szCs w:val="18"/>
                <w:lang w:eastAsia="zh-CN"/>
              </w:rPr>
              <w:t>（仅决赛时增加</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sz w:val="18"/>
                <w:szCs w:val="18"/>
                <w:highlight w:val="none"/>
                <w:lang w:val="en-US" w:eastAsia="zh-CN"/>
              </w:rPr>
              <w:t>，</w:t>
            </w:r>
            <w:r>
              <w:rPr>
                <w:rFonts w:hint="default" w:ascii="Times New Roman" w:hAnsi="Times New Roman" w:eastAsia="宋体" w:cs="Times New Roman"/>
                <w:color w:val="000000"/>
                <w:sz w:val="18"/>
                <w:szCs w:val="18"/>
                <w:lang w:eastAsia="zh-CN"/>
              </w:rPr>
              <w:t>下同</w:t>
            </w:r>
            <w:r>
              <w:rPr>
                <w:rFonts w:hint="default" w:ascii="Times New Roman" w:hAnsi="Times New Roman" w:eastAsia="宋体" w:cs="Times New Roman"/>
                <w:sz w:val="18"/>
                <w:szCs w:val="18"/>
                <w:highlight w:val="none"/>
                <w:lang w:val="en-US" w:eastAsia="zh-CN"/>
              </w:rPr>
              <w:t>）</w:t>
            </w:r>
          </w:p>
        </w:tc>
        <w:tc>
          <w:tcPr>
            <w:tcW w:w="5340" w:type="dxa"/>
            <w:noWrap w:val="0"/>
            <w:vAlign w:val="center"/>
          </w:tcPr>
          <w:p w14:paraId="52CA910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主要反映参赛主体在围绕制度建设、人员建设等方面，对地理标志进行管理的整体情况</w:t>
            </w:r>
          </w:p>
        </w:tc>
        <w:tc>
          <w:tcPr>
            <w:tcW w:w="7142" w:type="dxa"/>
            <w:noWrap w:val="0"/>
            <w:vAlign w:val="center"/>
          </w:tcPr>
          <w:p w14:paraId="6F0BE3C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设置与企业规模及业务范围相适应的地理标志相关管理部门，配备专业资质的管理人员情况，以及企业促进地理标志发展的制度建设及落实情况等</w:t>
            </w:r>
          </w:p>
        </w:tc>
        <w:tc>
          <w:tcPr>
            <w:tcW w:w="1035" w:type="dxa"/>
            <w:noWrap w:val="0"/>
            <w:vAlign w:val="center"/>
          </w:tcPr>
          <w:p w14:paraId="3FF502E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r>
      <w:tr w14:paraId="4994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3981FB3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51FBF16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文化传承</w:t>
            </w:r>
          </w:p>
        </w:tc>
        <w:tc>
          <w:tcPr>
            <w:tcW w:w="675" w:type="dxa"/>
            <w:noWrap w:val="0"/>
            <w:vAlign w:val="center"/>
          </w:tcPr>
          <w:p w14:paraId="1A5A97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720" w:type="dxa"/>
            <w:noWrap w:val="0"/>
            <w:vAlign w:val="center"/>
          </w:tcPr>
          <w:p w14:paraId="3D6D4E8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4B1814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7C18D6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CA7C6A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主要反映产品及包装体现传统文化特色情况</w:t>
            </w:r>
          </w:p>
        </w:tc>
        <w:tc>
          <w:tcPr>
            <w:tcW w:w="7142" w:type="dxa"/>
            <w:noWrap w:val="0"/>
            <w:vAlign w:val="center"/>
          </w:tcPr>
          <w:p w14:paraId="4605246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产品相关设计融入传统文化元素（如非遗技艺、传统手工艺、民俗等），体现传统美学风格情况</w:t>
            </w:r>
          </w:p>
        </w:tc>
        <w:tc>
          <w:tcPr>
            <w:tcW w:w="1035" w:type="dxa"/>
            <w:noWrap w:val="0"/>
            <w:vAlign w:val="center"/>
          </w:tcPr>
          <w:p w14:paraId="3911CED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369E7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4368362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09BDD76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传承发展</w:t>
            </w:r>
          </w:p>
        </w:tc>
        <w:tc>
          <w:tcPr>
            <w:tcW w:w="675" w:type="dxa"/>
            <w:noWrap w:val="0"/>
            <w:vAlign w:val="center"/>
          </w:tcPr>
          <w:p w14:paraId="0427D8C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720" w:type="dxa"/>
            <w:noWrap w:val="0"/>
            <w:vAlign w:val="center"/>
          </w:tcPr>
          <w:p w14:paraId="630EC04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B9A4A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2C8D830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575CF6A9">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主要反映引导本地农民参与情况，传统手工艺代际传承情况</w:t>
            </w:r>
          </w:p>
        </w:tc>
        <w:tc>
          <w:tcPr>
            <w:tcW w:w="7142" w:type="dxa"/>
            <w:noWrap w:val="0"/>
            <w:vAlign w:val="center"/>
          </w:tcPr>
          <w:p w14:paraId="1938285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产品具备的地方区域发展特色情况，对带动当地农民积极性的影响</w:t>
            </w:r>
          </w:p>
        </w:tc>
        <w:tc>
          <w:tcPr>
            <w:tcW w:w="1035" w:type="dxa"/>
            <w:noWrap w:val="0"/>
            <w:vAlign w:val="center"/>
          </w:tcPr>
          <w:p w14:paraId="1901D59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126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27C0C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地理标志</w:t>
            </w:r>
            <w:r>
              <w:rPr>
                <w:rFonts w:hint="default" w:ascii="Times New Roman" w:hAnsi="Times New Roman" w:eastAsia="宋体" w:cs="Times New Roman"/>
                <w:sz w:val="18"/>
                <w:szCs w:val="18"/>
                <w:lang w:eastAsia="zh-CN"/>
              </w:rPr>
              <w:t>产品</w:t>
            </w:r>
          </w:p>
        </w:tc>
        <w:tc>
          <w:tcPr>
            <w:tcW w:w="1365" w:type="dxa"/>
            <w:noWrap w:val="0"/>
            <w:vAlign w:val="center"/>
          </w:tcPr>
          <w:p w14:paraId="48719EE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产地特色</w:t>
            </w:r>
          </w:p>
        </w:tc>
        <w:tc>
          <w:tcPr>
            <w:tcW w:w="675" w:type="dxa"/>
            <w:noWrap w:val="0"/>
            <w:vAlign w:val="center"/>
          </w:tcPr>
          <w:p w14:paraId="3C8F6C6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5</w:t>
            </w:r>
          </w:p>
        </w:tc>
        <w:tc>
          <w:tcPr>
            <w:tcW w:w="720" w:type="dxa"/>
            <w:noWrap w:val="0"/>
            <w:vAlign w:val="center"/>
          </w:tcPr>
          <w:p w14:paraId="403A34F2">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w:t>
            </w:r>
          </w:p>
        </w:tc>
        <w:tc>
          <w:tcPr>
            <w:tcW w:w="1785" w:type="dxa"/>
            <w:noWrap w:val="0"/>
            <w:vAlign w:val="center"/>
          </w:tcPr>
          <w:p w14:paraId="0ED6827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专家评审</w:t>
            </w:r>
          </w:p>
        </w:tc>
        <w:tc>
          <w:tcPr>
            <w:tcW w:w="2250" w:type="dxa"/>
            <w:noWrap w:val="0"/>
            <w:vAlign w:val="center"/>
          </w:tcPr>
          <w:p w14:paraId="52E7DC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7AF3FA39">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主要考察用标企业生产经营的地理标志产品原产地的自然地理环境、传统工艺和制作方法。</w:t>
            </w:r>
          </w:p>
        </w:tc>
        <w:tc>
          <w:tcPr>
            <w:tcW w:w="7142" w:type="dxa"/>
            <w:noWrap w:val="0"/>
            <w:vAlign w:val="center"/>
          </w:tcPr>
          <w:p w14:paraId="7A7596F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企业生产经营的地理标志产品原产地的地理环境（气候、土壤、水质等）、传统工艺等情况</w:t>
            </w:r>
          </w:p>
        </w:tc>
        <w:tc>
          <w:tcPr>
            <w:tcW w:w="1035" w:type="dxa"/>
            <w:noWrap w:val="0"/>
            <w:vAlign w:val="center"/>
          </w:tcPr>
          <w:p w14:paraId="444BA61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4289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6F0325A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440AE8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产品特色</w:t>
            </w:r>
          </w:p>
        </w:tc>
        <w:tc>
          <w:tcPr>
            <w:tcW w:w="675" w:type="dxa"/>
            <w:noWrap w:val="0"/>
            <w:vAlign w:val="center"/>
          </w:tcPr>
          <w:p w14:paraId="07095A2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7F86F73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59EB7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72D6C5A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87E6E52">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主要反映用标企业生产经营的地理标志产品所具备的独特质量、声誉及其他特性</w:t>
            </w:r>
          </w:p>
        </w:tc>
        <w:tc>
          <w:tcPr>
            <w:tcW w:w="7142" w:type="dxa"/>
            <w:noWrap w:val="0"/>
            <w:vAlign w:val="center"/>
          </w:tcPr>
          <w:p w14:paraId="36F4CB0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企业生产经营依托得天独厚的环境和相关条件，产品是否具有独特的质量，及知名度情况，是否具有其他特性</w:t>
            </w:r>
          </w:p>
        </w:tc>
        <w:tc>
          <w:tcPr>
            <w:tcW w:w="1035" w:type="dxa"/>
            <w:noWrap w:val="0"/>
            <w:vAlign w:val="center"/>
          </w:tcPr>
          <w:p w14:paraId="53BF959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360C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F8697B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地理标志质量</w:t>
            </w:r>
          </w:p>
        </w:tc>
        <w:tc>
          <w:tcPr>
            <w:tcW w:w="1365" w:type="dxa"/>
            <w:noWrap w:val="0"/>
            <w:vAlign w:val="center"/>
          </w:tcPr>
          <w:p w14:paraId="58B8AE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用</w:t>
            </w:r>
            <w:r>
              <w:rPr>
                <w:rFonts w:hint="default" w:ascii="Times New Roman" w:hAnsi="Times New Roman" w:eastAsia="宋体" w:cs="Times New Roman"/>
                <w:sz w:val="18"/>
                <w:szCs w:val="18"/>
              </w:rPr>
              <w:t>标</w:t>
            </w:r>
            <w:r>
              <w:rPr>
                <w:rFonts w:hint="default" w:ascii="Times New Roman" w:hAnsi="Times New Roman" w:eastAsia="宋体" w:cs="Times New Roman"/>
                <w:sz w:val="18"/>
                <w:szCs w:val="18"/>
                <w:lang w:eastAsia="zh-CN"/>
              </w:rPr>
              <w:t>规模</w:t>
            </w:r>
          </w:p>
        </w:tc>
        <w:tc>
          <w:tcPr>
            <w:tcW w:w="675" w:type="dxa"/>
            <w:noWrap w:val="0"/>
            <w:vAlign w:val="center"/>
          </w:tcPr>
          <w:p w14:paraId="128286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720" w:type="dxa"/>
            <w:noWrap w:val="0"/>
            <w:vAlign w:val="center"/>
          </w:tcPr>
          <w:p w14:paraId="4F572B5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7CA321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客观数据</w:t>
            </w:r>
          </w:p>
        </w:tc>
        <w:tc>
          <w:tcPr>
            <w:tcW w:w="2250" w:type="dxa"/>
            <w:noWrap w:val="0"/>
            <w:vAlign w:val="center"/>
          </w:tcPr>
          <w:p w14:paraId="487D646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66CA30CE">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主要考察地理标志的用标企业数量及规模</w:t>
            </w:r>
          </w:p>
        </w:tc>
        <w:tc>
          <w:tcPr>
            <w:tcW w:w="7142" w:type="dxa"/>
            <w:noWrap w:val="0"/>
            <w:vAlign w:val="center"/>
          </w:tcPr>
          <w:p w14:paraId="5CEDA20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用标企业数量及规模情况</w:t>
            </w:r>
          </w:p>
        </w:tc>
        <w:tc>
          <w:tcPr>
            <w:tcW w:w="1035" w:type="dxa"/>
            <w:noWrap w:val="0"/>
            <w:vAlign w:val="center"/>
          </w:tcPr>
          <w:p w14:paraId="2FDF407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440D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3A1870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0A25317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质量体系</w:t>
            </w:r>
          </w:p>
        </w:tc>
        <w:tc>
          <w:tcPr>
            <w:tcW w:w="675" w:type="dxa"/>
            <w:noWrap w:val="0"/>
            <w:vAlign w:val="center"/>
          </w:tcPr>
          <w:p w14:paraId="367236C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720" w:type="dxa"/>
            <w:noWrap w:val="0"/>
            <w:vAlign w:val="center"/>
          </w:tcPr>
          <w:p w14:paraId="176D02D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1785" w:type="dxa"/>
            <w:noWrap w:val="0"/>
            <w:vAlign w:val="center"/>
          </w:tcPr>
          <w:p w14:paraId="4F8EC94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6CA9661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4922D53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主要反映使用地理标志产品在质量监管、溯源体系建设方面的整体情况</w:t>
            </w:r>
          </w:p>
        </w:tc>
        <w:tc>
          <w:tcPr>
            <w:tcW w:w="7142" w:type="dxa"/>
            <w:noWrap w:val="0"/>
            <w:vAlign w:val="center"/>
          </w:tcPr>
          <w:p w14:paraId="294D8D61">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企业质量管理体系认证情况，地理标志产品溯源体系建设情况</w:t>
            </w:r>
          </w:p>
        </w:tc>
        <w:tc>
          <w:tcPr>
            <w:tcW w:w="1035" w:type="dxa"/>
            <w:noWrap w:val="0"/>
            <w:vAlign w:val="center"/>
          </w:tcPr>
          <w:p w14:paraId="6F76BC8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7CB35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0CF9F5D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47BF0FB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质量监</w:t>
            </w:r>
            <w:r>
              <w:rPr>
                <w:rFonts w:hint="default" w:ascii="Times New Roman" w:hAnsi="Times New Roman" w:eastAsia="宋体" w:cs="Times New Roman"/>
                <w:sz w:val="18"/>
                <w:szCs w:val="18"/>
                <w:lang w:eastAsia="zh-CN"/>
              </w:rPr>
              <w:t>管</w:t>
            </w:r>
          </w:p>
        </w:tc>
        <w:tc>
          <w:tcPr>
            <w:tcW w:w="675" w:type="dxa"/>
            <w:noWrap w:val="0"/>
            <w:vAlign w:val="center"/>
          </w:tcPr>
          <w:p w14:paraId="409525C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0557265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23DEEF7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1E77C5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5F682346">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主要反映企业在抽检抽查、售后服务等方面的情况</w:t>
            </w:r>
          </w:p>
        </w:tc>
        <w:tc>
          <w:tcPr>
            <w:tcW w:w="7142" w:type="dxa"/>
            <w:noWrap w:val="0"/>
            <w:vAlign w:val="center"/>
          </w:tcPr>
          <w:p w14:paraId="6DBC7F2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地理标志产品在抽检过程中的表现情况、企业售后服务管理情况等</w:t>
            </w:r>
          </w:p>
        </w:tc>
        <w:tc>
          <w:tcPr>
            <w:tcW w:w="1035" w:type="dxa"/>
            <w:noWrap w:val="0"/>
            <w:vAlign w:val="top"/>
          </w:tcPr>
          <w:p w14:paraId="41A7D90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5269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0C48F03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36E5E7A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标准认证</w:t>
            </w:r>
          </w:p>
        </w:tc>
        <w:tc>
          <w:tcPr>
            <w:tcW w:w="675" w:type="dxa"/>
            <w:noWrap w:val="0"/>
            <w:vAlign w:val="center"/>
          </w:tcPr>
          <w:p w14:paraId="115F6AE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153753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453887F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74F117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0DB51493">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主要反映使用地理标志产品在评准执行或制订，认证体系建设方面的整体情况</w:t>
            </w:r>
          </w:p>
        </w:tc>
        <w:tc>
          <w:tcPr>
            <w:tcW w:w="7142" w:type="dxa"/>
            <w:noWrap w:val="0"/>
            <w:vAlign w:val="center"/>
          </w:tcPr>
          <w:p w14:paraId="0FAB67F3">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地理标志产品执行、使用或制订（参与制订）相关国家标准、地方标准或团体标准情况，地理标志产品获得相关认证情况</w:t>
            </w:r>
          </w:p>
        </w:tc>
        <w:tc>
          <w:tcPr>
            <w:tcW w:w="1035" w:type="dxa"/>
            <w:noWrap w:val="0"/>
            <w:vAlign w:val="top"/>
          </w:tcPr>
          <w:p w14:paraId="7DF238D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02F6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F34A22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地理标志运营</w:t>
            </w:r>
          </w:p>
        </w:tc>
        <w:tc>
          <w:tcPr>
            <w:tcW w:w="1365" w:type="dxa"/>
            <w:noWrap w:val="0"/>
            <w:vAlign w:val="center"/>
          </w:tcPr>
          <w:p w14:paraId="4CF1814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品牌</w:t>
            </w:r>
            <w:r>
              <w:rPr>
                <w:rFonts w:hint="default" w:ascii="Times New Roman" w:hAnsi="Times New Roman" w:eastAsia="宋体" w:cs="Times New Roman"/>
                <w:sz w:val="18"/>
                <w:szCs w:val="18"/>
                <w:lang w:val="en-US" w:eastAsia="zh-CN"/>
              </w:rPr>
              <w:t>推广</w:t>
            </w:r>
          </w:p>
        </w:tc>
        <w:tc>
          <w:tcPr>
            <w:tcW w:w="675" w:type="dxa"/>
            <w:noWrap w:val="0"/>
            <w:vAlign w:val="center"/>
          </w:tcPr>
          <w:p w14:paraId="53C97A0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720" w:type="dxa"/>
            <w:noWrap w:val="0"/>
            <w:vAlign w:val="center"/>
          </w:tcPr>
          <w:p w14:paraId="1425214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3BA2588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57D2505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7D285E08">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主要反映地理标志产品、商标的传播力度与影响力建设情况</w:t>
            </w:r>
          </w:p>
        </w:tc>
        <w:tc>
          <w:tcPr>
            <w:tcW w:w="7142" w:type="dxa"/>
            <w:noWrap w:val="0"/>
            <w:vAlign w:val="center"/>
          </w:tcPr>
          <w:p w14:paraId="46FB7CC8">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推广渠道覆盖度，品牌推广活动及实际效果，品牌推广与地域特色、品质优势与文化内涵的结合情况</w:t>
            </w:r>
          </w:p>
        </w:tc>
        <w:tc>
          <w:tcPr>
            <w:tcW w:w="1035" w:type="dxa"/>
            <w:noWrap w:val="0"/>
            <w:vAlign w:val="center"/>
          </w:tcPr>
          <w:p w14:paraId="6A80F41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7D4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75A3D66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64C691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产业融合</w:t>
            </w:r>
          </w:p>
        </w:tc>
        <w:tc>
          <w:tcPr>
            <w:tcW w:w="675" w:type="dxa"/>
            <w:noWrap w:val="0"/>
            <w:vAlign w:val="center"/>
          </w:tcPr>
          <w:p w14:paraId="6B1ED00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08C3E56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AC561E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17FC457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8F977B2">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主要反映产品关联产业协同发展情况</w:t>
            </w:r>
          </w:p>
        </w:tc>
        <w:tc>
          <w:tcPr>
            <w:tcW w:w="7142" w:type="dxa"/>
            <w:noWrap w:val="0"/>
            <w:vAlign w:val="center"/>
          </w:tcPr>
          <w:p w14:paraId="4ED575A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地理标志与文创、旅游等关联产业协同发展情况；以地理标志产品生产为主导，带动种植、储藏、加工、运输、销售等二、三产业联动发展情况等</w:t>
            </w:r>
          </w:p>
        </w:tc>
        <w:tc>
          <w:tcPr>
            <w:tcW w:w="1035" w:type="dxa"/>
            <w:noWrap w:val="0"/>
            <w:vAlign w:val="center"/>
          </w:tcPr>
          <w:p w14:paraId="28D7F90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186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790973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773C51C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市场</w:t>
            </w:r>
            <w:r>
              <w:rPr>
                <w:rFonts w:hint="default" w:ascii="Times New Roman" w:hAnsi="Times New Roman" w:eastAsia="宋体" w:cs="Times New Roman"/>
                <w:sz w:val="18"/>
                <w:szCs w:val="18"/>
                <w:lang w:eastAsia="zh-CN"/>
              </w:rPr>
              <w:t>供需</w:t>
            </w:r>
          </w:p>
        </w:tc>
        <w:tc>
          <w:tcPr>
            <w:tcW w:w="675" w:type="dxa"/>
            <w:noWrap w:val="0"/>
            <w:vAlign w:val="center"/>
          </w:tcPr>
          <w:p w14:paraId="37FA89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5</w:t>
            </w:r>
          </w:p>
        </w:tc>
        <w:tc>
          <w:tcPr>
            <w:tcW w:w="720" w:type="dxa"/>
            <w:noWrap w:val="0"/>
            <w:vAlign w:val="center"/>
          </w:tcPr>
          <w:p w14:paraId="40BB51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22C34F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5837BC2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081FC27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主要反映企业当下市场生产及供需稳定性及产品覆盖消费群体多样性情况</w:t>
            </w:r>
          </w:p>
        </w:tc>
        <w:tc>
          <w:tcPr>
            <w:tcW w:w="7142" w:type="dxa"/>
            <w:noWrap w:val="0"/>
            <w:vAlign w:val="center"/>
          </w:tcPr>
          <w:p w14:paraId="68F6ED91">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地理标志产品企业的市场供应链稳定情况；产品积压及消费群多样性等情况</w:t>
            </w:r>
          </w:p>
        </w:tc>
        <w:tc>
          <w:tcPr>
            <w:tcW w:w="1035" w:type="dxa"/>
            <w:noWrap w:val="0"/>
            <w:vAlign w:val="center"/>
          </w:tcPr>
          <w:p w14:paraId="6010064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6AF2F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3F99D39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1A703C0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地理标志</w:t>
            </w:r>
            <w:r>
              <w:rPr>
                <w:rFonts w:hint="default" w:ascii="Times New Roman" w:hAnsi="Times New Roman" w:eastAsia="宋体" w:cs="Times New Roman"/>
                <w:sz w:val="18"/>
                <w:szCs w:val="18"/>
              </w:rPr>
              <w:t>知名度</w:t>
            </w:r>
          </w:p>
        </w:tc>
        <w:tc>
          <w:tcPr>
            <w:tcW w:w="675" w:type="dxa"/>
            <w:noWrap w:val="0"/>
            <w:vAlign w:val="center"/>
          </w:tcPr>
          <w:p w14:paraId="3ADBB23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5</w:t>
            </w:r>
          </w:p>
        </w:tc>
        <w:tc>
          <w:tcPr>
            <w:tcW w:w="720" w:type="dxa"/>
            <w:noWrap w:val="0"/>
            <w:vAlign w:val="center"/>
          </w:tcPr>
          <w:p w14:paraId="16A7480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BD9AE2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70785D0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2774443">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主要反映相关公众对商标品牌的知晓情况</w:t>
            </w:r>
          </w:p>
        </w:tc>
        <w:tc>
          <w:tcPr>
            <w:tcW w:w="7142" w:type="dxa"/>
            <w:noWrap w:val="0"/>
            <w:vAlign w:val="center"/>
          </w:tcPr>
          <w:p w14:paraId="1292CDD8">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宣传投入、媒体报道等情况。参赛主体提供宣传广告材料、媒体报道情况等证明资料</w:t>
            </w:r>
          </w:p>
        </w:tc>
        <w:tc>
          <w:tcPr>
            <w:tcW w:w="1035" w:type="dxa"/>
            <w:noWrap w:val="0"/>
            <w:vAlign w:val="center"/>
          </w:tcPr>
          <w:p w14:paraId="3E5561F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0896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noWrap w:val="0"/>
            <w:vAlign w:val="center"/>
          </w:tcPr>
          <w:p w14:paraId="19F8AA9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23DF92A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地理标志美誉</w:t>
            </w:r>
            <w:r>
              <w:rPr>
                <w:rFonts w:hint="default" w:ascii="Times New Roman" w:hAnsi="Times New Roman" w:eastAsia="宋体" w:cs="Times New Roman"/>
                <w:sz w:val="18"/>
                <w:szCs w:val="18"/>
              </w:rPr>
              <w:t>度</w:t>
            </w:r>
          </w:p>
        </w:tc>
        <w:tc>
          <w:tcPr>
            <w:tcW w:w="675" w:type="dxa"/>
            <w:noWrap w:val="0"/>
            <w:vAlign w:val="center"/>
          </w:tcPr>
          <w:p w14:paraId="7882EC2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073129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5B81323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00B9B8F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7B837AE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主要反映相关公众对商标品牌的认可情况</w:t>
            </w:r>
          </w:p>
        </w:tc>
        <w:tc>
          <w:tcPr>
            <w:tcW w:w="7142" w:type="dxa"/>
            <w:noWrap w:val="0"/>
            <w:vAlign w:val="center"/>
          </w:tcPr>
          <w:p w14:paraId="3F81387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公众对地理标志产品及品牌认可程度，在地理标志产品质量或服务方面获奖情况等；参赛主体可提供相关研究机构已公开发布的对此项内容的研究报告、相关获奖证据等证明资料</w:t>
            </w:r>
          </w:p>
        </w:tc>
        <w:tc>
          <w:tcPr>
            <w:tcW w:w="1035" w:type="dxa"/>
            <w:noWrap w:val="0"/>
            <w:vAlign w:val="center"/>
          </w:tcPr>
          <w:p w14:paraId="51E2B89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7FBA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D030FD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转化效果</w:t>
            </w:r>
          </w:p>
        </w:tc>
        <w:tc>
          <w:tcPr>
            <w:tcW w:w="1365" w:type="dxa"/>
            <w:noWrap w:val="0"/>
            <w:vAlign w:val="center"/>
          </w:tcPr>
          <w:p w14:paraId="7723A6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地理标志投入</w:t>
            </w:r>
          </w:p>
        </w:tc>
        <w:tc>
          <w:tcPr>
            <w:tcW w:w="675" w:type="dxa"/>
            <w:noWrap w:val="0"/>
            <w:vAlign w:val="center"/>
          </w:tcPr>
          <w:p w14:paraId="19F8D7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6A34BD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1785" w:type="dxa"/>
            <w:noWrap w:val="0"/>
            <w:vAlign w:val="center"/>
          </w:tcPr>
          <w:p w14:paraId="581D2C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53F627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7B4C2B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主要反映近三年以来（2022年以来，企业成立不满足3年的，为成立以来）参赛主体对地理标志的投入情况</w:t>
            </w:r>
          </w:p>
        </w:tc>
        <w:tc>
          <w:tcPr>
            <w:tcW w:w="7142" w:type="dxa"/>
            <w:noWrap w:val="0"/>
            <w:vAlign w:val="center"/>
          </w:tcPr>
          <w:p w14:paraId="71C2C49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2022年以来（企业成立不满足3年的，为成立以来），参赛主体对地理标志的直接投入情况（主要包括科研经费投入、融资投入、直接相关的基础设施投入、广告宣传投入等），需提交有效的合同、发票、付款凭证等证明资料（如涉及企业商业秘密的，请脱敏处理并标注仅供本赛事使用，但须完整体现地理标志投入的总金额等数据并作相应说明）；企业年均投入对比行业均值及渠道覆盖度情况等</w:t>
            </w:r>
          </w:p>
        </w:tc>
        <w:tc>
          <w:tcPr>
            <w:tcW w:w="1035" w:type="dxa"/>
            <w:noWrap w:val="0"/>
            <w:vAlign w:val="center"/>
          </w:tcPr>
          <w:p w14:paraId="16B0F9D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E86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77CB7E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1B5BD93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经济效益</w:t>
            </w:r>
          </w:p>
        </w:tc>
        <w:tc>
          <w:tcPr>
            <w:tcW w:w="675" w:type="dxa"/>
            <w:noWrap w:val="0"/>
            <w:vAlign w:val="center"/>
          </w:tcPr>
          <w:p w14:paraId="7291092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4CA5B4F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1785" w:type="dxa"/>
            <w:noWrap w:val="0"/>
            <w:vAlign w:val="center"/>
          </w:tcPr>
          <w:p w14:paraId="40B5E6B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2EAE181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3686B9F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主要反映衡量地理标志商标通过推广等举措带来的经济价值</w:t>
            </w:r>
          </w:p>
        </w:tc>
        <w:tc>
          <w:tcPr>
            <w:tcW w:w="7142" w:type="dxa"/>
            <w:noWrap w:val="0"/>
            <w:vAlign w:val="center"/>
          </w:tcPr>
          <w:p w14:paraId="0A396E8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产品销售额、增长率及销售情况，表述对区域经济带动的效果</w:t>
            </w:r>
          </w:p>
        </w:tc>
        <w:tc>
          <w:tcPr>
            <w:tcW w:w="1035" w:type="dxa"/>
            <w:noWrap w:val="0"/>
            <w:vAlign w:val="top"/>
          </w:tcPr>
          <w:p w14:paraId="48367CC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34C1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5FCF49C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27D8E1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社会效益</w:t>
            </w:r>
          </w:p>
        </w:tc>
        <w:tc>
          <w:tcPr>
            <w:tcW w:w="675" w:type="dxa"/>
            <w:noWrap w:val="0"/>
            <w:vAlign w:val="center"/>
          </w:tcPr>
          <w:p w14:paraId="24B6904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3CF0D1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58542C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222E9E0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236046C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主要反映企业近三年来促进地方产业就业情况，助力乡村振兴工作</w:t>
            </w:r>
          </w:p>
        </w:tc>
        <w:tc>
          <w:tcPr>
            <w:tcW w:w="7142" w:type="dxa"/>
            <w:noWrap w:val="0"/>
            <w:vAlign w:val="center"/>
          </w:tcPr>
          <w:p w14:paraId="66DD1D9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近三年来企业通过生产、加工、销售等环节，直接或间接吸纳当地劳动力就业情况；在促进乡村经济、改善农村基础设施、提升乡村品牌等方面的贡献情况</w:t>
            </w:r>
          </w:p>
        </w:tc>
        <w:tc>
          <w:tcPr>
            <w:tcW w:w="1035" w:type="dxa"/>
            <w:noWrap w:val="0"/>
            <w:vAlign w:val="top"/>
          </w:tcPr>
          <w:p w14:paraId="34FBB42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37EA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4AF9200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1FF0C62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可持续发展</w:t>
            </w:r>
          </w:p>
        </w:tc>
        <w:tc>
          <w:tcPr>
            <w:tcW w:w="675" w:type="dxa"/>
            <w:noWrap w:val="0"/>
            <w:vAlign w:val="center"/>
          </w:tcPr>
          <w:p w14:paraId="735F82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1ECF7AD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0C2762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7CC77B0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245F8DD6">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主要反映企业企业资源节约、资源回收、使用先进设备或技艺处理污染物情况</w:t>
            </w:r>
          </w:p>
        </w:tc>
        <w:tc>
          <w:tcPr>
            <w:tcW w:w="7142" w:type="dxa"/>
            <w:noWrap w:val="0"/>
            <w:vAlign w:val="center"/>
          </w:tcPr>
          <w:p w14:paraId="3BB5DC0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近年企业采用的节约环保措施，所建立的资源回收体系情况</w:t>
            </w:r>
          </w:p>
        </w:tc>
        <w:tc>
          <w:tcPr>
            <w:tcW w:w="1035" w:type="dxa"/>
            <w:noWrap w:val="0"/>
            <w:vAlign w:val="top"/>
          </w:tcPr>
          <w:p w14:paraId="02BE5C0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242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7C34F5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附加分</w:t>
            </w:r>
          </w:p>
        </w:tc>
        <w:tc>
          <w:tcPr>
            <w:tcW w:w="1365" w:type="dxa"/>
            <w:noWrap w:val="0"/>
            <w:vAlign w:val="center"/>
          </w:tcPr>
          <w:p w14:paraId="25B944D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highlight w:val="none"/>
                <w:lang w:eastAsia="zh-CN"/>
              </w:rPr>
              <w:t>地理标志</w:t>
            </w:r>
            <w:r>
              <w:rPr>
                <w:rFonts w:hint="default" w:ascii="Times New Roman" w:hAnsi="Times New Roman" w:eastAsia="宋体" w:cs="Times New Roman"/>
                <w:sz w:val="18"/>
                <w:szCs w:val="18"/>
                <w:highlight w:val="none"/>
              </w:rPr>
              <w:t>工作的亮点与创新</w:t>
            </w:r>
          </w:p>
        </w:tc>
        <w:tc>
          <w:tcPr>
            <w:tcW w:w="675" w:type="dxa"/>
            <w:noWrap w:val="0"/>
            <w:vAlign w:val="center"/>
          </w:tcPr>
          <w:p w14:paraId="503EFA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720" w:type="dxa"/>
            <w:noWrap w:val="0"/>
            <w:vAlign w:val="center"/>
          </w:tcPr>
          <w:p w14:paraId="3C6209F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38E55F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4116855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34D767E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主要反映参赛主体在地理标志产业发展过程中具有显著效果的工作与具有创新性的工作</w:t>
            </w:r>
          </w:p>
        </w:tc>
        <w:tc>
          <w:tcPr>
            <w:tcW w:w="7142" w:type="dxa"/>
            <w:noWrap w:val="0"/>
            <w:vAlign w:val="center"/>
          </w:tcPr>
          <w:p w14:paraId="5DB4A71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参赛主体在地理标志培育、推介、交易、地理标志品牌建设等工作过程中，具有创新性的经验做法及取得的成效</w:t>
            </w:r>
          </w:p>
        </w:tc>
        <w:tc>
          <w:tcPr>
            <w:tcW w:w="1035" w:type="dxa"/>
            <w:noWrap w:val="0"/>
            <w:vAlign w:val="top"/>
          </w:tcPr>
          <w:p w14:paraId="06F7104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697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4B6CD51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2195724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color w:val="000000"/>
                <w:sz w:val="18"/>
                <w:szCs w:val="18"/>
                <w:lang w:val="en-US" w:eastAsia="zh-CN"/>
              </w:rPr>
              <w:t>网络投票</w:t>
            </w:r>
          </w:p>
        </w:tc>
        <w:tc>
          <w:tcPr>
            <w:tcW w:w="675" w:type="dxa"/>
            <w:noWrap w:val="0"/>
            <w:vAlign w:val="center"/>
          </w:tcPr>
          <w:p w14:paraId="4FED50D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2A1335F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4C996AC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客观指标</w:t>
            </w:r>
          </w:p>
        </w:tc>
        <w:tc>
          <w:tcPr>
            <w:tcW w:w="2250" w:type="dxa"/>
            <w:noWrap w:val="0"/>
            <w:vAlign w:val="center"/>
          </w:tcPr>
          <w:p w14:paraId="6A0E745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网站信息</w:t>
            </w:r>
          </w:p>
        </w:tc>
        <w:tc>
          <w:tcPr>
            <w:tcW w:w="5340" w:type="dxa"/>
            <w:noWrap w:val="0"/>
            <w:vAlign w:val="center"/>
          </w:tcPr>
          <w:p w14:paraId="581D81F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初赛完成后根据赛程安排将组织网络投票，根据投票情况进行分数核算</w:t>
            </w:r>
          </w:p>
        </w:tc>
        <w:tc>
          <w:tcPr>
            <w:tcW w:w="7142" w:type="dxa"/>
            <w:noWrap w:val="0"/>
            <w:vAlign w:val="center"/>
          </w:tcPr>
          <w:p w14:paraId="4DCA358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0-500票（网络投票得分为总得票数除以100，得分保留小数点后两位）</w:t>
            </w:r>
          </w:p>
        </w:tc>
        <w:tc>
          <w:tcPr>
            <w:tcW w:w="1035" w:type="dxa"/>
            <w:noWrap w:val="0"/>
            <w:vAlign w:val="top"/>
          </w:tcPr>
          <w:p w14:paraId="435EFEA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7A11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75" w:type="dxa"/>
            <w:gridSpan w:val="2"/>
            <w:noWrap w:val="0"/>
            <w:vAlign w:val="center"/>
          </w:tcPr>
          <w:p w14:paraId="6D3A960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合计</w:t>
            </w:r>
          </w:p>
        </w:tc>
        <w:tc>
          <w:tcPr>
            <w:tcW w:w="675" w:type="dxa"/>
            <w:noWrap w:val="0"/>
            <w:vAlign w:val="center"/>
          </w:tcPr>
          <w:p w14:paraId="01A3A54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r>
              <w:rPr>
                <w:rFonts w:hint="default" w:ascii="Times New Roman" w:hAnsi="Times New Roman" w:eastAsia="宋体" w:cs="Times New Roman"/>
                <w:sz w:val="18"/>
                <w:szCs w:val="18"/>
                <w:lang w:val="en-US" w:eastAsia="zh-CN"/>
              </w:rPr>
              <w:t>5</w:t>
            </w:r>
          </w:p>
        </w:tc>
        <w:tc>
          <w:tcPr>
            <w:tcW w:w="720" w:type="dxa"/>
            <w:noWrap w:val="0"/>
            <w:vAlign w:val="center"/>
          </w:tcPr>
          <w:p w14:paraId="7F1CCC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110</w:t>
            </w:r>
          </w:p>
        </w:tc>
        <w:tc>
          <w:tcPr>
            <w:tcW w:w="17552" w:type="dxa"/>
            <w:gridSpan w:val="5"/>
            <w:noWrap w:val="0"/>
            <w:vAlign w:val="center"/>
          </w:tcPr>
          <w:p w14:paraId="2A685DB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bl>
    <w:p w14:paraId="69632915">
      <w:pPr>
        <w:adjustRightInd w:val="0"/>
        <w:snapToGrid w:val="0"/>
        <w:spacing w:line="580" w:lineRule="exact"/>
        <w:rPr>
          <w:rFonts w:hint="eastAsia" w:eastAsia="仿宋_GB2312"/>
          <w:sz w:val="32"/>
        </w:rPr>
      </w:pPr>
    </w:p>
    <w:p w14:paraId="1BBB8207">
      <w:pPr>
        <w:rPr>
          <w:rFonts w:hint="eastAsia"/>
        </w:rPr>
      </w:pPr>
    </w:p>
    <w:p w14:paraId="7FB76E57">
      <w:pPr>
        <w:pStyle w:val="4"/>
        <w:ind w:left="0" w:leftChars="0" w:firstLine="0" w:firstLineChars="0"/>
        <w:rPr>
          <w:rFonts w:hint="eastAsia"/>
        </w:rPr>
        <w:sectPr>
          <w:pgSz w:w="23811" w:h="16838" w:orient="landscape"/>
          <w:pgMar w:top="1587" w:right="1984" w:bottom="1474" w:left="1701" w:header="851" w:footer="1191" w:gutter="0"/>
          <w:pgNumType w:fmt="decimal"/>
          <w:cols w:space="720" w:num="1"/>
          <w:titlePg/>
          <w:rtlGutter w:val="0"/>
          <w:docGrid w:type="linesAndChars" w:linePitch="631" w:charSpace="-3336"/>
        </w:sectPr>
      </w:pPr>
    </w:p>
    <w:p w14:paraId="6DB42A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86B6">
    <w:pPr>
      <w:pStyle w:val="5"/>
      <w:spacing w:line="300" w:lineRule="exact"/>
      <w:ind w:left="0" w:leftChars="0" w:right="374" w:rightChars="117" w:firstLine="217" w:firstLineChars="1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14:paraId="15765FF0">
                          <w:pPr>
                            <w:pStyle w:val="5"/>
                            <w:spacing w:line="300" w:lineRule="exact"/>
                            <w:ind w:right="374" w:rightChars="117"/>
                            <w:jc w:val="both"/>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LqKzH9EBAACjAwAADgAAAGRycy9lMm9Eb2MueG1srVNLbtswEN0X&#10;yB0I7mvJBtIKguWghZGgQNEWSHMAmiItAvyBQ1vyBdobdNVN9z2Xz9EhJTlBssmiG2p+fDPvcbS+&#10;GYwmRxFAOdvQ5aKkRFjuWmX3DX34fvu2ogQisy3TzoqGngTQm83Vm3Xva7FyndOtCARBLNS9b2gX&#10;o6+LAngnDIOF88JiUrpgWEQ37Is2sB7RjS5WZfmu6F1ofXBcAGB0OybphBheA+ikVFxsHT8YYeOI&#10;GoRmESlBpzzQTZ5WSsHjVylBRKIbikxjPrEJ2rt0Fps1q/eB+U7xaQT2mhGecTJMWWx6gdqyyMgh&#10;qBdQRvHgwMm44M4UI5GsCLJYls+0ue+YF5kLSg3+Ijr8P1j+5fgtENXiJlBimcEHP//6ef799/zn&#10;B1kmeXoPNVbde6yLw0c3pNIpDhhMrAcZTPoiH4J5FPd0EVcMkfB0qVpVVYkpjrnZQZzi8boPEO+E&#10;MyQZDQ34ellUdvwMcSydS1I3626V1hhntbakb+iqun5/nW9cUoiuLTZJLMZpkxWH3TBR2Ln2hMx6&#10;XIGGWtx4SvQniwqnbZmNMBu72Tj4oPZdXqfUH/yHQ8Rx8pSpwwg7Nca3yzynPUvL8dTPVY//1u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1QNIAAAAFAQAADwAAAAAAAAABACAAAAAiAAAAZHJz&#10;L2Rvd25yZXYueG1sUEsBAhQAFAAAAAgAh07iQC6isx/RAQAAowMAAA4AAAAAAAAAAQAgAAAAIQEA&#10;AGRycy9lMm9Eb2MueG1sUEsFBgAAAAAGAAYAWQEAAGQFAAAAAA==&#10;">
              <v:fill on="f" focussize="0,0"/>
              <v:stroke on="f" weight="2.25pt"/>
              <v:imagedata o:title=""/>
              <o:lock v:ext="edit" aspectratio="f"/>
              <v:textbox inset="0mm,0mm,0mm,0mm" style="mso-fit-shape-to-text:t;">
                <w:txbxContent>
                  <w:p w14:paraId="15765FF0">
                    <w:pPr>
                      <w:pStyle w:val="5"/>
                      <w:spacing w:line="300" w:lineRule="exact"/>
                      <w:ind w:right="374" w:rightChars="117"/>
                      <w:jc w:val="both"/>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19D6">
    <w:pPr>
      <w:pStyle w:val="5"/>
      <w:spacing w:line="300" w:lineRule="exact"/>
      <w:ind w:left="0" w:leftChars="0" w:right="374" w:rightChars="117" w:firstLine="217" w:firstLineChars="1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14:paraId="492002FC">
                          <w:pPr>
                            <w:pStyle w:val="5"/>
                            <w:spacing w:line="300" w:lineRule="exact"/>
                            <w:ind w:left="0" w:leftChars="0" w:right="374" w:rightChars="117" w:firstLine="338" w:firstLineChars="121"/>
                            <w:jc w:val="cente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EPWEV9EBAACjAwAADgAAAGRycy9lMm9Eb2MueG1srVPNjtMwEL4j&#10;8Q6W7zTZSAtR1HS1qFqEhABp2QdwHbux5D953CZ9AXgDTly481x9DsZO0kXLZQ97cWY842/m+2ay&#10;vhmNJkcRQDnb0qtVSYmw3HXK7lv68O3uTU0JRGY7pp0VLT0JoDeb16/Wg29E5XqnOxEIglhoBt/S&#10;PkbfFAXwXhgGK+eFxaB0wbCIbtgXXWADohtdVGX5thhc6HxwXADg7XYK0hkxPAfQSam42Dp+MMLG&#10;CTUIzSJSgl55oJvcrZSCxy9SgohEtxSZxnxiEbR36Sw2a9bsA/O94nML7DktPOFkmLJY9AK1ZZGR&#10;Q1D/QRnFgwMn44o7U0xEsiLI4qp8os19z7zIXFBq8BfR4eVg+efj10BU19KKEssMDvz888f515/z&#10;7++kSvIMHhrMuveYF8f3bsSlWe4BLxPrUQaTvsiHYBzFPV3EFWMkPD2qq7ouMcQxtjiIXzw+9wHi&#10;B+EMSUZLA04vi8qOnyBOqUtKqmbdndI6T1BbMiCF+vrddX5xCSG6tlgksZi6TVYcd+NMbee6EzIb&#10;cAVaanHjKdEfLSqctmUxwmLsFuPgg9r3eZ1SK+BvDxHbyV2mChPsXBhnl3nOe5aW418/Zz3+W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1QNIAAAAFAQAADwAAAAAAAAABACAAAAAiAAAAZHJz&#10;L2Rvd25yZXYueG1sUEsBAhQAFAAAAAgAh07iQBD1hFfRAQAAowMAAA4AAAAAAAAAAQAgAAAAIQEA&#10;AGRycy9lMm9Eb2MueG1sUEsFBgAAAAAGAAYAWQEAAGQFAAAAAA==&#10;">
              <v:fill on="f" focussize="0,0"/>
              <v:stroke on="f" weight="2.25pt"/>
              <v:imagedata o:title=""/>
              <o:lock v:ext="edit" aspectratio="f"/>
              <v:textbox inset="0mm,0mm,0mm,0mm" style="mso-fit-shape-to-text:t;">
                <w:txbxContent>
                  <w:p w14:paraId="492002FC">
                    <w:pPr>
                      <w:pStyle w:val="5"/>
                      <w:spacing w:line="300" w:lineRule="exact"/>
                      <w:ind w:left="0" w:leftChars="0" w:right="374" w:rightChars="117" w:firstLine="338" w:firstLineChars="121"/>
                      <w:jc w:val="cente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E77A9"/>
    <w:rsid w:val="078A62CE"/>
    <w:rsid w:val="366E77A9"/>
    <w:rsid w:val="6B32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Body Text"/>
    <w:basedOn w:val="1"/>
    <w:next w:val="1"/>
    <w:qFormat/>
    <w:uiPriority w:val="0"/>
    <w:pPr>
      <w:autoSpaceDE w:val="0"/>
      <w:autoSpaceDN w:val="0"/>
      <w:jc w:val="left"/>
    </w:pPr>
    <w:rPr>
      <w:rFonts w:ascii="宋体" w:hAnsi="宋体" w:cs="宋体"/>
      <w:kern w:val="0"/>
      <w:sz w:val="28"/>
      <w:szCs w:val="28"/>
      <w:lang w:eastAsia="en-US"/>
    </w:rPr>
  </w:style>
  <w:style w:type="paragraph" w:styleId="4">
    <w:name w:val="Body Text Indent 2"/>
    <w:basedOn w:val="1"/>
    <w:next w:val="3"/>
    <w:qFormat/>
    <w:uiPriority w:val="0"/>
    <w:pPr>
      <w:spacing w:line="500" w:lineRule="exact"/>
      <w:ind w:firstLine="675" w:firstLineChars="225"/>
    </w:pPr>
    <w:rPr>
      <w:rFonts w:ascii="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22</Pages>
  <Words>3349</Words>
  <Characters>3406</Characters>
  <Lines>0</Lines>
  <Paragraphs>0</Paragraphs>
  <TotalTime>30</TotalTime>
  <ScaleCrop>false</ScaleCrop>
  <LinksUpToDate>false</LinksUpToDate>
  <CharactersWithSpaces>3406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2025-07-22T02:51:00Z</dcterms:created>
  <dc:creator>胡翌婧</dc:creator>
  <cp:lastModifiedBy>索凌飞</cp:lastModifiedBy>
  <dcterms:modified xsi:type="dcterms:W3CDTF">2025-07-23T04:00:20Z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D369CBF4C1B94A3C8F766ACCC4098B9B_13</vt:lpwstr>
  </property>
  <property fmtid="{D5CDD505-2E9C-101B-9397-08002B2CF9AE}" pid="4" name="KSOTemplateDocerSaveRecord">
    <vt:lpwstr>eyJoZGlkIjoiNGZkMjhkM2Y2ZjJhYzk2NjU4NmFjY2QwMzliZjEzNzAiLCJ1c2VySWQiOiI0MTg1NDI3MjIifQ==</vt:lpwstr>
  </property>
</Properties>
</file>