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8913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 w:bidi="ar"/>
        </w:rPr>
        <w:t>附件1</w:t>
      </w:r>
    </w:p>
    <w:p w14:paraId="41961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after="313" w:afterLines="100" w:line="360" w:lineRule="auto"/>
        <w:contextualSpacing/>
        <w:jc w:val="center"/>
        <w:textAlignment w:val="auto"/>
        <w:rPr>
          <w:rFonts w:eastAsia="仿宋_GB2312"/>
          <w:color w:val="auto"/>
          <w:sz w:val="40"/>
          <w:szCs w:val="40"/>
        </w:rPr>
      </w:pPr>
      <w:r>
        <w:rPr>
          <w:rFonts w:hint="eastAsia" w:eastAsia="方正小标宋简体"/>
          <w:color w:val="auto"/>
          <w:kern w:val="0"/>
          <w:sz w:val="44"/>
          <w:szCs w:val="44"/>
          <w:lang w:bidi="ar"/>
        </w:rPr>
        <w:t>服务机器人专区展位数量安排评审标准</w:t>
      </w:r>
    </w:p>
    <w:p w14:paraId="7DE6C5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color w:val="auto"/>
          <w:sz w:val="32"/>
          <w:szCs w:val="32"/>
        </w:rPr>
        <w:t>一、申报要求</w:t>
      </w:r>
    </w:p>
    <w:p w14:paraId="40EEEB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（一）申报单位须为在中华人民共和国境内注册、具有独立法人资格的企事业单位。</w:t>
      </w:r>
    </w:p>
    <w:p w14:paraId="653237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（二）符合机器人产业发展政策要求，具有固定的经营场所。</w:t>
      </w:r>
    </w:p>
    <w:p w14:paraId="504186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</w:rPr>
        <w:t>二、企业基本情况</w:t>
      </w:r>
    </w:p>
    <w:p w14:paraId="0D45AB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3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</w:rPr>
        <w:t>（一）营业资质。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工商行政管理部门颁发的《企业法人营业执照》复印件。</w:t>
      </w:r>
    </w:p>
    <w:p w14:paraId="4B581A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3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</w:rPr>
        <w:t>（二）企业介绍。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包括但不限于：</w:t>
      </w:r>
    </w:p>
    <w:p w14:paraId="5EC3D0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1.企业基本情况介绍（200字以上）；</w:t>
      </w:r>
    </w:p>
    <w:p w14:paraId="4FE3C8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2.企业上一财年主营业务收入证明材料（财务会计报表、纳税证明等）；</w:t>
      </w:r>
    </w:p>
    <w:p w14:paraId="47D37E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3.企业上一财年研发投入证明材料（财务会计报表等）；</w:t>
      </w:r>
    </w:p>
    <w:p w14:paraId="61DE10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4.企业境内外销售情况介绍；</w:t>
      </w:r>
    </w:p>
    <w:p w14:paraId="64D8B3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5.企业产品介绍（200字以上，并附图片）。</w:t>
      </w:r>
    </w:p>
    <w:p w14:paraId="28DFF5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6.获得的国家有关部委认可的相关奖项资料。</w:t>
      </w:r>
    </w:p>
    <w:p w14:paraId="376920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3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</w:rPr>
        <w:t>（三）声明（需法人签字、盖章），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内容如下：</w:t>
      </w:r>
    </w:p>
    <w:p w14:paraId="068187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1.申请人共上报申报文件资料XX页；</w:t>
      </w:r>
    </w:p>
    <w:p w14:paraId="651225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2.申请人依法注册，具有独立法人资格，并合法经营；</w:t>
      </w:r>
    </w:p>
    <w:p w14:paraId="2D8A91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3.依法纳税，近三年无违反国家法律法规的行为，无重大质量、生产安全等事故；</w:t>
      </w:r>
    </w:p>
    <w:p w14:paraId="083FB1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4.申请人申报的所有文件和资料是准确、真实、完整和有效的；</w:t>
      </w:r>
    </w:p>
    <w:p w14:paraId="6AF298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5.申请人申报的所有复印件均与原件核对，完全一致；</w:t>
      </w:r>
    </w:p>
    <w:p w14:paraId="0970BA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6.申请人承诺接受有关主管部门为审核本申请而进行的必要核查。</w:t>
      </w:r>
    </w:p>
    <w:p w14:paraId="197FF5F2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01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三、境内外商标注册（10分）</w:t>
      </w:r>
    </w:p>
    <w:p w14:paraId="094910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境内外注册商标持有者须与申请企业一致，商标覆盖的产品应属于服务机器人专区规定的参展商品目录。属商标转让的，应提交有关证明材料。</w:t>
      </w:r>
    </w:p>
    <w:p w14:paraId="17ED7E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每一个境内注册商标得1分，累计不超过3分。境外商标在一个国家（地区）注册（包括注册多个）得1分，每增加一个国家（地区）加1分。获得欧共体市场协调局（OHIM）、欧盟知识产权局（EUIPO）、非盟（OAPI）注册的有效商标，按10分计算。获得“马德里协定”国际注册的（简称“WIPO”或“OMPI”）以协定国数量计分。在“比荷卢”（Benelux）商标联盟注册的，计3分。</w:t>
      </w:r>
    </w:p>
    <w:p w14:paraId="7E2F4C11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01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本项累计不超过10分。</w:t>
      </w:r>
    </w:p>
    <w:p w14:paraId="4AC00CF1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01"/>
        <w:textAlignment w:val="auto"/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四、研发创新和自主知识产权（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</w:rPr>
        <w:t>55分）</w:t>
      </w:r>
    </w:p>
    <w:p w14:paraId="4B7403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3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</w:rPr>
        <w:t>（一）国家科学技术奖。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近三年获得国家科学技术奖的，每获一项得10分，累计不超过10分。</w:t>
      </w:r>
    </w:p>
    <w:p w14:paraId="1EEFFA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3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</w:rPr>
        <w:t>（二）国家级或省级认定研发创新类企业。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制造业单项冠军、国家企业技术中心得10分；专精特新“小巨人”、制造业单项冠军产品得5分、国家级高新技术企业（包括2008年后由省级认定机构按国家标准认定的）得3分；省级专精特新中小企业得1分（专精特新“小巨人”企业该项不计分）。以上累计不超过15分。</w:t>
      </w:r>
    </w:p>
    <w:p w14:paraId="005C2CC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3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</w:rPr>
        <w:t>（三）国家级或省部级科研项目。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三年内曾参与国家级重大科研项目企业得10分，参与省部级重大科研计划企业得5分，累计不超过15分。如入选工业和信息化部《人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形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机器人揭榜挂帅人物榜单》、《国家重点研发计划》等。</w:t>
      </w:r>
    </w:p>
    <w:p w14:paraId="35033A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3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</w:rPr>
        <w:t>（四）专利与版权。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专利包括在境内外申请的合法持有的发明、实用新型和外观设计，其中，在境外申请的专利特指通过巴黎公约或专利合作条约（PCT）申请的，且可通过联合国世界知识产权组织等权威机构检索到的专利。每拥有一项发明专利得3分；每拥有一项实用新型专利得1分；外观专利和版权每五项得1分，不足五项不计分，累计不超过5分。此项总分10分。</w:t>
      </w:r>
    </w:p>
    <w:p w14:paraId="5238B6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3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</w:rPr>
        <w:t>（五）国家标准或行业标准。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每制定或修订一个产品（技术）的国家标准得5分，每制定或修订一个产品（技术）的行业标准得3分，累计不超过5分。</w:t>
      </w:r>
    </w:p>
    <w:p w14:paraId="7B855C3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以上五项累计不超过55分。</w:t>
      </w:r>
    </w:p>
    <w:p w14:paraId="05FAF86C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01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五、国际通行认证（10分）</w:t>
      </w:r>
    </w:p>
    <w:p w14:paraId="224104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国际通行的质量管理体系、环境管理体系或行业认证的有效证书持有者须与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专区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展位申请企业一致，且覆盖产品应属于所申请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专区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规定的参展商品目录。</w:t>
      </w:r>
    </w:p>
    <w:p w14:paraId="4CB27DC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（一）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国际质量管理体系、环境管理体系指：ISO9000 系列质量管理体系、ISO14000 系列环境管理体系、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 xml:space="preserve">ISO45000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系列职业健康安全管理体系、SA8000社会责任标准。通过一项认证得2分。</w:t>
      </w:r>
    </w:p>
    <w:p w14:paraId="0A6351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（二）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行业认证包括面向企业的行业认证和面向产品或生产线的行业认证，其中：</w:t>
      </w:r>
    </w:p>
    <w:p w14:paraId="7B5BFBB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面向企业的行业认证包括ISO/TS16949或IATF16949汽车行业质量体系、ISO13485医疗器械质量管理体系认证、英国零售商协会BRC认证，通过一项认证得2分；</w:t>
      </w:r>
    </w:p>
    <w:p w14:paraId="554043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27" w:firstLineChars="196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面向产品或生产线的行业认证标准包括欧盟CE、EMC、ROHS、PAHS、REACH、EC认证、美国UL、UPC、FDA、ETL、FCC、EPA、CPSC认证、加拿大CSA、CETL认证、澳大利亚WATERMARK、TGA、SAA认证、RCM认证、德国GS、TUV认证、英国BSI、UKCA认证、海湾GCC认证、日本PSE认证、韩国KS认证、WHO PQ认证、Halal认证、Kosher认证、IECEE CB认证、BSCI认证、GRS认证、BV认证、SMETA认证，通过一项认证得1分，同个产品或生产线通过多项认证累计不超过2分。</w:t>
      </w:r>
    </w:p>
    <w:p w14:paraId="6FFCDF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27" w:firstLineChars="196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以上认证累计不超过10分。</w:t>
      </w:r>
    </w:p>
    <w:p w14:paraId="08D718E6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01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六、自主可控能力（10分）</w:t>
      </w:r>
    </w:p>
    <w:p w14:paraId="7DA0C541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01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有自有工厂的企业得5分；有自主研发中心的企业得5分；有上游供应链管理能力的企业得5分。本项累计不超过10分。</w:t>
      </w:r>
    </w:p>
    <w:p w14:paraId="7D564B59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01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七、行业影响力（15分）</w:t>
      </w:r>
    </w:p>
    <w:p w14:paraId="7C3746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由商会推荐的专家结合产品的创新性、市场认可度以及企业和产品在行业中的影响力等维度进行专业评分。其中，具身机器人（人形机器人、机器狗等）企业得8分。全球知名或独角兽企业得5分。本项累计不超过15分。</w:t>
      </w:r>
    </w:p>
    <w:p w14:paraId="459015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八、展位使用管理要求</w:t>
      </w:r>
    </w:p>
    <w:p w14:paraId="56A235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3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</w:rPr>
        <w:t>（一）展位数量。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专区参展企业每家获得展位数不低于4个。如企业有额外展位需求，每超过平均得分5分可多获得1个展位。获得展位数最多不超过10个。安排结果参照品牌展位位置安排，在广交会官网进行公示公布。</w:t>
      </w:r>
    </w:p>
    <w:p w14:paraId="34BFE3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3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</w:rPr>
        <w:t>（二）展位位置。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由机电商会按照参展企业得分，按照优企优地、同类产品适当集聚的原则安排。安排结果参照品牌展位位置安排，在广交会官网进行公示公布。</w:t>
      </w:r>
    </w:p>
    <w:p w14:paraId="71F8EC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3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</w:rPr>
        <w:t>（三）展位使用管理。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专区展位仅限本企业使用，不得与有联合经营或供货关系的企业共同参展。一经发现违反广交会展位使用管理规定相关行为，则取消参展企业资格，5年10届不得在该专区参展，本企业及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法人代表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名下企业在该专区及其他展区展位均收回，下一届不得参展。</w:t>
      </w:r>
    </w:p>
    <w:p w14:paraId="255CC6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3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</w:rPr>
        <w:t>（四）展位动态调整。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对专区参展企业原则上实行二年一评制，其展位数量安排原则上保持四届不变。允许企业退回展位，退回部分参照本标准重新安排至有需求的企业。两次重评期间，非专区企业可随时提交、补充或更新申请材料。申报时间节点参照每届品牌展位申报通知执行。</w:t>
      </w:r>
    </w:p>
    <w:p w14:paraId="7451930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560CC8"/>
    <w:rsid w:val="2FA15D58"/>
    <w:rsid w:val="5B94144C"/>
    <w:rsid w:val="70F7658F"/>
    <w:rsid w:val="7F56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0"/>
    <w:pPr>
      <w:spacing w:before="120" w:after="120" w:line="240" w:lineRule="auto"/>
      <w:jc w:val="left"/>
    </w:pPr>
    <w:rPr>
      <w:rFonts w:eastAsia="仿宋_GB2312" w:asciiTheme="minorAscii" w:hAnsiTheme="minorAscii"/>
      <w:sz w:val="30"/>
    </w:rPr>
  </w:style>
  <w:style w:type="paragraph" w:styleId="3">
    <w:name w:val="toc 2"/>
    <w:basedOn w:val="1"/>
    <w:next w:val="1"/>
    <w:uiPriority w:val="0"/>
    <w:pPr>
      <w:ind w:left="420" w:leftChars="200"/>
    </w:pPr>
  </w:style>
  <w:style w:type="paragraph" w:customStyle="1" w:styleId="6">
    <w:name w:val="WPSOffice手动目录 2"/>
    <w:basedOn w:val="3"/>
    <w:next w:val="1"/>
    <w:link w:val="7"/>
    <w:uiPriority w:val="0"/>
    <w:pPr>
      <w:ind w:left="0" w:leftChars="0"/>
      <w:jc w:val="left"/>
    </w:pPr>
    <w:rPr>
      <w:rFonts w:ascii="Times New Roman" w:hAnsi="Times New Roman" w:eastAsia="仿宋_GB2312"/>
      <w:sz w:val="24"/>
      <w:szCs w:val="20"/>
    </w:rPr>
  </w:style>
  <w:style w:type="character" w:customStyle="1" w:styleId="7">
    <w:name w:val="WPSOffice手动目录 2 Char"/>
    <w:link w:val="6"/>
    <w:uiPriority w:val="0"/>
    <w:rPr>
      <w:rFonts w:ascii="Times New Roman" w:hAnsi="Times New Roman" w:eastAsia="仿宋_GB2312"/>
      <w:sz w:val="24"/>
      <w:szCs w:val="20"/>
    </w:rPr>
  </w:style>
  <w:style w:type="paragraph" w:customStyle="1" w:styleId="8">
    <w:name w:val="CM10"/>
    <w:basedOn w:val="1"/>
    <w:next w:val="1"/>
    <w:qFormat/>
    <w:uiPriority w:val="0"/>
    <w:pPr>
      <w:autoSpaceDE w:val="0"/>
      <w:autoSpaceDN w:val="0"/>
      <w:adjustRightInd w:val="0"/>
      <w:spacing w:line="580" w:lineRule="atLeast"/>
      <w:jc w:val="left"/>
    </w:pPr>
    <w:rPr>
      <w:rFonts w:asci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2025-05-20T02:38:00Z</dcterms:created>
  <dc:creator>sukiis_</dc:creator>
  <cp:lastModifiedBy>sukiis_</cp:lastModifiedBy>
  <dcterms:modified xsi:type="dcterms:W3CDTF">2025-05-20T02:38:28Z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403B5C4FCC94463A9E9A8199FE6122E8_11</vt:lpwstr>
  </property>
  <property fmtid="{D5CDD505-2E9C-101B-9397-08002B2CF9AE}" pid="4" name="KSOTemplateDocerSaveRecord">
    <vt:lpwstr>eyJoZGlkIjoiNTgzYTY5YjU2YmRmYjBiOTFiMDZjMzUyODY1Y2Q2N2UiLCJ1c2VySWQiOiI4NTczOTA0MjUifQ==</vt:lpwstr>
  </property>
</Properties>
</file>