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7FAD">
      <w:pPr>
        <w:rPr>
          <w:sz w:val="36"/>
          <w:szCs w:val="36"/>
        </w:rPr>
      </w:pPr>
      <w:r>
        <w:rPr>
          <w:sz w:val="36"/>
          <w:szCs w:val="36"/>
        </w:rPr>
        <w:t>附件：</w:t>
      </w:r>
      <w:r>
        <w:rPr>
          <w:rFonts w:hint="eastAsia"/>
          <w:sz w:val="36"/>
          <w:szCs w:val="36"/>
        </w:rPr>
        <w:t>1</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2260"/>
        <w:gridCol w:w="6060"/>
      </w:tblGrid>
      <w:tr w14:paraId="34C1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640" w:type="dxa"/>
            <w:gridSpan w:val="3"/>
            <w:tcBorders>
              <w:tl2br w:val="nil"/>
              <w:tr2bl w:val="nil"/>
            </w:tcBorders>
            <w:shd w:val="clear" w:color="auto" w:fill="auto"/>
            <w:noWrap/>
            <w:vAlign w:val="center"/>
          </w:tcPr>
          <w:p w14:paraId="3E3216FE">
            <w:pPr>
              <w:widowControl/>
              <w:spacing w:line="560" w:lineRule="exact"/>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36"/>
                <w:szCs w:val="36"/>
              </w:rPr>
              <w:t>韶关市中心业余体校202</w:t>
            </w:r>
            <w:r>
              <w:rPr>
                <w:rFonts w:hint="eastAsia" w:ascii="方正小标宋简体" w:hAnsi="宋体" w:eastAsia="方正小标宋简体" w:cs="宋体"/>
                <w:color w:val="000000"/>
                <w:kern w:val="0"/>
                <w:sz w:val="36"/>
                <w:szCs w:val="36"/>
                <w:lang w:val="en-US" w:eastAsia="zh-CN"/>
              </w:rPr>
              <w:t>5</w:t>
            </w:r>
            <w:r>
              <w:rPr>
                <w:rFonts w:hint="eastAsia" w:ascii="方正小标宋简体" w:hAnsi="宋体" w:eastAsia="方正小标宋简体" w:cs="宋体"/>
                <w:color w:val="000000"/>
                <w:kern w:val="0"/>
                <w:sz w:val="36"/>
                <w:szCs w:val="36"/>
              </w:rPr>
              <w:t>年</w:t>
            </w:r>
            <w:r>
              <w:rPr>
                <w:rFonts w:hint="eastAsia" w:ascii="方正小标宋简体" w:hAnsi="宋体" w:eastAsia="方正小标宋简体" w:cs="宋体"/>
                <w:color w:val="FF0000"/>
                <w:kern w:val="0"/>
                <w:sz w:val="36"/>
                <w:szCs w:val="36"/>
                <w:lang w:val="en-US" w:eastAsia="zh-CN"/>
              </w:rPr>
              <w:t>度</w:t>
            </w:r>
            <w:r>
              <w:rPr>
                <w:rFonts w:hint="eastAsia" w:ascii="方正小标宋简体" w:hAnsi="宋体" w:eastAsia="方正小标宋简体" w:cs="宋体"/>
                <w:color w:val="000000"/>
                <w:kern w:val="0"/>
                <w:sz w:val="36"/>
                <w:szCs w:val="36"/>
              </w:rPr>
              <w:t>物业管理服务项目评分表</w:t>
            </w:r>
          </w:p>
        </w:tc>
      </w:tr>
      <w:tr w14:paraId="0A48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320" w:type="dxa"/>
            <w:vMerge w:val="restart"/>
            <w:tcBorders>
              <w:tl2br w:val="nil"/>
              <w:tr2bl w:val="nil"/>
            </w:tcBorders>
            <w:shd w:val="clear" w:color="auto" w:fill="auto"/>
            <w:vAlign w:val="center"/>
          </w:tcPr>
          <w:p w14:paraId="6ABE357B">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技术得分（55分）</w:t>
            </w:r>
          </w:p>
        </w:tc>
        <w:tc>
          <w:tcPr>
            <w:tcW w:w="2260" w:type="dxa"/>
            <w:tcBorders>
              <w:tl2br w:val="nil"/>
              <w:tr2bl w:val="nil"/>
            </w:tcBorders>
            <w:shd w:val="clear" w:color="auto" w:fill="auto"/>
            <w:vAlign w:val="center"/>
          </w:tcPr>
          <w:p w14:paraId="638BAAD9">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服务实施方案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（20分）</w:t>
            </w:r>
          </w:p>
        </w:tc>
        <w:tc>
          <w:tcPr>
            <w:tcW w:w="6060" w:type="dxa"/>
            <w:tcBorders>
              <w:tl2br w:val="nil"/>
              <w:tr2bl w:val="nil"/>
            </w:tcBorders>
            <w:shd w:val="clear" w:color="auto" w:fill="auto"/>
            <w:vAlign w:val="center"/>
          </w:tcPr>
          <w:p w14:paraId="419D2886">
            <w:pPr>
              <w:widowControl/>
              <w:spacing w:line="560" w:lineRule="exact"/>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投标人的总体服务方案科学合理，能根据用户需求进行详细分析，配套措施完善，服务实施方案合理，完全满足或优于用户需求，得20分；</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总体服务方案较合理，配套措施比较完善，能够满足用户需求，得14分；</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总体服务方案简单，响应配套措施及实施方案较差，不能完全满足用户需求，得7分；</w:t>
            </w:r>
            <w:r>
              <w:rPr>
                <w:rFonts w:hint="eastAsia" w:ascii="宋体" w:hAnsi="宋体" w:eastAsia="宋体" w:cs="宋体"/>
                <w:kern w:val="0"/>
                <w:szCs w:val="21"/>
              </w:rPr>
              <w:br w:type="textWrapping"/>
            </w:r>
            <w:r>
              <w:rPr>
                <w:rFonts w:hint="eastAsia" w:ascii="宋体" w:hAnsi="宋体" w:eastAsia="宋体" w:cs="宋体"/>
                <w:kern w:val="0"/>
                <w:szCs w:val="21"/>
              </w:rPr>
              <w:t>4</w:t>
            </w:r>
            <w:r>
              <w:rPr>
                <w:rFonts w:hint="eastAsia" w:ascii="宋体" w:hAnsi="宋体" w:eastAsia="宋体" w:cs="宋体"/>
                <w:kern w:val="0"/>
                <w:szCs w:val="21"/>
                <w:lang w:val="en-US" w:eastAsia="zh-CN"/>
              </w:rPr>
              <w:t>.</w:t>
            </w:r>
            <w:r>
              <w:rPr>
                <w:rFonts w:hint="eastAsia" w:ascii="宋体" w:hAnsi="宋体" w:eastAsia="宋体" w:cs="宋体"/>
                <w:kern w:val="0"/>
                <w:szCs w:val="21"/>
              </w:rPr>
              <w:t>没有服务方案的不得分。</w:t>
            </w:r>
          </w:p>
        </w:tc>
      </w:tr>
      <w:tr w14:paraId="7520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jc w:val="center"/>
        </w:trPr>
        <w:tc>
          <w:tcPr>
            <w:tcW w:w="1320" w:type="dxa"/>
            <w:vMerge w:val="continue"/>
            <w:tcBorders>
              <w:tl2br w:val="nil"/>
              <w:tr2bl w:val="nil"/>
            </w:tcBorders>
            <w:vAlign w:val="center"/>
          </w:tcPr>
          <w:p w14:paraId="728CDDE8">
            <w:pPr>
              <w:widowControl/>
              <w:spacing w:line="560" w:lineRule="exact"/>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6FE50232">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应急处理方案及应急处理能力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（20分）</w:t>
            </w:r>
          </w:p>
        </w:tc>
        <w:tc>
          <w:tcPr>
            <w:tcW w:w="6060" w:type="dxa"/>
            <w:tcBorders>
              <w:tl2br w:val="nil"/>
              <w:tr2bl w:val="nil"/>
            </w:tcBorders>
            <w:shd w:val="clear" w:color="auto" w:fill="auto"/>
            <w:vAlign w:val="center"/>
          </w:tcPr>
          <w:p w14:paraId="47EAC88B">
            <w:pPr>
              <w:widowControl/>
              <w:spacing w:line="560" w:lineRule="exact"/>
              <w:jc w:val="left"/>
              <w:rPr>
                <w:rFonts w:ascii="宋体" w:hAnsi="宋体" w:eastAsia="宋体" w:cs="宋体"/>
                <w:kern w:val="0"/>
                <w:szCs w:val="21"/>
              </w:rPr>
            </w:pPr>
            <w:r>
              <w:rPr>
                <w:rFonts w:hint="eastAsia" w:ascii="宋体" w:hAnsi="宋体" w:eastAsia="宋体" w:cs="宋体"/>
                <w:kern w:val="0"/>
                <w:szCs w:val="21"/>
              </w:rPr>
              <w:t>投标人提供的应急方案（突发事件、应急处理等服务）及调动项目所在地周边资源(人员、机械设备等)和突发事件应急处理的快捷性进行综合评分：</w:t>
            </w:r>
            <w:r>
              <w:rPr>
                <w:rFonts w:hint="eastAsia" w:ascii="宋体" w:hAnsi="宋体" w:eastAsia="宋体" w:cs="宋体"/>
                <w:kern w:val="0"/>
                <w:szCs w:val="21"/>
              </w:rPr>
              <w:br w:type="textWrapping"/>
            </w:r>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应急管理方案科学合理、措施具体，方案有针对性、可行性强，能调动的资源强大有力，应急响应及时有效，满足或优于用户要求，得20分；</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应急方案较合理、较完整，基本能满足用户要求，得14分；</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应急方案简单，内容没有针对性的，不能完全满足用户要求，得7分；</w:t>
            </w:r>
            <w:r>
              <w:rPr>
                <w:rFonts w:hint="eastAsia" w:ascii="宋体" w:hAnsi="宋体" w:eastAsia="宋体" w:cs="宋体"/>
                <w:kern w:val="0"/>
                <w:szCs w:val="21"/>
              </w:rPr>
              <w:br w:type="textWrapping"/>
            </w:r>
            <w:r>
              <w:rPr>
                <w:rFonts w:hint="eastAsia" w:ascii="宋体" w:hAnsi="宋体" w:eastAsia="宋体" w:cs="宋体"/>
                <w:kern w:val="0"/>
                <w:szCs w:val="21"/>
              </w:rPr>
              <w:t>4</w:t>
            </w:r>
            <w:r>
              <w:rPr>
                <w:rFonts w:hint="eastAsia" w:ascii="宋体" w:hAnsi="宋体" w:eastAsia="宋体" w:cs="宋体"/>
                <w:kern w:val="0"/>
                <w:szCs w:val="21"/>
                <w:lang w:val="en-US" w:eastAsia="zh-CN"/>
              </w:rPr>
              <w:t>.</w:t>
            </w:r>
            <w:r>
              <w:rPr>
                <w:rFonts w:hint="eastAsia" w:ascii="宋体" w:hAnsi="宋体" w:eastAsia="宋体" w:cs="宋体"/>
                <w:kern w:val="0"/>
                <w:szCs w:val="21"/>
              </w:rPr>
              <w:t>没有应急服务方案的不得分。</w:t>
            </w:r>
          </w:p>
        </w:tc>
      </w:tr>
      <w:tr w14:paraId="0F38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320" w:type="dxa"/>
            <w:vMerge w:val="continue"/>
            <w:tcBorders>
              <w:tl2br w:val="nil"/>
              <w:tr2bl w:val="nil"/>
            </w:tcBorders>
            <w:vAlign w:val="center"/>
          </w:tcPr>
          <w:p w14:paraId="2C88FEB3">
            <w:pPr>
              <w:widowControl/>
              <w:spacing w:line="560" w:lineRule="exact"/>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380926EE">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人员管理及培训方案</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（15分）</w:t>
            </w:r>
          </w:p>
        </w:tc>
        <w:tc>
          <w:tcPr>
            <w:tcW w:w="6060" w:type="dxa"/>
            <w:tcBorders>
              <w:tl2br w:val="nil"/>
              <w:tr2bl w:val="nil"/>
            </w:tcBorders>
            <w:shd w:val="clear" w:color="auto" w:fill="auto"/>
            <w:vAlign w:val="center"/>
          </w:tcPr>
          <w:p w14:paraId="5DF52055">
            <w:pPr>
              <w:widowControl/>
              <w:spacing w:line="560" w:lineRule="exact"/>
              <w:jc w:val="left"/>
              <w:rPr>
                <w:rFonts w:ascii="宋体" w:hAnsi="宋体" w:eastAsia="宋体" w:cs="宋体"/>
                <w:kern w:val="0"/>
                <w:szCs w:val="21"/>
              </w:rPr>
            </w:pPr>
            <w:r>
              <w:rPr>
                <w:rFonts w:hint="eastAsia" w:ascii="宋体" w:hAnsi="宋体" w:eastAsia="宋体" w:cs="宋体"/>
                <w:kern w:val="0"/>
                <w:szCs w:val="21"/>
              </w:rPr>
              <w:t>投标人提供的人员管理及培训方案，从员工岗位职责及考核体系、服务团队服务理念、投诉处理程序、人员培训教育等方面提供详尽方案及阐述：</w:t>
            </w:r>
            <w:r>
              <w:rPr>
                <w:rFonts w:hint="eastAsia" w:ascii="宋体" w:hAnsi="宋体" w:eastAsia="宋体" w:cs="宋体"/>
                <w:kern w:val="0"/>
                <w:szCs w:val="21"/>
              </w:rPr>
              <w:br w:type="textWrapping"/>
            </w:r>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制度、方案完善详尽，具可操作性的，得15分；</w:t>
            </w:r>
            <w:r>
              <w:rPr>
                <w:rFonts w:hint="eastAsia" w:ascii="宋体" w:hAnsi="宋体" w:eastAsia="宋体" w:cs="宋体"/>
                <w:kern w:val="0"/>
                <w:szCs w:val="21"/>
              </w:rPr>
              <w:br w:type="textWrapping"/>
            </w:r>
            <w:r>
              <w:rPr>
                <w:rFonts w:hint="eastAsia" w:ascii="宋体" w:hAnsi="宋体" w:eastAsia="宋体" w:cs="宋体"/>
                <w:kern w:val="0"/>
                <w:szCs w:val="21"/>
              </w:rPr>
              <w:t>2</w:t>
            </w:r>
            <w:r>
              <w:rPr>
                <w:rFonts w:hint="eastAsia" w:ascii="宋体" w:hAnsi="宋体" w:eastAsia="宋体" w:cs="宋体"/>
                <w:kern w:val="0"/>
                <w:szCs w:val="21"/>
                <w:lang w:val="en-US" w:eastAsia="zh-CN"/>
              </w:rPr>
              <w:t>.</w:t>
            </w:r>
            <w:r>
              <w:rPr>
                <w:rFonts w:hint="eastAsia" w:ascii="宋体" w:hAnsi="宋体" w:eastAsia="宋体" w:cs="宋体"/>
                <w:kern w:val="0"/>
                <w:szCs w:val="21"/>
              </w:rPr>
              <w:t>制度、方案齐全，阐述不充分的，得10分；</w:t>
            </w:r>
            <w:r>
              <w:rPr>
                <w:rFonts w:hint="eastAsia" w:ascii="宋体" w:hAnsi="宋体" w:eastAsia="宋体" w:cs="宋体"/>
                <w:kern w:val="0"/>
                <w:szCs w:val="21"/>
              </w:rPr>
              <w:br w:type="textWrapping"/>
            </w:r>
            <w:r>
              <w:rPr>
                <w:rFonts w:hint="eastAsia" w:ascii="宋体" w:hAnsi="宋体" w:eastAsia="宋体" w:cs="宋体"/>
                <w:kern w:val="0"/>
                <w:szCs w:val="21"/>
              </w:rPr>
              <w:t>3</w:t>
            </w:r>
            <w:r>
              <w:rPr>
                <w:rFonts w:hint="eastAsia" w:ascii="宋体" w:hAnsi="宋体" w:eastAsia="宋体" w:cs="宋体"/>
                <w:kern w:val="0"/>
                <w:szCs w:val="21"/>
                <w:lang w:val="en-US" w:eastAsia="zh-CN"/>
              </w:rPr>
              <w:t>.</w:t>
            </w:r>
            <w:r>
              <w:rPr>
                <w:rFonts w:hint="eastAsia" w:ascii="宋体" w:hAnsi="宋体" w:eastAsia="宋体" w:cs="宋体"/>
                <w:kern w:val="0"/>
                <w:szCs w:val="21"/>
              </w:rPr>
              <w:t>制度、方案不全、阐述不充分的，得5分；</w:t>
            </w:r>
            <w:r>
              <w:rPr>
                <w:rFonts w:hint="eastAsia" w:ascii="宋体" w:hAnsi="宋体" w:eastAsia="宋体" w:cs="宋体"/>
                <w:kern w:val="0"/>
                <w:szCs w:val="21"/>
              </w:rPr>
              <w:br w:type="textWrapping"/>
            </w:r>
            <w:r>
              <w:rPr>
                <w:rFonts w:hint="eastAsia" w:ascii="宋体" w:hAnsi="宋体" w:eastAsia="宋体" w:cs="宋体"/>
                <w:kern w:val="0"/>
                <w:szCs w:val="21"/>
              </w:rPr>
              <w:t>4</w:t>
            </w:r>
            <w:r>
              <w:rPr>
                <w:rFonts w:hint="eastAsia" w:ascii="宋体" w:hAnsi="宋体" w:eastAsia="宋体" w:cs="宋体"/>
                <w:kern w:val="0"/>
                <w:szCs w:val="21"/>
                <w:lang w:val="en-US" w:eastAsia="zh-CN"/>
              </w:rPr>
              <w:t>.</w:t>
            </w:r>
            <w:r>
              <w:rPr>
                <w:rFonts w:hint="eastAsia" w:ascii="宋体" w:hAnsi="宋体" w:eastAsia="宋体" w:cs="宋体"/>
                <w:kern w:val="0"/>
                <w:szCs w:val="21"/>
              </w:rPr>
              <w:t>没有提供方案的不得分。</w:t>
            </w:r>
          </w:p>
        </w:tc>
      </w:tr>
      <w:tr w14:paraId="0840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320" w:type="dxa"/>
            <w:vMerge w:val="restart"/>
            <w:tcBorders>
              <w:tl2br w:val="nil"/>
              <w:tr2bl w:val="nil"/>
            </w:tcBorders>
            <w:shd w:val="clear" w:color="auto" w:fill="auto"/>
            <w:vAlign w:val="center"/>
          </w:tcPr>
          <w:p w14:paraId="49C293EA">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商务得分（35分）</w:t>
            </w:r>
          </w:p>
        </w:tc>
        <w:tc>
          <w:tcPr>
            <w:tcW w:w="2260" w:type="dxa"/>
            <w:tcBorders>
              <w:tl2br w:val="nil"/>
              <w:tr2bl w:val="nil"/>
            </w:tcBorders>
            <w:shd w:val="clear" w:color="auto" w:fill="auto"/>
            <w:vAlign w:val="center"/>
          </w:tcPr>
          <w:p w14:paraId="7F2A93DB">
            <w:pPr>
              <w:widowControl/>
              <w:spacing w:line="560" w:lineRule="exac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none"/>
              </w:rPr>
              <w:t xml:space="preserve">投标人认证体系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（6分）</w:t>
            </w:r>
          </w:p>
        </w:tc>
        <w:tc>
          <w:tcPr>
            <w:tcW w:w="6060" w:type="dxa"/>
            <w:tcBorders>
              <w:tl2br w:val="nil"/>
              <w:tr2bl w:val="nil"/>
            </w:tcBorders>
            <w:shd w:val="clear" w:color="auto" w:fill="auto"/>
            <w:vAlign w:val="center"/>
          </w:tcPr>
          <w:p w14:paraId="7059E0C0">
            <w:pPr>
              <w:keepNext w:val="0"/>
              <w:keepLines w:val="0"/>
              <w:widowControl/>
              <w:suppressLineNumbers w:val="0"/>
              <w:jc w:val="left"/>
              <w:rPr>
                <w:rFonts w:hint="eastAsia"/>
                <w:highlight w:val="none"/>
              </w:rPr>
            </w:pPr>
            <w:r>
              <w:rPr>
                <w:rFonts w:hint="eastAsia"/>
                <w:highlight w:val="none"/>
              </w:rPr>
              <w:t xml:space="preserve">供应商具有质量管理体系认证证书、环境管理体系认证证书、职业健康安全管理体系认证证书、每提供一项得2分，本项最高得6分。 </w:t>
            </w:r>
          </w:p>
          <w:p w14:paraId="79BAF575">
            <w:pPr>
              <w:keepNext w:val="0"/>
              <w:keepLines w:val="0"/>
              <w:widowControl/>
              <w:suppressLineNumbers w:val="0"/>
              <w:jc w:val="left"/>
              <w:rPr>
                <w:rFonts w:ascii="宋体" w:hAnsi="宋体" w:eastAsia="宋体" w:cs="宋体"/>
                <w:kern w:val="0"/>
                <w:szCs w:val="21"/>
                <w:highlight w:val="none"/>
              </w:rPr>
            </w:pPr>
            <w:r>
              <w:rPr>
                <w:rFonts w:hint="eastAsia"/>
                <w:highlight w:val="none"/>
              </w:rPr>
              <w:t>注：须提供有效期内的相关认证证书复印件并加盖单位公章作为证明材料，未按要求提供证明材料不得分。</w:t>
            </w:r>
          </w:p>
        </w:tc>
      </w:tr>
      <w:tr w14:paraId="4A70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320" w:type="dxa"/>
            <w:vMerge w:val="continue"/>
            <w:tcBorders>
              <w:tl2br w:val="nil"/>
              <w:tr2bl w:val="nil"/>
            </w:tcBorders>
            <w:vAlign w:val="center"/>
          </w:tcPr>
          <w:p w14:paraId="2EF0B425">
            <w:pPr>
              <w:widowControl/>
              <w:spacing w:line="560" w:lineRule="exact"/>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34F2D779">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便捷响应服务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（8分）</w:t>
            </w:r>
          </w:p>
        </w:tc>
        <w:tc>
          <w:tcPr>
            <w:tcW w:w="6060" w:type="dxa"/>
            <w:tcBorders>
              <w:tl2br w:val="nil"/>
              <w:tr2bl w:val="nil"/>
            </w:tcBorders>
            <w:shd w:val="clear" w:color="auto" w:fill="auto"/>
            <w:vAlign w:val="center"/>
          </w:tcPr>
          <w:p w14:paraId="6ED78D68">
            <w:pPr>
              <w:widowControl/>
              <w:spacing w:line="56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投标人接到设施设备报修时，承诺60分钟内到达现场的，得8分；承诺120分钟内到达现场的，得5分；承诺1</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0分钟内到达现场的，得2分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未提供相关内容不得分。 （提交承诺函并加盖公章，否则不得分。）</w:t>
            </w:r>
          </w:p>
        </w:tc>
      </w:tr>
      <w:tr w14:paraId="503C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320" w:type="dxa"/>
            <w:vMerge w:val="continue"/>
            <w:tcBorders>
              <w:tl2br w:val="nil"/>
              <w:tr2bl w:val="nil"/>
            </w:tcBorders>
            <w:vAlign w:val="center"/>
          </w:tcPr>
          <w:p w14:paraId="72225F09">
            <w:pPr>
              <w:widowControl/>
              <w:spacing w:line="560" w:lineRule="exact"/>
              <w:jc w:val="left"/>
              <w:rPr>
                <w:rFonts w:ascii="宋体" w:hAnsi="宋体" w:eastAsia="宋体" w:cs="宋体"/>
                <w:kern w:val="0"/>
                <w:sz w:val="24"/>
                <w:szCs w:val="24"/>
              </w:rPr>
            </w:pPr>
          </w:p>
        </w:tc>
        <w:tc>
          <w:tcPr>
            <w:tcW w:w="2260" w:type="dxa"/>
            <w:tcBorders>
              <w:tl2br w:val="nil"/>
              <w:tr2bl w:val="nil"/>
            </w:tcBorders>
            <w:shd w:val="clear" w:color="auto" w:fill="auto"/>
            <w:vAlign w:val="center"/>
          </w:tcPr>
          <w:p w14:paraId="450049CC">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同类业绩</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（21分）</w:t>
            </w:r>
          </w:p>
        </w:tc>
        <w:tc>
          <w:tcPr>
            <w:tcW w:w="6060" w:type="dxa"/>
            <w:tcBorders>
              <w:tl2br w:val="nil"/>
              <w:tr2bl w:val="nil"/>
            </w:tcBorders>
            <w:shd w:val="clear" w:color="auto" w:fill="auto"/>
            <w:vAlign w:val="center"/>
          </w:tcPr>
          <w:p w14:paraId="0D306342">
            <w:pPr>
              <w:widowControl/>
              <w:spacing w:line="560" w:lineRule="exact"/>
              <w:jc w:val="left"/>
              <w:rPr>
                <w:rFonts w:ascii="宋体" w:hAnsi="宋体" w:eastAsia="宋体" w:cs="宋体"/>
                <w:kern w:val="0"/>
                <w:szCs w:val="21"/>
              </w:rPr>
            </w:pPr>
            <w:r>
              <w:rPr>
                <w:rFonts w:hint="eastAsia" w:ascii="宋体" w:hAnsi="宋体" w:eastAsia="宋体" w:cs="宋体"/>
                <w:kern w:val="0"/>
                <w:szCs w:val="21"/>
              </w:rPr>
              <w:t>投标人20</w:t>
            </w:r>
            <w:r>
              <w:rPr>
                <w:rFonts w:hint="eastAsia" w:ascii="宋体" w:hAnsi="宋体" w:eastAsia="宋体" w:cs="宋体"/>
                <w:kern w:val="0"/>
                <w:szCs w:val="21"/>
                <w:lang w:val="en-US" w:eastAsia="zh-CN"/>
              </w:rPr>
              <w:t>20</w:t>
            </w:r>
            <w:r>
              <w:rPr>
                <w:rFonts w:hint="eastAsia" w:ascii="宋体" w:hAnsi="宋体" w:eastAsia="宋体" w:cs="宋体"/>
                <w:kern w:val="0"/>
                <w:szCs w:val="21"/>
              </w:rPr>
              <w:t>年1月1日至今承接过的物业管理服务项目业绩,每提供一个得3分，</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该项总分21分（业绩认定以合同关键页或中标通知书为准，同一项目不重复计算,未提供不得分。）</w:t>
            </w:r>
          </w:p>
        </w:tc>
      </w:tr>
      <w:tr w14:paraId="1149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320" w:type="dxa"/>
            <w:tcBorders>
              <w:tl2br w:val="nil"/>
              <w:tr2bl w:val="nil"/>
            </w:tcBorders>
            <w:shd w:val="clear" w:color="auto" w:fill="auto"/>
            <w:vAlign w:val="center"/>
          </w:tcPr>
          <w:p w14:paraId="3D277F36">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价格得分（10分）</w:t>
            </w:r>
          </w:p>
        </w:tc>
        <w:tc>
          <w:tcPr>
            <w:tcW w:w="2260" w:type="dxa"/>
            <w:tcBorders>
              <w:tl2br w:val="nil"/>
              <w:tr2bl w:val="nil"/>
            </w:tcBorders>
            <w:shd w:val="clear" w:color="auto" w:fill="auto"/>
            <w:vAlign w:val="center"/>
          </w:tcPr>
          <w:p w14:paraId="2C913F72">
            <w:pPr>
              <w:widowControl/>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报价得分</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（10分）</w:t>
            </w:r>
          </w:p>
        </w:tc>
        <w:tc>
          <w:tcPr>
            <w:tcW w:w="6060" w:type="dxa"/>
            <w:tcBorders>
              <w:tl2br w:val="nil"/>
              <w:tr2bl w:val="nil"/>
            </w:tcBorders>
            <w:shd w:val="clear" w:color="auto" w:fill="auto"/>
            <w:vAlign w:val="center"/>
          </w:tcPr>
          <w:p w14:paraId="5FDB585D">
            <w:pPr>
              <w:widowControl/>
              <w:spacing w:line="560" w:lineRule="exact"/>
              <w:jc w:val="left"/>
              <w:rPr>
                <w:rFonts w:ascii="宋体" w:hAnsi="宋体" w:eastAsia="宋体" w:cs="宋体"/>
                <w:kern w:val="0"/>
                <w:szCs w:val="21"/>
              </w:rPr>
            </w:pPr>
            <w:r>
              <w:rPr>
                <w:rFonts w:hint="eastAsia" w:ascii="宋体" w:hAnsi="宋体" w:eastAsia="宋体" w:cs="宋体"/>
                <w:kern w:val="0"/>
                <w:szCs w:val="21"/>
              </w:rPr>
              <w:t>投标报价得分＝（评标基准价/投标报价）×价格分值【注：满足公告要求且</w:t>
            </w:r>
            <w:r>
              <w:rPr>
                <w:rFonts w:hint="eastAsia" w:ascii="宋体" w:hAnsi="宋体" w:eastAsia="宋体" w:cs="宋体"/>
                <w:kern w:val="0"/>
                <w:szCs w:val="21"/>
                <w:lang w:val="en-US" w:eastAsia="zh-CN"/>
              </w:rPr>
              <w:t>税费及管理费</w:t>
            </w:r>
            <w:r>
              <w:rPr>
                <w:rFonts w:hint="eastAsia" w:ascii="宋体" w:hAnsi="宋体" w:eastAsia="宋体" w:cs="宋体"/>
                <w:kern w:val="0"/>
                <w:szCs w:val="21"/>
              </w:rPr>
              <w:t>价格最低的投标报价为评标基准价。】最低报价不是中标的唯一依据</w:t>
            </w:r>
            <w:bookmarkStart w:id="0" w:name="_GoBack"/>
            <w:bookmarkEnd w:id="0"/>
            <w:r>
              <w:rPr>
                <w:rFonts w:hint="eastAsia" w:ascii="宋体" w:hAnsi="宋体" w:eastAsia="宋体" w:cs="宋体"/>
                <w:kern w:val="0"/>
                <w:szCs w:val="21"/>
              </w:rPr>
              <w:t>。因落实政府采购政策进行价格调整的，以调整后的价格计算评标基准价和投标报价。</w:t>
            </w:r>
          </w:p>
        </w:tc>
      </w:tr>
    </w:tbl>
    <w:p w14:paraId="4ED3BAD5"/>
    <w:sectPr>
      <w:footerReference r:id="rId3" w:type="default"/>
      <w:pgSz w:w="11906" w:h="16838"/>
      <w:pgMar w:top="1247" w:right="1797" w:bottom="1304"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32E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848D9">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848D9">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OTFlOGZjMWRjOWIyMzg4MGYxNDUxZTNiZjQ4YTMifQ=="/>
  </w:docVars>
  <w:rsids>
    <w:rsidRoot w:val="00431749"/>
    <w:rsid w:val="002E395B"/>
    <w:rsid w:val="003207CD"/>
    <w:rsid w:val="00431749"/>
    <w:rsid w:val="004E645D"/>
    <w:rsid w:val="00722AFF"/>
    <w:rsid w:val="008D5A55"/>
    <w:rsid w:val="009B1FC3"/>
    <w:rsid w:val="00C171FF"/>
    <w:rsid w:val="00C23B70"/>
    <w:rsid w:val="00DA6036"/>
    <w:rsid w:val="00F54611"/>
    <w:rsid w:val="00FC683A"/>
    <w:rsid w:val="02746285"/>
    <w:rsid w:val="034A3564"/>
    <w:rsid w:val="05E9638D"/>
    <w:rsid w:val="0EB11742"/>
    <w:rsid w:val="1658169C"/>
    <w:rsid w:val="1C620C1B"/>
    <w:rsid w:val="1E5B7F7C"/>
    <w:rsid w:val="1F0B06B2"/>
    <w:rsid w:val="2E4A7CB4"/>
    <w:rsid w:val="3938118D"/>
    <w:rsid w:val="3AC23405"/>
    <w:rsid w:val="3E5C147A"/>
    <w:rsid w:val="404D4A9E"/>
    <w:rsid w:val="41B6751F"/>
    <w:rsid w:val="45AF0A29"/>
    <w:rsid w:val="47794A11"/>
    <w:rsid w:val="49C438BF"/>
    <w:rsid w:val="4EF57642"/>
    <w:rsid w:val="568F1F3D"/>
    <w:rsid w:val="59B90DAD"/>
    <w:rsid w:val="5B39032E"/>
    <w:rsid w:val="5D0A294F"/>
    <w:rsid w:val="626369CC"/>
    <w:rsid w:val="64F67FA2"/>
    <w:rsid w:val="6A0E36C1"/>
    <w:rsid w:val="71B26AD7"/>
    <w:rsid w:val="73D2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994</Words>
  <Characters>1032</Characters>
  <Lines>7</Lines>
  <Paragraphs>2</Paragraphs>
  <TotalTime>151</TotalTime>
  <ScaleCrop>false</ScaleCrop>
  <LinksUpToDate>false</LinksUpToDate>
  <CharactersWithSpaces>1036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2024-04-08T07:41:00Z</dcterms:created>
  <dc:creator>Windows 用户</dc:creator>
  <cp:lastModifiedBy> 亿馨 </cp:lastModifiedBy>
  <dcterms:modified xsi:type="dcterms:W3CDTF">2025-05-07T00:41:42Z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6F2DB434B05C46438A220C9011AAD1C2_13</vt:lpwstr>
  </property>
  <property fmtid="{D5CDD505-2E9C-101B-9397-08002B2CF9AE}" pid="4" name="KSOTemplateDocerSaveRecord">
    <vt:lpwstr>eyJoZGlkIjoiZDYwMDQ0M2QzOWRmNzQ1MDllNGQyODc5MzM1N2Q4YWYiLCJ1c2VySWQiOiI3ODEyMjgzNjEifQ==</vt:lpwstr>
  </property>
</Properties>
</file>