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8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9"/>
        <w:gridCol w:w="1903"/>
        <w:gridCol w:w="2917"/>
        <w:gridCol w:w="972"/>
        <w:gridCol w:w="972"/>
        <w:gridCol w:w="1430"/>
        <w:gridCol w:w="1482"/>
        <w:gridCol w:w="2044"/>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7" w:hRule="atLeast"/>
        </w:trPr>
        <w:tc>
          <w:tcPr>
            <w:tcW w:w="13840" w:type="dxa"/>
            <w:gridSpan w:val="9"/>
            <w:tcBorders>
              <w:top w:val="nil"/>
              <w:left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华文中宋" w:hAnsi="华文中宋" w:eastAsia="华文中宋" w:cs="华文中宋"/>
                <w:b/>
                <w:bCs/>
                <w:i w:val="0"/>
                <w:iCs w:val="0"/>
                <w:color w:val="000000"/>
                <w:kern w:val="0"/>
                <w:sz w:val="44"/>
                <w:szCs w:val="44"/>
                <w:u w:val="none"/>
                <w:lang w:val="en-US" w:eastAsia="zh-CN" w:bidi="ar"/>
              </w:rPr>
              <w:t>韶关市水务局2025年度行政检查计划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0" w:type="auto"/>
            <w:vMerge w:val="restart"/>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序号</w:t>
            </w:r>
          </w:p>
        </w:tc>
        <w:tc>
          <w:tcPr>
            <w:tcW w:w="0" w:type="auto"/>
            <w:vMerge w:val="restart"/>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检查事项名称</w:t>
            </w:r>
          </w:p>
        </w:tc>
        <w:tc>
          <w:tcPr>
            <w:tcW w:w="0" w:type="auto"/>
            <w:vMerge w:val="restart"/>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检查依据</w:t>
            </w:r>
          </w:p>
        </w:tc>
        <w:tc>
          <w:tcPr>
            <w:tcW w:w="0" w:type="auto"/>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检查</w:t>
            </w:r>
          </w:p>
        </w:tc>
        <w:tc>
          <w:tcPr>
            <w:tcW w:w="0" w:type="auto"/>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检查</w:t>
            </w:r>
          </w:p>
        </w:tc>
        <w:tc>
          <w:tcPr>
            <w:tcW w:w="0" w:type="auto"/>
            <w:vMerge w:val="restart"/>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检查时间</w:t>
            </w:r>
          </w:p>
        </w:tc>
        <w:tc>
          <w:tcPr>
            <w:tcW w:w="3526" w:type="dxa"/>
            <w:gridSpan w:val="2"/>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双随机、一公开</w:t>
            </w:r>
          </w:p>
        </w:tc>
        <w:tc>
          <w:tcPr>
            <w:tcW w:w="1341" w:type="dxa"/>
            <w:vMerge w:val="restart"/>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0" w:type="auto"/>
            <w:vMerge w:val="continue"/>
            <w:shd w:val="clear" w:color="auto" w:fill="FFFFFF"/>
            <w:noWrap/>
            <w:vAlign w:val="center"/>
          </w:tcPr>
          <w:p>
            <w:pPr>
              <w:jc w:val="center"/>
              <w:rPr>
                <w:rFonts w:hint="eastAsia" w:ascii="仿宋_GB2312" w:hAnsi="仿宋_GB2312" w:eastAsia="仿宋_GB2312" w:cs="仿宋_GB2312"/>
                <w:b/>
                <w:bCs/>
                <w:i w:val="0"/>
                <w:iCs w:val="0"/>
                <w:color w:val="424242"/>
                <w:sz w:val="21"/>
                <w:szCs w:val="21"/>
                <w:u w:val="none"/>
              </w:rPr>
            </w:pPr>
          </w:p>
        </w:tc>
        <w:tc>
          <w:tcPr>
            <w:tcW w:w="0" w:type="auto"/>
            <w:vMerge w:val="continue"/>
            <w:shd w:val="clear" w:color="auto" w:fill="FFFFFF"/>
            <w:noWrap/>
            <w:vAlign w:val="center"/>
          </w:tcPr>
          <w:p>
            <w:pPr>
              <w:jc w:val="center"/>
              <w:rPr>
                <w:rFonts w:hint="eastAsia" w:ascii="仿宋_GB2312" w:hAnsi="仿宋_GB2312" w:eastAsia="仿宋_GB2312" w:cs="仿宋_GB2312"/>
                <w:b/>
                <w:bCs/>
                <w:i w:val="0"/>
                <w:iCs w:val="0"/>
                <w:color w:val="424242"/>
                <w:sz w:val="21"/>
                <w:szCs w:val="21"/>
                <w:u w:val="none"/>
              </w:rPr>
            </w:pPr>
          </w:p>
        </w:tc>
        <w:tc>
          <w:tcPr>
            <w:tcW w:w="0" w:type="auto"/>
            <w:vMerge w:val="continue"/>
            <w:shd w:val="clear" w:color="auto" w:fill="FFFFFF"/>
            <w:noWrap/>
            <w:vAlign w:val="center"/>
          </w:tcPr>
          <w:p>
            <w:pPr>
              <w:jc w:val="center"/>
              <w:rPr>
                <w:rFonts w:hint="eastAsia" w:ascii="仿宋_GB2312" w:hAnsi="仿宋_GB2312" w:eastAsia="仿宋_GB2312" w:cs="仿宋_GB2312"/>
                <w:b/>
                <w:bCs/>
                <w:i w:val="0"/>
                <w:iCs w:val="0"/>
                <w:color w:val="424242"/>
                <w:sz w:val="21"/>
                <w:szCs w:val="21"/>
                <w:u w:val="none"/>
              </w:rPr>
            </w:pPr>
          </w:p>
        </w:tc>
        <w:tc>
          <w:tcPr>
            <w:tcW w:w="0" w:type="auto"/>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对象</w:t>
            </w:r>
          </w:p>
        </w:tc>
        <w:tc>
          <w:tcPr>
            <w:tcW w:w="0" w:type="auto"/>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方式</w:t>
            </w:r>
          </w:p>
        </w:tc>
        <w:tc>
          <w:tcPr>
            <w:tcW w:w="0" w:type="auto"/>
            <w:vMerge w:val="continue"/>
            <w:shd w:val="clear" w:color="auto" w:fill="FFFFFF"/>
            <w:noWrap/>
            <w:vAlign w:val="center"/>
          </w:tcPr>
          <w:p>
            <w:pPr>
              <w:jc w:val="center"/>
              <w:rPr>
                <w:rFonts w:hint="eastAsia" w:ascii="仿宋_GB2312" w:hAnsi="仿宋_GB2312" w:eastAsia="仿宋_GB2312" w:cs="仿宋_GB2312"/>
                <w:b/>
                <w:bCs/>
                <w:i w:val="0"/>
                <w:iCs w:val="0"/>
                <w:color w:val="424242"/>
                <w:sz w:val="21"/>
                <w:szCs w:val="21"/>
                <w:u w:val="none"/>
              </w:rPr>
            </w:pPr>
          </w:p>
        </w:tc>
        <w:tc>
          <w:tcPr>
            <w:tcW w:w="1482"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比例（%）</w:t>
            </w:r>
          </w:p>
        </w:tc>
        <w:tc>
          <w:tcPr>
            <w:tcW w:w="2044" w:type="dxa"/>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424242"/>
                <w:sz w:val="28"/>
                <w:szCs w:val="28"/>
                <w:u w:val="none"/>
              </w:rPr>
            </w:pPr>
            <w:r>
              <w:rPr>
                <w:rFonts w:hint="eastAsia" w:ascii="仿宋_GB2312" w:hAnsi="仿宋_GB2312" w:eastAsia="仿宋_GB2312" w:cs="仿宋_GB2312"/>
                <w:b/>
                <w:bCs/>
                <w:i w:val="0"/>
                <w:iCs w:val="0"/>
                <w:color w:val="424242"/>
                <w:kern w:val="0"/>
                <w:sz w:val="28"/>
                <w:szCs w:val="28"/>
                <w:u w:val="none"/>
                <w:lang w:val="en-US" w:eastAsia="zh-CN" w:bidi="ar"/>
              </w:rPr>
              <w:t>频次（次/年）</w:t>
            </w:r>
          </w:p>
        </w:tc>
        <w:tc>
          <w:tcPr>
            <w:tcW w:w="1341" w:type="dxa"/>
            <w:vMerge w:val="continue"/>
            <w:shd w:val="clear" w:color="auto" w:fill="FFFFFF"/>
            <w:noWrap/>
            <w:vAlign w:val="center"/>
          </w:tcPr>
          <w:p>
            <w:pPr>
              <w:jc w:val="center"/>
              <w:rPr>
                <w:rFonts w:hint="eastAsia" w:ascii="仿宋_GB2312" w:hAnsi="仿宋_GB2312" w:eastAsia="仿宋_GB2312" w:cs="仿宋_GB2312"/>
                <w:b/>
                <w:bCs/>
                <w:i w:val="0"/>
                <w:iCs w:val="0"/>
                <w:color w:val="424242"/>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w:t>
            </w:r>
          </w:p>
        </w:tc>
        <w:tc>
          <w:tcPr>
            <w:tcW w:w="190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对单位/个人取用水行为的行政检查</w:t>
            </w:r>
          </w:p>
        </w:tc>
        <w:tc>
          <w:tcPr>
            <w:tcW w:w="291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中华人民共和国水法》第七条：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r>
              <w:rPr>
                <w:rFonts w:hint="eastAsia" w:ascii="仿宋_GB2312" w:hAnsi="仿宋_GB2312" w:eastAsia="仿宋_GB2312" w:cs="仿宋_GB2312"/>
                <w:i w:val="0"/>
                <w:iCs w:val="0"/>
                <w:color w:val="424242"/>
                <w:kern w:val="0"/>
                <w:sz w:val="24"/>
                <w:szCs w:val="24"/>
                <w:u w:val="none"/>
                <w:lang w:val="en-US" w:eastAsia="zh-CN" w:bidi="ar"/>
              </w:rPr>
              <w:br w:type="textWrapping"/>
            </w:r>
            <w:r>
              <w:rPr>
                <w:rFonts w:hint="eastAsia" w:ascii="仿宋_GB2312" w:hAnsi="仿宋_GB2312" w:eastAsia="仿宋_GB2312" w:cs="仿宋_GB2312"/>
                <w:i w:val="0"/>
                <w:iCs w:val="0"/>
                <w:color w:val="424242"/>
                <w:kern w:val="0"/>
                <w:sz w:val="24"/>
                <w:szCs w:val="24"/>
                <w:u w:val="none"/>
                <w:lang w:val="en-US" w:eastAsia="zh-CN" w:bidi="ar"/>
              </w:rPr>
              <w:t>2.《中华人民共和国行政许可法》第六十一条第一款：行政机关应当建立健全监督制度，通过核查反映被许可人从事行政许可事项活动情况的有关材料，履行监督责任。</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被许可人</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现场检查/非现场检查</w:t>
            </w:r>
          </w:p>
        </w:tc>
        <w:tc>
          <w:tcPr>
            <w:tcW w:w="143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1月—12月</w:t>
            </w:r>
          </w:p>
        </w:tc>
        <w:tc>
          <w:tcPr>
            <w:tcW w:w="148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10%</w:t>
            </w:r>
          </w:p>
        </w:tc>
        <w:tc>
          <w:tcPr>
            <w:tcW w:w="204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1次</w:t>
            </w:r>
          </w:p>
        </w:tc>
        <w:tc>
          <w:tcPr>
            <w:tcW w:w="134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水资源与法规科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7" w:hRule="atLeast"/>
        </w:trPr>
        <w:tc>
          <w:tcPr>
            <w:tcW w:w="779"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2</w:t>
            </w:r>
          </w:p>
        </w:tc>
        <w:tc>
          <w:tcPr>
            <w:tcW w:w="190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对洪水影响评价审批建设项目的行政检查</w:t>
            </w:r>
          </w:p>
        </w:tc>
        <w:tc>
          <w:tcPr>
            <w:tcW w:w="291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Pr>
                <w:rFonts w:hint="eastAsia" w:ascii="仿宋_GB2312" w:hAnsi="仿宋_GB2312" w:eastAsia="仿宋_GB2312" w:cs="仿宋_GB2312"/>
                <w:i w:val="0"/>
                <w:iCs w:val="0"/>
                <w:color w:val="424242"/>
                <w:kern w:val="0"/>
                <w:sz w:val="24"/>
                <w:szCs w:val="24"/>
                <w:u w:val="none"/>
                <w:lang w:val="en-US" w:eastAsia="zh-CN" w:bidi="ar"/>
              </w:rPr>
              <w:br w:type="textWrapping"/>
            </w:r>
            <w:r>
              <w:rPr>
                <w:rFonts w:hint="eastAsia" w:ascii="仿宋_GB2312" w:hAnsi="仿宋_GB2312" w:eastAsia="仿宋_GB2312" w:cs="仿宋_GB2312"/>
                <w:i w:val="0"/>
                <w:iCs w:val="0"/>
                <w:color w:val="424242"/>
                <w:kern w:val="0"/>
                <w:sz w:val="24"/>
                <w:szCs w:val="24"/>
                <w:u w:val="none"/>
                <w:lang w:val="en-US" w:eastAsia="zh-CN" w:bidi="ar"/>
              </w:rPr>
              <w:t>2.《中华人民共和国行政许可法》第六十一条第一款：行政机关应当建立健全监督制度，通过核查反映被许可人从事行政许可事项活动情况的有关材料，履行监督责任。</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被许可人</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现场检查</w:t>
            </w:r>
          </w:p>
        </w:tc>
        <w:tc>
          <w:tcPr>
            <w:tcW w:w="143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1月—12月</w:t>
            </w:r>
          </w:p>
        </w:tc>
        <w:tc>
          <w:tcPr>
            <w:tcW w:w="148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204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134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河湖管理科（负责河道管理范围内建设项目工程建设方案的检查）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3</w:t>
            </w:r>
          </w:p>
        </w:tc>
        <w:tc>
          <w:tcPr>
            <w:tcW w:w="190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对水利基建项目初步设计文件的行政检查</w:t>
            </w:r>
          </w:p>
        </w:tc>
        <w:tc>
          <w:tcPr>
            <w:tcW w:w="291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1.《国务院对确需保留的行政审批项目设定行政许可的决定》第172项：水利基建项目初步设计文件审批。</w:t>
            </w:r>
            <w:r>
              <w:rPr>
                <w:rFonts w:hint="eastAsia" w:ascii="仿宋_GB2312" w:hAnsi="仿宋_GB2312" w:eastAsia="仿宋_GB2312" w:cs="仿宋_GB2312"/>
                <w:i w:val="0"/>
                <w:iCs w:val="0"/>
                <w:color w:val="424242"/>
                <w:kern w:val="0"/>
                <w:sz w:val="24"/>
                <w:szCs w:val="24"/>
                <w:u w:val="none"/>
                <w:lang w:val="en-US" w:eastAsia="zh-CN" w:bidi="ar"/>
              </w:rPr>
              <w:br w:type="textWrapping"/>
            </w:r>
            <w:r>
              <w:rPr>
                <w:rFonts w:hint="eastAsia" w:ascii="仿宋_GB2312" w:hAnsi="仿宋_GB2312" w:eastAsia="仿宋_GB2312" w:cs="仿宋_GB2312"/>
                <w:i w:val="0"/>
                <w:iCs w:val="0"/>
                <w:color w:val="424242"/>
                <w:kern w:val="0"/>
                <w:sz w:val="24"/>
                <w:szCs w:val="24"/>
                <w:u w:val="none"/>
                <w:lang w:val="en-US" w:eastAsia="zh-CN" w:bidi="ar"/>
              </w:rPr>
              <w:t>2.《中华人民共和国行政许可法》第六十一条第一款：行政机关应当建立健全监督制度，通过核查反映被许可人从事行政许可事项活动情况的有关材料，履行监督责任。</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被许可人</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现场检查或非现场检查</w:t>
            </w:r>
          </w:p>
        </w:tc>
        <w:tc>
          <w:tcPr>
            <w:tcW w:w="143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1月—12月</w:t>
            </w:r>
          </w:p>
        </w:tc>
        <w:tc>
          <w:tcPr>
            <w:tcW w:w="148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204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134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建设与水保科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8" w:hRule="atLeast"/>
        </w:trPr>
        <w:tc>
          <w:tcPr>
            <w:tcW w:w="779"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4</w:t>
            </w:r>
          </w:p>
        </w:tc>
        <w:tc>
          <w:tcPr>
            <w:tcW w:w="190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对生产建设项目水土保持方案实施情况的行政检查</w:t>
            </w:r>
          </w:p>
        </w:tc>
        <w:tc>
          <w:tcPr>
            <w:tcW w:w="291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《中华人民共和国水土保持法》第二十九条：县级以上人民政府水行政主管部门、流域管理机构，应当对生产建设项目水土保持方案的实施情况进行跟踪检查，发现问题及时处理。</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生产建设单位/个人</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现场检查或非现场检查</w:t>
            </w:r>
          </w:p>
        </w:tc>
        <w:tc>
          <w:tcPr>
            <w:tcW w:w="143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1月—12月</w:t>
            </w:r>
          </w:p>
        </w:tc>
        <w:tc>
          <w:tcPr>
            <w:tcW w:w="148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5%</w:t>
            </w:r>
          </w:p>
        </w:tc>
        <w:tc>
          <w:tcPr>
            <w:tcW w:w="204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1次</w:t>
            </w:r>
          </w:p>
        </w:tc>
        <w:tc>
          <w:tcPr>
            <w:tcW w:w="134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建设与水保科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8" w:hRule="atLeast"/>
        </w:trPr>
        <w:tc>
          <w:tcPr>
            <w:tcW w:w="779"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5</w:t>
            </w:r>
          </w:p>
        </w:tc>
        <w:tc>
          <w:tcPr>
            <w:tcW w:w="190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对水利工程质量检测单位的行政检查</w:t>
            </w:r>
          </w:p>
        </w:tc>
        <w:tc>
          <w:tcPr>
            <w:tcW w:w="291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1.《水利工程质量检测管理规定》（2019年修正）第二十一条：县级以上人民政府水行政主管部门应当加强对检测单位及其质量检测活动的监督检查，……</w:t>
            </w:r>
            <w:r>
              <w:rPr>
                <w:rFonts w:hint="eastAsia" w:ascii="仿宋_GB2312" w:hAnsi="仿宋_GB2312" w:eastAsia="仿宋_GB2312" w:cs="仿宋_GB2312"/>
                <w:i w:val="0"/>
                <w:iCs w:val="0"/>
                <w:color w:val="424242"/>
                <w:kern w:val="0"/>
                <w:sz w:val="24"/>
                <w:szCs w:val="24"/>
                <w:u w:val="none"/>
                <w:lang w:val="en-US" w:eastAsia="zh-CN" w:bidi="ar"/>
              </w:rPr>
              <w:br w:type="textWrapping"/>
            </w:r>
            <w:r>
              <w:rPr>
                <w:rFonts w:hint="eastAsia" w:ascii="仿宋_GB2312" w:hAnsi="仿宋_GB2312" w:eastAsia="仿宋_GB2312" w:cs="仿宋_GB2312"/>
                <w:i w:val="0"/>
                <w:iCs w:val="0"/>
                <w:color w:val="424242"/>
                <w:kern w:val="0"/>
                <w:sz w:val="24"/>
                <w:szCs w:val="24"/>
                <w:u w:val="none"/>
                <w:lang w:val="en-US" w:eastAsia="zh-CN" w:bidi="ar"/>
              </w:rPr>
              <w:t>2.《中华人民共和国行政许可法》第六十一条第一款：行政机关应当建立健全监督制度，通过核查反映被许可人从事行政许可事项活动情况的有关材料，履行监督责任。</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被许可人</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现场检查</w:t>
            </w:r>
          </w:p>
        </w:tc>
        <w:tc>
          <w:tcPr>
            <w:tcW w:w="143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1月—12月</w:t>
            </w:r>
          </w:p>
        </w:tc>
        <w:tc>
          <w:tcPr>
            <w:tcW w:w="148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204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134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建设与水保科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2" w:hRule="atLeast"/>
        </w:trPr>
        <w:tc>
          <w:tcPr>
            <w:tcW w:w="779"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6</w:t>
            </w:r>
          </w:p>
        </w:tc>
        <w:tc>
          <w:tcPr>
            <w:tcW w:w="190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对水利工程管理和保护范围内新建、扩建、改建的工程建设项目的行政检查</w:t>
            </w:r>
          </w:p>
        </w:tc>
        <w:tc>
          <w:tcPr>
            <w:tcW w:w="291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1.《广东省水利工程管理条例》第二十一条：在水利工程管理范围和保护范围内新建、扩建和改建的各类建设项目，在建设项目开工前，其工程建设方案应当经水行政主管部门审查同意。……</w:t>
            </w:r>
            <w:r>
              <w:rPr>
                <w:rFonts w:hint="eastAsia" w:ascii="仿宋_GB2312" w:hAnsi="仿宋_GB2312" w:eastAsia="仿宋_GB2312" w:cs="仿宋_GB2312"/>
                <w:i w:val="0"/>
                <w:iCs w:val="0"/>
                <w:color w:val="424242"/>
                <w:kern w:val="0"/>
                <w:sz w:val="24"/>
                <w:szCs w:val="24"/>
                <w:u w:val="none"/>
                <w:lang w:val="en-US" w:eastAsia="zh-CN" w:bidi="ar"/>
              </w:rPr>
              <w:br w:type="textWrapping"/>
            </w:r>
            <w:r>
              <w:rPr>
                <w:rFonts w:hint="eastAsia" w:ascii="仿宋_GB2312" w:hAnsi="仿宋_GB2312" w:eastAsia="仿宋_GB2312" w:cs="仿宋_GB2312"/>
                <w:i w:val="0"/>
                <w:iCs w:val="0"/>
                <w:color w:val="424242"/>
                <w:kern w:val="0"/>
                <w:sz w:val="24"/>
                <w:szCs w:val="24"/>
                <w:u w:val="none"/>
                <w:lang w:val="en-US" w:eastAsia="zh-CN" w:bidi="ar"/>
              </w:rPr>
              <w:t>2.《中华人民共和国行政许可法》第六十一条第一款：行政机关应当建立健全监督制度，通过核查反映被许可人从事行政许可事项活动情况的有关材料，履行监督责任。</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被许可人</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现场检查或非现场检查</w:t>
            </w:r>
          </w:p>
        </w:tc>
        <w:tc>
          <w:tcPr>
            <w:tcW w:w="143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1月—12月</w:t>
            </w:r>
          </w:p>
        </w:tc>
        <w:tc>
          <w:tcPr>
            <w:tcW w:w="148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204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134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运行与监督科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779"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7</w:t>
            </w:r>
          </w:p>
        </w:tc>
        <w:tc>
          <w:tcPr>
            <w:tcW w:w="190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对年度水量调度计划和有关运行管理规程执行情况的监督检查</w:t>
            </w:r>
          </w:p>
        </w:tc>
        <w:tc>
          <w:tcPr>
            <w:tcW w:w="291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广东省东江西江北江韩江流域水资源管理条例》（2012年修正）第十九条第二款：流域内的水库、水电站、闸坝和取水工程等管理单位，应当执行年度水量调度计划和有关运行管理规程，保持相应河段合理流量和水库合理水位，并接受相关水行政主管部门、流域管理机构的统一调度和监督检查。</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主要调度水库</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现场检查/非现场检查</w:t>
            </w:r>
          </w:p>
        </w:tc>
        <w:tc>
          <w:tcPr>
            <w:tcW w:w="143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1月—12月</w:t>
            </w:r>
          </w:p>
        </w:tc>
        <w:tc>
          <w:tcPr>
            <w:tcW w:w="148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204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lang w:val="en-US" w:eastAsia="zh-CN"/>
              </w:rPr>
            </w:pPr>
            <w:r>
              <w:rPr>
                <w:rFonts w:hint="eastAsia" w:ascii="仿宋_GB2312" w:hAnsi="仿宋_GB2312" w:eastAsia="仿宋_GB2312" w:cs="仿宋_GB2312"/>
                <w:i w:val="0"/>
                <w:iCs w:val="0"/>
                <w:color w:val="424242"/>
                <w:sz w:val="24"/>
                <w:szCs w:val="24"/>
                <w:u w:val="none"/>
                <w:lang w:val="en-US" w:eastAsia="zh-CN"/>
              </w:rPr>
              <w:t>/</w:t>
            </w:r>
          </w:p>
        </w:tc>
        <w:tc>
          <w:tcPr>
            <w:tcW w:w="134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调度与防御科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8" w:hRule="atLeast"/>
        </w:trPr>
        <w:tc>
          <w:tcPr>
            <w:tcW w:w="779"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8</w:t>
            </w:r>
          </w:p>
        </w:tc>
        <w:tc>
          <w:tcPr>
            <w:tcW w:w="1903"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与相关职能部门联合执法巡查</w:t>
            </w:r>
          </w:p>
        </w:tc>
        <w:tc>
          <w:tcPr>
            <w:tcW w:w="2917"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1.《广东省河道采砂管理条例》第四十三条：县级以上人民政府应当将整治非法采砂作为河长制工作的职责，组织水行政、公安等主管部门和海事管理机构开展联合执法，维护采砂管理秩序。</w:t>
            </w:r>
            <w:r>
              <w:rPr>
                <w:rFonts w:hint="eastAsia" w:ascii="仿宋_GB2312" w:hAnsi="仿宋_GB2312" w:eastAsia="仿宋_GB2312" w:cs="仿宋_GB2312"/>
                <w:i w:val="0"/>
                <w:iCs w:val="0"/>
                <w:color w:val="424242"/>
                <w:kern w:val="0"/>
                <w:sz w:val="24"/>
                <w:szCs w:val="24"/>
                <w:u w:val="none"/>
                <w:lang w:val="en-US" w:eastAsia="zh-CN" w:bidi="ar"/>
              </w:rPr>
              <w:br w:type="textWrapping"/>
            </w:r>
            <w:r>
              <w:rPr>
                <w:rFonts w:hint="eastAsia" w:ascii="仿宋_GB2312" w:hAnsi="仿宋_GB2312" w:eastAsia="仿宋_GB2312" w:cs="仿宋_GB2312"/>
                <w:i w:val="0"/>
                <w:iCs w:val="0"/>
                <w:color w:val="424242"/>
                <w:kern w:val="0"/>
                <w:sz w:val="24"/>
                <w:szCs w:val="24"/>
                <w:u w:val="none"/>
                <w:lang w:val="en-US" w:eastAsia="zh-CN" w:bidi="ar"/>
              </w:rPr>
              <w:t>2.《广东省全面推行河长制工作方案》“主要任务”第七项“建立健全法规制度，强化执法监管”。</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公民、法人或者其他组织在河道管理范围内的采（运）砂、占用河道等水事行为</w:t>
            </w:r>
          </w:p>
        </w:tc>
        <w:tc>
          <w:tcPr>
            <w:tcW w:w="972"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现场检查</w:t>
            </w:r>
          </w:p>
        </w:tc>
        <w:tc>
          <w:tcPr>
            <w:tcW w:w="1430"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1月—12月</w:t>
            </w:r>
          </w:p>
        </w:tc>
        <w:tc>
          <w:tcPr>
            <w:tcW w:w="1482" w:type="dxa"/>
            <w:shd w:val="clear" w:color="auto" w:fill="FFFFFF"/>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2044" w:type="dxa"/>
            <w:shd w:val="clear" w:color="auto" w:fill="FFFFFF"/>
            <w:vAlign w:val="center"/>
          </w:tcPr>
          <w:p>
            <w:pPr>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c>
          <w:tcPr>
            <w:tcW w:w="1341"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执法监督科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79"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备注</w:t>
            </w:r>
          </w:p>
        </w:tc>
        <w:tc>
          <w:tcPr>
            <w:tcW w:w="13061" w:type="dxa"/>
            <w:gridSpan w:val="8"/>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424242"/>
                <w:sz w:val="24"/>
                <w:szCs w:val="24"/>
                <w:u w:val="none"/>
              </w:rPr>
            </w:pPr>
            <w:r>
              <w:rPr>
                <w:rFonts w:hint="eastAsia" w:ascii="仿宋_GB2312" w:hAnsi="仿宋_GB2312" w:eastAsia="仿宋_GB2312" w:cs="仿宋_GB2312"/>
                <w:i w:val="0"/>
                <w:iCs w:val="0"/>
                <w:color w:val="424242"/>
                <w:kern w:val="0"/>
                <w:sz w:val="24"/>
                <w:szCs w:val="24"/>
                <w:u w:val="none"/>
                <w:lang w:val="en-US" w:eastAsia="zh-CN" w:bidi="ar"/>
              </w:rPr>
              <w:t>实施过程中可根据上级有关部门要求和工作实际自行局部调整实施。</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6896"/>
    <w:rsid w:val="50F278BA"/>
    <w:rsid w:val="55625E46"/>
    <w:rsid w:val="5FE6760A"/>
    <w:rsid w:val="77B5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2025-04-10T07:00:00Z</dcterms:created>
  <dc:creator>孙兰兰</dc:creator>
  <cp:lastModifiedBy>孙兰兰</cp:lastModifiedBy>
  <dcterms:modified xsi:type="dcterms:W3CDTF">2025-04-27T08:20:29Z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6D2C7F1CB5344C5FB8082AC517D4CD9C</vt:lpwstr>
  </property>
</Properties>
</file>