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jc w:val="left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项目绩效目标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完成情况表</w:t>
      </w:r>
    </w:p>
    <w:tbl>
      <w:tblPr>
        <w:tblStyle w:val="2"/>
        <w:tblW w:w="9631" w:type="dxa"/>
        <w:tblInd w:w="-3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8"/>
        <w:gridCol w:w="1348"/>
        <w:gridCol w:w="987"/>
        <w:gridCol w:w="2515"/>
        <w:gridCol w:w="668"/>
        <w:gridCol w:w="973"/>
        <w:gridCol w:w="164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2" w:hRule="exac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  <w:lang w:eastAsia="zh-CN"/>
              </w:rPr>
              <w:t>项目</w:t>
            </w:r>
            <w:r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</w:rPr>
              <w:t>名称</w:t>
            </w:r>
          </w:p>
        </w:tc>
        <w:tc>
          <w:tcPr>
            <w:tcW w:w="8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rPr>
                <w:rFonts w:hint="eastAsia" w:hAnsi="Arial" w:cs="宋体"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2023年车辆购置税收入补助地方资金（第六批）-地方公路灾毁抢修保通</w:t>
            </w:r>
            <w:bookmarkEnd w:id="0"/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总体绩效目标</w:t>
            </w:r>
          </w:p>
        </w:tc>
        <w:tc>
          <w:tcPr>
            <w:tcW w:w="2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年度绩效目标</w:t>
            </w: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年初目标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2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完成国道G107线、G240线、G535线、省道S248线路段灾毁抢通工作，保障公路安全畅通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</w:trPr>
        <w:tc>
          <w:tcPr>
            <w:tcW w:w="1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实施周期绩效目标</w:t>
            </w: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Arial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年初目标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Arial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0" w:hRule="atLeast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2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完成国道G107线、G240线、G535线、省道S248线路段灾毁抢通工作，保障公路安全畅通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年初指标</w:t>
            </w: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值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出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完成当年度工作任务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黑体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财政资金使用合规性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合规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合规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实际资金支付率（%）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按期完成投资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完成公路水毁抢修保通项目投资金额（万元）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7.38万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7.38万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益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  <w:t>经济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效益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公路安全水平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  <w:t>生态效益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" w:hRule="atLeast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" w:hRule="atLeast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  <w:t>满意度指标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改善通行服务水平群众满意度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&gt;80%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&gt;80%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D1557"/>
    <w:rsid w:val="4DAD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2024-04-10T06:25:00Z</dcterms:created>
  <dc:creator>Lenovo</dc:creator>
  <cp:lastModifiedBy>Lenovo</cp:lastModifiedBy>
  <dcterms:modified xsi:type="dcterms:W3CDTF">2024-04-10T06:25:48Z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F47BE5ACC79E425784D9D0F50A72BF3A</vt:lpwstr>
  </property>
</Properties>
</file>