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</w:p>
    <w:p>
      <w:pPr>
        <w:spacing w:line="360" w:lineRule="auto"/>
        <w:jc w:val="center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eastAsia="zh-CN"/>
        </w:rPr>
        <w:t>市级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财政支出项目绩效自评</w:t>
      </w:r>
      <w:r>
        <w:rPr>
          <w:rFonts w:hint="eastAsia" w:ascii="宋体" w:hAnsi="宋体" w:eastAsia="宋体" w:cs="宋体"/>
          <w:b/>
          <w:sz w:val="52"/>
          <w:szCs w:val="52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leftChars="0" w:right="0" w:rightChars="0" w:firstLine="642" w:firstLineChars="200"/>
        <w:jc w:val="left"/>
        <w:textAlignment w:val="auto"/>
        <w:rPr>
          <w:rFonts w:hint="eastAsia" w:ascii="宋体" w:hAnsi="宋体" w:eastAsia="仿宋" w:cs="宋体"/>
          <w:b/>
          <w:bCs w:val="0"/>
          <w:color w:val="auto"/>
          <w:sz w:val="32"/>
          <w:szCs w:val="30"/>
          <w:lang w:val="en-US" w:eastAsia="zh-CN"/>
        </w:rPr>
      </w:pPr>
      <w:r>
        <w:rPr>
          <w:rFonts w:hint="eastAsia" w:ascii="宋体" w:hAnsi="宋体" w:eastAsia="仿宋" w:cs="宋体"/>
          <w:b/>
          <w:bCs w:val="0"/>
          <w:color w:val="auto"/>
          <w:sz w:val="32"/>
          <w:szCs w:val="30"/>
          <w:lang w:val="en-US" w:eastAsia="zh-CN"/>
        </w:rPr>
        <w:t>项目概况情况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</w:pP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  <w:t>主管部门和项目单位基本情况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rightChars="0" w:firstLine="600" w:firstLineChars="200"/>
        <w:jc w:val="left"/>
        <w:textAlignment w:val="auto"/>
        <w:rPr>
          <w:rFonts w:hint="eastAsia" w:ascii="仿宋_GB2312" w:hAnsi="仿宋_GB2312" w:eastAsia="仿宋_GB2312" w:cs="宋体"/>
          <w:b w:val="0"/>
          <w:bCs w:val="0"/>
          <w:sz w:val="30"/>
          <w:szCs w:val="21"/>
          <w:lang w:eastAsia="zh-CN"/>
        </w:rPr>
      </w:pPr>
      <w:r>
        <w:rPr>
          <w:rFonts w:hint="eastAsia" w:ascii="仿宋_GB2312" w:hAnsi="仿宋_GB2312" w:eastAsia="仿宋_GB2312" w:cs="宋体"/>
          <w:b w:val="0"/>
          <w:bCs w:val="0"/>
          <w:sz w:val="30"/>
          <w:szCs w:val="21"/>
          <w:lang w:val="en-US" w:eastAsia="zh-CN"/>
        </w:rPr>
        <w:t>韶关市交通运输局主要职能是</w:t>
      </w:r>
      <w:r>
        <w:rPr>
          <w:rFonts w:hint="eastAsia" w:ascii="仿宋_GB2312" w:hAnsi="仿宋_GB2312" w:eastAsia="仿宋_GB2312" w:cs="宋体"/>
          <w:b w:val="0"/>
          <w:bCs w:val="0"/>
          <w:sz w:val="30"/>
          <w:szCs w:val="21"/>
          <w:lang w:eastAsia="zh-CN"/>
        </w:rPr>
        <w:t>贯彻执行国家和省有关交通运输工作的方针政策、法律法规，拟订有关规范性文件，组织拟订全市公路、水路和城市公共交通运输等交通运输行业的发展规划。负责涉及综合运输体系的规划协调工作。承担道路、水路运输市场的监管责任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</w:pP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  <w:t>（二）项目实施主要内容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支持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全市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县道日常养护里程 2588 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乡道日常养护里程6279 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村道日常养护里程 5079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组织各县（市、区）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根据《广东省公路小修保养工作制度》、《广东省公路桥梁养护管理工作制度实施细则》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文件精神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对全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市的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县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乡、村公路进行了全面养护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2" w:firstLineChars="200"/>
        <w:jc w:val="left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前期工作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  <w:t>（</w:t>
      </w: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  <w:lang w:eastAsia="zh-CN"/>
        </w:rPr>
        <w:t>一</w:t>
      </w: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</w:rPr>
        <w:t>）</w:t>
      </w: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  <w:lang w:eastAsia="zh-CN"/>
        </w:rPr>
        <w:t>论证决策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根据省政府办公厅《广东省深化农村公路管理养护体制改革实施方案》（粤府办〔2021〕1号）及市政府办公室《韶关市深化农村公路管理养护体制改革实施方案》（韶府办〔2021〕4号）、《韶关市交通运输领域市级与县（市、区）财政事权和支出责任划分改革实施方案》（韶府办发函〔2021〕123号）的文件精神，从2021年起，省、市、县三级公共财政资金（不含“替代养路费部分”）用于农村公路日常养护的总额不得低于县道每年每公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里10000元、乡道每年每公里5000元、村道每年每公里3000元的标准，省、市、县三级财政按3：3：4比例筹集。202</w:t>
      </w:r>
      <w:r>
        <w:rPr>
          <w:rFonts w:hint="eastAsia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年度，</w:t>
      </w:r>
      <w:r>
        <w:rPr>
          <w:rFonts w:hint="eastAsia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我市日常养护补助资金项目2175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宋体" w:hAnsi="宋体" w:eastAsia="仿宋" w:cs="宋体"/>
          <w:b w:val="0"/>
          <w:bCs/>
          <w:color w:val="auto"/>
          <w:sz w:val="32"/>
          <w:szCs w:val="30"/>
          <w:lang w:eastAsia="zh-CN"/>
        </w:rPr>
      </w:pP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（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  <w:lang w:eastAsia="zh-CN"/>
        </w:rPr>
        <w:t>二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）</w:t>
      </w:r>
      <w:r>
        <w:rPr>
          <w:rFonts w:hint="eastAsia" w:ascii="宋体" w:hAnsi="宋体" w:eastAsia="仿宋" w:cs="宋体"/>
          <w:b w:val="0"/>
          <w:bCs/>
          <w:color w:val="auto"/>
          <w:sz w:val="32"/>
          <w:szCs w:val="30"/>
          <w:lang w:eastAsia="zh-CN"/>
        </w:rPr>
        <w:t>目标完整性和科学性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2023年市级农村公路日常养护补助资金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绩效目标是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28"/>
          <w:lang w:eastAsia="zh-CN"/>
        </w:rPr>
        <w:t>2023年12月底完成全市农村公路日常养护工作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保障全县农村公路（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县道日常养护里程 2588 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乡道日常养护里程6279 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村道日常养护里程 5079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公里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）的安全畅通。确保地方公路养护管理工作良性运行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eastAsia" w:ascii="仿宋_GB2312" w:eastAsia="仿宋"/>
          <w:b w:val="0"/>
          <w:bCs/>
          <w:color w:val="auto"/>
          <w:sz w:val="32"/>
          <w:szCs w:val="32"/>
        </w:rPr>
        <w:t>有效维护公路及设施良性运行，延长公路使用寿命，为社会提供良好的公路交通环境，</w:t>
      </w:r>
      <w:r>
        <w:rPr>
          <w:rFonts w:hint="eastAsia" w:eastAsia="仿宋" w:cs="Times New Roman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符合我农村公路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日常养护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目标要求</w:t>
      </w:r>
      <w:r>
        <w:rPr>
          <w:rFonts w:hint="eastAsia" w:ascii="仿宋_GB2312" w:eastAsia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ascii="仿宋_GB2312" w:hAnsi="黑体" w:eastAsia="仿宋"/>
          <w:b w:val="0"/>
          <w:bCs/>
          <w:color w:val="auto"/>
          <w:sz w:val="32"/>
          <w:szCs w:val="28"/>
        </w:rPr>
      </w:pP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（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  <w:lang w:eastAsia="zh-CN"/>
        </w:rPr>
        <w:t>三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组织机构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left="0" w:firstLine="60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宋体"/>
          <w:sz w:val="30"/>
          <w:szCs w:val="22"/>
          <w:lang w:val="en-US" w:eastAsia="zh-CN"/>
        </w:rPr>
        <w:t>补助资金以切块资金方式下达，由各县（市、区）交通运输局组织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left="0" w:firstLine="640" w:firstLineChars="200"/>
        <w:jc w:val="left"/>
        <w:textAlignment w:val="baseline"/>
        <w:rPr>
          <w:rFonts w:hint="eastAsia" w:ascii="仿宋_GB2312" w:hAnsi="黑体" w:eastAsia="仿宋"/>
          <w:b w:val="0"/>
          <w:bCs/>
          <w:color w:val="auto"/>
          <w:sz w:val="32"/>
          <w:szCs w:val="28"/>
          <w:lang w:eastAsia="zh-CN"/>
        </w:rPr>
      </w:pP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（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  <w:lang w:eastAsia="zh-CN"/>
        </w:rPr>
        <w:t>四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</w:rPr>
        <w:t>）</w:t>
      </w:r>
      <w:r>
        <w:rPr>
          <w:rFonts w:hint="eastAsia" w:ascii="仿宋_GB2312" w:hAnsi="黑体" w:eastAsia="仿宋"/>
          <w:b w:val="0"/>
          <w:bCs/>
          <w:color w:val="auto"/>
          <w:sz w:val="32"/>
          <w:szCs w:val="28"/>
          <w:lang w:eastAsia="zh-CN"/>
        </w:rPr>
        <w:t>制度措施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根据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《韶关市全面推行普通公路路长制“136”行动工作方案》、《韶关市深化农村公路管理养护体制改革实施方案》的任务目标考核工作，有效地保障提高我</w:t>
      </w:r>
      <w:r>
        <w:rPr>
          <w:rFonts w:hint="eastAsia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管养农村公路的日常养护作业覆盖面及列养率，进一步维护公路及设施良性运行，为社会提供良好的公路交通环境，提升我</w:t>
      </w:r>
      <w:r>
        <w:rPr>
          <w:rFonts w:hint="eastAsia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农村公路养护水平。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2" w:firstLineChars="200"/>
        <w:jc w:val="left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实施过程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自评情况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到位及支出情况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根据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韶关市财政局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《韶关市财政局关于下达2023年市级农村公路日常养护补助资金的通知》（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韶财综〔202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）文件精神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下达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补助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资金为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2175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2023年12月31日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已支付资金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538.7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万元，较好地完成年度养护工作任务。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支付合规性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2023年市级农村公路日常养护补助资金项目工程支出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538.7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万元，实现了专款专用，按地方政府预算支出管理制度进行监管，县财政局、县审计局、县交通运输局层层把关，严格按施工合同和审计结论支付款项，杜绝工程资金跑冒滴漏现象。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实施程序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各县（市、区）交通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主管部门对农村公路养护市级补助资金项目，一是按照公路养护工程技术标准、规范养护的技术要求进行实施；二是督查各养护道对自己所管养的路线及时进行相应是常检查工作；三是及时更新养护工作进展情况，并编制好养护计划工作；四是要求养护人员严格按照养护技术要求抓好落实；五是有关领导经常到公路养护现场进行督查，指派经验丰富的养护工程师经常到现场进行指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项目监管情况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ind w:firstLine="640"/>
        <w:jc w:val="left"/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我局严格落实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《广东省公路小修保养工作制度》、《公路桥梁养护管理工作制度》、《韶关市深化农村公路管理养护体制改革实施方案》(韶府办〔2021〕4 号)等文件的要求,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指导直属单位市交通运输事务中心做好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2023年度我市地方公路安全运行管理工作,对各单位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按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季度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进行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地方公路养护及安全生产工作检查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，并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将有关检查情况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进行</w:t>
      </w: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通报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，督促各有关单位对公路养护存在问题进行整改。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资金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使用绩效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成本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控制情况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韶关市财政局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《韶关市财政局关于下达2023年市级农村公路日常养护补助资金的通知》（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韶财综〔202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）下达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市级预算资金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2175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万元。资金全部用于202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年度农村公路养护及人员工资、经费等项目中支出使用，目前已支付资金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538.7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完成进度及质量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项目任务于202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年1月1日起开始实施养护工作，并于当日起计算工期，项目202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年12月底完成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全市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农村公路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13946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公里养护工作，养护工作完成率100%，如期完成年度任务100%。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社会经济效益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建设农村公路有利于发挥基础性设施的积极作用，转变其落后的发展结构，并为周边区域的发展进步注入活力，并在该地区产生一个蓬勃的增长极，以此为中心呈圆周状向外放射，带动整个地区的发展。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保障农村的客货运行安全，使运输能力得到提高，给该地区的经济发展注入源源不断的动力，使乡镇经济水平迅速提高，建设农村公路可以促进农村经济向多元化的方向转变，并从根源上改变其原先的农业结构；促使当地群众出行交通成本预计可降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可持续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发展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预期能够进一步加强农村公路的使用的持久性，尤其是完善公路维护工作，有利于农村经济发展，为社会经济效益带来积极影响，改善人民的出行、生产环境，使沿线农村和地方政府直接受益，对区域经济发展起着至关重要的作用，延长道路使用寿命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公共属性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通过农村公路日常养护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较好地改善了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韶关市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农村公路使用后的整体持久性问题，给当地农村及周边区域带来了便利，也给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韶关市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农村地方经济的发展起到促进的作用，当地群众对农村公路公路养护资金项目的实施持满意态度。更好的养护工程质量，更好的行车舒性；保障了公共安全和公共福利，公众对公路养护工作满意度较高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64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资金使用绩效存在的问题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省、市按养护里程定额下拔公路养护经费，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公路养护站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人员工资、养护经费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没有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列入财政预算，资金缺口大，难以保障日常工作正常运行。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公路养护站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职工工资、津贴等一直未能参照政府相关部门制定的标准发放，工资收入较低,严重影响工作积极性。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、农村公路建设标准低，附属设施不完善，普遍存在排水不良的现象，养护工作量大，养护人员逐渐老年化，养护人员锐减严重，任务繁重。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、超重车辆多，乡、村公路路面受损严重，路况质量难以提高。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、自然灾害多，经常发生公路水毁病害，修复资金缺口非常大，导致历年遗留的灾害隐患较多。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2" w:firstLineChars="200"/>
        <w:jc w:val="left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（一）公路养护工作建议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建议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市财政局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提供稳定的资金来源渠道，足额保障日常养护资金投入，支撑养护企业引进专业技术人才，购置必需的机械设备，使养护企业具备申报条件。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、山区公路养护成本高，省、市养护资金不足，建议将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农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村公路养护配套资金，列入县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级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年度财政预算，以保障养护工作顺利进行。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、根据养护工程定额制定相应预算，确保养护经费切实满足日常养护需求。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、按照公路法规及相关文件规定，将乡、村道下放镇（街）管理，按市场化模式进行日常养护。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改善公路养护措施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1、鉴于现有事业编制养护工人的实际情况，在人员自然减员的基础上，逐步推进公路养护市场化。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2、加大养护管理力度，重点对公路排水系统进行整治，做好水毁的预防工作，减少水毁损失。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3、争取各级政府重视，加强“治超”工作，禁止超载车辆上路对乡村公路的破坏，以延长乡村公路使用寿命。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2" w:firstLineChars="200"/>
        <w:jc w:val="left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、自评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结论及得分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根据投入、产出、效益三个方面，项目的实施达到了预期目标和预期效果。同时，项目的实施大幅提高了我市农村公路和桥梁的通行能力和条件，促进了农村的经济发展，改善了农民的生产生活条件，为农业、旅游、农产品流通等打下了坚实的基础，自评得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92.5分。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left="0" w:firstLine="640" w:firstLineChars="200"/>
        <w:jc w:val="left"/>
        <w:rPr>
          <w:rFonts w:hint="eastAsia" w:eastAsia="仿宋"/>
          <w:b w:val="0"/>
          <w:bCs/>
          <w:color w:val="auto"/>
          <w:sz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157" w:left="142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1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E63AF"/>
    <w:multiLevelType w:val="singleLevel"/>
    <w:tmpl w:val="823E63A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FB7982C"/>
    <w:multiLevelType w:val="singleLevel"/>
    <w:tmpl w:val="9FB7982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91DE504"/>
    <w:multiLevelType w:val="singleLevel"/>
    <w:tmpl w:val="A91DE504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ABB42CC4"/>
    <w:multiLevelType w:val="singleLevel"/>
    <w:tmpl w:val="ABB42CC4"/>
    <w:lvl w:ilvl="0" w:tentative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OTFmNzdkNWU3NjJiNDE1NDM5NDRjZTM4NWY3ZDgifQ=="/>
  </w:docVars>
  <w:rsids>
    <w:rsidRoot w:val="0BFE5C14"/>
    <w:rsid w:val="005C4D2E"/>
    <w:rsid w:val="025179AF"/>
    <w:rsid w:val="058070D2"/>
    <w:rsid w:val="08602EE2"/>
    <w:rsid w:val="090F1BC1"/>
    <w:rsid w:val="0AE646A6"/>
    <w:rsid w:val="0B5B59BB"/>
    <w:rsid w:val="0BFE5C14"/>
    <w:rsid w:val="0D305759"/>
    <w:rsid w:val="0DA613A6"/>
    <w:rsid w:val="0E7C0C3E"/>
    <w:rsid w:val="0FB9522A"/>
    <w:rsid w:val="10740AD0"/>
    <w:rsid w:val="171E2A2A"/>
    <w:rsid w:val="17C77325"/>
    <w:rsid w:val="182E580C"/>
    <w:rsid w:val="20653A8A"/>
    <w:rsid w:val="20C57165"/>
    <w:rsid w:val="25FE76ED"/>
    <w:rsid w:val="28842B45"/>
    <w:rsid w:val="29280F9D"/>
    <w:rsid w:val="294F4238"/>
    <w:rsid w:val="300C57EA"/>
    <w:rsid w:val="308D08DD"/>
    <w:rsid w:val="31445F0A"/>
    <w:rsid w:val="33131DED"/>
    <w:rsid w:val="36370F8D"/>
    <w:rsid w:val="37EF1A09"/>
    <w:rsid w:val="37FB2A8F"/>
    <w:rsid w:val="3A033975"/>
    <w:rsid w:val="3B0948EF"/>
    <w:rsid w:val="3D3368D8"/>
    <w:rsid w:val="41B61F1C"/>
    <w:rsid w:val="42FC2299"/>
    <w:rsid w:val="454E358C"/>
    <w:rsid w:val="48385CD3"/>
    <w:rsid w:val="4C674081"/>
    <w:rsid w:val="500118FC"/>
    <w:rsid w:val="5B8D6172"/>
    <w:rsid w:val="5C6360B9"/>
    <w:rsid w:val="5ED24865"/>
    <w:rsid w:val="69FA560B"/>
    <w:rsid w:val="6B6F47D5"/>
    <w:rsid w:val="6CFE24A2"/>
    <w:rsid w:val="711C09A1"/>
    <w:rsid w:val="72C871E1"/>
    <w:rsid w:val="779724C1"/>
    <w:rsid w:val="7BB87637"/>
    <w:rsid w:val="7DA5661F"/>
    <w:rsid w:val="7FE3315A"/>
    <w:rsid w:val="DBFF8A2C"/>
    <w:rsid w:val="DCF75C3A"/>
    <w:rsid w:val="E5BF5ABE"/>
    <w:rsid w:val="EF696221"/>
    <w:rsid w:val="FEDFB2D5"/>
    <w:rsid w:val="FF1DE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3675</Words>
  <Characters>4059</Characters>
  <Lines>0</Lines>
  <Paragraphs>0</Paragraphs>
  <TotalTime>37</TotalTime>
  <ScaleCrop>false</ScaleCrop>
  <LinksUpToDate>false</LinksUpToDate>
  <CharactersWithSpaces>4075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2021-02-27T19:06:00Z</dcterms:created>
  <dc:creator>Administrator</dc:creator>
  <cp:lastModifiedBy>user</cp:lastModifiedBy>
  <cp:lastPrinted>2023-09-23T23:17:00Z</cp:lastPrinted>
  <dcterms:modified xsi:type="dcterms:W3CDTF">2024-04-26T15:40:38Z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4D35BD01C73E473AB7D957DC3AA5FB13</vt:lpwstr>
  </property>
</Properties>
</file>