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韶关市2025年省级下放知识产权资金（促进类）项目申报形式审查结果</w:t>
      </w:r>
    </w:p>
    <w:p>
      <w:pPr>
        <w:jc w:val="center"/>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p>
    <w:tbl>
      <w:tblPr>
        <w:tblStyle w:val="3"/>
        <w:tblW w:w="12236" w:type="dxa"/>
        <w:jc w:val="center"/>
        <w:tblInd w:w="-354" w:type="dxa"/>
        <w:shd w:val="clear" w:color="auto" w:fill="auto"/>
        <w:tblLayout w:type="fixed"/>
        <w:tblCellMar>
          <w:top w:w="0" w:type="dxa"/>
          <w:left w:w="0" w:type="dxa"/>
          <w:bottom w:w="0" w:type="dxa"/>
          <w:right w:w="0" w:type="dxa"/>
        </w:tblCellMar>
      </w:tblPr>
      <w:tblGrid>
        <w:gridCol w:w="771"/>
        <w:gridCol w:w="1491"/>
        <w:gridCol w:w="3741"/>
        <w:gridCol w:w="1116"/>
        <w:gridCol w:w="5117"/>
      </w:tblGrid>
      <w:tr>
        <w:tblPrEx>
          <w:shd w:val="clear" w:color="auto" w:fill="auto"/>
          <w:tblLayout w:type="fixed"/>
          <w:tblCellMar>
            <w:top w:w="0" w:type="dxa"/>
            <w:left w:w="0" w:type="dxa"/>
            <w:bottom w:w="0" w:type="dxa"/>
            <w:right w:w="0" w:type="dxa"/>
          </w:tblCellMar>
        </w:tblPrEx>
        <w:trPr>
          <w:trHeight w:val="80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申报项目名称</w:t>
            </w:r>
          </w:p>
        </w:tc>
        <w:tc>
          <w:tcPr>
            <w:tcW w:w="3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申报单位名称</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形式审查结果</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84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韶关市高价值专利培育布局中心建设项目</w:t>
            </w: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 xml:space="preserve">国科广化精细化工孵化器（南雄）有限公司                                             广东高航知识产权运营有限公司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D0D0D"/>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国科广化（南雄）新材料研究院有限公司                            广州市华学知识产权代理有限公司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不通过</w:t>
            </w:r>
          </w:p>
        </w:tc>
        <w:tc>
          <w:tcPr>
            <w:tcW w:w="5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不符合《2025年韶关市高价值专利培育布局中心建设项目申报指南》要求。</w:t>
            </w:r>
          </w:p>
        </w:tc>
      </w:tr>
      <w:tr>
        <w:tblPrEx>
          <w:tblLayout w:type="fixed"/>
          <w:tblCellMar>
            <w:top w:w="0" w:type="dxa"/>
            <w:left w:w="0" w:type="dxa"/>
            <w:bottom w:w="0" w:type="dxa"/>
            <w:right w:w="0" w:type="dxa"/>
          </w:tblCellMar>
        </w:tblPrEx>
        <w:trPr>
          <w:trHeight w:val="74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D0D0D"/>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广东天恒液压机械有限公司                                广州恒成智道信息科技有限公司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9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4</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D0D0D"/>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广东青云山药业有限公司                                    广东丹霞生物制药有限公司                                    华研（广州）知识产权运营服务有限公司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4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5</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韶关市专利导航项目</w:t>
            </w: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横琴国际知识产权交易中心有限公司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6</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D0D0D"/>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华进联合专利商标代理有限公司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7</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D0D0D"/>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广州嘉权专利商标事务所有限公司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4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8</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D0D0D"/>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广州市华学知识产权代理有限公司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9</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D0D0D"/>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广州骏思知识产权代理有限公司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8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10</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D0D0D"/>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广东创智知识产权营运服务有限公司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178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11</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D0D0D"/>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广州恒成智道信息科技有限公司                                广东知得失数字科技有限公司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不通过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不符合《广东省市场监督管理局关于印发促进经济高质量发展专项资金项目管理工作规程（试行）的通知》（粤市监财〔2023〕457 号要求）、《韶关市市场监督管理局关于印发〈韶关市市场监督管理局促进经济高质量发展专项资金项目管理工作规程〉的通知》（韶市监财〔2024〕2号）“立项申请的同一项目负责人当年申报项目累计超过3项的，不得申报”要求。项目申请单位自愿放弃该项目申请。</w:t>
            </w:r>
          </w:p>
        </w:tc>
      </w:tr>
      <w:tr>
        <w:tblPrEx>
          <w:tblLayout w:type="fixed"/>
          <w:tblCellMar>
            <w:top w:w="0" w:type="dxa"/>
            <w:left w:w="0" w:type="dxa"/>
            <w:bottom w:w="0" w:type="dxa"/>
            <w:right w:w="0" w:type="dxa"/>
          </w:tblCellMar>
        </w:tblPrEx>
        <w:trPr>
          <w:trHeight w:val="54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12</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D0D0D"/>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广州高航知识产权代理有限公司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13</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D0D0D"/>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深圳高智量知识产权运营有限公司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0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14</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韶关市专利转化促进项目</w:t>
            </w: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韶关市科创科技风险投资有限公司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0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15</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D0D0D"/>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深圳高智量知识产权运营有限公司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0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16</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D0D0D"/>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广东股权交易中心股份有限公司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0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17</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D0D0D"/>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横琴国际知识产权交易中心有限公司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0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18</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韶关市知识产权金融创新促进计划项目</w:t>
            </w: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深圳市中兴达知识产权运营有限公司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0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19</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D0D0D"/>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韶关市旺马金服信息科技有限公司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0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20</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韶关市知识产权公共服务网点建设项目</w:t>
            </w: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广州骏思知识产权代理有限公司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不通过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不符合《2025年韶关市高价值专利培育布局中心建设项目申报指南》要求。</w:t>
            </w:r>
          </w:p>
        </w:tc>
      </w:tr>
      <w:tr>
        <w:tblPrEx>
          <w:tblLayout w:type="fixed"/>
          <w:tblCellMar>
            <w:top w:w="0" w:type="dxa"/>
            <w:left w:w="0" w:type="dxa"/>
            <w:bottom w:w="0" w:type="dxa"/>
            <w:right w:w="0" w:type="dxa"/>
          </w:tblCellMar>
        </w:tblPrEx>
        <w:trPr>
          <w:trHeight w:val="60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21</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D0D0D"/>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D0D0D"/>
                <w:sz w:val="24"/>
                <w:szCs w:val="24"/>
                <w:u w:val="none"/>
                <w:lang w:val="en-US"/>
              </w:rPr>
            </w:pPr>
            <w:r>
              <w:rPr>
                <w:rFonts w:hint="eastAsia" w:ascii="仿宋_GB2312" w:hAnsi="宋体" w:eastAsia="仿宋_GB2312" w:cs="仿宋_GB2312"/>
                <w:i w:val="0"/>
                <w:color w:val="0D0D0D"/>
                <w:kern w:val="0"/>
                <w:sz w:val="24"/>
                <w:szCs w:val="24"/>
                <w:u w:val="none"/>
                <w:lang w:val="en-US" w:eastAsia="zh-CN" w:bidi="ar"/>
              </w:rPr>
              <w:t>乐昌市产业转移工业园服务中心    韶关市粤北中小企业服务</w:t>
            </w:r>
            <w:bookmarkStart w:id="0" w:name="_GoBack"/>
            <w:bookmarkEnd w:id="0"/>
            <w:r>
              <w:rPr>
                <w:rFonts w:hint="eastAsia" w:ascii="仿宋_GB2312" w:hAnsi="宋体" w:eastAsia="仿宋_GB2312" w:cs="仿宋_GB2312"/>
                <w:i w:val="0"/>
                <w:color w:val="0D0D0D"/>
                <w:kern w:val="0"/>
                <w:sz w:val="24"/>
                <w:szCs w:val="24"/>
                <w:u w:val="none"/>
                <w:lang w:val="en-US" w:eastAsia="zh-CN" w:bidi="ar"/>
              </w:rPr>
              <w:t>中心</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162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22</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D0D0D"/>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横琴国际知识产权交易中心有限公司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不通过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不符合《2025年韶关市高价值专利培育布局中心建设项目申报指南》及《广东省市场监督管理局关于印发促进经济高质量发展专项资金项目管理工作规程（试行）的通知》（粤市监财〔2023〕457 号要求）、《韶关市市场监督管理局关于印发〈韶关市市场监督管理局促进经济高质量发展专项资金项目管理工作规程〉的通知》（韶市监财〔2024〕2号）“立项申请的同一项目负责人当年申报项目累计超过3项的，不得申报”要求。项目申请单位自愿放弃该项目申请。</w:t>
            </w:r>
          </w:p>
        </w:tc>
      </w:tr>
      <w:tr>
        <w:tblPrEx>
          <w:tblLayout w:type="fixed"/>
          <w:tblCellMar>
            <w:top w:w="0" w:type="dxa"/>
            <w:left w:w="0" w:type="dxa"/>
            <w:bottom w:w="0" w:type="dxa"/>
            <w:right w:w="0" w:type="dxa"/>
          </w:tblCellMar>
        </w:tblPrEx>
        <w:trPr>
          <w:trHeight w:val="60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23</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D0D0D"/>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仁化县国家现代农业示范区管委会</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0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24</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D0D0D"/>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国科广化韶关新材料研究院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0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25</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韶关市知识产权公共服务平台建设项目</w:t>
            </w: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广州奥凯信息咨询有限公司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0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26</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D0D0D"/>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横琴国际知识产权交易中心有限公司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0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27</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D0D0D"/>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广东信拓网络科技有限公司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0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28</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D0D0D"/>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广州恒成智道信息科技有限公司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0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29</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D0D0D"/>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韶关市科创科技风险投资有限公司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0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30</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D0D0D"/>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广东知得失数字科技有限公司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162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31</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中小学知识产权教育推广普及项目</w:t>
            </w: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广州恒成智道信息科技有限公司                        韶关市武江第一小学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不通过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不符合《广东省市场监督管理局关于印发促进经济高质量发展专项资金项目管理工作规程（试行）的通知》（粤市监财〔2023〕457 号要求）、《韶关市市场监督管理局关于印发〈韶关市市场监督管理局促进经济高质量发展专项资金项目管理工作规程〉的通知》（韶市监财〔2024〕2号）“立项申请的同一项目负责人当年申报项目累计超过3项的，不得申报”要求。项目申请单位自愿放弃该项目申请。</w:t>
            </w:r>
          </w:p>
        </w:tc>
      </w:tr>
      <w:tr>
        <w:tblPrEx>
          <w:tblLayout w:type="fixed"/>
          <w:tblCellMar>
            <w:top w:w="0" w:type="dxa"/>
            <w:left w:w="0" w:type="dxa"/>
            <w:bottom w:w="0" w:type="dxa"/>
            <w:right w:w="0" w:type="dxa"/>
          </w:tblCellMar>
        </w:tblPrEx>
        <w:trPr>
          <w:trHeight w:val="60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32</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D0D0D"/>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广州恒成智道信息科技有限公司                     韶关市风度小学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0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33</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D0D0D"/>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韶关市版权协会                                              韶关市第五中学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0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34</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D0D0D"/>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韶关市知识产权协会                                 韶关市浈江区实验学校</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0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35</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D0D0D"/>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河源市海科知识产权管理服务有限公司                                   仁化县第一中学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0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36</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创建地理标志特色强县项目</w:t>
            </w: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广东省地理标志协会</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0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37</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D0D0D"/>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广东创智知识产权营运服务有限公司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D0D0D"/>
                <w:sz w:val="24"/>
                <w:szCs w:val="24"/>
                <w:u w:val="none"/>
              </w:rPr>
            </w:pPr>
            <w:r>
              <w:rPr>
                <w:rFonts w:hint="eastAsia" w:ascii="仿宋_GB2312" w:hAnsi="宋体" w:eastAsia="仿宋_GB2312" w:cs="仿宋_GB2312"/>
                <w:i w:val="0"/>
                <w:color w:val="0D0D0D"/>
                <w:kern w:val="0"/>
                <w:sz w:val="24"/>
                <w:szCs w:val="24"/>
                <w:u w:val="none"/>
                <w:lang w:val="en-US" w:eastAsia="zh-CN" w:bidi="ar"/>
              </w:rPr>
              <w:t>通过</w:t>
            </w:r>
          </w:p>
        </w:tc>
        <w:tc>
          <w:tcPr>
            <w:tcW w:w="5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bl>
    <w:p>
      <w:pPr>
        <w:jc w:val="center"/>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487ABE"/>
    <w:rsid w:val="24D21C8C"/>
    <w:rsid w:val="35CE3828"/>
    <w:rsid w:val="3B1B186A"/>
    <w:rsid w:val="43D05EB5"/>
    <w:rsid w:val="47401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01"/>
    <w:basedOn w:val="2"/>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2025-03-06T01:32:00Z</dcterms:created>
  <dc:creator>Administrator</dc:creator>
  <cp:lastModifiedBy>杨志鹏</cp:lastModifiedBy>
  <cp:lastPrinted>2025-03-06T02:06:00Z</cp:lastPrinted>
  <dcterms:modified xsi:type="dcterms:W3CDTF">2025-03-06T07:35:57Z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