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2025年</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韶关市中小学</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知识产权教育项目</w:t>
      </w:r>
      <w:r>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t>申报指南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723" w:firstLineChars="200"/>
        <w:textAlignment w:val="auto"/>
        <w:rPr>
          <w:rFonts w:hint="eastAsia" w:ascii="仿宋" w:hAnsi="仿宋" w:eastAsia="仿宋" w:cs="仿宋"/>
          <w:b/>
          <w:bCs/>
          <w:color w:val="000000" w:themeColor="text1"/>
          <w:sz w:val="36"/>
          <w:szCs w:val="36"/>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申报主体</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知识产权服务机构联合1所韶关市内中小学校共同申报。已申报过该项目的中小学，不得重复申报。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项目任务</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（一）每个学校开展知识产权师资队伍培育工作，面向师资队伍开展2场以上知识产权相关课程培训。</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（二）每个学校开设知识产权教育“第二课堂”或社会实践活动，各不少于4个学时，不少于200人次,让青少年学生从小形成尊重知识、崇尚创新、保护知识产权的意识，培养学生创新精神和实践能力。</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（三）每个学校设立专门的知识产权宣传栏，内容更新各不少于2次。</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开展全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中小学知识产权教育的摸底、调查工作，培育知识产权教育试点示范后备学校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（五）引导</w:t>
      </w:r>
      <w:r>
        <w:rPr>
          <w:rFonts w:hint="eastAsia" w:ascii="仿宋_GB2312" w:hAnsi="仿宋_GB2312" w:eastAsia="仿宋_GB2312" w:cs="仿宋_GB2312"/>
          <w:color w:val="000000" w:themeColor="text1"/>
          <w:sz w:val="32"/>
          <w:szCs w:val="32"/>
          <w14:textFill>
            <w14:solidFill>
              <w14:schemeClr w14:val="tx1"/>
            </w14:solidFill>
          </w14:textFill>
        </w:rPr>
        <w:t>知识产权教育工作成绩突出的中小学积极申报评定“全国知识产权教育试点、示范学校”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2025年支持项目2项，额度为5万元/项。项目周期为：1年。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val="0"/>
          <w:bCs/>
          <w:color w:val="000000" w:themeColor="text1"/>
          <w:kern w:val="44"/>
          <w:sz w:val="32"/>
          <w:szCs w:val="32"/>
          <w:shd w:val="clear" w:color="auto" w:fill="FFFFFF"/>
          <w:lang w:eastAsia="zh-CN"/>
          <w14:textFill>
            <w14:solidFill>
              <w14:schemeClr w14:val="tx1"/>
            </w14:solidFill>
          </w14:textFill>
        </w:rPr>
        <w:t>2025年度韶关市中小学知识产权教育项目</w:t>
      </w:r>
      <w:r>
        <w:rPr>
          <w:rFonts w:hint="eastAsia" w:ascii="仿宋_GB2312" w:hAnsi="仿宋_GB2312" w:eastAsia="仿宋_GB2312" w:cs="仿宋_GB2312"/>
          <w:b w:val="0"/>
          <w:bCs/>
          <w:color w:val="000000" w:themeColor="text1"/>
          <w:kern w:val="44"/>
          <w:sz w:val="32"/>
          <w:szCs w:val="32"/>
          <w:shd w:val="clear" w:color="auto" w:fill="FFFFFF"/>
          <w:lang w:val="en-US" w:eastAsia="zh-CN" w:bidi="ar-SA"/>
          <w14:textFill>
            <w14:solidFill>
              <w14:schemeClr w14:val="tx1"/>
            </w14:solidFill>
          </w14:textFill>
        </w:rPr>
        <w:t>申报书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（二）机构法人资格证书或营业执照；</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（三）机构所获荣誉证明；</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（四）信用报告</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（五）其他证明申报条件、申报优势的材料。</w:t>
      </w: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以上材料均需加盖公章。</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五、其他事项</w:t>
      </w: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（一）本次申报及评审结果仅将列入韶关市场监管局2025年 项目入库名单，我局将根据项目预算等实际情况综合确定本次评审项目是否立项。</w:t>
      </w: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月起至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数量</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的格式列出。 </w:t>
      </w: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（三）合同管理：项目立项后，市市场监管局与承担单位签署项目合同书，作为项目管理的重要依据。 </w:t>
      </w: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shd w:val="solid" w:color="FFFFFF" w:fill="auto"/>
        <w:kinsoku/>
        <w:wordWrap/>
        <w:overflowPunct w:val="0"/>
        <w:topLinePunct w:val="0"/>
        <w:autoSpaceDE/>
        <w:autoSpaceDN w:val="0"/>
        <w:bidi w:val="0"/>
        <w:adjustRightInd/>
        <w:snapToGrid/>
        <w:spacing w:before="0" w:beforeLines="0" w:after="0" w:afterLines="0" w:line="56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numPr>
          <w:ilvl w:val="0"/>
          <w:numId w:val="0"/>
        </w:numPr>
        <w:ind w:leftChars="0"/>
        <w:rPr>
          <w:rFonts w:hint="eastAsia"/>
          <w:lang w:eastAsia="zh-CN"/>
        </w:rPr>
      </w:pPr>
    </w:p>
    <w:p>
      <w:pPr>
        <w:jc w:val="center"/>
        <w:rPr>
          <w:rFonts w:hint="eastAsia" w:ascii="方正小标宋简体" w:hAnsi="方正小标宋简体" w:eastAsia="方正小标宋简体" w:cs="方正小标宋简体"/>
          <w:sz w:val="52"/>
          <w:szCs w:val="52"/>
          <w:lang w:eastAsia="zh-CN"/>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2025年韶关市中小学知识产权教育项目申报书</w:t>
      </w:r>
    </w:p>
    <w:p>
      <w:pPr>
        <w:rPr>
          <w:rFonts w:hint="eastAsia"/>
        </w:rPr>
      </w:pPr>
    </w:p>
    <w:tbl>
      <w:tblPr>
        <w:tblStyle w:val="4"/>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jc w:val="both"/>
        <w:rPr>
          <w:rFonts w:eastAsia="楷体_GB2312"/>
          <w:bCs/>
          <w:color w:val="000000" w:themeColor="text1"/>
          <w:sz w:val="36"/>
          <w14:textFill>
            <w14:solidFill>
              <w14:schemeClr w14:val="tx1"/>
            </w14:solidFill>
          </w14:textFill>
        </w:rPr>
      </w:pPr>
    </w:p>
    <w:p/>
    <w:p/>
    <w:p/>
    <w:p/>
    <w:p/>
    <w:p>
      <w:pPr>
        <w:jc w:val="center"/>
        <w:rPr>
          <w:rFonts w:hint="eastAsia" w:eastAsia="楷体_GB2312"/>
          <w:bCs/>
          <w:color w:val="000000" w:themeColor="text1"/>
          <w:sz w:val="36"/>
          <w:lang w:eastAsia="zh-CN"/>
          <w14:textFill>
            <w14:solidFill>
              <w14:schemeClr w14:val="tx1"/>
            </w14:solidFill>
          </w14:textFill>
        </w:rPr>
      </w:pPr>
    </w:p>
    <w:p>
      <w:pPr>
        <w:jc w:val="center"/>
        <w:rPr>
          <w:rFonts w:hint="eastAsia" w:eastAsia="楷体_GB2312"/>
          <w:bCs/>
          <w:color w:val="000000" w:themeColor="text1"/>
          <w:sz w:val="36"/>
          <w:lang w:eastAsia="zh-CN"/>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2025</w:t>
      </w:r>
      <w:r>
        <w:rPr>
          <w:rFonts w:eastAsia="楷体_GB2312"/>
          <w:bCs/>
          <w:color w:val="000000" w:themeColor="text1"/>
          <w:sz w:val="36"/>
          <w14:textFill>
            <w14:solidFill>
              <w14:schemeClr w14:val="tx1"/>
            </w14:solidFill>
          </w14:textFill>
        </w:rPr>
        <w:t>年</w:t>
      </w:r>
    </w:p>
    <w:p>
      <w:pPr>
        <w:rPr>
          <w:rFonts w:hint="eastAsia" w:ascii="仿宋_GB2312" w:hAnsi="仿宋_GB2312" w:eastAsia="仿宋_GB2312" w:cs="仿宋_GB2312"/>
          <w:color w:val="000000" w:themeColor="text1"/>
          <w:sz w:val="32"/>
          <w:szCs w:val="32"/>
          <w14:textFill>
            <w14:solidFill>
              <w14:schemeClr w14:val="tx1"/>
            </w14:solidFill>
          </w14:textFill>
        </w:rPr>
      </w:pPr>
    </w:p>
    <w:p>
      <w:pPr>
        <w:spacing w:line="660" w:lineRule="exact"/>
        <w:jc w:val="center"/>
        <w:rPr>
          <w:rFonts w:hint="eastAsia"/>
          <w:color w:val="000000" w:themeColor="text1"/>
          <w14:textFill>
            <w14:solidFill>
              <w14:schemeClr w14:val="tx1"/>
            </w14:solidFill>
          </w14:textFill>
        </w:rPr>
      </w:pP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w:t>
      </w:r>
      <w:r>
        <w:rPr>
          <w:rFonts w:hint="eastAsia" w:eastAsia="仿宋_GB2312" w:cs="Times New Roman"/>
          <w:color w:val="000000" w:themeColor="text1"/>
          <w:sz w:val="32"/>
          <w:szCs w:val="32"/>
          <w:lang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14:textFill>
            <w14:solidFill>
              <w14:schemeClr w14:val="tx1"/>
            </w14:solidFill>
          </w14:textFill>
        </w:rPr>
        <w:t>年广东省知识产权专项经费的申报工作。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一、申报单位基本信息</w:t>
      </w:r>
    </w:p>
    <w:tbl>
      <w:tblPr>
        <w:tblStyle w:val="4"/>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单位名称</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注册地址</w:t>
            </w:r>
          </w:p>
        </w:tc>
        <w:tc>
          <w:tcPr>
            <w:tcW w:w="2408" w:type="dxa"/>
            <w:gridSpan w:val="2"/>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43"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注册时间</w:t>
            </w:r>
          </w:p>
        </w:tc>
        <w:tc>
          <w:tcPr>
            <w:tcW w:w="2287" w:type="dxa"/>
            <w:vAlign w:val="center"/>
          </w:tcPr>
          <w:p>
            <w:pPr>
              <w:spacing w:line="400" w:lineRule="exact"/>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注册登记证</w:t>
            </w:r>
          </w:p>
        </w:tc>
        <w:tc>
          <w:tcPr>
            <w:tcW w:w="2397"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54" w:type="dxa"/>
            <w:gridSpan w:val="3"/>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注册登记号</w:t>
            </w:r>
          </w:p>
        </w:tc>
        <w:tc>
          <w:tcPr>
            <w:tcW w:w="2287"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法定代表人</w:t>
            </w:r>
          </w:p>
        </w:tc>
        <w:tc>
          <w:tcPr>
            <w:tcW w:w="2408" w:type="dxa"/>
            <w:gridSpan w:val="2"/>
            <w:vAlign w:val="center"/>
          </w:tcPr>
          <w:p>
            <w:pPr>
              <w:spacing w:line="400" w:lineRule="exact"/>
              <w:ind w:left="-71" w:leftChars="-34" w:firstLine="118" w:firstLineChars="42"/>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43"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电话</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开户银行</w:t>
            </w:r>
          </w:p>
        </w:tc>
        <w:tc>
          <w:tcPr>
            <w:tcW w:w="2397" w:type="dxa"/>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54" w:type="dxa"/>
            <w:gridSpan w:val="3"/>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开户名称</w:t>
            </w:r>
          </w:p>
        </w:tc>
        <w:tc>
          <w:tcPr>
            <w:tcW w:w="2287" w:type="dxa"/>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银行账号</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地址邮编</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负</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责</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211"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408" w:type="dxa"/>
            <w:gridSpan w:val="2"/>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restart"/>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联</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系</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482"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408" w:type="dxa"/>
            <w:gridSpan w:val="2"/>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continue"/>
            <w:vAlign w:val="center"/>
          </w:tcPr>
          <w:p>
            <w:pPr>
              <w:spacing w:line="400" w:lineRule="exact"/>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5" w:hRule="atLeast"/>
          <w:jc w:val="center"/>
        </w:trPr>
        <w:tc>
          <w:tcPr>
            <w:tcW w:w="1178"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概况</w:t>
            </w:r>
          </w:p>
        </w:tc>
        <w:tc>
          <w:tcPr>
            <w:tcW w:w="8249" w:type="dxa"/>
            <w:gridSpan w:val="6"/>
            <w:vAlign w:val="center"/>
          </w:tcPr>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（单位性质、主要业务或技术领域、业绩、资质荣誉简介，所属行业或技术领域、领域中的位置，知识产权及创新工作基础等，</w:t>
            </w:r>
            <w:r>
              <w:rPr>
                <w:rFonts w:hint="default" w:ascii="Times New Roman" w:hAnsi="Times New Roman" w:eastAsia="仿宋_GB2312" w:cs="Times New Roman"/>
                <w:color w:val="000000" w:themeColor="text1"/>
                <w:sz w:val="28"/>
                <w:szCs w:val="28"/>
                <w14:textFill>
                  <w14:solidFill>
                    <w14:schemeClr w14:val="tx1"/>
                  </w14:solidFill>
                </w14:textFill>
              </w:rPr>
              <w:t>1000</w:t>
            </w:r>
            <w:r>
              <w:rPr>
                <w:rFonts w:hint="eastAsia" w:ascii="仿宋_GB2312" w:hAnsi="仿宋_GB2312" w:eastAsia="仿宋_GB2312" w:cs="仿宋_GB2312"/>
                <w:color w:val="000000" w:themeColor="text1"/>
                <w:sz w:val="28"/>
                <w:szCs w:val="28"/>
                <w14:textFill>
                  <w14:solidFill>
                    <w14:schemeClr w14:val="tx1"/>
                  </w14:solidFill>
                </w14:textFill>
              </w:rPr>
              <w:t>字以内。）</w:t>
            </w:r>
          </w:p>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bl>
    <w:p>
      <w:pPr>
        <w:spacing w:line="560" w:lineRule="exact"/>
        <w:rPr>
          <w:rFonts w:hint="eastAsia"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二、项目工作方案</w:t>
      </w:r>
    </w:p>
    <w:tbl>
      <w:tblPr>
        <w:tblStyle w:val="4"/>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目标任务及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（介绍项目的背景意义、目标任务、工作内容，推进措施及实施方式等。1500字以内。）</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工作基础及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（介绍申请本项目所具备的工作基础、制度规范，相关经验和优势资源，项目团队、智力支持、信息化设施等相关条件，推进项目顺利实施的保障性举措等。1500字以内。）</w:t>
            </w:r>
          </w:p>
          <w:p>
            <w:pPr>
              <w:spacing w:line="500" w:lineRule="exact"/>
              <w:jc w:val="left"/>
              <w:rPr>
                <w:rFonts w:hint="eastAsia"/>
                <w:color w:val="000000" w:themeColor="text1"/>
                <w:sz w:val="32"/>
                <w:szCs w:val="32"/>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（工作总体进度时间安排、项目各阶段工作任务与阶段性目标，确保项目按时形成成果、提交项目总结报告；可另附页。）</w:t>
            </w:r>
          </w:p>
          <w:p>
            <w:pPr>
              <w:spacing w:line="500" w:lineRule="exact"/>
              <w:rPr>
                <w:rFonts w:hint="eastAsia"/>
                <w:color w:val="000000" w:themeColor="text1"/>
                <w14:textFill>
                  <w14:solidFill>
                    <w14:schemeClr w14:val="tx1"/>
                  </w14:solidFill>
                </w14:textFill>
              </w:rPr>
            </w:pPr>
          </w:p>
          <w:p>
            <w:pPr>
              <w:pStyle w:val="2"/>
              <w:numPr>
                <w:ilvl w:val="0"/>
                <w:numId w:val="0"/>
              </w:numPr>
              <w:tabs>
                <w:tab w:val="clear" w:pos="420"/>
              </w:tabs>
              <w:ind w:left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预期成果及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（项目实施的预期成果形式、可考核指标等，可另附页。）</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三、项目工作团队</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4"/>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出生</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职务/</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所学</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四、项目经费预算</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4"/>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项目预算支出科目</w:t>
            </w:r>
          </w:p>
        </w:tc>
        <w:tc>
          <w:tcPr>
            <w:tcW w:w="1417"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金额</w:t>
            </w:r>
          </w:p>
          <w:p>
            <w:pPr>
              <w:spacing w:line="4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（万元）</w:t>
            </w:r>
          </w:p>
        </w:tc>
        <w:tc>
          <w:tcPr>
            <w:tcW w:w="2814"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项目预算支出合计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bl>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五、单位意见</w:t>
      </w:r>
    </w:p>
    <w:tbl>
      <w:tblPr>
        <w:tblStyle w:val="4"/>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局审核推荐</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               </w:t>
            </w:r>
          </w:p>
        </w:tc>
      </w:tr>
    </w:tbl>
    <w:p>
      <w:pPr>
        <w:pageBreakBefore w:val="0"/>
        <w:widowControl w:val="0"/>
        <w:kinsoku/>
        <w:wordWrap/>
        <w:overflowPunct/>
        <w:topLinePunct w:val="0"/>
        <w:autoSpaceDE/>
        <w:autoSpaceDN/>
        <w:bidi w:val="0"/>
        <w:adjustRightInd/>
        <w:snapToGrid/>
        <w:spacing w:line="600" w:lineRule="exact"/>
        <w:textAlignment w:val="auto"/>
        <w:rPr>
          <w:color w:val="000000" w:themeColor="text1"/>
          <w14:textFill>
            <w14:solidFill>
              <w14:schemeClr w14:val="tx1"/>
            </w14:solidFill>
          </w14:textFill>
        </w:rPr>
      </w:pPr>
    </w:p>
    <w:sectPr>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5FA2A"/>
    <w:multiLevelType w:val="singleLevel"/>
    <w:tmpl w:val="6035FA2A"/>
    <w:lvl w:ilvl="0" w:tentative="0">
      <w:start w:val="1"/>
      <w:numFmt w:val="chineseCounting"/>
      <w:suff w:val="nothing"/>
      <w:lvlText w:val="%1、"/>
      <w:lvlJc w:val="left"/>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B1786"/>
    <w:rsid w:val="0542118B"/>
    <w:rsid w:val="13F63ACB"/>
    <w:rsid w:val="146B1786"/>
    <w:rsid w:val="194931DD"/>
    <w:rsid w:val="27E110A8"/>
    <w:rsid w:val="2A3B1D89"/>
    <w:rsid w:val="2CD22195"/>
    <w:rsid w:val="2E39756C"/>
    <w:rsid w:val="392465D7"/>
    <w:rsid w:val="397D3D3E"/>
    <w:rsid w:val="3F874DFC"/>
    <w:rsid w:val="4058167E"/>
    <w:rsid w:val="42646E49"/>
    <w:rsid w:val="43A670A3"/>
    <w:rsid w:val="4F4F0CC6"/>
    <w:rsid w:val="5197762D"/>
    <w:rsid w:val="51B62535"/>
    <w:rsid w:val="56F6195B"/>
    <w:rsid w:val="57361937"/>
    <w:rsid w:val="57846930"/>
    <w:rsid w:val="58080712"/>
    <w:rsid w:val="58C630EA"/>
    <w:rsid w:val="5F37055E"/>
    <w:rsid w:val="62223CC9"/>
    <w:rsid w:val="64D47D52"/>
    <w:rsid w:val="65035DEB"/>
    <w:rsid w:val="67C14AEB"/>
    <w:rsid w:val="73332E68"/>
    <w:rsid w:val="75087337"/>
    <w:rsid w:val="7FF9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7">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2022-02-09T04:49:00Z</dcterms:created>
  <dc:creator>蔡美华</dc:creator>
  <cp:lastModifiedBy>杨志鹏</cp:lastModifiedBy>
  <dcterms:modified xsi:type="dcterms:W3CDTF">2025-01-21T07:38:11Z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0C5B32AB97DA491CAE35AB9E57CC9468</vt:lpwstr>
  </property>
</Properties>
</file>