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2025年韶关市知识产权金融创新</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促进</w:t>
      </w:r>
      <w:r>
        <w:rPr>
          <w:rFonts w:hint="eastAsia" w:ascii="方正小标宋简体" w:hAnsi="方正小标宋简体" w:eastAsia="方正小标宋简体" w:cs="方正小标宋简体"/>
          <w:b w:val="0"/>
          <w:bCs w:val="0"/>
          <w:color w:val="auto"/>
          <w:sz w:val="44"/>
          <w:szCs w:val="44"/>
          <w:lang w:eastAsia="zh-CN"/>
        </w:rPr>
        <w:t>项目</w:t>
      </w:r>
      <w:r>
        <w:rPr>
          <w:rFonts w:hint="eastAsia" w:ascii="方正小标宋简体" w:hAnsi="方正小标宋简体" w:eastAsia="方正小标宋简体" w:cs="方正小标宋简体"/>
          <w:b w:val="0"/>
          <w:bCs w:val="0"/>
          <w:color w:val="auto"/>
          <w:kern w:val="44"/>
          <w:sz w:val="44"/>
          <w:szCs w:val="44"/>
          <w:shd w:val="clear" w:color="auto" w:fill="FFFFFF"/>
        </w:rPr>
        <w:t>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一、申报主体和条件</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（一）申报主体：</w:t>
      </w:r>
      <w:r>
        <w:rPr>
          <w:rFonts w:hint="eastAsia" w:ascii="仿宋_GB2312" w:hAnsi="仿宋_GB2312" w:eastAsia="仿宋_GB2312" w:cs="仿宋_GB2312"/>
          <w:color w:val="auto"/>
          <w:sz w:val="32"/>
          <w:szCs w:val="32"/>
        </w:rPr>
        <w:t>依法注册或登记设立，具有独立法人资格，能独立承担法律责任的金融机构和知识产权服务机构。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（二）申报条件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1.申报主体应熟悉知识产权金融业务，具有完成项目所必需的专业能力、人力资源、信息资源等。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2.对韶关本地企业和金融机构知识产权业务情况有一定的了解，能有效组织发动企业和金融机构按要求开展项目工作。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3.有固定场所、有专人负责，遵守专项资金和知识产权项目管理规定，能按时保质保量完成各项任务。</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二、项目任务</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（一）项目目标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通过</w:t>
      </w:r>
      <w:r>
        <w:rPr>
          <w:rFonts w:hint="eastAsia" w:ascii="仿宋_GB2312" w:hAnsi="仿宋_GB2312" w:eastAsia="仿宋_GB2312" w:cs="仿宋_GB2312"/>
          <w:color w:val="000000"/>
          <w:sz w:val="32"/>
          <w:szCs w:val="32"/>
          <w:highlight w:val="none"/>
        </w:rPr>
        <w:t>开展知识产权</w:t>
      </w:r>
      <w:r>
        <w:rPr>
          <w:rFonts w:hint="eastAsia" w:ascii="仿宋_GB2312" w:hAnsi="仿宋_GB2312" w:eastAsia="仿宋_GB2312" w:cs="仿宋_GB2312"/>
          <w:color w:val="000000"/>
          <w:sz w:val="32"/>
          <w:szCs w:val="32"/>
          <w:highlight w:val="none"/>
          <w:lang w:eastAsia="zh-CN"/>
        </w:rPr>
        <w:t>质押融资宣讲</w:t>
      </w:r>
      <w:r>
        <w:rPr>
          <w:rFonts w:hint="eastAsia" w:ascii="仿宋_GB2312" w:hAnsi="仿宋_GB2312" w:eastAsia="仿宋_GB2312" w:cs="仿宋_GB2312"/>
          <w:color w:val="000000"/>
          <w:sz w:val="32"/>
          <w:szCs w:val="32"/>
          <w:highlight w:val="none"/>
        </w:rPr>
        <w:t>对接活动</w:t>
      </w:r>
      <w:r>
        <w:rPr>
          <w:rFonts w:hint="eastAsia" w:ascii="仿宋_GB2312" w:hAnsi="仿宋_GB2312" w:eastAsia="仿宋_GB2312" w:cs="仿宋_GB2312"/>
          <w:color w:val="000000"/>
          <w:sz w:val="32"/>
          <w:szCs w:val="32"/>
          <w:highlight w:val="none"/>
          <w:lang w:eastAsia="zh-CN"/>
        </w:rPr>
        <w:t>，提供知识产权质押融资公益服务，推动</w:t>
      </w:r>
      <w:r>
        <w:rPr>
          <w:rFonts w:hint="eastAsia" w:ascii="仿宋_GB2312" w:hAnsi="仿宋_GB2312" w:eastAsia="仿宋_GB2312" w:cs="仿宋_GB2312"/>
          <w:color w:val="000000"/>
          <w:sz w:val="32"/>
          <w:szCs w:val="32"/>
          <w:highlight w:val="none"/>
        </w:rPr>
        <w:t>银行、证券、保险、信托、服务机构等各方共同参与知识产权质押融资服务，</w:t>
      </w:r>
      <w:r>
        <w:rPr>
          <w:rFonts w:hint="eastAsia" w:ascii="仿宋_GB2312" w:hAnsi="仿宋_GB2312" w:eastAsia="仿宋_GB2312" w:cs="仿宋_GB2312"/>
          <w:color w:val="000000"/>
          <w:sz w:val="32"/>
          <w:szCs w:val="32"/>
          <w:highlight w:val="none"/>
          <w:lang w:eastAsia="zh-CN"/>
        </w:rPr>
        <w:t>构建便民利企的知识产权质押融资公益服务体系。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200" w:right="0" w:rightChars="0" w:firstLine="321"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highlight w:val="none"/>
          <w:lang w:val="en-US" w:eastAsia="zh-CN"/>
        </w:rPr>
        <w:t>（二）项目主要任务</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推动知识产权质押融资服务。深入调查</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知识产权投融资需求，建立知识产权服务机构与银行、评估及运营等机构多方合作机制，促使企业与金融机构达成合作意向，</w:t>
      </w:r>
      <w:r>
        <w:rPr>
          <w:rFonts w:hint="eastAsia" w:ascii="仿宋_GB2312" w:hAnsi="仿宋_GB2312" w:eastAsia="仿宋_GB2312" w:cs="仿宋_GB2312"/>
          <w:color w:val="auto"/>
          <w:sz w:val="32"/>
          <w:szCs w:val="32"/>
          <w:lang w:eastAsia="zh-CN"/>
        </w:rPr>
        <w:t>完成市知识产权部门下达的年度目标</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lang w:val="en-US" w:eastAsia="zh-CN"/>
        </w:rPr>
        <w:t>2.组织开展知识产权“入园惠企”培训活动4次以上，每次培训参与企业50家以上。</w:t>
      </w:r>
      <w:r>
        <w:rPr>
          <w:rFonts w:hint="eastAsia" w:ascii="仿宋_GB2312" w:hAnsi="仿宋_GB2312" w:eastAsia="仿宋_GB2312" w:cs="仿宋_GB2312"/>
          <w:i w:val="0"/>
          <w:iCs w:val="0"/>
          <w:color w:val="auto"/>
          <w:sz w:val="32"/>
          <w:szCs w:val="32"/>
          <w:lang w:eastAsia="zh-CN"/>
        </w:rPr>
        <w:t>将商标权质押融资纳入补偿基金保障范围，</w:t>
      </w:r>
      <w:r>
        <w:rPr>
          <w:rFonts w:hint="eastAsia" w:ascii="仿宋_GB2312" w:hAnsi="仿宋_GB2312" w:eastAsia="仿宋_GB2312" w:cs="仿宋_GB2312"/>
          <w:i w:val="0"/>
          <w:iCs w:val="0"/>
          <w:color w:val="auto"/>
          <w:sz w:val="32"/>
          <w:szCs w:val="32"/>
        </w:rPr>
        <w:t>推动资本与创新项目融合，促进创新主体发展</w:t>
      </w:r>
      <w:r>
        <w:rPr>
          <w:rFonts w:hint="eastAsia" w:ascii="仿宋_GB2312" w:hAnsi="仿宋_GB2312" w:eastAsia="仿宋_GB2312" w:cs="仿宋_GB2312"/>
          <w:i w:val="0"/>
          <w:iCs w:val="0"/>
          <w:color w:val="auto"/>
          <w:sz w:val="32"/>
          <w:szCs w:val="32"/>
          <w:lang w:eastAsia="zh-CN"/>
        </w:rPr>
        <w:t>，有效解决中小企业融资难的问题。</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000000"/>
          <w:sz w:val="32"/>
          <w:szCs w:val="32"/>
          <w:highlight w:val="none"/>
          <w:lang w:val="en-US" w:eastAsia="zh-CN"/>
        </w:rPr>
        <w:t>分类分领域组织开展</w:t>
      </w:r>
      <w:r>
        <w:rPr>
          <w:rFonts w:hint="eastAsia" w:ascii="仿宋_GB2312" w:hAnsi="仿宋_GB2312" w:eastAsia="仿宋_GB2312" w:cs="仿宋_GB2312"/>
          <w:color w:val="000000"/>
          <w:sz w:val="32"/>
          <w:szCs w:val="32"/>
          <w:highlight w:val="none"/>
        </w:rPr>
        <w:t>知识产权</w:t>
      </w:r>
      <w:r>
        <w:rPr>
          <w:rFonts w:hint="eastAsia" w:ascii="仿宋_GB2312" w:hAnsi="仿宋_GB2312" w:eastAsia="仿宋_GB2312" w:cs="仿宋_GB2312"/>
          <w:color w:val="000000"/>
          <w:sz w:val="32"/>
          <w:szCs w:val="32"/>
          <w:highlight w:val="none"/>
          <w:lang w:eastAsia="zh-CN"/>
        </w:rPr>
        <w:t>质押融资政策宣讲，</w:t>
      </w:r>
      <w:r>
        <w:rPr>
          <w:rFonts w:hint="eastAsia" w:ascii="仿宋_GB2312" w:hAnsi="仿宋_GB2312" w:eastAsia="仿宋_GB2312" w:cs="仿宋_GB2312"/>
          <w:color w:val="auto"/>
          <w:sz w:val="32"/>
          <w:szCs w:val="32"/>
          <w:lang w:val="en-US" w:eastAsia="zh-CN"/>
        </w:rPr>
        <w:t>开展知识产权交易对接活动不少于2场，积极推进社会资本加入知识产权风险补偿资金池。培育知识产权交易运营实务人才。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4.联合保险机构推广知识产权保险，完善原有知识产权保险产品，适时推出知识产权保险新品种。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000000"/>
          <w:sz w:val="32"/>
          <w:szCs w:val="32"/>
          <w:highlight w:val="none"/>
          <w:lang w:val="en-US" w:eastAsia="zh-CN"/>
        </w:rPr>
        <w:t>配合</w:t>
      </w:r>
      <w:r>
        <w:rPr>
          <w:rFonts w:hint="eastAsia" w:ascii="仿宋_GB2312" w:hAnsi="仿宋_GB2312" w:eastAsia="仿宋_GB2312" w:cs="仿宋_GB2312"/>
          <w:color w:val="auto"/>
          <w:sz w:val="32"/>
          <w:szCs w:val="32"/>
          <w:lang w:val="en-US" w:eastAsia="zh-CN"/>
        </w:rPr>
        <w:t>知识产权部门开展知识产权证券化工作。</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三、支持方式及额度</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2025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000000"/>
          <w:sz w:val="32"/>
          <w:szCs w:val="32"/>
          <w:highlight w:val="none"/>
          <w:lang w:val="en-US" w:eastAsia="zh-CN"/>
        </w:rPr>
        <w:t>实施周期</w:t>
      </w:r>
      <w:r>
        <w:rPr>
          <w:rFonts w:hint="eastAsia" w:ascii="仿宋_GB2312" w:hAnsi="仿宋_GB2312" w:eastAsia="仿宋_GB2312" w:cs="仿宋_GB2312"/>
          <w:color w:val="000000"/>
          <w:sz w:val="32"/>
          <w:szCs w:val="32"/>
          <w:highlight w:val="none"/>
          <w:lang w:val="en-US" w:eastAsia="zh-CN"/>
        </w:rPr>
        <w:t>1年</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四、申报材料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CN"/>
        </w:rPr>
        <w:t>2025年韶关市知识产权金融创新促进</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kern w:val="2"/>
          <w:sz w:val="32"/>
          <w:szCs w:val="32"/>
          <w:highlight w:val="none"/>
          <w:shd w:val="clear"/>
        </w:rPr>
        <w:t>申报</w:t>
      </w:r>
      <w:r>
        <w:rPr>
          <w:rFonts w:hint="eastAsia" w:ascii="仿宋_GB2312" w:hAnsi="仿宋_GB2312" w:eastAsia="仿宋_GB2312" w:cs="仿宋_GB2312"/>
          <w:sz w:val="32"/>
          <w:szCs w:val="32"/>
          <w:highlight w:val="none"/>
          <w:lang w:val="en-US" w:eastAsia="zh-CN"/>
        </w:rPr>
        <w:t>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（二）法人资格证明材料；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（三）近两年的财务报表；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（四）信用报告</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（五）其它证明申报条件和优势的材料。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上述材料均须加盖公章。</w:t>
      </w:r>
    </w:p>
    <w:p>
      <w:pPr>
        <w:pStyle w:val="5"/>
        <w:keepNext w:val="0"/>
        <w:keepLines w:val="0"/>
        <w:pageBreakBefore w:val="0"/>
        <w:widowControl w:val="0"/>
        <w:kinsoku/>
        <w:wordWrap/>
        <w:overflowPunct w:val="0"/>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（一）本次申报及评审结果仅将列入韶关市场监管局2025年 项目入库名单，我局将根据项目预算等实际情况综合确定本次评审项目是否立项。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月起至</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val="en-US" w:eastAsia="zh-CN"/>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标准</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数量</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的格式列出。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（三）合同管理：项目立项后，市市场监管局与承担单位签署项目合同书，作为项目管理的重要依据。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outlineLvl w:val="9"/>
        <w:rPr>
          <w:rFonts w:ascii="仿宋_GB2312" w:hAnsi="仿宋_GB2312" w:eastAsia="仿宋_GB2312" w:cs="仿宋_GB2312"/>
          <w:b w:val="0"/>
          <w:color w:val="000000"/>
          <w:sz w:val="31"/>
          <w:szCs w:val="31"/>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2025年韶关市知识产权金融创新促进</w:t>
      </w:r>
      <w:r>
        <w:rPr>
          <w:rFonts w:hint="eastAsia" w:ascii="方正小标宋简体" w:hAnsi="方正小标宋简体" w:eastAsia="方正小标宋简体" w:cs="方正小标宋简体"/>
          <w:b w:val="0"/>
          <w:bCs w:val="0"/>
          <w:color w:val="auto"/>
          <w:sz w:val="44"/>
          <w:szCs w:val="44"/>
          <w:lang w:eastAsia="zh-CN"/>
        </w:rPr>
        <w:t>项目</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lang w:eastAsia="zh-CN"/>
        </w:rPr>
      </w:pPr>
      <w:r>
        <w:rPr>
          <w:rFonts w:hint="eastAsia" w:ascii="方正小标宋简体" w:hAnsi="方正小标宋简体" w:eastAsia="方正小标宋简体" w:cs="方正小标宋简体"/>
          <w:b w:val="0"/>
          <w:bCs w:val="0"/>
          <w:color w:val="auto"/>
          <w:kern w:val="44"/>
          <w:sz w:val="44"/>
          <w:szCs w:val="44"/>
          <w:shd w:val="clear" w:color="auto" w:fill="FFFFFF"/>
        </w:rPr>
        <w:t>申报</w:t>
      </w:r>
      <w:r>
        <w:rPr>
          <w:rFonts w:hint="eastAsia" w:ascii="方正小标宋简体" w:hAnsi="方正小标宋简体" w:eastAsia="方正小标宋简体" w:cs="方正小标宋简体"/>
          <w:b w:val="0"/>
          <w:bCs w:val="0"/>
          <w:color w:val="auto"/>
          <w:kern w:val="44"/>
          <w:sz w:val="44"/>
          <w:szCs w:val="44"/>
          <w:shd w:val="clear" w:color="auto" w:fill="FFFFFF"/>
          <w:lang w:eastAsia="zh-CN"/>
        </w:rPr>
        <w:t>书</w:t>
      </w:r>
    </w:p>
    <w:p>
      <w:pPr>
        <w:spacing w:line="360" w:lineRule="auto"/>
        <w:rPr>
          <w:rFonts w:eastAsia="楷体_GB2312"/>
          <w:color w:val="000000"/>
          <w:highlight w:val="none"/>
        </w:rPr>
      </w:pPr>
    </w:p>
    <w:p>
      <w:pPr>
        <w:rPr>
          <w:rFonts w:hint="eastAsia" w:ascii="仿宋_GB2312" w:hAnsi="仿宋_GB2312" w:eastAsia="仿宋_GB2312" w:cs="仿宋_GB2312"/>
          <w:color w:val="000000"/>
          <w:sz w:val="32"/>
          <w:szCs w:val="32"/>
          <w:highlight w:val="none"/>
        </w:rPr>
      </w:pPr>
    </w:p>
    <w:tbl>
      <w:tblPr>
        <w:tblStyle w:val="4"/>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项目名称：</w:t>
            </w:r>
          </w:p>
        </w:tc>
        <w:tc>
          <w:tcPr>
            <w:tcW w:w="6705" w:type="dxa"/>
            <w:noWrap w:val="0"/>
            <w:vAlign w:val="top"/>
          </w:tcPr>
          <w:p>
            <w:pPr>
              <w:numPr>
                <w:ilvl w:val="0"/>
                <w:numId w:val="0"/>
              </w:numPr>
              <w:adjustRightInd w:val="0"/>
              <w:snapToGrid w:val="0"/>
              <w:spacing w:line="360" w:lineRule="auto"/>
              <w:rPr>
                <w:rFonts w:hint="eastAsia" w:ascii="仿宋_GB2312" w:hAnsi="仿宋_GB2312" w:eastAsia="仿宋_GB2312" w:cs="仿宋_GB2312"/>
                <w:color w:val="000000"/>
                <w:sz w:val="32"/>
                <w:szCs w:val="32"/>
                <w:highlight w:val="none"/>
                <w:u w:val="single"/>
              </w:rPr>
            </w:pPr>
            <w:r>
              <w:rPr>
                <w:rFonts w:hint="eastAsia" w:ascii="仿宋_GB2312" w:hAnsi="仿宋_GB2312" w:cs="仿宋_GB2312"/>
                <w:color w:val="000000"/>
                <w:spacing w:val="-5"/>
                <w:sz w:val="32"/>
                <w:szCs w:val="32"/>
                <w:highlight w:val="none"/>
                <w:u w:val="single"/>
                <w:shd w:val="clear" w:color="auto" w:fill="FFFFFF"/>
                <w:lang w:val="en-US" w:eastAsia="zh-CN"/>
              </w:rPr>
              <w:t xml:space="preserve">                                        </w:t>
            </w:r>
          </w:p>
        </w:tc>
      </w:tr>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cs="仿宋_GB2312"/>
                <w:color w:val="000000"/>
                <w:sz w:val="32"/>
                <w:szCs w:val="32"/>
                <w:highlight w:val="none"/>
                <w:u w:val="single"/>
                <w:lang w:eastAsia="zh-CN"/>
              </w:rPr>
              <w:t>（</w:t>
            </w:r>
            <w:r>
              <w:rPr>
                <w:rFonts w:hint="eastAsia" w:ascii="仿宋_GB2312" w:hAnsi="仿宋_GB2312" w:cs="仿宋_GB2312"/>
                <w:color w:val="000000"/>
                <w:sz w:val="32"/>
                <w:szCs w:val="32"/>
                <w:highlight w:val="none"/>
                <w:u w:val="single"/>
                <w:lang w:val="en-US" w:eastAsia="zh-CN"/>
              </w:rPr>
              <w:t>签章</w:t>
            </w:r>
            <w:r>
              <w:rPr>
                <w:rFonts w:hint="eastAsia" w:ascii="仿宋_GB2312" w:hAnsi="仿宋_GB2312" w:cs="仿宋_GB2312"/>
                <w:color w:val="000000"/>
                <w:sz w:val="32"/>
                <w:szCs w:val="32"/>
                <w:highlight w:val="none"/>
                <w:u w:val="single"/>
                <w:lang w:eastAsia="zh-CN"/>
              </w:rPr>
              <w:t>）</w:t>
            </w:r>
          </w:p>
        </w:tc>
      </w:tr>
      <w:tr>
        <w:tblPrEx>
          <w:tblLayout w:type="fixed"/>
          <w:tblCellMar>
            <w:top w:w="0" w:type="dxa"/>
            <w:left w:w="108" w:type="dxa"/>
            <w:bottom w:w="0" w:type="dxa"/>
            <w:right w:w="108" w:type="dxa"/>
          </w:tblCellMar>
        </w:tblPrEx>
        <w:trPr>
          <w:trHeight w:val="660" w:hRule="atLeast"/>
        </w:trPr>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单位及职务：</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工作电话：</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手机号码：</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电子邮箱：</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bl>
    <w:p>
      <w:pPr>
        <w:rPr>
          <w:rFonts w:hint="eastAsia" w:ascii="仿宋_GB2312" w:hAnsi="仿宋_GB2312" w:eastAsia="仿宋_GB2312" w:cs="仿宋_GB2312"/>
          <w:color w:val="000000"/>
          <w:sz w:val="32"/>
          <w:szCs w:val="32"/>
          <w:highlight w:val="none"/>
        </w:rPr>
      </w:pPr>
    </w:p>
    <w:p>
      <w:pPr>
        <w:jc w:val="center"/>
        <w:rPr>
          <w:rFonts w:hint="eastAsia" w:ascii="仿宋_GB2312" w:hAnsi="仿宋_GB2312" w:eastAsia="仿宋_GB2312" w:cs="仿宋_GB2312"/>
          <w:bCs/>
          <w:color w:val="000000"/>
          <w:sz w:val="32"/>
          <w:szCs w:val="32"/>
          <w:highlight w:val="none"/>
        </w:rPr>
      </w:pPr>
    </w:p>
    <w:p>
      <w:pPr>
        <w:jc w:val="both"/>
        <w:rPr>
          <w:rFonts w:eastAsia="楷体_GB2312"/>
          <w:bCs/>
          <w:color w:val="000000"/>
          <w:sz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bookmarkStart w:id="0" w:name="_GoBack"/>
      <w:r>
        <w:rPr>
          <w:rFonts w:hint="eastAsia" w:eastAsia="楷体_GB2312"/>
          <w:bCs/>
          <w:color w:val="000000"/>
          <w:sz w:val="32"/>
          <w:szCs w:val="32"/>
          <w:highlight w:val="none"/>
          <w:lang w:eastAsia="zh-CN"/>
        </w:rPr>
        <w:t>韶关市</w:t>
      </w:r>
      <w:r>
        <w:rPr>
          <w:rFonts w:hint="eastAsia" w:eastAsia="楷体_GB2312"/>
          <w:bCs/>
          <w:color w:val="000000"/>
          <w:sz w:val="32"/>
          <w:szCs w:val="32"/>
          <w:highlight w:val="none"/>
        </w:rPr>
        <w:t>市场监督管理局（</w:t>
      </w:r>
      <w:r>
        <w:rPr>
          <w:rFonts w:eastAsia="楷体_GB2312"/>
          <w:bCs/>
          <w:color w:val="000000"/>
          <w:sz w:val="32"/>
          <w:szCs w:val="32"/>
          <w:highlight w:val="none"/>
        </w:rPr>
        <w:t>知识产权局</w:t>
      </w:r>
      <w:r>
        <w:rPr>
          <w:rFonts w:hint="eastAsia" w:eastAsia="楷体_GB2312"/>
          <w:bCs/>
          <w:color w:val="000000"/>
          <w:sz w:val="32"/>
          <w:szCs w:val="32"/>
          <w:highlight w:val="none"/>
        </w:rPr>
        <w:t>）</w:t>
      </w:r>
      <w:r>
        <w:rPr>
          <w:rFonts w:eastAsia="楷体_GB2312"/>
          <w:bCs/>
          <w:color w:val="000000"/>
          <w:sz w:val="32"/>
          <w:szCs w:val="32"/>
          <w:highlight w:val="none"/>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eastAsia="楷体_GB2312"/>
          <w:bCs/>
          <w:color w:val="000000"/>
          <w:sz w:val="32"/>
          <w:szCs w:val="32"/>
          <w:highlight w:val="none"/>
          <w:lang w:eastAsia="zh-CN"/>
        </w:rPr>
        <w:t>2025</w:t>
      </w:r>
      <w:r>
        <w:rPr>
          <w:rFonts w:eastAsia="楷体_GB2312"/>
          <w:bCs/>
          <w:color w:val="000000"/>
          <w:sz w:val="32"/>
          <w:szCs w:val="32"/>
          <w:highlight w:val="none"/>
        </w:rPr>
        <w:t>年</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填表说明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color w:val="000000"/>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一、本申请书适用于</w:t>
      </w:r>
      <w:r>
        <w:rPr>
          <w:rFonts w:hint="eastAsia" w:ascii="Times New Roman" w:hAnsi="Times New Roman" w:eastAsia="仿宋_GB2312" w:cs="Times New Roman"/>
          <w:color w:val="000000"/>
          <w:sz w:val="32"/>
          <w:szCs w:val="32"/>
          <w:highlight w:val="none"/>
          <w:lang w:eastAsia="zh-CN"/>
        </w:rPr>
        <w:t>2025</w:t>
      </w:r>
      <w:r>
        <w:rPr>
          <w:rFonts w:hint="default" w:ascii="Times New Roman" w:hAnsi="Times New Roman" w:eastAsia="仿宋_GB2312" w:cs="Times New Roman"/>
          <w:color w:val="000000"/>
          <w:sz w:val="32"/>
          <w:szCs w:val="32"/>
          <w:highlight w:val="none"/>
        </w:rPr>
        <w:t>年广东省知识产权专项经费的申报工作。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、申请书规格为A4纸，各栏不够填写时，请自行加页。申报书宜双面打印，并于左侧装订成册，一式</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rPr>
          <w:color w:val="000000"/>
          <w:szCs w:val="32"/>
          <w:highlight w:val="none"/>
        </w:rPr>
      </w:pPr>
    </w:p>
    <w:p>
      <w:pPr>
        <w:pStyle w:val="2"/>
        <w:numPr>
          <w:ilvl w:val="0"/>
          <w:numId w:val="0"/>
        </w:numPr>
        <w:ind w:leftChars="0"/>
      </w:pPr>
    </w:p>
    <w:p/>
    <w:p>
      <w:pPr>
        <w:jc w:val="left"/>
        <w:rPr>
          <w:rFonts w:eastAsia="黑体"/>
          <w:color w:val="000000"/>
          <w:sz w:val="32"/>
          <w:szCs w:val="32"/>
          <w:highlight w:val="none"/>
        </w:rPr>
      </w:pPr>
    </w:p>
    <w:p>
      <w:pPr>
        <w:ind w:firstLine="640" w:firstLineChars="200"/>
        <w:jc w:val="left"/>
        <w:rPr>
          <w:color w:val="000000"/>
          <w:sz w:val="32"/>
          <w:szCs w:val="32"/>
          <w:highlight w:val="none"/>
        </w:rPr>
      </w:pPr>
      <w:r>
        <w:rPr>
          <w:rFonts w:eastAsia="黑体"/>
          <w:color w:val="000000"/>
          <w:sz w:val="32"/>
          <w:szCs w:val="32"/>
          <w:highlight w:val="none"/>
        </w:rPr>
        <w:t>一、申报单位基本信息</w:t>
      </w:r>
    </w:p>
    <w:tbl>
      <w:tblPr>
        <w:tblStyle w:val="4"/>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08"/>
        <w:gridCol w:w="861"/>
        <w:gridCol w:w="167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单位名称</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注册地址</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注册时间</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注册登记证</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注册登记号</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法定代表人</w:t>
            </w:r>
          </w:p>
        </w:tc>
        <w:tc>
          <w:tcPr>
            <w:tcW w:w="2408" w:type="dxa"/>
            <w:noWrap w:val="0"/>
            <w:vAlign w:val="center"/>
          </w:tcPr>
          <w:p>
            <w:pPr>
              <w:spacing w:line="400" w:lineRule="exact"/>
              <w:ind w:left="-71" w:leftChars="-34" w:firstLine="134" w:firstLineChars="42"/>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开户银行</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开户名称</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银行账号</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地址邮编</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负</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责</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联</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系</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联合申报单位</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负责人及联系方式</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178"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概况</w:t>
            </w:r>
          </w:p>
        </w:tc>
        <w:tc>
          <w:tcPr>
            <w:tcW w:w="84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w:t>
            </w:r>
            <w:r>
              <w:rPr>
                <w:rFonts w:hint="eastAsia"/>
                <w:b w:val="0"/>
                <w:bCs/>
                <w:color w:val="000000"/>
                <w:sz w:val="32"/>
                <w:szCs w:val="32"/>
                <w:highlight w:val="none"/>
              </w:rPr>
              <w:t>单位性质、主要业务或技术领域、业绩、资质荣誉简介，所属行业或技术领域、领域中的位置，知识产权及创新工作基础等。</w:t>
            </w:r>
            <w:r>
              <w:rPr>
                <w:rFonts w:hint="eastAsia"/>
                <w:b w:val="0"/>
                <w:bCs/>
                <w:color w:val="000000"/>
                <w:sz w:val="32"/>
                <w:szCs w:val="32"/>
                <w:highlight w:val="none"/>
                <w:lang w:eastAsia="zh-CN"/>
              </w:rPr>
              <w:t>如有联合申报单位，一并填写联合申报单位情况。</w:t>
            </w:r>
            <w:r>
              <w:rPr>
                <w:rFonts w:hint="eastAsia" w:ascii="仿宋_GB2312" w:hAnsi="仿宋_GB2312" w:eastAsia="仿宋_GB2312" w:cs="仿宋_GB2312"/>
                <w:b w:val="0"/>
                <w:bCs/>
                <w:color w:val="000000"/>
                <w:sz w:val="32"/>
                <w:szCs w:val="32"/>
                <w:highlight w:val="none"/>
              </w:rPr>
              <w:t>）</w:t>
            </w:r>
          </w:p>
          <w:p>
            <w:pPr>
              <w:spacing w:line="440" w:lineRule="exact"/>
              <w:rPr>
                <w:rFonts w:hint="eastAsia" w:ascii="仿宋_GB2312" w:hAnsi="仿宋_GB2312" w:eastAsia="仿宋_GB2312" w:cs="仿宋_GB2312"/>
                <w:b w:val="0"/>
                <w:bCs/>
                <w:color w:val="000000"/>
                <w:sz w:val="32"/>
                <w:szCs w:val="32"/>
                <w:highlight w:val="none"/>
              </w:rPr>
            </w:pPr>
          </w:p>
          <w:p>
            <w:pPr>
              <w:spacing w:line="44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tc>
      </w:tr>
    </w:tbl>
    <w:tbl>
      <w:tblPr>
        <w:tblStyle w:val="4"/>
        <w:tblpPr w:leftFromText="180" w:rightFromText="180" w:vertAnchor="text" w:horzAnchor="page" w:tblpXSpec="center" w:tblpY="619"/>
        <w:tblOverlap w:val="never"/>
        <w:tblW w:w="94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1"/>
        <w:gridCol w:w="7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目标任务及工作内容</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（介绍项目的背景意义、目标任务、工作内容，推进措施及实施方式等。</w:t>
            </w:r>
            <w:r>
              <w:rPr>
                <w:rFonts w:hint="eastAsia"/>
                <w:color w:val="000000"/>
                <w:lang w:eastAsia="zh-CN"/>
              </w:rPr>
              <w:t>可另附页，下同。</w:t>
            </w:r>
            <w:r>
              <w:rPr>
                <w:color w:val="000000"/>
              </w:rPr>
              <w:t>）</w:t>
            </w:r>
          </w:p>
          <w:p>
            <w:pPr>
              <w:spacing w:line="500" w:lineRule="exact"/>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工作基础及保障措施</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b w:val="0"/>
                <w:bCs/>
                <w:color w:val="000000"/>
                <w:sz w:val="32"/>
                <w:szCs w:val="32"/>
                <w:highlight w:val="none"/>
              </w:rPr>
            </w:pPr>
            <w:r>
              <w:rPr>
                <w:b w:val="0"/>
                <w:bCs/>
                <w:color w:val="000000"/>
                <w:sz w:val="32"/>
                <w:szCs w:val="32"/>
                <w:highlight w:val="none"/>
              </w:rPr>
              <w:t>（介绍申请本项目所具备的工作基础、制度规范，相关经验和优势资源，项目团队、智力支持、信息化设施等相关条件，推进项目顺利实施的保障性举措等。）</w:t>
            </w:r>
          </w:p>
          <w:p>
            <w:pPr>
              <w:spacing w:line="500" w:lineRule="exact"/>
              <w:jc w:val="left"/>
              <w:rPr>
                <w:b w:val="0"/>
                <w:bCs/>
                <w:color w:val="000000"/>
                <w:sz w:val="32"/>
                <w:szCs w:val="32"/>
                <w:highlight w:val="none"/>
              </w:rPr>
            </w:pPr>
          </w:p>
          <w:p>
            <w:pPr>
              <w:rPr>
                <w:b w:val="0"/>
                <w:bCs/>
                <w:color w:val="000000"/>
                <w:sz w:val="32"/>
                <w:szCs w:val="32"/>
                <w:highlight w:val="none"/>
              </w:rPr>
            </w:pPr>
          </w:p>
          <w:p>
            <w:pPr>
              <w:rPr>
                <w:b w:val="0"/>
                <w:bCs/>
                <w:color w:val="000000"/>
                <w:sz w:val="32"/>
                <w:szCs w:val="3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计划进度</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（工作总体进度时间安排、项目各阶段工作任务与阶段性目标，确保项目按时形成成果、提交项目总结报告。）</w:t>
            </w:r>
          </w:p>
          <w:p>
            <w:pPr>
              <w:spacing w:line="500" w:lineRule="exact"/>
              <w:rPr>
                <w:color w:val="000000"/>
              </w:rPr>
            </w:pPr>
          </w:p>
          <w:p>
            <w:pPr>
              <w:pStyle w:val="2"/>
              <w:numPr>
                <w:ilvl w:val="0"/>
                <w:numId w:val="0"/>
              </w:numPr>
              <w:ind w:leftChars="0"/>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预期成果及考核指标</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b w:val="0"/>
                <w:bCs/>
                <w:color w:val="000000"/>
                <w:sz w:val="32"/>
                <w:szCs w:val="32"/>
                <w:highlight w:val="none"/>
              </w:rPr>
            </w:pPr>
            <w:r>
              <w:rPr>
                <w:b w:val="0"/>
                <w:bCs/>
                <w:color w:val="000000"/>
                <w:sz w:val="32"/>
                <w:szCs w:val="32"/>
                <w:highlight w:val="none"/>
              </w:rPr>
              <w:t>（项目实施的预期成果形式</w:t>
            </w:r>
            <w:r>
              <w:rPr>
                <w:rFonts w:hint="eastAsia"/>
                <w:b w:val="0"/>
                <w:bCs/>
                <w:color w:val="000000"/>
                <w:sz w:val="32"/>
                <w:szCs w:val="32"/>
                <w:highlight w:val="none"/>
              </w:rPr>
              <w:t>、</w:t>
            </w:r>
            <w:r>
              <w:rPr>
                <w:b w:val="0"/>
                <w:bCs/>
                <w:color w:val="000000"/>
                <w:sz w:val="32"/>
                <w:szCs w:val="32"/>
                <w:highlight w:val="none"/>
              </w:rPr>
              <w:t>可考核指标等。）</w:t>
            </w:r>
          </w:p>
          <w:p>
            <w:pPr>
              <w:spacing w:line="500" w:lineRule="exact"/>
              <w:rPr>
                <w:b w:val="0"/>
                <w:bCs/>
                <w:color w:val="000000"/>
                <w:sz w:val="32"/>
                <w:szCs w:val="32"/>
                <w:highlight w:val="none"/>
              </w:rPr>
            </w:pPr>
          </w:p>
          <w:p>
            <w:pPr>
              <w:rPr>
                <w:b w:val="0"/>
                <w:bCs/>
                <w:color w:val="000000"/>
                <w:sz w:val="32"/>
                <w:szCs w:val="32"/>
                <w:highlight w:val="none"/>
              </w:rPr>
            </w:pPr>
          </w:p>
          <w:p>
            <w:pPr>
              <w:rPr>
                <w:color w:val="000000"/>
              </w:rPr>
            </w:pPr>
          </w:p>
          <w:p>
            <w:pPr>
              <w:spacing w:line="500" w:lineRule="exact"/>
              <w:rPr>
                <w:b w:val="0"/>
                <w:bCs/>
                <w:color w:val="000000"/>
                <w:sz w:val="32"/>
                <w:szCs w:val="32"/>
                <w:highlight w:val="none"/>
              </w:rPr>
            </w:pPr>
          </w:p>
        </w:tc>
      </w:tr>
    </w:tbl>
    <w:p>
      <w:pPr>
        <w:ind w:left="0" w:leftChars="0" w:firstLine="0" w:firstLineChars="0"/>
        <w:rPr>
          <w:rFonts w:eastAsia="黑体"/>
          <w:color w:val="000000"/>
          <w:sz w:val="32"/>
          <w:szCs w:val="32"/>
          <w:highlight w:val="none"/>
        </w:rPr>
      </w:pPr>
      <w:r>
        <w:rPr>
          <w:rFonts w:hint="eastAsia" w:eastAsia="黑体"/>
          <w:color w:val="000000"/>
          <w:sz w:val="28"/>
          <w:szCs w:val="28"/>
          <w:highlight w:val="none"/>
          <w:lang w:val="en-US" w:eastAsia="zh-CN"/>
        </w:rPr>
        <w:t xml:space="preserve"> </w:t>
      </w:r>
      <w:r>
        <w:rPr>
          <w:rFonts w:hint="eastAsia" w:eastAsia="黑体"/>
          <w:color w:val="000000"/>
          <w:sz w:val="32"/>
          <w:szCs w:val="32"/>
          <w:highlight w:val="none"/>
        </w:rPr>
        <w:t>二、项目工作方案</w:t>
      </w:r>
    </w:p>
    <w:p>
      <w:pPr>
        <w:ind w:firstLine="640" w:firstLineChars="200"/>
        <w:rPr>
          <w:color w:val="000000"/>
          <w:sz w:val="32"/>
          <w:szCs w:val="32"/>
          <w:highlight w:val="none"/>
        </w:rPr>
      </w:pPr>
      <w:r>
        <w:rPr>
          <w:rFonts w:hint="eastAsia" w:eastAsia="黑体"/>
          <w:color w:val="000000"/>
          <w:sz w:val="32"/>
          <w:szCs w:val="32"/>
          <w:highlight w:val="none"/>
        </w:rPr>
        <w:t>三、项目工作团队</w:t>
      </w:r>
      <w:r>
        <w:rPr>
          <w:rFonts w:hint="eastAsia"/>
          <w:color w:val="000000"/>
          <w:sz w:val="32"/>
          <w:szCs w:val="32"/>
          <w:highlight w:val="none"/>
        </w:rPr>
        <w:t>（可据工作需求而增加空格）</w:t>
      </w:r>
    </w:p>
    <w:tbl>
      <w:tblPr>
        <w:tblStyle w:val="4"/>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195"/>
        <w:gridCol w:w="990"/>
        <w:gridCol w:w="111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出生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所学专业及学历</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现从事专业</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在项目中任务</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主要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color w:val="000000"/>
          <w:sz w:val="32"/>
          <w:szCs w:val="32"/>
          <w:highlight w:val="none"/>
        </w:rPr>
      </w:pPr>
      <w:r>
        <w:rPr>
          <w:rFonts w:hint="eastAsia" w:eastAsia="黑体"/>
          <w:color w:val="000000"/>
          <w:sz w:val="32"/>
          <w:szCs w:val="32"/>
          <w:highlight w:val="none"/>
        </w:rPr>
        <w:t>四</w:t>
      </w:r>
      <w:r>
        <w:rPr>
          <w:rFonts w:eastAsia="黑体"/>
          <w:color w:val="000000"/>
          <w:sz w:val="32"/>
          <w:szCs w:val="32"/>
          <w:highlight w:val="none"/>
        </w:rPr>
        <w:t>、项目经费预算</w:t>
      </w:r>
      <w:r>
        <w:rPr>
          <w:color w:val="000000"/>
          <w:sz w:val="32"/>
          <w:szCs w:val="32"/>
          <w:highlight w:val="none"/>
        </w:rPr>
        <w:t>（可据工作需求而增加空格）</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序号</w:t>
            </w: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项目预算支出科目</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（万元）</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32"/>
                <w:szCs w:val="32"/>
                <w:highlight w:val="none"/>
              </w:rPr>
            </w:pPr>
          </w:p>
        </w:tc>
      </w:tr>
    </w:tbl>
    <w:p>
      <w:pPr>
        <w:ind w:left="0" w:leftChars="0" w:firstLine="640" w:firstLineChars="200"/>
        <w:rPr>
          <w:rFonts w:eastAsia="黑体"/>
          <w:color w:val="000000"/>
          <w:sz w:val="32"/>
          <w:szCs w:val="32"/>
          <w:highlight w:val="none"/>
        </w:rPr>
      </w:pPr>
      <w:r>
        <w:rPr>
          <w:rFonts w:hint="eastAsia" w:eastAsia="黑体"/>
          <w:color w:val="000000"/>
          <w:sz w:val="32"/>
          <w:szCs w:val="32"/>
          <w:highlight w:val="none"/>
        </w:rPr>
        <w:t>五</w:t>
      </w:r>
      <w:r>
        <w:rPr>
          <w:rFonts w:eastAsia="黑体"/>
          <w:color w:val="000000"/>
          <w:sz w:val="32"/>
          <w:szCs w:val="32"/>
          <w:highlight w:val="none"/>
        </w:rPr>
        <w:t>、单位意见</w:t>
      </w:r>
    </w:p>
    <w:tbl>
      <w:tblPr>
        <w:tblStyle w:val="4"/>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ind w:firstLine="2880" w:firstLineChars="9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负责人签名：</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单位盖章：</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年      月      日</w:t>
            </w:r>
          </w:p>
        </w:tc>
      </w:tr>
    </w:tbl>
    <w:p>
      <w:pPr>
        <w:pStyle w:val="6"/>
        <w:widowControl w:val="0"/>
        <w:shd w:val="solid" w:color="FFFFFF" w:fill="auto"/>
        <w:autoSpaceDN w:val="0"/>
        <w:spacing w:beforeLines="0" w:afterLines="0" w:line="560" w:lineRule="exact"/>
        <w:ind w:leftChars="0" w:firstLine="641" w:firstLineChars="0"/>
        <w:outlineLvl w:val="9"/>
        <w:rPr>
          <w:rFonts w:hint="eastAsia"/>
          <w:lang w:val="en-US" w:eastAsia="zh-CN"/>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7F2D"/>
    <w:rsid w:val="04C17F2D"/>
    <w:rsid w:val="0A294B71"/>
    <w:rsid w:val="0C2218A0"/>
    <w:rsid w:val="0C747029"/>
    <w:rsid w:val="0DBE5781"/>
    <w:rsid w:val="0EAB0B32"/>
    <w:rsid w:val="116E2034"/>
    <w:rsid w:val="12D80306"/>
    <w:rsid w:val="1DCE2988"/>
    <w:rsid w:val="21204268"/>
    <w:rsid w:val="21403121"/>
    <w:rsid w:val="219F7F97"/>
    <w:rsid w:val="29B14D7D"/>
    <w:rsid w:val="2C336BEF"/>
    <w:rsid w:val="3086719A"/>
    <w:rsid w:val="311575F6"/>
    <w:rsid w:val="35702019"/>
    <w:rsid w:val="3CF71BFF"/>
    <w:rsid w:val="4316145C"/>
    <w:rsid w:val="45B31BC8"/>
    <w:rsid w:val="47FA66DC"/>
    <w:rsid w:val="4A40274F"/>
    <w:rsid w:val="4AE75FBA"/>
    <w:rsid w:val="4B9D2AF2"/>
    <w:rsid w:val="556B6EFC"/>
    <w:rsid w:val="57DF0D64"/>
    <w:rsid w:val="5EC10CAC"/>
    <w:rsid w:val="62F96F44"/>
    <w:rsid w:val="635C5351"/>
    <w:rsid w:val="663C315B"/>
    <w:rsid w:val="6EC368E6"/>
    <w:rsid w:val="6F1B69E2"/>
    <w:rsid w:val="71CC10DA"/>
    <w:rsid w:val="729A7673"/>
    <w:rsid w:val="75273C0F"/>
    <w:rsid w:val="78844975"/>
    <w:rsid w:val="7B6128B7"/>
    <w:rsid w:val="7BC7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6">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2022-02-09T03:34:00Z</dcterms:created>
  <dc:creator>蔡美华</dc:creator>
  <cp:lastModifiedBy>杨志鹏</cp:lastModifiedBy>
  <dcterms:modified xsi:type="dcterms:W3CDTF">2025-02-24T02:54:48Z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