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ind w:firstLine="0" w:firstLineChars="0"/>
        <w:rPr>
          <w:rFonts w:ascii="黑体" w:hAnsi="黑体" w:eastAsia="黑体" w:cs="黑体"/>
          <w:bCs/>
          <w:color w:val="000000" w:themeColor="text1"/>
          <w:szCs w:val="32"/>
          <w14:textFill>
            <w14:solidFill>
              <w14:schemeClr w14:val="tx1"/>
            </w14:solidFill>
          </w14:textFill>
        </w:rPr>
      </w:pPr>
      <w:bookmarkStart w:id="0" w:name="_Hlk19625411"/>
      <w:r>
        <w:rPr>
          <w:rFonts w:hint="eastAsia" w:ascii="黑体" w:hAnsi="黑体" w:eastAsia="黑体" w:cs="黑体"/>
          <w:bCs/>
          <w:color w:val="000000" w:themeColor="text1"/>
          <w:szCs w:val="32"/>
          <w14:textFill>
            <w14:solidFill>
              <w14:schemeClr w14:val="tx1"/>
            </w14:solidFill>
          </w14:textFill>
        </w:rPr>
        <w:t>附件</w:t>
      </w:r>
    </w:p>
    <w:p>
      <w:pPr>
        <w:snapToGrid/>
        <w:ind w:firstLine="0" w:firstLineChars="0"/>
        <w:rPr>
          <w:rFonts w:ascii="黑体" w:hAnsi="黑体" w:eastAsia="黑体" w:cs="黑体"/>
          <w:bCs/>
          <w:color w:val="000000" w:themeColor="text1"/>
          <w:szCs w:val="32"/>
          <w14:textFill>
            <w14:solidFill>
              <w14:schemeClr w14:val="tx1"/>
            </w14:solidFill>
          </w14:textFill>
        </w:rPr>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p>
      <w:pPr>
        <w:snapToGrid/>
        <w:ind w:firstLine="0" w:firstLineChars="0"/>
        <w:jc w:val="center"/>
        <w:rPr>
          <w:rFonts w:cs="Times New Roman" w:asciiTheme="majorEastAsia" w:hAnsiTheme="majorEastAsia" w:eastAsiaTheme="majorEastAsia"/>
          <w:b/>
          <w:color w:val="000000" w:themeColor="text1"/>
          <w:sz w:val="52"/>
          <w:szCs w:val="52"/>
          <w14:textFill>
            <w14:solidFill>
              <w14:schemeClr w14:val="tx1"/>
            </w14:solidFill>
          </w14:textFill>
        </w:rPr>
      </w:pPr>
    </w:p>
    <w:bookmarkEnd w:id="0"/>
    <w:p>
      <w:pPr>
        <w:spacing w:line="700" w:lineRule="exact"/>
        <w:ind w:firstLine="0" w:firstLineChars="0"/>
        <w:jc w:val="center"/>
        <w:rPr>
          <w:rFonts w:hint="eastAsia" w:ascii="方正小标宋简体" w:hAnsi="宋体" w:eastAsia="方正小标宋简体"/>
          <w:sz w:val="44"/>
          <w:szCs w:val="44"/>
          <w:lang w:eastAsia="zh-CN"/>
        </w:rPr>
      </w:pPr>
      <w:r>
        <w:rPr>
          <w:rFonts w:hint="eastAsia" w:ascii="方正小标宋简体" w:hAnsi="宋体" w:eastAsia="方正小标宋简体"/>
          <w:sz w:val="44"/>
          <w:szCs w:val="44"/>
        </w:rPr>
        <w:t>2022-2023年韶关市社会福利院护理服务费和后勤保障服务项目重点绩效评价报告</w:t>
      </w:r>
    </w:p>
    <w:p>
      <w:pPr>
        <w:ind w:firstLine="643"/>
        <w:rPr>
          <w:rFonts w:ascii="Times New Roman" w:hAnsi="Times New Roman"/>
          <w:b/>
          <w:color w:val="000000" w:themeColor="text1"/>
          <w:szCs w:val="32"/>
          <w14:textFill>
            <w14:solidFill>
              <w14:schemeClr w14:val="tx1"/>
            </w14:solidFill>
          </w14:textFill>
        </w:rPr>
      </w:pPr>
    </w:p>
    <w:p>
      <w:pPr>
        <w:ind w:firstLine="643"/>
        <w:rPr>
          <w:rFonts w:ascii="Times New Roman" w:hAnsi="Times New Roman"/>
          <w:b/>
          <w:color w:val="000000" w:themeColor="text1"/>
          <w:szCs w:val="32"/>
          <w14:textFill>
            <w14:solidFill>
              <w14:schemeClr w14:val="tx1"/>
            </w14:solidFill>
          </w14:textFill>
        </w:rPr>
      </w:pPr>
    </w:p>
    <w:p>
      <w:pPr>
        <w:ind w:firstLine="643"/>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ind w:firstLine="643"/>
        <w:jc w:val="center"/>
        <w:rPr>
          <w:rFonts w:ascii="Times New Roman" w:hAnsi="Times New Roman"/>
          <w:b/>
          <w:color w:val="000000" w:themeColor="text1"/>
          <w:szCs w:val="32"/>
          <w14:textFill>
            <w14:solidFill>
              <w14:schemeClr w14:val="tx1"/>
            </w14:solidFill>
          </w14:textFill>
        </w:rPr>
      </w:pPr>
    </w:p>
    <w:p>
      <w:pPr>
        <w:tabs>
          <w:tab w:val="left" w:pos="3330"/>
        </w:tabs>
        <w:adjustRightInd/>
        <w:snapToGrid/>
        <w:ind w:firstLine="618" w:firstLineChars="221"/>
        <w:jc w:val="center"/>
        <w:rPr>
          <w:rFonts w:ascii="Times New Roman" w:hAnsi="Times New Roman"/>
          <w:color w:val="000000" w:themeColor="text1"/>
          <w:sz w:val="28"/>
          <w:szCs w:val="28"/>
          <w14:textFill>
            <w14:solidFill>
              <w14:schemeClr w14:val="tx1"/>
            </w14:solidFill>
          </w14:textFill>
        </w:rPr>
      </w:pP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评 价机 构：韶关中一会计师事务所有限公司</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机构负责人：邱治华</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项目负责人：钟敏玲</w:t>
      </w:r>
    </w:p>
    <w:p>
      <w:pPr>
        <w:tabs>
          <w:tab w:val="left" w:pos="3330"/>
        </w:tabs>
        <w:adjustRightInd/>
        <w:snapToGrid/>
        <w:ind w:firstLine="1132" w:firstLineChars="354"/>
        <w:jc w:val="left"/>
        <w:rPr>
          <w:rFonts w:asciiTheme="minorEastAsia" w:hAnsiTheme="minorEastAsia" w:eastAsiaTheme="minorEastAsia"/>
          <w:color w:val="000000" w:themeColor="text1"/>
          <w14:textFill>
            <w14:solidFill>
              <w14:schemeClr w14:val="tx1"/>
            </w14:solidFill>
          </w14:textFill>
        </w:rPr>
      </w:pPr>
      <w:r>
        <w:rPr>
          <w:rFonts w:hint="eastAsia" w:asciiTheme="minorEastAsia" w:hAnsiTheme="minorEastAsia" w:eastAsiaTheme="minorEastAsia"/>
          <w:color w:val="000000" w:themeColor="text1"/>
          <w14:textFill>
            <w14:solidFill>
              <w14:schemeClr w14:val="tx1"/>
            </w14:solidFill>
          </w14:textFill>
        </w:rPr>
        <w:t>日      期：</w:t>
      </w:r>
      <w:r>
        <w:rPr>
          <w:rFonts w:cs="Times New Roman" w:asciiTheme="minorEastAsia" w:hAnsiTheme="minorEastAsia" w:eastAsiaTheme="minorEastAsia"/>
          <w:color w:val="000000" w:themeColor="text1"/>
          <w14:textFill>
            <w14:solidFill>
              <w14:schemeClr w14:val="tx1"/>
            </w14:solidFill>
          </w14:textFill>
        </w:rPr>
        <w:t>202</w:t>
      </w:r>
      <w:r>
        <w:rPr>
          <w:rFonts w:hint="eastAsia" w:cs="Times New Roman" w:asciiTheme="minorEastAsia" w:hAnsiTheme="minorEastAsia" w:eastAsiaTheme="minorEastAsia"/>
          <w:color w:val="000000" w:themeColor="text1"/>
          <w14:textFill>
            <w14:solidFill>
              <w14:schemeClr w14:val="tx1"/>
            </w14:solidFill>
          </w14:textFill>
        </w:rPr>
        <w:t>4</w:t>
      </w:r>
      <w:r>
        <w:rPr>
          <w:rFonts w:hint="eastAsia" w:asciiTheme="minorEastAsia" w:hAnsiTheme="minorEastAsia" w:eastAsiaTheme="minorEastAsia"/>
          <w:color w:val="000000" w:themeColor="text1"/>
          <w14:textFill>
            <w14:solidFill>
              <w14:schemeClr w14:val="tx1"/>
            </w14:solidFill>
          </w14:textFill>
        </w:rPr>
        <w:t>年</w:t>
      </w:r>
      <w:r>
        <w:rPr>
          <w:rFonts w:hint="eastAsia" w:asciiTheme="minorEastAsia" w:hAnsiTheme="minorEastAsia" w:eastAsiaTheme="minorEastAsia"/>
          <w:color w:val="000000" w:themeColor="text1"/>
          <w:lang w:val="en-US" w:eastAsia="zh-CN"/>
          <w14:textFill>
            <w14:solidFill>
              <w14:schemeClr w14:val="tx1"/>
            </w14:solidFill>
          </w14:textFill>
        </w:rPr>
        <w:t>11</w:t>
      </w:r>
      <w:r>
        <w:rPr>
          <w:rFonts w:hint="eastAsia" w:asciiTheme="minorEastAsia" w:hAnsiTheme="minorEastAsia" w:eastAsiaTheme="minorEastAsia"/>
          <w:color w:val="000000" w:themeColor="text1"/>
          <w14:textFill>
            <w14:solidFill>
              <w14:schemeClr w14:val="tx1"/>
            </w14:solidFill>
          </w14:textFill>
        </w:rPr>
        <w:t>月</w:t>
      </w:r>
    </w:p>
    <w:p>
      <w:pPr>
        <w:widowControl/>
        <w:ind w:firstLine="0" w:firstLineChars="0"/>
        <w:rPr>
          <w:rFonts w:ascii="Times New Roman" w:hAnsi="Times New Roman"/>
          <w:color w:val="000000" w:themeColor="text1"/>
          <w:szCs w:val="32"/>
          <w:highlight w:val="yellow"/>
          <w14:textFill>
            <w14:solidFill>
              <w14:schemeClr w14:val="tx1"/>
            </w14:solidFill>
          </w14:textFill>
        </w:rPr>
        <w:sectPr>
          <w:headerReference r:id="rId7" w:type="first"/>
          <w:footerReference r:id="rId10" w:type="first"/>
          <w:headerReference r:id="rId5" w:type="default"/>
          <w:footerReference r:id="rId8" w:type="default"/>
          <w:headerReference r:id="rId6" w:type="even"/>
          <w:footerReference r:id="rId9" w:type="even"/>
          <w:footnotePr>
            <w:numRestart w:val="eachPage"/>
          </w:footnotePr>
          <w:pgSz w:w="11906" w:h="16838"/>
          <w:pgMar w:top="1440" w:right="1418" w:bottom="1440" w:left="1531" w:header="851" w:footer="992" w:gutter="0"/>
          <w:pgNumType w:fmt="numberInDash" w:start="1"/>
          <w:cols w:space="425" w:num="1"/>
          <w:docGrid w:linePitch="312" w:charSpace="0"/>
        </w:sectPr>
      </w:pPr>
    </w:p>
    <w:p>
      <w:pPr>
        <w:pStyle w:val="3"/>
        <w:ind w:firstLine="0" w:firstLineChars="0"/>
        <w:jc w:val="center"/>
        <w:rPr>
          <w:szCs w:val="32"/>
        </w:rPr>
      </w:pPr>
      <w:bookmarkStart w:id="1" w:name="_Toc178147140"/>
      <w:r>
        <w:rPr>
          <w:rFonts w:hint="eastAsia"/>
          <w:szCs w:val="32"/>
        </w:rPr>
        <w:t>摘  要</w:t>
      </w:r>
      <w:bookmarkEnd w:id="1"/>
    </w:p>
    <w:p>
      <w:pPr>
        <w:ind w:firstLine="64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受韶关市财政局委托，韶关中一会计师事务所有限公司（下称“韶关中一”）组建绩效评价工作组，对2022-2023年韶关市社会福利院护理服务费和后勤保障服务项目开展重点绩效评价，本次评价基准日为2023年12月31日。根据现有评价材料，结合书面评价、现场调研情况，2022-2023年韶关市社会福利院护理服务费和后勤保障服务项目绩效评价得分73.38分，绩效评价等级为“中”。</w:t>
      </w:r>
    </w:p>
    <w:p>
      <w:pPr>
        <w:ind w:firstLine="640"/>
        <w:rPr>
          <w:rFonts w:hint="eastAsia" w:ascii="仿宋_GB2312" w:hAnsi="仿宋_GB2312" w:eastAsia="仿宋_GB2312" w:cs="仿宋_GB2312"/>
          <w:color w:val="000000"/>
          <w:szCs w:val="32"/>
        </w:rPr>
      </w:pPr>
      <w:r>
        <w:rPr>
          <w:rFonts w:hint="eastAsia" w:ascii="仿宋_GB2312" w:hAnsi="仿宋_GB2312" w:eastAsia="仿宋_GB2312" w:cs="仿宋_GB2312"/>
          <w:color w:val="000000"/>
          <w:szCs w:val="32"/>
        </w:rPr>
        <w:t>根据《儿童福利机构基本规范》第四条基本要求第四小条“人力资源配备应满足儿童福利机构服务的需要，工作人员与儿童的比例应为1:1”，预计2023年孤残儿童及托养儿童88人，工作人员需88人减去在职在编人员26人，可配备工作人员62人。根据《广东省民政厅关于开展2020年度养老机构星级评定工作的通知》的文件要求，护理员与入住老人比例为：与自理老人1:10，与半失能老人1:4，与全失能老人 1:2。预计2023年有33名特困人员（其中全自理1人，轻度及中度失能7人，重度失能25人），需护理员15人。2021年9月经市财政局核定护理人员49人，2022年护理人员工资和劳务派遣服务费312.23万元、2023年护理人员工资和劳务派遣服务费312万元。</w:t>
      </w:r>
    </w:p>
    <w:p>
      <w:pPr>
        <w:ind w:firstLine="640"/>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根据项目特点，本次评价从项目投入、过程、产出和效益等四个方面着手，重点考核护理人员服务费发放程序是否合规、资金支出是否控制在预算计划之内、资金发放是否及时到位、发放对象是否准确，服务对象对于护理服务实施的满意度情况等。综合评价表明，市福利院足额发放护理人员工资及劳务派遣服务等各项费用，一定程度提高了孤残儿童及托养儿童、特困老人的生活质量。但是项目整体还存在一些不足：第一，绩效考评制度执行流于形式，未按考评明细逐项考核评分。第二，培训力度不够，教育覆盖人员较少。第三，绩效指标设置不够全面具体，未科学合理反映项目内容，不利于跟踪与评估项目开展质量。项目绩效目标申报表，仅针对护理人员招聘人数设置了产出数量指标，产出指标设置不全，效益指标也仅设置了社会认同度，未能全面反映项目实施效果。</w:t>
      </w:r>
    </w:p>
    <w:p>
      <w:pPr>
        <w:ind w:firstLine="640"/>
        <w:rPr>
          <w:rFonts w:ascii="Times New Roman" w:hAnsi="Times New Roman"/>
          <w:color w:val="000000" w:themeColor="text1"/>
          <w:szCs w:val="32"/>
          <w14:textFill>
            <w14:solidFill>
              <w14:schemeClr w14:val="tx1"/>
            </w14:solidFill>
          </w14:textFill>
        </w:rPr>
        <w:sectPr>
          <w:headerReference r:id="rId11" w:type="default"/>
          <w:footerReference r:id="rId12" w:type="default"/>
          <w:footerReference r:id="rId13" w:type="even"/>
          <w:footnotePr>
            <w:numRestart w:val="eachPage"/>
          </w:footnotePr>
          <w:pgSz w:w="11906" w:h="16838"/>
          <w:pgMar w:top="1440" w:right="1418" w:bottom="1440" w:left="1531" w:header="851" w:footer="992" w:gutter="0"/>
          <w:pgNumType w:fmt="numberInDash" w:start="1"/>
          <w:cols w:space="425" w:num="1"/>
          <w:docGrid w:linePitch="312" w:charSpace="0"/>
        </w:sectPr>
      </w:pPr>
      <w:r>
        <w:rPr>
          <w:rFonts w:hint="eastAsia" w:ascii="仿宋_GB2312" w:hAnsi="仿宋_GB2312" w:eastAsia="仿宋_GB2312" w:cs="仿宋_GB2312"/>
          <w:color w:val="000000" w:themeColor="text1"/>
          <w:szCs w:val="32"/>
          <w14:textFill>
            <w14:solidFill>
              <w14:schemeClr w14:val="tx1"/>
            </w14:solidFill>
          </w14:textFill>
        </w:rPr>
        <w:t>针对以上存在问题，提出以下改进建议：第一，加强绩效管理，提高绩效管理的有效性。严格按照《韶关市社会福利院儿童部工作人员绩效考评制度（试行）》《韶关市社会福利院老年部工作人员绩效考评制度》的规定，每月绩效考评按照考核细则逐项进行评分。第二，加强培训教育，建立反馈机制。注重实践经验与理论知识的结合，通过实践操作、模拟操作等方式，使护理人员能够在实际操作中掌握理论知识，通过测试了解护理人员的学习进展和应用情况，并提供及时的反馈和指导。第三，合理设置项目绩效目标，提高绩效指标编报质量。一是设置项目阶段性目标时，结合项目特点与重点，制定更具针对性的年度目标。二是编制绩效指标时，结合项目目的与预期达成的目标，从具体执行层面出发设计绩效指标，以提高指标的合理性、可衡量性。</w:t>
      </w:r>
      <w:r>
        <w:rPr>
          <w:rFonts w:hint="eastAsia" w:ascii="Times New Roman" w:hAnsi="Times New Roman"/>
          <w:color w:val="000000" w:themeColor="text1"/>
          <w:szCs w:val="32"/>
          <w14:textFill>
            <w14:solidFill>
              <w14:schemeClr w14:val="tx1"/>
            </w14:solidFill>
          </w14:textFill>
        </w:rPr>
        <w:t>‌</w:t>
      </w:r>
    </w:p>
    <w:sdt>
      <w:sdtPr>
        <w:rPr>
          <w:rFonts w:hint="eastAsia" w:ascii="宋体" w:hAnsi="宋体" w:eastAsia="宋体" w:cs="宋体"/>
          <w:b/>
          <w:color w:val="000000" w:themeColor="text1"/>
          <w:sz w:val="44"/>
          <w:szCs w:val="44"/>
          <w:lang w:val="zh-CN"/>
          <w14:textFill>
            <w14:solidFill>
              <w14:schemeClr w14:val="tx1"/>
            </w14:solidFill>
          </w14:textFill>
        </w:rPr>
        <w:id w:val="-1733147341"/>
        <w:docPartObj>
          <w:docPartGallery w:val="Table of Contents"/>
          <w:docPartUnique/>
        </w:docPartObj>
      </w:sdtPr>
      <w:sdtEndPr>
        <w:rPr>
          <w:rFonts w:hint="eastAsia" w:ascii="仿宋" w:hAnsi="仿宋" w:eastAsia="仿宋" w:cs="Times New Roman"/>
          <w:b/>
          <w:bCs/>
          <w:color w:val="auto"/>
          <w:sz w:val="28"/>
          <w:szCs w:val="28"/>
          <w:lang w:val="zh-CN"/>
        </w:rPr>
      </w:sdtEndPr>
      <w:sdtContent>
        <w:p>
          <w:pPr>
            <w:widowControl/>
            <w:spacing w:line="240" w:lineRule="auto"/>
            <w:ind w:firstLine="0" w:firstLineChars="0"/>
            <w:jc w:val="center"/>
            <w:rPr>
              <w:rFonts w:ascii="宋体" w:hAnsi="宋体" w:eastAsia="宋体" w:cs="宋体"/>
              <w:color w:val="000000" w:themeColor="text1"/>
              <w:sz w:val="44"/>
              <w:szCs w:val="44"/>
              <w14:textFill>
                <w14:solidFill>
                  <w14:schemeClr w14:val="tx1"/>
                </w14:solidFill>
              </w14:textFill>
            </w:rPr>
          </w:pPr>
          <w:r>
            <w:rPr>
              <w:rFonts w:hint="eastAsia" w:ascii="宋体" w:hAnsi="宋体" w:eastAsia="宋体" w:cs="宋体"/>
              <w:b/>
              <w:color w:val="000000" w:themeColor="text1"/>
              <w:sz w:val="44"/>
              <w:szCs w:val="44"/>
              <w14:textFill>
                <w14:solidFill>
                  <w14:schemeClr w14:val="tx1"/>
                </w14:solidFill>
              </w14:textFill>
            </w:rPr>
            <w:t>目  录</w:t>
          </w:r>
        </w:p>
        <w:p>
          <w:pPr>
            <w:pStyle w:val="23"/>
            <w:rPr>
              <w:rFonts w:cstheme="minorBidi"/>
            </w:rPr>
          </w:pPr>
          <w:r>
            <w:rPr>
              <w:rFonts w:hint="eastAsia" w:ascii="黑体" w:hAnsi="Times New Roman" w:eastAsia="黑体" w:cs="宋体"/>
              <w:color w:val="000000" w:themeColor="text1"/>
              <w14:textFill>
                <w14:solidFill>
                  <w14:schemeClr w14:val="tx1"/>
                </w14:solidFill>
              </w14:textFill>
            </w:rPr>
            <w:fldChar w:fldCharType="begin"/>
          </w:r>
          <w:r>
            <w:rPr>
              <w:rFonts w:hint="eastAsia" w:cs="宋体"/>
              <w:color w:val="000000" w:themeColor="text1"/>
              <w14:textFill>
                <w14:solidFill>
                  <w14:schemeClr w14:val="tx1"/>
                </w14:solidFill>
              </w14:textFill>
            </w:rPr>
            <w:instrText xml:space="preserve"> TOC \o "1-2" \h \z \u </w:instrText>
          </w:r>
          <w:r>
            <w:rPr>
              <w:rFonts w:hint="eastAsia" w:ascii="黑体" w:hAnsi="Times New Roman" w:eastAsia="黑体" w:cs="宋体"/>
              <w:color w:val="000000" w:themeColor="text1"/>
              <w14:textFill>
                <w14:solidFill>
                  <w14:schemeClr w14:val="tx1"/>
                </w14:solidFill>
              </w14:textFill>
            </w:rPr>
            <w:fldChar w:fldCharType="separate"/>
          </w:r>
          <w:r>
            <w:fldChar w:fldCharType="begin"/>
          </w:r>
          <w:r>
            <w:instrText xml:space="preserve"> HYPERLINK \l "_Toc178147140" </w:instrText>
          </w:r>
          <w:r>
            <w:fldChar w:fldCharType="separate"/>
          </w:r>
          <w:r>
            <w:rPr>
              <w:rStyle w:val="41"/>
              <w:rFonts w:hint="eastAsia"/>
            </w:rPr>
            <w:t>摘</w:t>
          </w:r>
          <w:r>
            <w:rPr>
              <w:rStyle w:val="41"/>
            </w:rPr>
            <w:t xml:space="preserve">  </w:t>
          </w:r>
          <w:r>
            <w:rPr>
              <w:rStyle w:val="41"/>
              <w:rFonts w:hint="eastAsia"/>
            </w:rPr>
            <w:t>要</w:t>
          </w:r>
          <w:r>
            <w:tab/>
          </w:r>
          <w:r>
            <w:fldChar w:fldCharType="begin"/>
          </w:r>
          <w:r>
            <w:instrText xml:space="preserve"> PAGEREF _Toc178147140 \h </w:instrText>
          </w:r>
          <w:r>
            <w:fldChar w:fldCharType="separate"/>
          </w:r>
          <w:r>
            <w:t>- 1 -</w:t>
          </w:r>
          <w:r>
            <w:fldChar w:fldCharType="end"/>
          </w:r>
          <w:r>
            <w:fldChar w:fldCharType="end"/>
          </w:r>
        </w:p>
        <w:p>
          <w:pPr>
            <w:pStyle w:val="23"/>
            <w:rPr>
              <w:rFonts w:cstheme="minorBidi"/>
            </w:rPr>
          </w:pPr>
          <w:r>
            <w:fldChar w:fldCharType="begin"/>
          </w:r>
          <w:r>
            <w:instrText xml:space="preserve"> HYPERLINK \l "_Toc178147141" </w:instrText>
          </w:r>
          <w:r>
            <w:fldChar w:fldCharType="separate"/>
          </w:r>
          <w:r>
            <w:rPr>
              <w:rStyle w:val="41"/>
              <w:rFonts w:hint="eastAsia"/>
            </w:rPr>
            <w:t>一、项目基本情况</w:t>
          </w:r>
          <w:r>
            <w:tab/>
          </w:r>
          <w:r>
            <w:fldChar w:fldCharType="begin"/>
          </w:r>
          <w:r>
            <w:instrText xml:space="preserve"> PAGEREF _Toc178147141 \h </w:instrText>
          </w:r>
          <w:r>
            <w:fldChar w:fldCharType="separate"/>
          </w:r>
          <w:r>
            <w:t>- 1 -</w:t>
          </w:r>
          <w:r>
            <w:fldChar w:fldCharType="end"/>
          </w:r>
          <w: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"_Toc178147142" </w:instrText>
          </w:r>
          <w:r>
            <w:fldChar w:fldCharType="separate"/>
          </w:r>
          <w:r>
            <w:rPr>
              <w:rStyle w:val="41"/>
              <w:rFonts w:hint="eastAsia" w:ascii="仿宋" w:hAnsi="仿宋" w:eastAsia="仿宋"/>
              <w:sz w:val="28"/>
            </w:rPr>
            <w:t>（一）项目背景。</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_Toc178147142 \h </w:instrText>
          </w:r>
          <w:r>
            <w:rPr>
              <w:rFonts w:ascii="仿宋" w:hAnsi="仿宋" w:eastAsia="仿宋"/>
            </w:rPr>
            <w:fldChar w:fldCharType="separate"/>
          </w:r>
          <w:r>
            <w:rPr>
              <w:rFonts w:ascii="仿宋" w:hAnsi="仿宋" w:eastAsia="仿宋"/>
            </w:rPr>
            <w:t>- 1 -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"_Toc178147143" </w:instrText>
          </w:r>
          <w:r>
            <w:fldChar w:fldCharType="separate"/>
          </w:r>
          <w:r>
            <w:rPr>
              <w:rStyle w:val="41"/>
              <w:rFonts w:hint="eastAsia" w:ascii="仿宋" w:hAnsi="仿宋" w:eastAsia="仿宋"/>
              <w:sz w:val="28"/>
            </w:rPr>
            <w:t>（二）项目实施情况。</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_Toc178147143 \h </w:instrText>
          </w:r>
          <w:r>
            <w:rPr>
              <w:rFonts w:ascii="仿宋" w:hAnsi="仿宋" w:eastAsia="仿宋"/>
            </w:rPr>
            <w:fldChar w:fldCharType="separate"/>
          </w:r>
          <w:r>
            <w:rPr>
              <w:rFonts w:ascii="仿宋" w:hAnsi="仿宋" w:eastAsia="仿宋"/>
            </w:rPr>
            <w:t>- 2 -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"_Toc178147144" </w:instrText>
          </w:r>
          <w:r>
            <w:fldChar w:fldCharType="separate"/>
          </w:r>
          <w:r>
            <w:rPr>
              <w:rStyle w:val="41"/>
              <w:rFonts w:hint="eastAsia" w:ascii="仿宋" w:hAnsi="仿宋" w:eastAsia="仿宋"/>
              <w:sz w:val="28"/>
            </w:rPr>
            <w:t>（三）资金下达及使用情况。</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_Toc178147144 \h </w:instrText>
          </w:r>
          <w:r>
            <w:rPr>
              <w:rFonts w:ascii="仿宋" w:hAnsi="仿宋" w:eastAsia="仿宋"/>
            </w:rPr>
            <w:fldChar w:fldCharType="separate"/>
          </w:r>
          <w:r>
            <w:rPr>
              <w:rFonts w:ascii="仿宋" w:hAnsi="仿宋" w:eastAsia="仿宋"/>
            </w:rPr>
            <w:t>- 2 -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"_Toc178147145" </w:instrText>
          </w:r>
          <w:r>
            <w:fldChar w:fldCharType="separate"/>
          </w:r>
          <w:r>
            <w:rPr>
              <w:rStyle w:val="41"/>
              <w:rFonts w:hint="eastAsia" w:ascii="仿宋" w:hAnsi="仿宋" w:eastAsia="仿宋"/>
              <w:sz w:val="28"/>
            </w:rPr>
            <w:t>（四）绩效目标。</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_Toc178147145 \h </w:instrText>
          </w:r>
          <w:r>
            <w:rPr>
              <w:rFonts w:ascii="仿宋" w:hAnsi="仿宋" w:eastAsia="仿宋"/>
            </w:rPr>
            <w:fldChar w:fldCharType="separate"/>
          </w:r>
          <w:r>
            <w:rPr>
              <w:rFonts w:ascii="仿宋" w:hAnsi="仿宋" w:eastAsia="仿宋"/>
            </w:rPr>
            <w:t>- 2 -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"_Toc178147146" </w:instrText>
          </w:r>
          <w:r>
            <w:fldChar w:fldCharType="separate"/>
          </w:r>
          <w:r>
            <w:rPr>
              <w:rStyle w:val="41"/>
              <w:rFonts w:hint="eastAsia" w:ascii="仿宋" w:hAnsi="仿宋" w:eastAsia="仿宋"/>
              <w:sz w:val="28"/>
            </w:rPr>
            <w:t>（五）评价目的。</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_Toc178147146 \h </w:instrText>
          </w:r>
          <w:r>
            <w:rPr>
              <w:rFonts w:ascii="仿宋" w:hAnsi="仿宋" w:eastAsia="仿宋"/>
            </w:rPr>
            <w:fldChar w:fldCharType="separate"/>
          </w:r>
          <w:r>
            <w:rPr>
              <w:rFonts w:ascii="仿宋" w:hAnsi="仿宋" w:eastAsia="仿宋"/>
            </w:rPr>
            <w:t>- 2 -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"_Toc178147147" </w:instrText>
          </w:r>
          <w:r>
            <w:fldChar w:fldCharType="separate"/>
          </w:r>
          <w:r>
            <w:rPr>
              <w:rStyle w:val="41"/>
              <w:rFonts w:hint="eastAsia" w:ascii="仿宋" w:hAnsi="仿宋" w:eastAsia="仿宋"/>
              <w:sz w:val="28"/>
            </w:rPr>
            <w:t>（六）评价范围和对象。</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_Toc178147147 \h </w:instrText>
          </w:r>
          <w:r>
            <w:rPr>
              <w:rFonts w:ascii="仿宋" w:hAnsi="仿宋" w:eastAsia="仿宋"/>
            </w:rPr>
            <w:fldChar w:fldCharType="separate"/>
          </w:r>
          <w:r>
            <w:rPr>
              <w:rFonts w:ascii="仿宋" w:hAnsi="仿宋" w:eastAsia="仿宋"/>
            </w:rPr>
            <w:t>- 3 -</w:t>
          </w:r>
          <w:r>
            <w:rPr>
              <w:rFonts w:ascii="仿宋" w:hAnsi="仿宋" w:eastAsia="仿宋"/>
            </w:rPr>
            <w:fldChar w:fldCharType="end"/>
          </w:r>
          <w:r>
            <w:rPr>
              <w:rFonts w:ascii="仿宋" w:hAnsi="仿宋" w:eastAsia="仿宋"/>
            </w:rPr>
            <w:fldChar w:fldCharType="end"/>
          </w:r>
        </w:p>
        <w:p>
          <w:pPr>
            <w:pStyle w:val="23"/>
            <w:rPr>
              <w:rFonts w:cstheme="minorBidi"/>
            </w:rPr>
          </w:pPr>
          <w:r>
            <w:fldChar w:fldCharType="begin"/>
          </w:r>
          <w:r>
            <w:instrText xml:space="preserve"> HYPERLINK \l "_Toc178147148" </w:instrText>
          </w:r>
          <w:r>
            <w:fldChar w:fldCharType="separate"/>
          </w:r>
          <w:r>
            <w:rPr>
              <w:rStyle w:val="41"/>
              <w:rFonts w:hint="eastAsia"/>
            </w:rPr>
            <w:t>二、绩效分析</w:t>
          </w:r>
          <w:r>
            <w:tab/>
          </w:r>
          <w:r>
            <w:fldChar w:fldCharType="begin"/>
          </w:r>
          <w:r>
            <w:instrText xml:space="preserve"> PAGEREF _Toc178147148 \h </w:instrText>
          </w:r>
          <w:r>
            <w:fldChar w:fldCharType="separate"/>
          </w:r>
          <w:r>
            <w:t>- 3 -</w:t>
          </w:r>
          <w:r>
            <w:fldChar w:fldCharType="end"/>
          </w:r>
          <w: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"_Toc178147149" </w:instrText>
          </w:r>
          <w:r>
            <w:fldChar w:fldCharType="separate"/>
          </w:r>
          <w:r>
            <w:rPr>
              <w:rStyle w:val="41"/>
              <w:rFonts w:hint="eastAsia" w:ascii="仿宋" w:hAnsi="仿宋" w:eastAsia="仿宋"/>
              <w:sz w:val="28"/>
            </w:rPr>
            <w:t>（一）绩效目标完成情况。</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_Toc178147149 \h </w:instrText>
          </w:r>
          <w:r>
            <w:rPr>
              <w:rFonts w:ascii="仿宋" w:hAnsi="仿宋" w:eastAsia="仿宋"/>
            </w:rPr>
            <w:fldChar w:fldCharType="separate"/>
          </w:r>
          <w:r>
            <w:rPr>
              <w:rFonts w:ascii="仿宋" w:hAnsi="仿宋" w:eastAsia="仿宋"/>
            </w:rPr>
            <w:t>- 3 -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"_Toc178147150" </w:instrText>
          </w:r>
          <w:r>
            <w:fldChar w:fldCharType="separate"/>
          </w:r>
          <w:r>
            <w:rPr>
              <w:rStyle w:val="41"/>
              <w:rFonts w:hint="eastAsia" w:ascii="仿宋" w:hAnsi="仿宋" w:eastAsia="仿宋"/>
              <w:sz w:val="28"/>
            </w:rPr>
            <w:t>（二）绩效评价指标分析情况。</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_Toc178147150 \h </w:instrText>
          </w:r>
          <w:r>
            <w:rPr>
              <w:rFonts w:ascii="仿宋" w:hAnsi="仿宋" w:eastAsia="仿宋"/>
            </w:rPr>
            <w:fldChar w:fldCharType="separate"/>
          </w:r>
          <w:r>
            <w:rPr>
              <w:rFonts w:ascii="仿宋" w:hAnsi="仿宋" w:eastAsia="仿宋"/>
            </w:rPr>
            <w:t>- 4 -</w:t>
          </w:r>
          <w:r>
            <w:rPr>
              <w:rFonts w:ascii="仿宋" w:hAnsi="仿宋" w:eastAsia="仿宋"/>
            </w:rPr>
            <w:fldChar w:fldCharType="end"/>
          </w:r>
          <w:r>
            <w:rPr>
              <w:rFonts w:ascii="仿宋" w:hAnsi="仿宋" w:eastAsia="仿宋"/>
            </w:rPr>
            <w:fldChar w:fldCharType="end"/>
          </w:r>
        </w:p>
        <w:p>
          <w:pPr>
            <w:pStyle w:val="23"/>
            <w:rPr>
              <w:rFonts w:cstheme="minorBidi"/>
            </w:rPr>
          </w:pPr>
          <w:r>
            <w:fldChar w:fldCharType="begin"/>
          </w:r>
          <w:r>
            <w:instrText xml:space="preserve"> HYPERLINK \l "_Toc178147151" </w:instrText>
          </w:r>
          <w:r>
            <w:fldChar w:fldCharType="separate"/>
          </w:r>
          <w:r>
            <w:rPr>
              <w:rStyle w:val="41"/>
              <w:rFonts w:hint="eastAsia"/>
            </w:rPr>
            <w:t>三、评价结论</w:t>
          </w:r>
          <w:r>
            <w:tab/>
          </w:r>
          <w:r>
            <w:fldChar w:fldCharType="begin"/>
          </w:r>
          <w:r>
            <w:instrText xml:space="preserve"> PAGEREF _Toc178147151 \h </w:instrText>
          </w:r>
          <w:r>
            <w:fldChar w:fldCharType="separate"/>
          </w:r>
          <w:r>
            <w:t>- 14 -</w:t>
          </w:r>
          <w:r>
            <w:fldChar w:fldCharType="end"/>
          </w:r>
          <w:r>
            <w:fldChar w:fldCharType="end"/>
          </w:r>
        </w:p>
        <w:p>
          <w:pPr>
            <w:pStyle w:val="23"/>
            <w:rPr>
              <w:rFonts w:cstheme="minorBidi"/>
            </w:rPr>
          </w:pPr>
          <w:r>
            <w:fldChar w:fldCharType="begin"/>
          </w:r>
          <w:r>
            <w:instrText xml:space="preserve"> HYPERLINK \l "_Toc178147152" </w:instrText>
          </w:r>
          <w:r>
            <w:fldChar w:fldCharType="separate"/>
          </w:r>
          <w:r>
            <w:rPr>
              <w:rStyle w:val="41"/>
              <w:rFonts w:hint="eastAsia"/>
            </w:rPr>
            <w:t>四、主要绩效</w:t>
          </w:r>
          <w:r>
            <w:tab/>
          </w:r>
          <w:r>
            <w:fldChar w:fldCharType="begin"/>
          </w:r>
          <w:r>
            <w:instrText xml:space="preserve"> PAGEREF _Toc178147152 \h </w:instrText>
          </w:r>
          <w:r>
            <w:fldChar w:fldCharType="separate"/>
          </w:r>
          <w:r>
            <w:t>- 14 -</w:t>
          </w:r>
          <w:r>
            <w:fldChar w:fldCharType="end"/>
          </w:r>
          <w: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"_Toc178147153" </w:instrText>
          </w:r>
          <w:r>
            <w:fldChar w:fldCharType="separate"/>
          </w:r>
          <w:r>
            <w:rPr>
              <w:rStyle w:val="41"/>
              <w:rFonts w:hint="eastAsia" w:ascii="仿宋" w:hAnsi="仿宋" w:eastAsia="仿宋"/>
              <w:sz w:val="28"/>
            </w:rPr>
            <w:t>（一）为特困老人、残疾儿童的基本生活提供后勤保障。</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_Toc178147153 \h </w:instrText>
          </w:r>
          <w:r>
            <w:rPr>
              <w:rFonts w:ascii="仿宋" w:hAnsi="仿宋" w:eastAsia="仿宋"/>
            </w:rPr>
            <w:fldChar w:fldCharType="separate"/>
          </w:r>
          <w:r>
            <w:rPr>
              <w:rFonts w:ascii="仿宋" w:hAnsi="仿宋" w:eastAsia="仿宋"/>
            </w:rPr>
            <w:t>- 14 -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"_Toc178147154" </w:instrText>
          </w:r>
          <w:r>
            <w:fldChar w:fldCharType="separate"/>
          </w:r>
          <w:r>
            <w:rPr>
              <w:rStyle w:val="41"/>
              <w:rFonts w:hint="eastAsia" w:ascii="仿宋" w:hAnsi="仿宋" w:eastAsia="仿宋"/>
              <w:sz w:val="28"/>
            </w:rPr>
            <w:t>（二）进一步推进韶关市儿童福利机构优化提质。</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_Toc178147154 \h </w:instrText>
          </w:r>
          <w:r>
            <w:rPr>
              <w:rFonts w:ascii="仿宋" w:hAnsi="仿宋" w:eastAsia="仿宋"/>
            </w:rPr>
            <w:fldChar w:fldCharType="separate"/>
          </w:r>
          <w:r>
            <w:rPr>
              <w:rFonts w:ascii="仿宋" w:hAnsi="仿宋" w:eastAsia="仿宋"/>
            </w:rPr>
            <w:t>- 15 -</w:t>
          </w:r>
          <w:r>
            <w:rPr>
              <w:rFonts w:ascii="仿宋" w:hAnsi="仿宋" w:eastAsia="仿宋"/>
            </w:rPr>
            <w:fldChar w:fldCharType="end"/>
          </w:r>
          <w:r>
            <w:rPr>
              <w:rFonts w:ascii="仿宋" w:hAnsi="仿宋" w:eastAsia="仿宋"/>
            </w:rPr>
            <w:fldChar w:fldCharType="end"/>
          </w:r>
        </w:p>
        <w:p>
          <w:pPr>
            <w:pStyle w:val="23"/>
            <w:rPr>
              <w:rFonts w:cstheme="minorBidi"/>
            </w:rPr>
          </w:pPr>
          <w:r>
            <w:fldChar w:fldCharType="begin"/>
          </w:r>
          <w:r>
            <w:instrText xml:space="preserve"> HYPERLINK \l "_Toc178147155" </w:instrText>
          </w:r>
          <w:r>
            <w:fldChar w:fldCharType="separate"/>
          </w:r>
          <w:r>
            <w:rPr>
              <w:rStyle w:val="41"/>
              <w:rFonts w:hint="eastAsia"/>
            </w:rPr>
            <w:t>五、存在问题</w:t>
          </w:r>
          <w:r>
            <w:tab/>
          </w:r>
          <w:r>
            <w:fldChar w:fldCharType="begin"/>
          </w:r>
          <w:r>
            <w:instrText xml:space="preserve"> PAGEREF _Toc178147155 \h </w:instrText>
          </w:r>
          <w:r>
            <w:fldChar w:fldCharType="separate"/>
          </w:r>
          <w:r>
            <w:t>- 15 -</w:t>
          </w:r>
          <w:r>
            <w:fldChar w:fldCharType="end"/>
          </w:r>
          <w: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"_Toc178147156" </w:instrText>
          </w:r>
          <w:r>
            <w:fldChar w:fldCharType="separate"/>
          </w:r>
          <w:r>
            <w:rPr>
              <w:rStyle w:val="41"/>
              <w:rFonts w:hint="eastAsia" w:ascii="仿宋" w:hAnsi="仿宋" w:eastAsia="仿宋"/>
              <w:sz w:val="28"/>
            </w:rPr>
            <w:t>（一）绩效指标设置不够全面，未能科学反映项目内容。</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_Toc178147156 \h </w:instrText>
          </w:r>
          <w:r>
            <w:rPr>
              <w:rFonts w:ascii="仿宋" w:hAnsi="仿宋" w:eastAsia="仿宋"/>
            </w:rPr>
            <w:fldChar w:fldCharType="separate"/>
          </w:r>
          <w:r>
            <w:rPr>
              <w:rFonts w:ascii="仿宋" w:hAnsi="仿宋" w:eastAsia="仿宋"/>
            </w:rPr>
            <w:t>- 15 -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"_Toc178147157" </w:instrText>
          </w:r>
          <w:r>
            <w:fldChar w:fldCharType="separate"/>
          </w:r>
          <w:r>
            <w:rPr>
              <w:rStyle w:val="41"/>
              <w:rFonts w:hint="eastAsia" w:ascii="仿宋" w:hAnsi="仿宋" w:eastAsia="仿宋"/>
              <w:sz w:val="28"/>
            </w:rPr>
            <w:t>（二）护理人员考核流于形式，监督管理有待规范。</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_Toc178147157 \h </w:instrText>
          </w:r>
          <w:r>
            <w:rPr>
              <w:rFonts w:ascii="仿宋" w:hAnsi="仿宋" w:eastAsia="仿宋"/>
            </w:rPr>
            <w:fldChar w:fldCharType="separate"/>
          </w:r>
          <w:r>
            <w:rPr>
              <w:rFonts w:ascii="仿宋" w:hAnsi="仿宋" w:eastAsia="仿宋"/>
            </w:rPr>
            <w:t>- 15 -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"_Toc178147158" </w:instrText>
          </w:r>
          <w:r>
            <w:fldChar w:fldCharType="separate"/>
          </w:r>
          <w:r>
            <w:rPr>
              <w:rStyle w:val="41"/>
              <w:rFonts w:hint="eastAsia" w:ascii="仿宋" w:hAnsi="仿宋" w:eastAsia="仿宋"/>
              <w:sz w:val="28"/>
            </w:rPr>
            <w:t>（三）业务培训覆盖面较窄，未覆盖所有护理人员。</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_Toc178147158 \h </w:instrText>
          </w:r>
          <w:r>
            <w:rPr>
              <w:rFonts w:ascii="仿宋" w:hAnsi="仿宋" w:eastAsia="仿宋"/>
            </w:rPr>
            <w:fldChar w:fldCharType="separate"/>
          </w:r>
          <w:r>
            <w:rPr>
              <w:rFonts w:ascii="仿宋" w:hAnsi="仿宋" w:eastAsia="仿宋"/>
            </w:rPr>
            <w:t>- 16 -</w:t>
          </w:r>
          <w:r>
            <w:rPr>
              <w:rFonts w:ascii="仿宋" w:hAnsi="仿宋" w:eastAsia="仿宋"/>
            </w:rPr>
            <w:fldChar w:fldCharType="end"/>
          </w:r>
          <w:r>
            <w:rPr>
              <w:rFonts w:ascii="仿宋" w:hAnsi="仿宋" w:eastAsia="仿宋"/>
            </w:rPr>
            <w:fldChar w:fldCharType="end"/>
          </w:r>
        </w:p>
        <w:p>
          <w:pPr>
            <w:pStyle w:val="23"/>
            <w:rPr>
              <w:rFonts w:cstheme="minorBidi"/>
            </w:rPr>
          </w:pPr>
          <w:r>
            <w:fldChar w:fldCharType="begin"/>
          </w:r>
          <w:r>
            <w:instrText xml:space="preserve"> HYPERLINK \l "_Toc178147159" </w:instrText>
          </w:r>
          <w:r>
            <w:fldChar w:fldCharType="separate"/>
          </w:r>
          <w:r>
            <w:rPr>
              <w:rStyle w:val="41"/>
              <w:rFonts w:hint="eastAsia"/>
            </w:rPr>
            <w:t>六、建议</w:t>
          </w:r>
          <w:r>
            <w:tab/>
          </w:r>
          <w:r>
            <w:fldChar w:fldCharType="begin"/>
          </w:r>
          <w:r>
            <w:instrText xml:space="preserve"> PAGEREF _Toc178147159 \h </w:instrText>
          </w:r>
          <w:r>
            <w:fldChar w:fldCharType="separate"/>
          </w:r>
          <w:r>
            <w:t>- 16 -</w:t>
          </w:r>
          <w:r>
            <w:fldChar w:fldCharType="end"/>
          </w:r>
          <w: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"_Toc178147160" </w:instrText>
          </w:r>
          <w:r>
            <w:fldChar w:fldCharType="separate"/>
          </w:r>
          <w:r>
            <w:rPr>
              <w:rStyle w:val="41"/>
              <w:rFonts w:hint="eastAsia" w:ascii="仿宋" w:hAnsi="仿宋" w:eastAsia="仿宋"/>
              <w:sz w:val="28"/>
            </w:rPr>
            <w:t>（一）合理设置项目绩效目标，提高绩效指标编报质量。</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_Toc178147160 \h </w:instrText>
          </w:r>
          <w:r>
            <w:rPr>
              <w:rFonts w:ascii="仿宋" w:hAnsi="仿宋" w:eastAsia="仿宋"/>
            </w:rPr>
            <w:fldChar w:fldCharType="separate"/>
          </w:r>
          <w:r>
            <w:rPr>
              <w:rFonts w:ascii="仿宋" w:hAnsi="仿宋" w:eastAsia="仿宋"/>
            </w:rPr>
            <w:t>- 16 -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"_Toc178147161" </w:instrText>
          </w:r>
          <w:r>
            <w:fldChar w:fldCharType="separate"/>
          </w:r>
          <w:r>
            <w:rPr>
              <w:rStyle w:val="41"/>
              <w:rFonts w:hint="eastAsia" w:ascii="仿宋" w:hAnsi="仿宋" w:eastAsia="仿宋"/>
              <w:sz w:val="28"/>
            </w:rPr>
            <w:t>（二）加强项目监督管理，落实绩效考评方案。</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_Toc178147161 \h </w:instrText>
          </w:r>
          <w:r>
            <w:rPr>
              <w:rFonts w:ascii="仿宋" w:hAnsi="仿宋" w:eastAsia="仿宋"/>
            </w:rPr>
            <w:fldChar w:fldCharType="separate"/>
          </w:r>
          <w:r>
            <w:rPr>
              <w:rFonts w:ascii="仿宋" w:hAnsi="仿宋" w:eastAsia="仿宋"/>
            </w:rPr>
            <w:t>- 17 -</w:t>
          </w:r>
          <w:r>
            <w:rPr>
              <w:rFonts w:ascii="仿宋" w:hAnsi="仿宋" w:eastAsia="仿宋"/>
            </w:rPr>
            <w:fldChar w:fldCharType="end"/>
          </w:r>
          <w:r>
            <w:rPr>
              <w:rFonts w:ascii="仿宋" w:hAnsi="仿宋" w:eastAsia="仿宋"/>
            </w:rPr>
            <w:fldChar w:fldCharType="end"/>
          </w:r>
        </w:p>
        <w:p>
          <w:pPr>
            <w:pStyle w:val="2"/>
            <w:spacing w:line="460" w:lineRule="exact"/>
            <w:ind w:firstLine="0" w:firstLineChars="0"/>
            <w:rPr>
              <w:rFonts w:ascii="仿宋" w:hAnsi="仿宋" w:eastAsia="仿宋" w:cstheme="minorBidi"/>
            </w:rPr>
          </w:pPr>
          <w:r>
            <w:fldChar w:fldCharType="begin"/>
          </w:r>
          <w:r>
            <w:instrText xml:space="preserve"> HYPERLINK \l "_Toc178147162" </w:instrText>
          </w:r>
          <w:r>
            <w:fldChar w:fldCharType="separate"/>
          </w:r>
          <w:r>
            <w:rPr>
              <w:rStyle w:val="41"/>
              <w:rFonts w:hint="eastAsia" w:ascii="仿宋" w:hAnsi="仿宋" w:eastAsia="仿宋"/>
              <w:sz w:val="28"/>
            </w:rPr>
            <w:t>（三）加强培训效果的管理和控制，扩大培训范围。</w:t>
          </w:r>
          <w:r>
            <w:rPr>
              <w:rFonts w:ascii="仿宋" w:hAnsi="仿宋" w:eastAsia="仿宋"/>
            </w:rPr>
            <w:tab/>
          </w:r>
          <w:r>
            <w:rPr>
              <w:rFonts w:ascii="仿宋" w:hAnsi="仿宋" w:eastAsia="仿宋"/>
            </w:rPr>
            <w:fldChar w:fldCharType="begin"/>
          </w:r>
          <w:r>
            <w:rPr>
              <w:rFonts w:ascii="仿宋" w:hAnsi="仿宋" w:eastAsia="仿宋"/>
            </w:rPr>
            <w:instrText xml:space="preserve"> PAGEREF _Toc178147162 \h </w:instrText>
          </w:r>
          <w:r>
            <w:rPr>
              <w:rFonts w:ascii="仿宋" w:hAnsi="仿宋" w:eastAsia="仿宋"/>
            </w:rPr>
            <w:fldChar w:fldCharType="separate"/>
          </w:r>
          <w:r>
            <w:rPr>
              <w:rFonts w:ascii="仿宋" w:hAnsi="仿宋" w:eastAsia="仿宋"/>
            </w:rPr>
            <w:t>- 17 -</w:t>
          </w:r>
          <w:r>
            <w:rPr>
              <w:rFonts w:ascii="仿宋" w:hAnsi="仿宋" w:eastAsia="仿宋"/>
            </w:rPr>
            <w:fldChar w:fldCharType="end"/>
          </w:r>
          <w:r>
            <w:rPr>
              <w:rFonts w:ascii="仿宋" w:hAnsi="仿宋" w:eastAsia="仿宋"/>
            </w:rPr>
            <w:fldChar w:fldCharType="end"/>
          </w:r>
        </w:p>
        <w:p>
          <w:pPr>
            <w:pStyle w:val="23"/>
            <w:rPr>
              <w:rFonts w:cstheme="minorBidi"/>
            </w:rPr>
          </w:pPr>
          <w:r>
            <w:fldChar w:fldCharType="begin"/>
          </w:r>
          <w:r>
            <w:instrText xml:space="preserve"> HYPERLINK \l "_Toc178147163" </w:instrText>
          </w:r>
          <w:r>
            <w:fldChar w:fldCharType="separate"/>
          </w:r>
          <w:r>
            <w:rPr>
              <w:rStyle w:val="41"/>
              <w:rFonts w:hint="eastAsia"/>
            </w:rPr>
            <w:t>七、附件</w:t>
          </w:r>
          <w:r>
            <w:tab/>
          </w:r>
          <w:r>
            <w:fldChar w:fldCharType="begin"/>
          </w:r>
          <w:r>
            <w:instrText xml:space="preserve"> PAGEREF _Toc178147163 \h </w:instrText>
          </w:r>
          <w:r>
            <w:fldChar w:fldCharType="separate"/>
          </w:r>
          <w:r>
            <w:t>- 18 -</w:t>
          </w:r>
          <w:r>
            <w:fldChar w:fldCharType="end"/>
          </w:r>
          <w:r>
            <w:fldChar w:fldCharType="end"/>
          </w:r>
        </w:p>
        <w:p>
          <w:pPr>
            <w:pStyle w:val="23"/>
            <w:rPr>
              <w:rFonts w:cstheme="minorBidi"/>
            </w:rPr>
          </w:pPr>
          <w:r>
            <w:fldChar w:fldCharType="begin"/>
          </w:r>
          <w:r>
            <w:instrText xml:space="preserve"> HYPERLINK \l "_Toc178147164" </w:instrText>
          </w:r>
          <w:r>
            <w:fldChar w:fldCharType="separate"/>
          </w:r>
          <w:r>
            <w:rPr>
              <w:rStyle w:val="41"/>
              <w:rFonts w:hint="eastAsia"/>
            </w:rPr>
            <w:t>附件</w:t>
          </w:r>
          <w:r>
            <w:rPr>
              <w:rStyle w:val="41"/>
            </w:rPr>
            <w:t>1</w:t>
          </w:r>
          <w:r>
            <w:tab/>
          </w:r>
          <w:r>
            <w:fldChar w:fldCharType="begin"/>
          </w:r>
          <w:r>
            <w:instrText xml:space="preserve"> PAGEREF _Toc178147164 \h </w:instrText>
          </w:r>
          <w:r>
            <w:fldChar w:fldCharType="separate"/>
          </w:r>
          <w:r>
            <w:t>- 19 -</w:t>
          </w:r>
          <w:r>
            <w:fldChar w:fldCharType="end"/>
          </w:r>
          <w:r>
            <w:fldChar w:fldCharType="end"/>
          </w:r>
        </w:p>
        <w:p>
          <w:pPr>
            <w:pStyle w:val="23"/>
            <w:rPr>
              <w:rFonts w:cstheme="minorBidi"/>
            </w:rPr>
          </w:pPr>
          <w:r>
            <w:fldChar w:fldCharType="begin"/>
          </w:r>
          <w:r>
            <w:instrText xml:space="preserve"> HYPERLINK \l "_Toc178147165" </w:instrText>
          </w:r>
          <w:r>
            <w:fldChar w:fldCharType="separate"/>
          </w:r>
          <w:r>
            <w:rPr>
              <w:rStyle w:val="41"/>
              <w:rFonts w:hint="eastAsia"/>
            </w:rPr>
            <w:t>附件</w:t>
          </w:r>
          <w:r>
            <w:rPr>
              <w:rStyle w:val="41"/>
            </w:rPr>
            <w:t>2</w:t>
          </w:r>
          <w:r>
            <w:tab/>
          </w:r>
          <w:r>
            <w:fldChar w:fldCharType="begin"/>
          </w:r>
          <w:r>
            <w:instrText xml:space="preserve"> PAGEREF _Toc178147165 \h </w:instrText>
          </w:r>
          <w:r>
            <w:fldChar w:fldCharType="separate"/>
          </w:r>
          <w:r>
            <w:t>- 26 -</w:t>
          </w:r>
          <w:r>
            <w:fldChar w:fldCharType="end"/>
          </w:r>
          <w:r>
            <w:fldChar w:fldCharType="end"/>
          </w:r>
        </w:p>
        <w:p>
          <w:pPr>
            <w:pStyle w:val="23"/>
            <w:rPr>
              <w:rFonts w:cstheme="minorBidi"/>
            </w:rPr>
          </w:pPr>
          <w:r>
            <w:fldChar w:fldCharType="begin"/>
          </w:r>
          <w:r>
            <w:instrText xml:space="preserve"> HYPERLINK \l "_Toc178147166" </w:instrText>
          </w:r>
          <w:r>
            <w:fldChar w:fldCharType="separate"/>
          </w:r>
          <w:r>
            <w:rPr>
              <w:rStyle w:val="41"/>
              <w:rFonts w:hint="eastAsia"/>
            </w:rPr>
            <w:t>附件</w:t>
          </w:r>
          <w:bookmarkStart w:id="54" w:name="_GoBack"/>
          <w:bookmarkEnd w:id="54"/>
          <w:r>
            <w:rPr>
              <w:rStyle w:val="41"/>
            </w:rPr>
            <w:t>3</w:t>
          </w:r>
          <w:r>
            <w:tab/>
          </w:r>
          <w:r>
            <w:fldChar w:fldCharType="begin"/>
          </w:r>
          <w:r>
            <w:instrText xml:space="preserve"> PAGEREF _Toc178147166 \h </w:instrText>
          </w:r>
          <w:r>
            <w:fldChar w:fldCharType="separate"/>
          </w:r>
          <w:r>
            <w:t>- 27 -</w:t>
          </w:r>
          <w:r>
            <w:fldChar w:fldCharType="end"/>
          </w:r>
          <w:r>
            <w:fldChar w:fldCharType="end"/>
          </w:r>
        </w:p>
        <w:p>
          <w:pPr>
            <w:pStyle w:val="23"/>
          </w:pPr>
          <w:r>
            <w:rPr>
              <w:rFonts w:hint="eastAsia"/>
            </w:rPr>
            <w:fldChar w:fldCharType="end"/>
          </w:r>
        </w:p>
      </w:sdtContent>
    </w:sdt>
    <w:p>
      <w:pPr>
        <w:spacing w:line="440" w:lineRule="exact"/>
        <w:ind w:firstLine="0" w:firstLineChars="0"/>
        <w:rPr>
          <w:rFonts w:ascii="宋体" w:hAnsi="宋体" w:eastAsia="宋体" w:cs="宋体"/>
          <w:b/>
          <w:color w:val="000000" w:themeColor="text1"/>
          <w:sz w:val="28"/>
          <w:szCs w:val="28"/>
          <w14:textFill>
            <w14:solidFill>
              <w14:schemeClr w14:val="tx1"/>
            </w14:solidFill>
          </w14:textFill>
        </w:rPr>
        <w:sectPr>
          <w:headerReference r:id="rId14" w:type="default"/>
          <w:footerReference r:id="rId15" w:type="default"/>
          <w:footerReference r:id="rId16" w:type="even"/>
          <w:footnotePr>
            <w:numRestart w:val="eachPage"/>
          </w:footnotePr>
          <w:pgSz w:w="11906" w:h="16838"/>
          <w:pgMar w:top="1440" w:right="1418" w:bottom="1440" w:left="1531" w:header="851" w:footer="992" w:gutter="0"/>
          <w:pgNumType w:fmt="numberInDash" w:start="1"/>
          <w:cols w:space="425" w:num="1"/>
          <w:docGrid w:linePitch="312" w:charSpace="0"/>
        </w:sectPr>
      </w:pPr>
    </w:p>
    <w:p>
      <w:pPr>
        <w:pStyle w:val="3"/>
        <w:ind w:firstLine="640"/>
        <w:rPr>
          <w:rFonts w:ascii="Times New Roman" w:hAnsi="Times New Roman"/>
          <w:color w:val="000000" w:themeColor="text1"/>
          <w14:textFill>
            <w14:solidFill>
              <w14:schemeClr w14:val="tx1"/>
            </w14:solidFill>
          </w14:textFill>
        </w:rPr>
      </w:pPr>
      <w:bookmarkStart w:id="2" w:name="_Toc178147141"/>
      <w:r>
        <w:rPr>
          <w:rFonts w:hint="eastAsia" w:ascii="Times New Roman" w:hAnsi="Times New Roman"/>
          <w:color w:val="000000" w:themeColor="text1"/>
          <w14:textFill>
            <w14:solidFill>
              <w14:schemeClr w14:val="tx1"/>
            </w14:solidFill>
          </w14:textFill>
        </w:rPr>
        <w:t>一、项目基本情况</w:t>
      </w:r>
      <w:bookmarkEnd w:id="2"/>
    </w:p>
    <w:p>
      <w:pPr>
        <w:pStyle w:val="4"/>
        <w:ind w:firstLine="640"/>
        <w:rPr>
          <w:b w:val="0"/>
          <w:bCs w:val="0"/>
        </w:rPr>
      </w:pPr>
      <w:bookmarkStart w:id="3" w:name="_Toc178147142"/>
      <w:r>
        <w:rPr>
          <w:rFonts w:hint="eastAsia"/>
          <w:b w:val="0"/>
          <w:bCs w:val="0"/>
        </w:rPr>
        <w:t>（一）项目背景。</w:t>
      </w:r>
      <w:bookmarkEnd w:id="3"/>
    </w:p>
    <w:p>
      <w:pPr>
        <w:ind w:firstLine="640"/>
        <w:rPr>
          <w:rFonts w:hint="eastAsia" w:ascii="仿宋_GB2312" w:hAnsi="仿宋_GB2312" w:eastAsia="仿宋_GB2312" w:cs="仿宋_GB2312"/>
        </w:rPr>
      </w:pPr>
      <w:r>
        <w:rPr>
          <w:rFonts w:hint="eastAsia" w:ascii="仿宋_GB2312" w:hAnsi="仿宋_GB2312" w:eastAsia="仿宋_GB2312" w:cs="仿宋_GB2312"/>
        </w:rPr>
        <w:t>韶关市社会福利院始建于1950年，隶属于市民政局的事业单位，负责韶关城区范围内“无法定抚养义务人、无劳动能力、无生活来源”（三无人员）的孤、老、残、幼等人员的收养工作，提供生活起居、文化娱乐、医疗保健、特殊教育、养护、康复、托管等综合性服务；负责韶关城区范围内弃婴、孤残儿童的收养及国内外送养工作；开展社会托养服务。是一所集医疗、康复、托老、抚幼于一体的综合性福利机构，公益一类事业单位。</w:t>
      </w:r>
    </w:p>
    <w:p>
      <w:pPr>
        <w:ind w:firstLine="640"/>
        <w:rPr>
          <w:rFonts w:hint="eastAsia" w:ascii="仿宋_GB2312" w:hAnsi="仿宋_GB2312" w:eastAsia="仿宋_GB2312" w:cs="仿宋_GB2312"/>
        </w:rPr>
      </w:pPr>
      <w:r>
        <w:rPr>
          <w:rFonts w:hint="eastAsia" w:ascii="仿宋_GB2312" w:hAnsi="仿宋_GB2312" w:eastAsia="仿宋_GB2312" w:cs="仿宋_GB2312"/>
        </w:rPr>
        <w:t>根据《韶关市儿童福利机构优化提质和创新转型高质量发展工作实施方案》，2022年12月底前主要完成升级改造、装修教室、康复室、娱乐活动室及添置生活设施及工作人员配备等，满足接收县（市、区）级儿童福利机构移交的儿童条件。按照《儿童福利机构基本规范》工作人员与儿童比例应为1:1，预计2023年孤残儿童及托养儿童88人。</w:t>
      </w:r>
    </w:p>
    <w:p>
      <w:pPr>
        <w:ind w:firstLine="640"/>
        <w:rPr>
          <w:rFonts w:hint="eastAsia" w:ascii="仿宋_GB2312" w:hAnsi="仿宋_GB2312" w:eastAsia="仿宋_GB2312" w:cs="仿宋_GB2312"/>
        </w:rPr>
      </w:pPr>
      <w:r>
        <w:rPr>
          <w:rFonts w:hint="eastAsia" w:ascii="仿宋_GB2312" w:hAnsi="仿宋_GB2312" w:eastAsia="仿宋_GB2312" w:cs="仿宋_GB2312"/>
        </w:rPr>
        <w:t>根据《广东省民政厅关于开展2020年度养老机构星级评定工作的通知》的文件要求，护理员与入住老年人配比为：与轻度失能及能力完好老年人配比不低于1:10，与中度失能老年人配比不低于1:4，与重度失能老年人配比不低于 1:2。预计2023年有33名特困人员（其中全自理1人，轻度及中度失能7人，重度失能25人）。</w:t>
      </w:r>
    </w:p>
    <w:p>
      <w:pPr>
        <w:pStyle w:val="4"/>
        <w:ind w:firstLine="640"/>
        <w:rPr>
          <w:b w:val="0"/>
          <w:bCs w:val="0"/>
        </w:rPr>
      </w:pPr>
      <w:bookmarkStart w:id="4" w:name="_Toc178147143"/>
      <w:r>
        <w:rPr>
          <w:rFonts w:hint="eastAsia"/>
          <w:b w:val="0"/>
          <w:bCs w:val="0"/>
        </w:rPr>
        <w:t>（二）项目实施情况。</w:t>
      </w:r>
      <w:bookmarkEnd w:id="4"/>
    </w:p>
    <w:p>
      <w:pPr>
        <w:ind w:firstLine="640"/>
        <w:rPr>
          <w:rFonts w:hint="eastAsia" w:ascii="仿宋_GB2312" w:hAnsi="仿宋_GB2312" w:eastAsia="仿宋_GB2312" w:cs="仿宋_GB2312"/>
        </w:rPr>
      </w:pPr>
      <w:r>
        <w:rPr>
          <w:rFonts w:hint="eastAsia" w:ascii="仿宋_GB2312" w:hAnsi="仿宋_GB2312" w:eastAsia="仿宋_GB2312" w:cs="仿宋_GB2312"/>
        </w:rPr>
        <w:t>1、工作人员经费标准</w:t>
      </w:r>
    </w:p>
    <w:p>
      <w:pPr>
        <w:ind w:firstLine="640"/>
        <w:rPr>
          <w:rFonts w:hint="eastAsia" w:ascii="仿宋_GB2312" w:hAnsi="仿宋_GB2312" w:eastAsia="仿宋_GB2312" w:cs="仿宋_GB2312"/>
        </w:rPr>
      </w:pPr>
      <w:r>
        <w:rPr>
          <w:rFonts w:hint="eastAsia" w:ascii="仿宋_GB2312" w:hAnsi="仿宋_GB2312" w:eastAsia="仿宋_GB2312" w:cs="仿宋_GB2312"/>
        </w:rPr>
        <w:t>2021年9月经市财政局、市人社局审批，按照市福利院实际供养孤儿和特困老人人数核定护理人员49人(剔除在职在编人员)，参照2021年市本级核定后勤服务人员经费供给标准6.3万元/人/年，劳务派遣服务费3.528万元，两年合计624.23万元。</w:t>
      </w:r>
    </w:p>
    <w:p>
      <w:pPr>
        <w:ind w:firstLine="640"/>
        <w:rPr>
          <w:rFonts w:hint="eastAsia" w:ascii="仿宋_GB2312" w:hAnsi="仿宋_GB2312" w:eastAsia="仿宋_GB2312" w:cs="仿宋_GB2312"/>
        </w:rPr>
      </w:pPr>
      <w:r>
        <w:rPr>
          <w:rFonts w:hint="eastAsia" w:ascii="仿宋_GB2312" w:hAnsi="仿宋_GB2312" w:eastAsia="仿宋_GB2312" w:cs="仿宋_GB2312"/>
        </w:rPr>
        <w:t>2、发放程序</w:t>
      </w:r>
    </w:p>
    <w:p>
      <w:pPr>
        <w:ind w:firstLine="640"/>
        <w:rPr>
          <w:rFonts w:hint="eastAsia" w:ascii="仿宋_GB2312" w:hAnsi="仿宋_GB2312" w:eastAsia="仿宋_GB2312" w:cs="仿宋_GB2312"/>
        </w:rPr>
      </w:pPr>
      <w:r>
        <w:rPr>
          <w:rFonts w:hint="eastAsia" w:ascii="仿宋_GB2312" w:hAnsi="仿宋_GB2312" w:eastAsia="仿宋_GB2312" w:cs="仿宋_GB2312"/>
        </w:rPr>
        <w:t>目前，本项目资金发放程序为：市福利院依据相关批复确定的标准、招聘人数，按月对护理人员进行考核，根据考核结果支付工资和劳务派遣代理服务费。</w:t>
      </w:r>
    </w:p>
    <w:p>
      <w:pPr>
        <w:pStyle w:val="4"/>
        <w:ind w:firstLine="640"/>
        <w:rPr>
          <w:rFonts w:hint="eastAsia" w:ascii="仿宋_GB2312" w:hAnsi="仿宋_GB2312" w:eastAsia="仿宋_GB2312" w:cs="仿宋_GB2312"/>
          <w:b w:val="0"/>
          <w:bCs w:val="0"/>
        </w:rPr>
      </w:pPr>
      <w:bookmarkStart w:id="5" w:name="_Toc178147144"/>
      <w:r>
        <w:rPr>
          <w:rFonts w:hint="eastAsia" w:ascii="仿宋_GB2312" w:hAnsi="仿宋_GB2312" w:eastAsia="仿宋_GB2312" w:cs="仿宋_GB2312"/>
          <w:b w:val="0"/>
          <w:bCs w:val="0"/>
        </w:rPr>
        <w:t>（三）资金下达及使用情况。</w:t>
      </w:r>
      <w:bookmarkEnd w:id="5"/>
    </w:p>
    <w:p>
      <w:pPr>
        <w:ind w:firstLine="640"/>
        <w:rPr>
          <w:rFonts w:hint="eastAsia" w:ascii="仿宋_GB2312" w:hAnsi="仿宋_GB2312" w:eastAsia="仿宋_GB2312" w:cs="仿宋_GB2312"/>
        </w:rPr>
      </w:pPr>
      <w:r>
        <w:rPr>
          <w:rFonts w:hint="eastAsia" w:ascii="仿宋_GB2312" w:hAnsi="仿宋_GB2312" w:eastAsia="仿宋_GB2312" w:cs="仿宋_GB2312"/>
        </w:rPr>
        <w:t>2022年下达预算312.23万元、2023年下达预算312万元；截至2023年12月31日，2022年预算已支付312.23万元、2023年预算已支付 311.78 万元。</w:t>
      </w:r>
    </w:p>
    <w:p>
      <w:pPr>
        <w:pStyle w:val="4"/>
        <w:ind w:firstLine="640"/>
        <w:rPr>
          <w:rFonts w:hint="eastAsia" w:ascii="仿宋_GB2312" w:hAnsi="仿宋_GB2312" w:eastAsia="仿宋_GB2312" w:cs="仿宋_GB2312"/>
          <w:b w:val="0"/>
          <w:bCs w:val="0"/>
        </w:rPr>
      </w:pPr>
      <w:bookmarkStart w:id="6" w:name="_Toc178147145"/>
      <w:r>
        <w:rPr>
          <w:rFonts w:hint="eastAsia" w:ascii="仿宋_GB2312" w:hAnsi="仿宋_GB2312" w:eastAsia="仿宋_GB2312" w:cs="仿宋_GB2312"/>
          <w:b w:val="0"/>
          <w:bCs w:val="0"/>
        </w:rPr>
        <w:t>（四）</w:t>
      </w:r>
      <w:bookmarkStart w:id="7" w:name="_Hlk81401184"/>
      <w:r>
        <w:rPr>
          <w:rFonts w:hint="eastAsia" w:ascii="仿宋_GB2312" w:hAnsi="仿宋_GB2312" w:eastAsia="仿宋_GB2312" w:cs="仿宋_GB2312"/>
          <w:b w:val="0"/>
          <w:bCs w:val="0"/>
        </w:rPr>
        <w:t>绩效目标。</w:t>
      </w:r>
      <w:bookmarkEnd w:id="6"/>
    </w:p>
    <w:p>
      <w:pPr>
        <w:ind w:firstLine="640"/>
        <w:rPr>
          <w:rFonts w:hint="eastAsia" w:ascii="仿宋_GB2312" w:hAnsi="仿宋_GB2312" w:eastAsia="仿宋_GB2312" w:cs="仿宋_GB2312"/>
        </w:rPr>
      </w:pPr>
      <w:r>
        <w:rPr>
          <w:rFonts w:hint="eastAsia" w:ascii="仿宋_GB2312" w:hAnsi="仿宋_GB2312" w:eastAsia="仿宋_GB2312" w:cs="仿宋_GB2312"/>
        </w:rPr>
        <w:t>根据项目工作实施方案及相关项目材料，项目总体绩效目标可归纳为：招聘劳务派遣人员，并支付社会保险费用，保障市福利院特困老人、孤残儿童和托养儿童能够得到正常的护理照料和后勤保障。</w:t>
      </w:r>
    </w:p>
    <w:bookmarkEnd w:id="7"/>
    <w:p>
      <w:pPr>
        <w:pStyle w:val="4"/>
        <w:ind w:firstLine="640"/>
        <w:rPr>
          <w:rFonts w:hint="eastAsia" w:ascii="仿宋_GB2312" w:hAnsi="仿宋_GB2312" w:eastAsia="仿宋_GB2312" w:cs="仿宋_GB2312"/>
          <w:b w:val="0"/>
          <w:bCs w:val="0"/>
        </w:rPr>
      </w:pPr>
      <w:bookmarkStart w:id="8" w:name="_Toc178147146"/>
      <w:r>
        <w:rPr>
          <w:rFonts w:hint="eastAsia" w:ascii="仿宋_GB2312" w:hAnsi="仿宋_GB2312" w:eastAsia="仿宋_GB2312" w:cs="仿宋_GB2312"/>
          <w:b w:val="0"/>
          <w:bCs w:val="0"/>
        </w:rPr>
        <w:t>（五）评价目的。</w:t>
      </w:r>
      <w:bookmarkEnd w:id="8"/>
    </w:p>
    <w:p>
      <w:pPr>
        <w:ind w:firstLine="640"/>
        <w:rPr>
          <w:rFonts w:hint="eastAsia" w:ascii="仿宋_GB2312" w:hAnsi="仿宋_GB2312" w:eastAsia="仿宋_GB2312" w:cs="仿宋_GB2312"/>
        </w:rPr>
      </w:pPr>
      <w:r>
        <w:rPr>
          <w:rFonts w:hint="eastAsia" w:ascii="仿宋_GB2312" w:hAnsi="仿宋_GB2312" w:eastAsia="仿宋_GB2312" w:cs="仿宋_GB2312"/>
        </w:rPr>
        <w:t>韶关市社会福利院主要负责韶关城区范围内“无法定抚养义务人无劳动能力、无生活来源”（三无人员）的孤、老、残、幼等人员和韶关城区范围内弃婴、孤残儿童的收养工作，提供生活起居、文化娱乐、医疗保健、特殊教育、养护、康复、托管等综合性服务。为深入了解市福利院护理服务和后勤保障服务的具体落实情况及实施绩效，提高资金的使用效益，规范项目支出管理，市财政局委托第三方开展2022-2023年韶关市社会福利院护理服务费和后勤保障服务项目绩效评价。</w:t>
      </w:r>
    </w:p>
    <w:p>
      <w:pPr>
        <w:ind w:firstLine="640"/>
        <w:rPr>
          <w:rFonts w:hint="eastAsia" w:ascii="仿宋_GB2312" w:hAnsi="仿宋_GB2312" w:eastAsia="仿宋_GB2312" w:cs="仿宋_GB2312"/>
        </w:rPr>
      </w:pPr>
      <w:r>
        <w:rPr>
          <w:rFonts w:hint="eastAsia" w:ascii="仿宋_GB2312" w:hAnsi="仿宋_GB2312" w:eastAsia="仿宋_GB2312" w:cs="仿宋_GB2312"/>
        </w:rPr>
        <w:t>本次绩效评价项目旨在检验市福利院护理服务费和后勤保障服务项目资金在保障特困人员、孤残儿童和托养儿童生活起居等方面是否达到了预期目标。本次评价将会考量该项目预期目标的实现程度以及资金使用的规范性，针对项目实际情况提出下一步工作计划，通过对项目情况进行全盘分析，总结归纳项目的经验与问题，及时提出针对性的改善建议，为项目单位后续规范资金管理与使用、保障特困人员、孤残儿童和托养儿童生活以及维护社会稳定提供参考。</w:t>
      </w:r>
    </w:p>
    <w:p>
      <w:pPr>
        <w:pStyle w:val="4"/>
        <w:ind w:firstLine="640"/>
        <w:rPr>
          <w:rFonts w:hint="eastAsia" w:ascii="仿宋_GB2312" w:hAnsi="仿宋_GB2312" w:eastAsia="仿宋_GB2312" w:cs="仿宋_GB2312"/>
          <w:b w:val="0"/>
          <w:bCs w:val="0"/>
        </w:rPr>
      </w:pPr>
      <w:bookmarkStart w:id="9" w:name="_Toc21995517"/>
      <w:bookmarkStart w:id="10" w:name="_Toc21995285"/>
      <w:bookmarkStart w:id="11" w:name="_Toc19623153"/>
      <w:bookmarkStart w:id="12" w:name="_Toc178147147"/>
      <w:r>
        <w:rPr>
          <w:rFonts w:hint="eastAsia" w:ascii="仿宋_GB2312" w:hAnsi="仿宋_GB2312" w:eastAsia="仿宋_GB2312" w:cs="仿宋_GB2312"/>
          <w:b w:val="0"/>
          <w:bCs w:val="0"/>
        </w:rPr>
        <w:t>（六）</w:t>
      </w:r>
      <w:bookmarkEnd w:id="9"/>
      <w:bookmarkEnd w:id="10"/>
      <w:bookmarkEnd w:id="11"/>
      <w:r>
        <w:rPr>
          <w:rFonts w:hint="eastAsia" w:ascii="仿宋_GB2312" w:hAnsi="仿宋_GB2312" w:eastAsia="仿宋_GB2312" w:cs="仿宋_GB2312"/>
          <w:b w:val="0"/>
          <w:bCs w:val="0"/>
        </w:rPr>
        <w:t>评价范围和对象。</w:t>
      </w:r>
      <w:bookmarkEnd w:id="12"/>
    </w:p>
    <w:p>
      <w:pPr>
        <w:ind w:firstLine="640"/>
        <w:rPr>
          <w:rFonts w:hint="eastAsia" w:ascii="仿宋_GB2312" w:hAnsi="仿宋_GB2312" w:eastAsia="仿宋_GB2312" w:cs="仿宋_GB2312"/>
        </w:rPr>
      </w:pPr>
      <w:r>
        <w:rPr>
          <w:rFonts w:hint="eastAsia" w:ascii="仿宋_GB2312" w:hAnsi="仿宋_GB2312" w:eastAsia="仿宋_GB2312" w:cs="仿宋_GB2312"/>
        </w:rPr>
        <w:t>本次绩效评价对象是2022-2023年韶关市社会福利院护理服务费和后勤保障服务项目，涉及预算支出共624.01万元，评价范围为2022年1月至2023年12月。</w:t>
      </w:r>
    </w:p>
    <w:p>
      <w:pPr>
        <w:pStyle w:val="3"/>
        <w:ind w:firstLine="640"/>
      </w:pPr>
      <w:bookmarkStart w:id="13" w:name="_Toc21995290"/>
      <w:bookmarkStart w:id="14" w:name="_Toc178147148"/>
      <w:bookmarkStart w:id="15" w:name="_Toc21995522"/>
      <w:bookmarkStart w:id="16" w:name="_Toc19623158"/>
      <w:r>
        <w:rPr>
          <w:rFonts w:hint="eastAsia"/>
        </w:rPr>
        <w:t>二、绩效分析</w:t>
      </w:r>
      <w:bookmarkEnd w:id="13"/>
      <w:bookmarkEnd w:id="14"/>
      <w:bookmarkEnd w:id="15"/>
      <w:bookmarkEnd w:id="16"/>
    </w:p>
    <w:p>
      <w:pPr>
        <w:pStyle w:val="4"/>
        <w:ind w:firstLine="640"/>
        <w:rPr>
          <w:b w:val="0"/>
          <w:bCs w:val="0"/>
        </w:rPr>
      </w:pPr>
      <w:bookmarkStart w:id="17" w:name="_Toc178147149"/>
      <w:bookmarkStart w:id="18" w:name="_Toc21995523"/>
      <w:bookmarkStart w:id="19" w:name="_Toc19623159"/>
      <w:bookmarkStart w:id="20" w:name="_Toc21995291"/>
      <w:r>
        <w:rPr>
          <w:rFonts w:hint="eastAsia"/>
          <w:b w:val="0"/>
          <w:bCs w:val="0"/>
        </w:rPr>
        <w:t>（一）绩效目标完成情况。</w:t>
      </w:r>
      <w:bookmarkEnd w:id="17"/>
    </w:p>
    <w:p>
      <w:pPr>
        <w:ind w:firstLine="640"/>
        <w:rPr>
          <w:rFonts w:hint="eastAsia" w:ascii="仿宋_GB2312" w:hAnsi="仿宋_GB2312" w:eastAsia="仿宋_GB2312" w:cs="仿宋_GB2312"/>
        </w:rPr>
      </w:pPr>
      <w:r>
        <w:rPr>
          <w:rFonts w:hint="eastAsia" w:ascii="仿宋_GB2312" w:hAnsi="仿宋_GB2312" w:eastAsia="仿宋_GB2312" w:cs="仿宋_GB2312"/>
        </w:rPr>
        <w:t>因项目绩效目标申报表中仅设置了数量指标和社会效益指标，故此处将结合《市级财政支出项目绩效自评基础信息表》分析项目2022-2023年绩效目标完成情况。2022-2023年项目基本完成年度绩效目标，截至2023年12月31日，项目100%完成了劳务派遣护理人员薪酬及服务费发放，保障了院内特困老人和孤儿得到适当护理，通过问卷调查，项目基本得到社会认同及特困老人、孤儿的满意，一定程度上维护了社会稳定和谐。具体绩效目标完成情况见表2-1。</w:t>
      </w:r>
    </w:p>
    <w:p>
      <w:pPr>
        <w:pStyle w:val="10"/>
        <w:keepNext/>
        <w:spacing w:line="240" w:lineRule="auto"/>
        <w:ind w:firstLine="0" w:firstLineChars="0"/>
        <w:rPr>
          <w:rFonts w:hint="eastAsia" w:ascii="仿宋_GB2312" w:hAnsi="仿宋_GB2312" w:eastAsia="仿宋_GB2312" w:cs="仿宋_GB2312"/>
          <w:b w:val="0"/>
          <w:bCs/>
          <w:sz w:val="28"/>
        </w:rPr>
      </w:pPr>
      <w:bookmarkStart w:id="21" w:name="_Ref113527837"/>
      <w:r>
        <w:rPr>
          <w:rFonts w:hint="eastAsia" w:ascii="仿宋_GB2312" w:hAnsi="仿宋_GB2312" w:eastAsia="仿宋_GB2312" w:cs="仿宋_GB2312"/>
          <w:b w:val="0"/>
          <w:bCs/>
          <w:sz w:val="28"/>
        </w:rPr>
        <w:t>表 2</w:t>
      </w:r>
      <w:r>
        <w:rPr>
          <w:rFonts w:hint="eastAsia" w:ascii="仿宋_GB2312" w:hAnsi="仿宋_GB2312" w:eastAsia="仿宋_GB2312" w:cs="仿宋_GB2312"/>
          <w:b w:val="0"/>
          <w:bCs/>
          <w:sz w:val="28"/>
        </w:rPr>
        <w:noBreakHyphen/>
      </w:r>
      <w:r>
        <w:rPr>
          <w:rFonts w:hint="eastAsia" w:ascii="仿宋_GB2312" w:hAnsi="仿宋_GB2312" w:eastAsia="仿宋_GB2312" w:cs="仿宋_GB2312"/>
          <w:b w:val="0"/>
          <w:bCs/>
          <w:sz w:val="28"/>
        </w:rPr>
        <w:fldChar w:fldCharType="begin"/>
      </w:r>
      <w:r>
        <w:rPr>
          <w:rFonts w:hint="eastAsia" w:ascii="仿宋_GB2312" w:hAnsi="仿宋_GB2312" w:eastAsia="仿宋_GB2312" w:cs="仿宋_GB2312"/>
          <w:b w:val="0"/>
          <w:bCs/>
          <w:sz w:val="28"/>
        </w:rPr>
        <w:instrText xml:space="preserve"> SEQ 表 \* ARABIC </w:instrText>
      </w:r>
      <w:r>
        <w:rPr>
          <w:rFonts w:hint="eastAsia" w:ascii="仿宋_GB2312" w:hAnsi="仿宋_GB2312" w:eastAsia="仿宋_GB2312" w:cs="仿宋_GB2312"/>
          <w:b w:val="0"/>
          <w:bCs/>
          <w:sz w:val="28"/>
        </w:rPr>
        <w:fldChar w:fldCharType="separate"/>
      </w:r>
      <w:r>
        <w:rPr>
          <w:rFonts w:hint="eastAsia" w:ascii="仿宋_GB2312" w:hAnsi="仿宋_GB2312" w:eastAsia="仿宋_GB2312" w:cs="仿宋_GB2312"/>
          <w:b w:val="0"/>
          <w:bCs/>
          <w:sz w:val="28"/>
        </w:rPr>
        <w:t>1</w:t>
      </w:r>
      <w:r>
        <w:rPr>
          <w:rFonts w:hint="eastAsia" w:ascii="仿宋_GB2312" w:hAnsi="仿宋_GB2312" w:eastAsia="仿宋_GB2312" w:cs="仿宋_GB2312"/>
          <w:b w:val="0"/>
          <w:bCs/>
          <w:sz w:val="28"/>
        </w:rPr>
        <w:fldChar w:fldCharType="end"/>
      </w:r>
      <w:r>
        <w:rPr>
          <w:rFonts w:hint="eastAsia" w:ascii="仿宋_GB2312" w:hAnsi="仿宋_GB2312" w:eastAsia="仿宋_GB2312" w:cs="仿宋_GB2312"/>
          <w:b w:val="0"/>
          <w:bCs/>
          <w:sz w:val="28"/>
        </w:rPr>
        <w:t xml:space="preserve">  项目绩效指标完成情况表</w:t>
      </w:r>
      <w:bookmarkEnd w:id="21"/>
    </w:p>
    <w:tbl>
      <w:tblPr>
        <w:tblStyle w:val="33"/>
        <w:tblW w:w="10209" w:type="dxa"/>
        <w:jc w:val="center"/>
        <w:tblLayout w:type="fixed"/>
        <w:tblCellMar>
          <w:top w:w="0" w:type="dxa"/>
          <w:left w:w="108" w:type="dxa"/>
          <w:bottom w:w="0" w:type="dxa"/>
          <w:right w:w="108" w:type="dxa"/>
        </w:tblCellMar>
      </w:tblPr>
      <w:tblGrid>
        <w:gridCol w:w="1094"/>
        <w:gridCol w:w="1023"/>
        <w:gridCol w:w="1411"/>
        <w:gridCol w:w="2879"/>
        <w:gridCol w:w="3802"/>
      </w:tblGrid>
      <w:tr>
        <w:tblPrEx>
          <w:tblCellMar>
            <w:top w:w="0" w:type="dxa"/>
            <w:left w:w="108" w:type="dxa"/>
            <w:bottom w:w="0" w:type="dxa"/>
            <w:right w:w="108" w:type="dxa"/>
          </w:tblCellMar>
        </w:tblPrEx>
        <w:trPr>
          <w:trHeight w:val="562" w:hRule="atLeast"/>
          <w:tblHeader/>
          <w:jc w:val="center"/>
        </w:trPr>
        <w:tc>
          <w:tcPr>
            <w:tcW w:w="1094" w:type="dxa"/>
            <w:tcBorders>
              <w:top w:val="single" w:color="auto" w:sz="4" w:space="0"/>
              <w:left w:val="single" w:color="auto" w:sz="4" w:space="0"/>
              <w:bottom w:val="single" w:color="auto" w:sz="4" w:space="0"/>
              <w:right w:val="nil"/>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一级</w:t>
            </w:r>
          </w:p>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w:t>
            </w:r>
          </w:p>
        </w:tc>
        <w:tc>
          <w:tcPr>
            <w:tcW w:w="102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二级</w:t>
            </w:r>
          </w:p>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w:t>
            </w:r>
          </w:p>
        </w:tc>
        <w:tc>
          <w:tcPr>
            <w:tcW w:w="1411"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指标名称</w:t>
            </w:r>
          </w:p>
        </w:tc>
        <w:tc>
          <w:tcPr>
            <w:tcW w:w="2879"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评价年度预期值</w:t>
            </w:r>
          </w:p>
        </w:tc>
        <w:tc>
          <w:tcPr>
            <w:tcW w:w="3802" w:type="dxa"/>
            <w:tcBorders>
              <w:top w:val="single" w:color="auto" w:sz="4" w:space="0"/>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评价年度实现值</w:t>
            </w:r>
          </w:p>
        </w:tc>
      </w:tr>
      <w:tr>
        <w:tblPrEx>
          <w:tblCellMar>
            <w:top w:w="0" w:type="dxa"/>
            <w:left w:w="108" w:type="dxa"/>
            <w:bottom w:w="0" w:type="dxa"/>
            <w:right w:w="108" w:type="dxa"/>
          </w:tblCellMar>
        </w:tblPrEx>
        <w:trPr>
          <w:trHeight w:val="306" w:hRule="atLeast"/>
          <w:jc w:val="center"/>
        </w:trPr>
        <w:tc>
          <w:tcPr>
            <w:tcW w:w="1094" w:type="dxa"/>
            <w:vMerge w:val="restart"/>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产出</w:t>
            </w:r>
          </w:p>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w:t>
            </w:r>
          </w:p>
        </w:tc>
        <w:tc>
          <w:tcPr>
            <w:tcW w:w="1023" w:type="dxa"/>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经济性</w:t>
            </w:r>
          </w:p>
        </w:tc>
        <w:tc>
          <w:tcPr>
            <w:tcW w:w="1411"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预算控制</w:t>
            </w:r>
          </w:p>
        </w:tc>
        <w:tc>
          <w:tcPr>
            <w:tcW w:w="2879"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在预算执行进度与事项完成进度基本匹配的前提下，实际支出未超过预算计划。</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该项目预算执行进度与事项完成进度基本匹配，未超出预算。</w:t>
            </w:r>
          </w:p>
        </w:tc>
      </w:tr>
      <w:tr>
        <w:tblPrEx>
          <w:tblCellMar>
            <w:top w:w="0" w:type="dxa"/>
            <w:left w:w="108" w:type="dxa"/>
            <w:bottom w:w="0" w:type="dxa"/>
            <w:right w:w="108" w:type="dxa"/>
          </w:tblCellMar>
        </w:tblPrEx>
        <w:trPr>
          <w:trHeight w:val="306" w:hRule="atLeast"/>
          <w:jc w:val="center"/>
        </w:trPr>
        <w:tc>
          <w:tcPr>
            <w:tcW w:w="1094"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411" w:type="dxa"/>
            <w:tcBorders>
              <w:top w:val="nil"/>
              <w:left w:val="nil"/>
              <w:bottom w:val="single" w:color="auto" w:sz="4" w:space="0"/>
              <w:right w:val="nil"/>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费用超预算比例</w:t>
            </w:r>
          </w:p>
        </w:tc>
        <w:tc>
          <w:tcPr>
            <w:tcW w:w="2879"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以合同价或实际支出额为准，成本未超过预算金额</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未见项目金额超出预算范围的情况，且暂时未见项目开支明显高于市场同类项目成本的资金支出，各项目实施成本属于合理范围。</w:t>
            </w:r>
          </w:p>
        </w:tc>
      </w:tr>
      <w:tr>
        <w:tblPrEx>
          <w:tblCellMar>
            <w:top w:w="0" w:type="dxa"/>
            <w:left w:w="108" w:type="dxa"/>
            <w:bottom w:w="0" w:type="dxa"/>
            <w:right w:w="108" w:type="dxa"/>
          </w:tblCellMar>
        </w:tblPrEx>
        <w:trPr>
          <w:trHeight w:val="306" w:hRule="atLeast"/>
          <w:jc w:val="center"/>
        </w:trPr>
        <w:tc>
          <w:tcPr>
            <w:tcW w:w="1094"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restart"/>
            <w:tcBorders>
              <w:top w:val="nil"/>
              <w:left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效率性</w:t>
            </w: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供养孤儿人数</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年均供养孤儿目标值为70人</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年均已供养孤儿70人。</w:t>
            </w:r>
          </w:p>
        </w:tc>
      </w:tr>
      <w:tr>
        <w:tblPrEx>
          <w:tblCellMar>
            <w:top w:w="0" w:type="dxa"/>
            <w:left w:w="108" w:type="dxa"/>
            <w:bottom w:w="0" w:type="dxa"/>
            <w:right w:w="108" w:type="dxa"/>
          </w:tblCellMar>
        </w:tblPrEx>
        <w:trPr>
          <w:trHeight w:val="306" w:hRule="atLeast"/>
          <w:jc w:val="center"/>
        </w:trPr>
        <w:tc>
          <w:tcPr>
            <w:tcW w:w="1094"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continue"/>
            <w:tcBorders>
              <w:left w:val="single" w:color="auto"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供养特困老人人数</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年均供养特困老人目标值为33人</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年均已供养特困老人47人。</w:t>
            </w:r>
          </w:p>
        </w:tc>
      </w:tr>
      <w:tr>
        <w:tblPrEx>
          <w:tblCellMar>
            <w:top w:w="0" w:type="dxa"/>
            <w:left w:w="108" w:type="dxa"/>
            <w:bottom w:w="0" w:type="dxa"/>
            <w:right w:w="108" w:type="dxa"/>
          </w:tblCellMar>
        </w:tblPrEx>
        <w:trPr>
          <w:trHeight w:val="306" w:hRule="atLeast"/>
          <w:jc w:val="center"/>
        </w:trPr>
        <w:tc>
          <w:tcPr>
            <w:tcW w:w="1094"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continue"/>
            <w:tcBorders>
              <w:left w:val="single" w:color="auto"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购买服务护理人员人数</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年均购买服务护理人员目标值为49人</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年均已购买劳务派遣人员63人。</w:t>
            </w:r>
          </w:p>
        </w:tc>
      </w:tr>
      <w:tr>
        <w:tblPrEx>
          <w:tblCellMar>
            <w:top w:w="0" w:type="dxa"/>
            <w:left w:w="108" w:type="dxa"/>
            <w:bottom w:w="0" w:type="dxa"/>
            <w:right w:w="108" w:type="dxa"/>
          </w:tblCellMar>
        </w:tblPrEx>
        <w:trPr>
          <w:trHeight w:val="306" w:hRule="atLeast"/>
          <w:jc w:val="center"/>
        </w:trPr>
        <w:tc>
          <w:tcPr>
            <w:tcW w:w="1094" w:type="dxa"/>
            <w:vMerge w:val="continue"/>
            <w:tcBorders>
              <w:top w:val="single" w:color="auto" w:sz="4" w:space="0"/>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continue"/>
            <w:tcBorders>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购买服务护理人员绩效考核合格率</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合格率100%</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合格率为100%</w:t>
            </w:r>
          </w:p>
        </w:tc>
      </w:tr>
      <w:tr>
        <w:tblPrEx>
          <w:tblCellMar>
            <w:top w:w="0" w:type="dxa"/>
            <w:left w:w="108" w:type="dxa"/>
            <w:bottom w:w="0" w:type="dxa"/>
            <w:right w:w="108" w:type="dxa"/>
          </w:tblCellMar>
        </w:tblPrEx>
        <w:trPr>
          <w:trHeight w:val="306" w:hRule="atLeast"/>
          <w:jc w:val="center"/>
        </w:trPr>
        <w:tc>
          <w:tcPr>
            <w:tcW w:w="1094" w:type="dxa"/>
            <w:vMerge w:val="restart"/>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效果</w:t>
            </w:r>
          </w:p>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w:t>
            </w:r>
          </w:p>
        </w:tc>
        <w:tc>
          <w:tcPr>
            <w:tcW w:w="1023" w:type="dxa"/>
            <w:tcBorders>
              <w:top w:val="nil"/>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社会效益</w:t>
            </w: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社会认同度</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认同度100%</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线上调查认同度为60.32%、线下调查认同度为100%。</w:t>
            </w:r>
          </w:p>
        </w:tc>
      </w:tr>
      <w:tr>
        <w:tblPrEx>
          <w:tblCellMar>
            <w:top w:w="0" w:type="dxa"/>
            <w:left w:w="108" w:type="dxa"/>
            <w:bottom w:w="0" w:type="dxa"/>
            <w:right w:w="108" w:type="dxa"/>
          </w:tblCellMar>
        </w:tblPrEx>
        <w:trPr>
          <w:trHeight w:val="306"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可持续发展</w:t>
            </w: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购买护理人员培训次数</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每年至少安排一期提高部门员工素质或工作能力为目标的定期培训，至少安排二期以提高员工业务操作能力为目标的不定期培训</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2022年举办了3场关于护理知识、康复护理知识和员工情感教育等方面的培训， 2023年举办了3场关于护理技能、传染病护理等方面的培训。</w:t>
            </w:r>
          </w:p>
        </w:tc>
      </w:tr>
      <w:tr>
        <w:tblPrEx>
          <w:tblCellMar>
            <w:top w:w="0" w:type="dxa"/>
            <w:left w:w="108" w:type="dxa"/>
            <w:bottom w:w="0" w:type="dxa"/>
            <w:right w:w="108" w:type="dxa"/>
          </w:tblCellMar>
        </w:tblPrEx>
        <w:trPr>
          <w:trHeight w:val="306" w:hRule="atLeast"/>
          <w:jc w:val="center"/>
        </w:trPr>
        <w:tc>
          <w:tcPr>
            <w:tcW w:w="1094" w:type="dxa"/>
            <w:vMerge w:val="continue"/>
            <w:tcBorders>
              <w:top w:val="nil"/>
              <w:left w:val="single" w:color="auto" w:sz="4" w:space="0"/>
              <w:bottom w:val="single" w:color="auto"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023" w:type="dxa"/>
            <w:vMerge w:val="continue"/>
            <w:tcBorders>
              <w:top w:val="nil"/>
              <w:left w:val="single" w:color="auto" w:sz="4" w:space="0"/>
              <w:bottom w:val="single" w:color="000000" w:sz="4" w:space="0"/>
              <w:right w:val="single" w:color="auto" w:sz="4" w:space="0"/>
            </w:tcBorders>
            <w:vAlign w:val="center"/>
          </w:tcPr>
          <w:p>
            <w:pPr>
              <w:spacing w:line="240" w:lineRule="auto"/>
              <w:ind w:firstLine="0" w:firstLineChars="0"/>
              <w:jc w:val="center"/>
              <w:rPr>
                <w:rFonts w:hint="eastAsia" w:ascii="仿宋_GB2312" w:hAnsi="仿宋_GB2312" w:eastAsia="仿宋_GB2312" w:cs="仿宋_GB2312"/>
                <w:b w:val="0"/>
                <w:bCs/>
                <w:sz w:val="18"/>
                <w:szCs w:val="18"/>
              </w:rPr>
            </w:pP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培训考核通过率</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通过率100%</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参与培训的人数考试均合格，通过率100%</w:t>
            </w:r>
          </w:p>
        </w:tc>
      </w:tr>
      <w:tr>
        <w:tblPrEx>
          <w:tblCellMar>
            <w:top w:w="0" w:type="dxa"/>
            <w:left w:w="108" w:type="dxa"/>
            <w:bottom w:w="0" w:type="dxa"/>
            <w:right w:w="108" w:type="dxa"/>
          </w:tblCellMar>
        </w:tblPrEx>
        <w:trPr>
          <w:trHeight w:val="306" w:hRule="atLeast"/>
          <w:jc w:val="center"/>
        </w:trPr>
        <w:tc>
          <w:tcPr>
            <w:tcW w:w="1094" w:type="dxa"/>
            <w:tcBorders>
              <w:top w:val="nil"/>
              <w:left w:val="single" w:color="auto" w:sz="4" w:space="0"/>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公平性</w:t>
            </w:r>
          </w:p>
        </w:tc>
        <w:tc>
          <w:tcPr>
            <w:tcW w:w="1023"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满意度</w:t>
            </w:r>
          </w:p>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指标</w:t>
            </w:r>
          </w:p>
        </w:tc>
        <w:tc>
          <w:tcPr>
            <w:tcW w:w="1411"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center"/>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服务对象满意度</w:t>
            </w:r>
          </w:p>
        </w:tc>
        <w:tc>
          <w:tcPr>
            <w:tcW w:w="2879"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满意</w:t>
            </w:r>
          </w:p>
        </w:tc>
        <w:tc>
          <w:tcPr>
            <w:tcW w:w="3802" w:type="dxa"/>
            <w:tcBorders>
              <w:top w:val="nil"/>
              <w:left w:val="nil"/>
              <w:bottom w:val="single" w:color="auto" w:sz="4" w:space="0"/>
              <w:right w:val="single" w:color="auto" w:sz="4" w:space="0"/>
            </w:tcBorders>
            <w:shd w:val="clear" w:color="auto" w:fill="auto"/>
            <w:vAlign w:val="center"/>
          </w:tcPr>
          <w:p>
            <w:pPr>
              <w:spacing w:line="240" w:lineRule="auto"/>
              <w:ind w:firstLine="0" w:firstLineChars="0"/>
              <w:jc w:val="left"/>
              <w:rPr>
                <w:rFonts w:hint="eastAsia" w:ascii="仿宋_GB2312" w:hAnsi="仿宋_GB2312" w:eastAsia="仿宋_GB2312" w:cs="仿宋_GB2312"/>
                <w:b w:val="0"/>
                <w:bCs/>
                <w:sz w:val="18"/>
                <w:szCs w:val="18"/>
              </w:rPr>
            </w:pPr>
            <w:r>
              <w:rPr>
                <w:rFonts w:hint="eastAsia" w:ascii="仿宋_GB2312" w:hAnsi="仿宋_GB2312" w:eastAsia="仿宋_GB2312" w:cs="仿宋_GB2312"/>
                <w:b w:val="0"/>
                <w:bCs/>
                <w:sz w:val="18"/>
                <w:szCs w:val="18"/>
              </w:rPr>
              <w:t>满意度为99.58%</w:t>
            </w:r>
          </w:p>
        </w:tc>
      </w:tr>
    </w:tbl>
    <w:p>
      <w:pPr>
        <w:ind w:firstLine="640"/>
        <w:rPr>
          <w:rFonts w:ascii="Times New Roman" w:hAnsi="Times New Roman"/>
        </w:rPr>
      </w:pPr>
    </w:p>
    <w:p>
      <w:pPr>
        <w:pStyle w:val="4"/>
        <w:ind w:firstLine="640"/>
        <w:rPr>
          <w:rFonts w:hint="eastAsia" w:ascii="仿宋_GB2312" w:hAnsi="仿宋_GB2312" w:eastAsia="仿宋_GB2312" w:cs="仿宋_GB2312"/>
          <w:b w:val="0"/>
          <w:bCs w:val="0"/>
        </w:rPr>
      </w:pPr>
      <w:bookmarkStart w:id="22" w:name="_Toc178147150"/>
      <w:r>
        <w:rPr>
          <w:rFonts w:hint="eastAsia" w:ascii="仿宋_GB2312" w:hAnsi="仿宋_GB2312" w:eastAsia="仿宋_GB2312" w:cs="仿宋_GB2312"/>
          <w:b w:val="0"/>
          <w:bCs w:val="0"/>
        </w:rPr>
        <w:t>（二）绩效评价指标分析情况。</w:t>
      </w:r>
      <w:bookmarkEnd w:id="22"/>
    </w:p>
    <w:p>
      <w:pPr>
        <w:ind w:firstLine="640"/>
        <w:rPr>
          <w:rFonts w:ascii="Times New Roman" w:hAnsi="Times New Roman"/>
        </w:rPr>
      </w:pPr>
      <w:r>
        <w:rPr>
          <w:rFonts w:hint="eastAsia" w:ascii="仿宋_GB2312" w:hAnsi="仿宋_GB2312" w:eastAsia="仿宋_GB2312" w:cs="仿宋_GB2312"/>
        </w:rPr>
        <w:t>本次评价从项目决策、项目过程、项目产出及项目效益4个维度进行指标分析。项目整体综合指标得分为73.38分，</w:t>
      </w:r>
      <w:r>
        <w:rPr>
          <w:rFonts w:hint="eastAsia" w:ascii="仿宋_GB2312" w:hAnsi="仿宋_GB2312" w:eastAsia="仿宋_GB2312" w:cs="仿宋_GB2312"/>
          <w:szCs w:val="32"/>
        </w:rPr>
        <w:t>绩效等级为“中”</w:t>
      </w:r>
      <w:r>
        <w:rPr>
          <w:rFonts w:hint="eastAsia" w:ascii="仿宋_GB2312" w:hAnsi="仿宋_GB2312" w:eastAsia="仿宋_GB2312" w:cs="仿宋_GB2312"/>
        </w:rPr>
        <w:t>。其中一级指标得分率如图2-1所示。</w:t>
      </w:r>
    </w:p>
    <w:p>
      <w:pPr>
        <w:ind w:firstLine="0" w:firstLineChars="0"/>
        <w:rPr>
          <w:rFonts w:cs="Arial" w:asciiTheme="majorEastAsia" w:hAnsiTheme="majorEastAsia" w:eastAsiaTheme="majorEastAsia"/>
          <w:b/>
          <w:bCs/>
          <w:sz w:val="28"/>
          <w:szCs w:val="24"/>
        </w:rPr>
      </w:pPr>
      <w:r>
        <w:drawing>
          <wp:inline distT="0" distB="0" distL="0" distR="0">
            <wp:extent cx="5638800" cy="2743200"/>
            <wp:effectExtent l="0" t="0" r="19050" b="1905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pPr>
        <w:ind w:firstLine="0" w:firstLineChars="0"/>
        <w:jc w:val="center"/>
        <w:rPr>
          <w:rFonts w:hint="eastAsia" w:ascii="仿宋_GB2312" w:hAnsi="仿宋_GB2312" w:eastAsia="仿宋_GB2312" w:cs="仿宋_GB2312"/>
          <w:b w:val="0"/>
          <w:bCs w:val="0"/>
        </w:rPr>
      </w:pPr>
      <w:r>
        <w:rPr>
          <w:rFonts w:hint="eastAsia" w:ascii="仿宋_GB2312" w:hAnsi="仿宋_GB2312" w:eastAsia="仿宋_GB2312" w:cs="仿宋_GB2312"/>
          <w:b w:val="0"/>
          <w:bCs w:val="0"/>
          <w:sz w:val="28"/>
          <w:szCs w:val="24"/>
        </w:rPr>
        <w:t>图2-1 一级指标各指标得分率</w:t>
      </w:r>
    </w:p>
    <w:bookmarkEnd w:id="18"/>
    <w:bookmarkEnd w:id="19"/>
    <w:bookmarkEnd w:id="20"/>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1.项目决策</w:t>
      </w:r>
    </w:p>
    <w:p>
      <w:pPr>
        <w:ind w:firstLine="640"/>
        <w:jc w:val="left"/>
        <w:rPr>
          <w:rFonts w:hint="eastAsia" w:ascii="仿宋_GB2312" w:hAnsi="仿宋_GB2312" w:eastAsia="仿宋_GB2312" w:cs="仿宋_GB2312"/>
          <w:b w:val="0"/>
          <w:bCs w:val="0"/>
        </w:rPr>
      </w:pPr>
      <w:bookmarkStart w:id="23" w:name="_Hlk21008371"/>
      <w:r>
        <w:rPr>
          <w:rFonts w:hint="eastAsia" w:ascii="仿宋_GB2312" w:hAnsi="仿宋_GB2312" w:eastAsia="仿宋_GB2312" w:cs="仿宋_GB2312"/>
          <w:b w:val="0"/>
          <w:bCs w:val="0"/>
        </w:rPr>
        <w:t>项目决策指标值20分，得分17，得分率为85%。项目投入的5项三级指标得分率如图2-2所示：</w:t>
      </w:r>
    </w:p>
    <w:p>
      <w:pPr>
        <w:ind w:firstLine="0" w:firstLineChars="0"/>
        <w:jc w:val="center"/>
      </w:pPr>
      <w:r>
        <w:drawing>
          <wp:inline distT="0" distB="0" distL="0" distR="0">
            <wp:extent cx="5463540" cy="2781300"/>
            <wp:effectExtent l="0" t="0" r="22860" b="1905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pPr>
        <w:spacing w:line="240" w:lineRule="auto"/>
        <w:ind w:firstLine="0" w:firstLineChars="0"/>
        <w:jc w:val="center"/>
        <w:rPr>
          <w:rFonts w:hint="eastAsia" w:ascii="仿宋_GB2312" w:hAnsi="仿宋_GB2312" w:eastAsia="仿宋_GB2312" w:cs="仿宋_GB2312"/>
          <w:b w:val="0"/>
          <w:bCs w:val="0"/>
          <w:sz w:val="28"/>
          <w:szCs w:val="24"/>
        </w:rPr>
      </w:pPr>
      <w:r>
        <w:rPr>
          <w:rFonts w:hint="eastAsia" w:ascii="仿宋_GB2312" w:hAnsi="仿宋_GB2312" w:eastAsia="仿宋_GB2312" w:cs="仿宋_GB2312"/>
          <w:b w:val="0"/>
          <w:bCs w:val="0"/>
          <w:sz w:val="28"/>
          <w:szCs w:val="24"/>
        </w:rPr>
        <w:t>图 2</w:t>
      </w:r>
      <w:r>
        <w:rPr>
          <w:rFonts w:hint="eastAsia" w:ascii="仿宋_GB2312" w:hAnsi="仿宋_GB2312" w:eastAsia="仿宋_GB2312" w:cs="仿宋_GB2312"/>
          <w:b w:val="0"/>
          <w:bCs w:val="0"/>
          <w:sz w:val="28"/>
          <w:szCs w:val="24"/>
        </w:rPr>
        <w:noBreakHyphen/>
      </w:r>
      <w:r>
        <w:rPr>
          <w:rFonts w:hint="eastAsia" w:ascii="仿宋_GB2312" w:hAnsi="仿宋_GB2312" w:eastAsia="仿宋_GB2312" w:cs="仿宋_GB2312"/>
          <w:b w:val="0"/>
          <w:bCs w:val="0"/>
          <w:sz w:val="28"/>
          <w:szCs w:val="24"/>
        </w:rPr>
        <w:t>2 项目决策的5项三级指标各指标得分率</w:t>
      </w:r>
    </w:p>
    <w:p>
      <w:pPr>
        <w:spacing w:line="240" w:lineRule="auto"/>
        <w:ind w:firstLine="0" w:firstLineChars="0"/>
        <w:jc w:val="center"/>
        <w:rPr>
          <w:rFonts w:hint="eastAsia" w:ascii="仿宋_GB2312" w:hAnsi="仿宋_GB2312" w:eastAsia="仿宋_GB2312" w:cs="仿宋_GB2312"/>
          <w:b w:val="0"/>
          <w:bCs w:val="0"/>
          <w:sz w:val="28"/>
          <w:szCs w:val="24"/>
        </w:rPr>
      </w:pPr>
    </w:p>
    <w:bookmarkEnd w:id="23"/>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bookmarkStart w:id="24" w:name="_Toc536094119"/>
      <w:r>
        <w:rPr>
          <w:rFonts w:hint="eastAsia" w:ascii="仿宋_GB2312" w:hAnsi="仿宋_GB2312" w:eastAsia="仿宋_GB2312" w:cs="仿宋_GB2312"/>
          <w:b w:val="0"/>
          <w:bCs w:val="0"/>
          <w:color w:val="000000" w:themeColor="text1"/>
          <w14:textFill>
            <w14:solidFill>
              <w14:schemeClr w14:val="tx1"/>
            </w14:solidFill>
          </w14:textFill>
        </w:rPr>
        <w:t>（1）</w:t>
      </w:r>
      <w:bookmarkEnd w:id="24"/>
      <w:r>
        <w:rPr>
          <w:rFonts w:hint="eastAsia" w:ascii="仿宋_GB2312" w:hAnsi="仿宋_GB2312" w:eastAsia="仿宋_GB2312" w:cs="仿宋_GB2312"/>
          <w:b w:val="0"/>
          <w:bCs w:val="0"/>
          <w:color w:val="000000" w:themeColor="text1"/>
          <w14:textFill>
            <w14:solidFill>
              <w14:schemeClr w14:val="tx1"/>
            </w14:solidFill>
          </w14:textFill>
        </w:rPr>
        <w:t>项目立项（</w:t>
      </w:r>
      <w:r>
        <w:rPr>
          <w:rFonts w:hint="eastAsia" w:ascii="仿宋_GB2312" w:hAnsi="仿宋_GB2312" w:eastAsia="仿宋_GB2312" w:cs="仿宋_GB2312"/>
          <w:b w:val="0"/>
          <w:bCs w:val="0"/>
        </w:rPr>
        <w:t>指标值12，得分9，得分率75%</w:t>
      </w:r>
      <w:r>
        <w:rPr>
          <w:rFonts w:hint="eastAsia" w:ascii="仿宋_GB2312" w:hAnsi="仿宋_GB2312" w:eastAsia="仿宋_GB2312" w:cs="仿宋_GB2312"/>
          <w:b w:val="0"/>
          <w:bCs w:val="0"/>
          <w:color w:val="000000" w:themeColor="text1"/>
          <w14:textFill>
            <w14:solidFill>
              <w14:schemeClr w14:val="tx1"/>
            </w14:solidFill>
          </w14:textFill>
        </w:rPr>
        <w:t>）。</w:t>
      </w:r>
    </w:p>
    <w:p>
      <w:pPr>
        <w:ind w:firstLine="640"/>
        <w:rPr>
          <w:rFonts w:hint="eastAsia" w:ascii="仿宋_GB2312" w:hAnsi="仿宋_GB2312" w:eastAsia="仿宋_GB2312" w:cs="仿宋_GB2312"/>
          <w:b w:val="0"/>
          <w:bCs w:val="0"/>
          <w:highlight w:val="yellow"/>
        </w:rPr>
      </w:pPr>
      <w:r>
        <w:rPr>
          <w:rFonts w:hint="eastAsia" w:ascii="仿宋_GB2312" w:hAnsi="仿宋_GB2312" w:eastAsia="仿宋_GB2312" w:cs="仿宋_GB2312"/>
          <w:b w:val="0"/>
          <w:bCs w:val="0"/>
        </w:rPr>
        <w:t>①论证决策指标值 4，得分4，得分率100%。项目立项论证决策工作充分。根据《童福利机构基本规范》《广东省民政厅关于开展2020年度养老机构星级评定工作的通知》等文件，参考2021年孤儿、特困老人在院人员和后勤服务人员工资水平，报市财政局和市人社局审批核定劳务派遣招聘人数及预算金额，主要解决养老院和儿童福利机构护理员配备要求，项目立项依据充分。</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b w:val="0"/>
          <w:bCs w:val="0"/>
        </w:rPr>
        <w:t>②目标设置指标值6，得分3，得分率50%。</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b w:val="0"/>
          <w:bCs w:val="0"/>
        </w:rPr>
        <w:t>目标设置完整性指标值2，得分1，得分率50%。根据市福利院提供的《项目绩效自评指标评分表》，项目设置了总目标，但未设置质量、时效指标，指标设置不完整扣1分。</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b w:val="0"/>
          <w:bCs w:val="0"/>
        </w:rPr>
        <w:t>目标设置合理性指标值2，得分1，得分率50%。该项目总体目标为保障院内特困人员、孤残儿童和托养儿童能够得到正常的护理照料，但数量指标仅设置了招聘劳务派遣人员目标，可持续发展指标仅设置了健全采购机制与监管机制以及社会和谐发展、特困人员及儿童护理照料水平等目标，目标设置未能反应保障特困老人、孤残儿童和托养儿童的数量目标以及劳务派遣人员自身业务能力提升等可持续发展目标。指标设置合理性有待提高，故酌情扣1分。</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b w:val="0"/>
          <w:bCs w:val="0"/>
        </w:rPr>
        <w:t>目标设置可衡量指标值2，得分1，得分率50%。项目设置了总目标，但部分指标设置未进行量化，不可衡量，如效益指标“特困人员及儿童护理照料水平”绩效目标值为逐步提高。指标设置可衡量性有待完善，故酌情扣1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③保障措施指标值2，得分2，得分率100%。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制度完整性指标值1，得分1，得分率100%。市福利院已制定《韶关市社会福利院关于护理服务费和后勤保障服务资金项目管理制度》《韶关市社会福利院培训管理制度》《韶关市社会福利院财务管理办法》《韶关市社会福利院固定资产制度》等制度保障项目的实施，制度制定较为完整。</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计划安排合理性指标值1，得分1，得分率100%。根据市福利院每月提交的劳务派遣人员工资表（含社会保险等费用），由第三方劳务派遣公司开具发票，市福利院每月按时向市财政申请，将上述费用支付至劳务派遣公司，项目计划安排较为合理。</w:t>
      </w: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（2）资金落实（指标值8，得分8，得分率为100%）。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rPr>
        <w:t>①</w:t>
      </w:r>
      <w:r>
        <w:rPr>
          <w:rFonts w:hint="eastAsia" w:ascii="仿宋_GB2312" w:hAnsi="仿宋_GB2312" w:eastAsia="仿宋_GB2312" w:cs="仿宋_GB2312"/>
          <w:b w:val="0"/>
          <w:bCs w:val="0"/>
          <w:color w:val="000000" w:themeColor="text1"/>
          <w:szCs w:val="32"/>
          <w14:textFill>
            <w14:solidFill>
              <w14:schemeClr w14:val="tx1"/>
            </w14:solidFill>
          </w14:textFill>
        </w:rPr>
        <w:t>资金到位指标值5，得分5，得分率100%。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资金到位率指标值3，得分3，得分率100%。根据实质大于形式的原则，资金到位率的考核目的是考核资金落实对项目实施的保障，故此处以每月申请资金与到位资金作为考核基础。2022年申请支付劳务派遣人员薪酬及服务费312.23万元，实际支付金额312.23万元；2023年申请支付劳务派遣人员薪酬及服务费311.78万元，实际支付金额311.78万元，每月资金均足额到位。</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资金到位及时性指标值2，得分2，得分率100%。根据中国工商银行股份有限公司电子凭证，市财政支付中心依据市福利院逐月薪酬支付请示文件，于当月发放至韶关市新雅物业服务有限公司，资金到位及时。</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资金分配指标值3，得分3，得分率100%。根据2021年度护理人员工资水平、特困老人和孤儿的情况，市财政局核定劳务派遣护理人员49人，人员经费标准6.3万元/人/年，劳务派遣服务费3.528万元/年，资金安排按照核定标准执行，资金方向与绩效目标较为匹配，资金分配合理。</w:t>
      </w:r>
    </w:p>
    <w:p>
      <w:pPr>
        <w:pStyle w:val="5"/>
        <w:ind w:firstLine="643"/>
        <w:rPr>
          <w:rFonts w:hAnsi="Times New Roman"/>
          <w:b w:val="0"/>
          <w:bCs w:val="0"/>
          <w:color w:val="000000" w:themeColor="text1"/>
          <w14:textFill>
            <w14:solidFill>
              <w14:schemeClr w14:val="tx1"/>
            </w14:solidFill>
          </w14:textFill>
        </w:rPr>
      </w:pPr>
      <w:r>
        <w:rPr>
          <w:rFonts w:hint="eastAsia" w:hAnsi="Times New Roman"/>
          <w:b w:val="0"/>
          <w:bCs w:val="0"/>
          <w:color w:val="000000" w:themeColor="text1"/>
          <w14:textFill>
            <w14:solidFill>
              <w14:schemeClr w14:val="tx1"/>
            </w14:solidFill>
          </w14:textFill>
        </w:rPr>
        <w:t>2</w:t>
      </w:r>
      <w:r>
        <w:rPr>
          <w:rFonts w:hAnsi="Times New Roman"/>
          <w:b w:val="0"/>
          <w:bCs w:val="0"/>
          <w:color w:val="000000" w:themeColor="text1"/>
          <w14:textFill>
            <w14:solidFill>
              <w14:schemeClr w14:val="tx1"/>
            </w14:solidFill>
          </w14:textFill>
        </w:rPr>
        <w:t>.</w:t>
      </w:r>
      <w:r>
        <w:rPr>
          <w:rFonts w:hint="eastAsia" w:hAnsi="Times New Roman"/>
          <w:b w:val="0"/>
          <w:bCs w:val="0"/>
          <w:color w:val="000000" w:themeColor="text1"/>
          <w14:textFill>
            <w14:solidFill>
              <w14:schemeClr w14:val="tx1"/>
            </w14:solidFill>
          </w14:textFill>
        </w:rPr>
        <w:t>项目过程</w:t>
      </w:r>
    </w:p>
    <w:p>
      <w:pPr>
        <w:ind w:firstLine="640"/>
        <w:rPr>
          <w:rFonts w:ascii="仿宋_GB2312"/>
          <w:color w:val="000000" w:themeColor="text1"/>
          <w:szCs w:val="32"/>
          <w14:textFill>
            <w14:solidFill>
              <w14:schemeClr w14:val="tx1"/>
            </w14:solidFill>
          </w14:textFill>
        </w:rPr>
      </w:pPr>
      <w:r>
        <w:rPr>
          <w:rFonts w:hint="eastAsia" w:ascii="仿宋_GB2312"/>
          <w:color w:val="000000" w:themeColor="text1"/>
          <w:szCs w:val="32"/>
          <w14:textFill>
            <w14:solidFill>
              <w14:schemeClr w14:val="tx1"/>
            </w14:solidFill>
          </w14:textFill>
        </w:rPr>
        <w:t>项目过程指标值20分，得分19，得分率为95%。项目过程的</w:t>
      </w:r>
      <w:r>
        <w:rPr>
          <w:rFonts w:ascii="仿宋_GB2312"/>
          <w:color w:val="000000" w:themeColor="text1"/>
          <w:szCs w:val="32"/>
          <w14:textFill>
            <w14:solidFill>
              <w14:schemeClr w14:val="tx1"/>
            </w14:solidFill>
          </w14:textFill>
        </w:rPr>
        <w:t>5</w:t>
      </w:r>
      <w:r>
        <w:rPr>
          <w:rFonts w:hint="eastAsia" w:ascii="仿宋_GB2312"/>
          <w:color w:val="000000" w:themeColor="text1"/>
          <w:szCs w:val="32"/>
          <w14:textFill>
            <w14:solidFill>
              <w14:schemeClr w14:val="tx1"/>
            </w14:solidFill>
          </w14:textFill>
        </w:rPr>
        <w:t>项三级指标得分率如图2</w:t>
      </w:r>
      <w:r>
        <w:rPr>
          <w:rFonts w:ascii="仿宋_GB2312"/>
          <w:color w:val="000000" w:themeColor="text1"/>
          <w:szCs w:val="32"/>
          <w14:textFill>
            <w14:solidFill>
              <w14:schemeClr w14:val="tx1"/>
            </w14:solidFill>
          </w14:textFill>
        </w:rPr>
        <w:t>-3</w:t>
      </w:r>
      <w:r>
        <w:rPr>
          <w:rFonts w:hint="eastAsia" w:ascii="仿宋_GB2312"/>
          <w:color w:val="000000" w:themeColor="text1"/>
          <w:szCs w:val="32"/>
          <w14:textFill>
            <w14:solidFill>
              <w14:schemeClr w14:val="tx1"/>
            </w14:solidFill>
          </w14:textFill>
        </w:rPr>
        <w:t>所示：</w:t>
      </w:r>
    </w:p>
    <w:p>
      <w:pPr>
        <w:keepNext/>
        <w:ind w:firstLine="0" w:firstLineChars="0"/>
        <w:jc w:val="center"/>
      </w:pPr>
      <w:r>
        <w:drawing>
          <wp:inline distT="0" distB="0" distL="0" distR="0">
            <wp:extent cx="5427345" cy="2674620"/>
            <wp:effectExtent l="0" t="0" r="20955" b="1143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pPr>
        <w:spacing w:line="240" w:lineRule="auto"/>
        <w:ind w:firstLine="0" w:firstLineChars="0"/>
        <w:jc w:val="center"/>
        <w:rPr>
          <w:rFonts w:hint="eastAsia" w:ascii="仿宋_GB2312" w:hAnsi="仿宋_GB2312" w:eastAsia="仿宋_GB2312" w:cs="仿宋_GB2312"/>
          <w:b w:val="0"/>
          <w:bCs w:val="0"/>
          <w:sz w:val="28"/>
          <w:szCs w:val="24"/>
        </w:rPr>
      </w:pPr>
      <w:r>
        <w:rPr>
          <w:rFonts w:hint="eastAsia" w:ascii="仿宋_GB2312" w:hAnsi="仿宋_GB2312" w:eastAsia="仿宋_GB2312" w:cs="仿宋_GB2312"/>
          <w:b w:val="0"/>
          <w:bCs w:val="0"/>
          <w:sz w:val="28"/>
          <w:szCs w:val="24"/>
        </w:rPr>
        <w:t>图 2-3 项目过程的5项三级指标各指标得分率</w:t>
      </w:r>
    </w:p>
    <w:p>
      <w:pPr>
        <w:ind w:firstLine="640"/>
        <w:rPr>
          <w:rFonts w:hint="eastAsia" w:ascii="仿宋_GB2312" w:hAnsi="仿宋_GB2312" w:eastAsia="仿宋_GB2312" w:cs="仿宋_GB2312"/>
          <w:b w:val="0"/>
          <w:bCs w:val="0"/>
        </w:rPr>
      </w:pP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（1）资金管理（指标值9，得分9，得分率100%）。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bookmarkStart w:id="25" w:name="_Toc536094124"/>
      <w:r>
        <w:rPr>
          <w:rFonts w:hint="eastAsia" w:ascii="仿宋_GB2312" w:hAnsi="仿宋_GB2312" w:eastAsia="仿宋_GB2312" w:cs="仿宋_GB2312"/>
          <w:b w:val="0"/>
          <w:bCs w:val="0"/>
        </w:rPr>
        <w:t>①</w:t>
      </w:r>
      <w:r>
        <w:rPr>
          <w:rFonts w:hint="eastAsia" w:ascii="仿宋_GB2312" w:hAnsi="仿宋_GB2312" w:eastAsia="仿宋_GB2312" w:cs="仿宋_GB2312"/>
          <w:b w:val="0"/>
          <w:bCs w:val="0"/>
          <w:color w:val="000000" w:themeColor="text1"/>
          <w:szCs w:val="32"/>
          <w14:textFill>
            <w14:solidFill>
              <w14:schemeClr w14:val="tx1"/>
            </w14:solidFill>
          </w14:textFill>
        </w:rPr>
        <w:t>资金支出率指标值3，得分3，得分率100%。根据市财政局《市级部门预算通知》和财政直接支付凭证及支出明细表，2022年至2023年下达预算资金624.23万元，实际支付624.01万元，资金支出率99.96%。</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②资金支出规范性指标值6，得分6，得分率100%。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预算执行规范性指标分值2分，得分2分，得分率100%。市福利院护理服务费和后勤保障服务项目按聘请护理人员49人，人员经费标准6.3万元/人/年，劳务派遣服务费3.528万元/年进行年度预算，预算年度实际聘请护理人员2022年55人、2023年70人，超出部分由市福利院经营收入承担，未发生预算调整，预算执行不扣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事项支出合规性指标分值2分，得分2分，得分率100%。项目资金基本用于支付劳务派遣人员工资、社会保险及劳务派遣公司服务费，资金管理、费用标准及支付符合相关制度规定，按劳务派遣单位申报→市福利院审核→市财政局审核后拨付，财政资金审批、发放程序规范，暂未发现挤占、截留、挪用资金现象。</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会计核算规范性指标分值2分，得分2分，得分率100%。根据现场抽查财务明细账、支出凭证，市福利院已设立专账核算，支出凭证符合规定，故会计核算规范性不扣分。</w:t>
      </w:r>
      <w:r>
        <w:rPr>
          <w:rFonts w:hint="eastAsia" w:ascii="仿宋_GB2312" w:hAnsi="仿宋_GB2312" w:eastAsia="仿宋_GB2312" w:cs="仿宋_GB2312"/>
          <w:b w:val="0"/>
          <w:bCs w:val="0"/>
        </w:rPr>
        <w:t xml:space="preserve"> </w:t>
      </w:r>
    </w:p>
    <w:bookmarkEnd w:id="25"/>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（2）项目管理（指标值8，得分7，得分率87.5%）。</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rPr>
        <w:t>①实施程序规范性指标值4，得分4，得分率100%。该项目方案按规定程序报市财政局、市人社局审批，且通过竞争性磋商程序确定由韶关市新雅物业服务有限公司作为成交供应商，实施程序合理规范。</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②管理情况指标值4，得分3，得分率75%。</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一是机制方面，市福利院制定了《老年部绩效考评方案》《儿童部绩效考评方案》对劳务派遣护理人员每月进行考评，管理机制方面比较完善。</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二是监管落实方面，根据已有材料及现场了解，市福利院按季度进行考评，且绩效考核确认表上仅有一个分值，没有按照考评方案中的考评明细表逐项进行评分考核，劳务派遣人员考评有待完善，酌情扣1分。</w:t>
      </w: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（3）绩效管理（指标值3，得分3，得分率100%）。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自评组织工作情况指标值3，得分3，得分率100%。市福利院及时开展自评工作，且能够及时、全面、完整的提供绩效自评表及其佐证材料，自评工作能够较好完成。</w:t>
      </w:r>
    </w:p>
    <w:p>
      <w:pPr>
        <w:pStyle w:val="5"/>
        <w:ind w:firstLine="835" w:firstLineChars="261"/>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3.项目产出</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项目产出指标值15，得分10.99，得分率73.27%。4项三级指标得分率如图2-4所示：</w:t>
      </w:r>
    </w:p>
    <w:p>
      <w:pPr>
        <w:ind w:firstLine="0" w:firstLineChars="0"/>
        <w:jc w:val="center"/>
        <w:rPr>
          <w:rFonts w:ascii="仿宋_GB2312"/>
        </w:rPr>
      </w:pPr>
      <w:r>
        <w:drawing>
          <wp:inline distT="0" distB="0" distL="0" distR="0">
            <wp:extent cx="5593080" cy="2788920"/>
            <wp:effectExtent l="0" t="0" r="26670" b="11430"/>
            <wp:docPr id="19" name="图表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pPr>
        <w:spacing w:line="240" w:lineRule="auto"/>
        <w:ind w:firstLine="562"/>
        <w:jc w:val="center"/>
        <w:rPr>
          <w:rFonts w:hint="eastAsia" w:ascii="仿宋_GB2312" w:hAnsi="仿宋_GB2312" w:eastAsia="仿宋_GB2312" w:cs="仿宋_GB2312"/>
          <w:b w:val="0"/>
          <w:bCs w:val="0"/>
          <w:sz w:val="28"/>
          <w:szCs w:val="24"/>
        </w:rPr>
      </w:pPr>
      <w:r>
        <w:rPr>
          <w:rFonts w:hint="eastAsia" w:ascii="仿宋_GB2312" w:hAnsi="仿宋_GB2312" w:eastAsia="仿宋_GB2312" w:cs="仿宋_GB2312"/>
          <w:b w:val="0"/>
          <w:bCs w:val="0"/>
          <w:sz w:val="28"/>
          <w:szCs w:val="24"/>
        </w:rPr>
        <w:t>图2-4 项目产出的4项三级指标各指标得分率</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（1）经济性（指标值5，得分5，得分率100%）。</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bookmarkStart w:id="26" w:name="_Hlk17705819"/>
      <w:r>
        <w:rPr>
          <w:rFonts w:hint="eastAsia" w:ascii="仿宋_GB2312" w:hAnsi="仿宋_GB2312" w:eastAsia="仿宋_GB2312" w:cs="仿宋_GB2312"/>
          <w:b w:val="0"/>
          <w:bCs w:val="0"/>
        </w:rPr>
        <w:t>①</w:t>
      </w:r>
      <w:r>
        <w:rPr>
          <w:rFonts w:hint="eastAsia" w:ascii="仿宋_GB2312" w:hAnsi="仿宋_GB2312" w:eastAsia="仿宋_GB2312" w:cs="仿宋_GB2312"/>
          <w:b w:val="0"/>
          <w:bCs w:val="0"/>
          <w:color w:val="000000" w:themeColor="text1"/>
          <w:szCs w:val="32"/>
          <w14:textFill>
            <w14:solidFill>
              <w14:schemeClr w14:val="tx1"/>
            </w14:solidFill>
          </w14:textFill>
        </w:rPr>
        <w:t>预算控制指标值3，得分3，得分率100%。根据市财政局《市级部门预算通知》及财政直接支付凭证，该项目预算执行进度与事项完成进度基本匹配，每月按标准申请相关资金并发放，实际支出未超出预算。</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成本控制指标值2，得分2，得分率100%。该项目经过竞争性磋商确定供应商，并严格执行资金安排计划，未见项目金额超出预算范围的情况，且暂时未见项目开支明显高于市场同类项目成本的资金支出，各项目实施成本属于合理范围。</w:t>
      </w:r>
    </w:p>
    <w:bookmarkEnd w:id="26"/>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（2）效率性（指标值10，得分5.99，得分率59.9%）。</w:t>
      </w:r>
    </w:p>
    <w:p>
      <w:pPr>
        <w:ind w:firstLine="640"/>
        <w:rPr>
          <w:rFonts w:hint="eastAsia" w:ascii="仿宋_GB2312" w:hAnsi="仿宋_GB2312" w:eastAsia="仿宋_GB2312" w:cs="仿宋_GB2312"/>
          <w:b w:val="0"/>
          <w:bCs w:val="0"/>
        </w:rPr>
      </w:pPr>
      <w:r>
        <w:rPr>
          <w:rFonts w:hint="eastAsia" w:ascii="仿宋_GB2312" w:hAnsi="仿宋_GB2312" w:eastAsia="仿宋_GB2312" w:cs="仿宋_GB2312"/>
          <w:b w:val="0"/>
          <w:bCs w:val="0"/>
        </w:rPr>
        <w:t>①完成进度指标值6，得分3.99，得分率66.5%。</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供养孤儿人数指标值2，得分0.99，得分率49.5%。根据《韶关市民政局关于解决2022年韶关市社会福利院工作人员经费预算的请示》，需供养孤儿70人。市福利院提供了2022-2023年供养孤儿清单，2022年平均每月供养孤儿69人、2023年平均每月供养孤儿70人，由于2022年平均供养孤儿人数未达设定的目标值，且年初未设置该指标，故该指标扣1.01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供养特困老人人数指标值2，得分1，得分率50%。根据《韶关市民政局关于解决2022年韶关市社会福利院工作人员经费预算的请示》，需供养特困老人33人。市福利院提供了2022-2023年供养特困老人清单，2022年供养特困老人31人、2023年供养特困老人62人，2022-2023年平均供养特困老人完成率为140.91%，但是年初未设置该指标，故该指标扣1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购买服务护理人员人数指标值2，得分2，得分率100%。根据《韶关市民政局关于解决2022年韶关市社会福利院工作人员经费预算的请示》，市财政局核定护理人员49人。市福利院2022年购买劳务派遣护理人员55人、2023年购买劳务派遣护理人员70人，2022-2023年平均购买劳务派遣护理人员完成率为127.55%，已完成设定目标。</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完成质量指标值4，得分2，得分率50%。抽查了2023年第一季度和第四季度的绩效考核表，第一季度购买服务护理人员总人数59人、第四季度购买服务护理人员总人数61人，两个季度所有护理人员考核均在70分以上，合格率为100%，但市福利院未按制定的考评方案每月进行考评，且季度考评流于形式，考虑该事项在监管有效性指标已扣分，避免同一事项重复扣分，故此处不予扣分。由于年初未设置该指标，该指标扣2分。</w:t>
      </w:r>
    </w:p>
    <w:p>
      <w:pPr>
        <w:pStyle w:val="5"/>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4.项目效益</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项目效益指标值45，得分26.39，得分率58.64%。项目效益的3项三级指标得分率如图2-5所示：</w:t>
      </w:r>
    </w:p>
    <w:p>
      <w:pPr>
        <w:ind w:firstLine="0" w:firstLineChars="0"/>
        <w:jc w:val="center"/>
        <w:rPr>
          <w:rFonts w:ascii="仿宋_GB2312"/>
        </w:rPr>
      </w:pPr>
      <w:r>
        <w:drawing>
          <wp:inline distT="0" distB="0" distL="0" distR="0">
            <wp:extent cx="5486400" cy="2674620"/>
            <wp:effectExtent l="0" t="0" r="19050" b="1143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pPr>
        <w:spacing w:line="240" w:lineRule="auto"/>
        <w:ind w:firstLine="0" w:firstLineChars="0"/>
        <w:jc w:val="center"/>
        <w:rPr>
          <w:rFonts w:hint="eastAsia" w:ascii="仿宋_GB2312" w:hAnsi="仿宋_GB2312" w:eastAsia="仿宋_GB2312" w:cs="仿宋_GB2312"/>
          <w:b w:val="0"/>
          <w:bCs w:val="0"/>
          <w:sz w:val="28"/>
          <w:szCs w:val="24"/>
        </w:rPr>
      </w:pPr>
      <w:r>
        <w:rPr>
          <w:rFonts w:hint="eastAsia" w:ascii="仿宋_GB2312" w:hAnsi="仿宋_GB2312" w:eastAsia="仿宋_GB2312" w:cs="仿宋_GB2312"/>
          <w:b w:val="0"/>
          <w:bCs w:val="0"/>
          <w:sz w:val="28"/>
          <w:szCs w:val="24"/>
        </w:rPr>
        <w:t>图2-5 项目效益的3项三级指标各指标得分率</w:t>
      </w:r>
    </w:p>
    <w:p>
      <w:pPr>
        <w:spacing w:line="240" w:lineRule="auto"/>
        <w:ind w:firstLine="0" w:firstLineChars="0"/>
        <w:jc w:val="center"/>
        <w:rPr>
          <w:rFonts w:hint="eastAsia" w:ascii="仿宋_GB2312" w:hAnsi="仿宋_GB2312" w:eastAsia="仿宋_GB2312" w:cs="仿宋_GB2312"/>
          <w:b w:val="0"/>
          <w:bCs w:val="0"/>
          <w:sz w:val="28"/>
          <w:szCs w:val="24"/>
        </w:rPr>
      </w:pP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（1）效果性（指标值40，得分21.41，得分率53.53%）。</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①社会效益指标值10，得分8.41，得分率84.1%（具体问卷调查结果详见附件3）。通过微信针对社会群体发放调查问卷，线上回收有效问卷数63份，综合满意度为60.32%；线下问卷调查主要为学校、医院等与服务对象接触较多的社会群体，发放调查问卷40份，回收有效问卷数40份，综合满意度为100%；综合社会群体线上与线下的调查结果，项目社会效益仍有提升空间，故该指标扣1.59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②可持续发展指标值30，得分13，得分率43.33%。</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购买护理人员培训次数指标值20，得分8，得分率40%。根据市福利院提供的韶关市新雅物业服务有限公司培训材料，该公司2022年举办了3场关于护理知识、康复护理知识和员工情感教育等方面的培训，培训签到分别19人、29人、28人；2023年举办了3场关于护理技能、传染病护理等方面的培训，培训签到分别31人、29人、28人。培训次数已完成设置目标，但由于2022年和2023年两年参加培训的人员几乎为相同人员，均未能覆盖劳务派遣的所有护理人员，因此酌情扣2分，且年初未设置该指标，故该指标扣12分。</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培训考核通过率指标值10，得分5，得分率50%。韶关市新雅物业服务有限公司2022年已举办了3场培训，参与培训人数分别为19人、29人、28人，培训结束后通过考核人数分别为19人、29人、28人； 2023年已举办了3场培训，参与培训人数分别为31人、29人、28人，培训结束后通过考核人数分别为31人、29人、28人，2022-2023年共6场培训考核通过率均为100%，但因年初未设置该指标，故该指标扣5分。</w:t>
      </w:r>
    </w:p>
    <w:p>
      <w:pPr>
        <w:pStyle w:val="5"/>
        <w:ind w:firstLine="643"/>
        <w:rPr>
          <w:rFonts w:hint="eastAsia" w:ascii="仿宋_GB2312" w:hAnsi="仿宋_GB2312" w:eastAsia="仿宋_GB2312" w:cs="仿宋_GB2312"/>
          <w:b w:val="0"/>
          <w:bCs w:val="0"/>
          <w:color w:val="000000" w:themeColor="text1"/>
          <w14:textFill>
            <w14:solidFill>
              <w14:schemeClr w14:val="tx1"/>
            </w14:solidFill>
          </w14:textFill>
        </w:rPr>
      </w:pPr>
      <w:r>
        <w:rPr>
          <w:rFonts w:hint="eastAsia" w:ascii="仿宋_GB2312" w:hAnsi="仿宋_GB2312" w:eastAsia="仿宋_GB2312" w:cs="仿宋_GB2312"/>
          <w:b w:val="0"/>
          <w:bCs w:val="0"/>
          <w:color w:val="000000" w:themeColor="text1"/>
          <w14:textFill>
            <w14:solidFill>
              <w14:schemeClr w14:val="tx1"/>
            </w14:solidFill>
          </w14:textFill>
        </w:rPr>
        <w:t>（2）公平性（指标值5，得分4.98，得分率99.58%）。</w:t>
      </w: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r>
        <w:rPr>
          <w:rFonts w:hint="eastAsia" w:ascii="仿宋_GB2312" w:hAnsi="仿宋_GB2312" w:eastAsia="仿宋_GB2312" w:cs="仿宋_GB2312"/>
          <w:b w:val="0"/>
          <w:bCs w:val="0"/>
          <w:color w:val="000000" w:themeColor="text1"/>
          <w:szCs w:val="32"/>
          <w14:textFill>
            <w14:solidFill>
              <w14:schemeClr w14:val="tx1"/>
            </w14:solidFill>
          </w14:textFill>
        </w:rPr>
        <w:t>由于服务对象特别，本次满意度问卷调查仅选取24名有能力回复的人员进行，回收有效问卷数24份，综合满意度为99.58%，院内特困老人、孤残儿童和托养儿童基本能够得到正常的护理照料，但服务对象的日常活动仍有提升空间。具体情况见附件3。</w:t>
      </w:r>
    </w:p>
    <w:p>
      <w:pPr>
        <w:pStyle w:val="3"/>
        <w:ind w:firstLine="640"/>
      </w:pPr>
      <w:bookmarkStart w:id="27" w:name="_Toc178147151"/>
      <w:bookmarkStart w:id="28" w:name="_Toc21995526"/>
      <w:bookmarkStart w:id="29" w:name="_Toc21995294"/>
      <w:bookmarkStart w:id="30" w:name="_Toc19623162"/>
      <w:r>
        <w:rPr>
          <w:rFonts w:hint="eastAsia"/>
        </w:rPr>
        <w:t>三、评价结论</w:t>
      </w:r>
      <w:bookmarkEnd w:id="27"/>
      <w:bookmarkEnd w:id="28"/>
      <w:bookmarkEnd w:id="29"/>
      <w:bookmarkEnd w:id="30"/>
    </w:p>
    <w:p>
      <w:pPr>
        <w:ind w:firstLine="640"/>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基于现有评价材料，结合书面评价、现场调研情况，2022-2023年韶关市社会福利院护理服务费和后勤保障服务项目绩效评价得分为73.38分，绩效等级为“中”。总体而言，项目论证较充分，实施过程较为规范，绩效目标基本完成，一定程度上能够保障特困老人、孤残儿童和托养儿童的基本生活。但绩效目标设置的科学性有待提升，护理人员的监管有待加强，业务培训有待完善。</w:t>
      </w:r>
    </w:p>
    <w:p>
      <w:pPr>
        <w:pStyle w:val="3"/>
        <w:ind w:firstLine="640"/>
        <w:rPr>
          <w:color w:val="FF0000"/>
        </w:rPr>
      </w:pPr>
      <w:bookmarkStart w:id="31" w:name="_Toc178147152"/>
      <w:r>
        <w:rPr>
          <w:rFonts w:hint="eastAsia"/>
        </w:rPr>
        <w:t>四、主要绩效</w:t>
      </w:r>
      <w:bookmarkEnd w:id="31"/>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项目执行情况良好，护理人员薪酬发放及时，在一定程度上保障了院内特困老人、残疾儿童的生活得到照料，基本达成了年度绩效目标，推进儿童福利机构优化提质，提升特困老人生活幸福指数。主要绩效表现在以下方面：</w:t>
      </w:r>
    </w:p>
    <w:p>
      <w:pPr>
        <w:pStyle w:val="4"/>
        <w:ind w:firstLine="640"/>
        <w:rPr>
          <w:b w:val="0"/>
          <w:bCs w:val="0"/>
        </w:rPr>
      </w:pPr>
      <w:bookmarkStart w:id="32" w:name="_Toc178147153"/>
      <w:r>
        <w:rPr>
          <w:rFonts w:hint="eastAsia"/>
          <w:b w:val="0"/>
          <w:bCs w:val="0"/>
        </w:rPr>
        <w:t>（一）为特困老人、残疾儿童的基本生活提供后勤保障。</w:t>
      </w:r>
      <w:bookmarkEnd w:id="32"/>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市福利院通过劳务派遣方式聘请劳务派遣护理人员为院内特困老人、孤残儿童提供饮食、卫生、睡眠、穿衣等基本生活服务，保证他们的生活质量和安全；为特困老人、孤残儿童提供良好的情感支持和心理疏导，帮助他们建立积极的人生观和价值观。</w:t>
      </w:r>
    </w:p>
    <w:p>
      <w:pPr>
        <w:pStyle w:val="4"/>
        <w:ind w:firstLine="640"/>
        <w:rPr>
          <w:b w:val="0"/>
          <w:bCs w:val="0"/>
        </w:rPr>
      </w:pPr>
      <w:bookmarkStart w:id="33" w:name="_Toc178147154"/>
      <w:r>
        <w:rPr>
          <w:b w:val="0"/>
          <w:bCs w:val="0"/>
        </w:rPr>
        <w:t>（二）</w:t>
      </w:r>
      <w:r>
        <w:rPr>
          <w:rFonts w:hint="eastAsia"/>
          <w:b w:val="0"/>
          <w:bCs w:val="0"/>
        </w:rPr>
        <w:t>进一步推进韶关市儿童福利机构优化提质。</w:t>
      </w:r>
      <w:bookmarkEnd w:id="33"/>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市福利院通过聘请劳务派遣护理人员，协助专业人员为院内孤残儿童进行语言、认知、运动、社交等方面的康复训练和进行适当的教育活动，帮助他们恢复或提高功能水平和培养孤残儿童的兴趣和能力，有效推进儿童养育、医疗、康复、教育、社会工作一体化发展。</w:t>
      </w:r>
    </w:p>
    <w:p>
      <w:pPr>
        <w:pStyle w:val="3"/>
        <w:ind w:firstLine="640"/>
      </w:pPr>
      <w:bookmarkStart w:id="34" w:name="_Toc21995295"/>
      <w:bookmarkStart w:id="35" w:name="_Toc178147155"/>
      <w:bookmarkStart w:id="36" w:name="_Toc19623163"/>
      <w:bookmarkStart w:id="37" w:name="_Toc21995527"/>
      <w:r>
        <w:rPr>
          <w:rFonts w:hint="eastAsia"/>
        </w:rPr>
        <w:t>五、存在问题</w:t>
      </w:r>
      <w:bookmarkEnd w:id="34"/>
      <w:bookmarkEnd w:id="35"/>
      <w:bookmarkEnd w:id="36"/>
      <w:bookmarkEnd w:id="37"/>
    </w:p>
    <w:p>
      <w:pPr>
        <w:pStyle w:val="4"/>
        <w:ind w:firstLine="640"/>
        <w:rPr>
          <w:b w:val="0"/>
          <w:bCs w:val="0"/>
          <w:color w:val="FF0000"/>
        </w:rPr>
      </w:pPr>
      <w:bookmarkStart w:id="38" w:name="_Toc178147156"/>
      <w:r>
        <w:rPr>
          <w:rFonts w:hint="eastAsia"/>
          <w:b w:val="0"/>
          <w:bCs w:val="0"/>
        </w:rPr>
        <w:t>（一）</w:t>
      </w:r>
      <w:r>
        <w:rPr>
          <w:rFonts w:hint="eastAsia" w:hAnsi="Times New Roman" w:cstheme="minorBidi"/>
          <w:b w:val="0"/>
          <w:bCs w:val="0"/>
        </w:rPr>
        <w:t>绩效指标设置不够全面，未能科学反映项目内容。</w:t>
      </w:r>
      <w:bookmarkEnd w:id="38"/>
    </w:p>
    <w:p>
      <w:pPr>
        <w:ind w:firstLine="640"/>
      </w:pPr>
      <w:r>
        <w:rPr>
          <w:rFonts w:hint="eastAsia"/>
        </w:rPr>
        <w:t>项目绩效指标设置全面性不足，不利于跟踪评估项目开展质量。据市福利院提供的项目绩效自评指标评分表，项目仅针对招聘劳务派遣人数设置了产出数量指标，未设置产出质量指标、产出时效指标等，未能全面反映项目内容。尽管单位在自评时对指标进行了完善，但仍存在部分指标设置缺乏合理性与可衡量性等问题，不利于科学全面把握项目实施。如产出数量指标缺少保障特困老人、孤残儿童和托养儿童的数量、社会效益指标“特困人员及儿童护理照料水平”的预期目标未具体化难以衡量等。</w:t>
      </w:r>
    </w:p>
    <w:p>
      <w:pPr>
        <w:pStyle w:val="4"/>
        <w:ind w:firstLine="640"/>
        <w:rPr>
          <w:b w:val="0"/>
          <w:bCs w:val="0"/>
        </w:rPr>
      </w:pPr>
      <w:bookmarkStart w:id="39" w:name="_Toc178147157"/>
      <w:r>
        <w:rPr>
          <w:rFonts w:hint="eastAsia"/>
          <w:b w:val="0"/>
          <w:bCs w:val="0"/>
        </w:rPr>
        <w:t>（二）护理人员考核流于形式，监督管理有待规范。</w:t>
      </w:r>
      <w:bookmarkEnd w:id="39"/>
    </w:p>
    <w:p>
      <w:pPr>
        <w:ind w:firstLine="640"/>
        <w:rPr>
          <w:rFonts w:ascii="Times New Roman" w:hAnsi="Times New Roman"/>
          <w:color w:val="000000" w:themeColor="text1"/>
          <w:szCs w:val="32"/>
          <w14:textFill>
            <w14:solidFill>
              <w14:schemeClr w14:val="tx1"/>
            </w14:solidFill>
          </w14:textFill>
        </w:rPr>
      </w:pPr>
      <w:r>
        <w:rPr>
          <w:rFonts w:ascii="Times New Roman" w:hAnsi="Times New Roman"/>
          <w:color w:val="000000" w:themeColor="text1"/>
          <w:szCs w:val="32"/>
          <w14:textFill>
            <w14:solidFill>
              <w14:schemeClr w14:val="tx1"/>
            </w14:solidFill>
          </w14:textFill>
        </w:rPr>
        <w:t>根据《</w:t>
      </w:r>
      <w:r>
        <w:rPr>
          <w:rFonts w:hint="eastAsia" w:ascii="Times New Roman" w:hAnsi="Times New Roman"/>
          <w:color w:val="000000" w:themeColor="text1"/>
          <w:szCs w:val="32"/>
          <w14:textFill>
            <w14:solidFill>
              <w14:schemeClr w14:val="tx1"/>
            </w14:solidFill>
          </w14:textFill>
        </w:rPr>
        <w:t>韶关市社会福利院儿童部工作人员绩效考评制度（试行）</w:t>
      </w:r>
      <w:r>
        <w:rPr>
          <w:rFonts w:ascii="Times New Roman" w:hAnsi="Times New Roman"/>
          <w:color w:val="000000" w:themeColor="text1"/>
          <w:szCs w:val="32"/>
          <w14:textFill>
            <w14:solidFill>
              <w14:schemeClr w14:val="tx1"/>
            </w14:solidFill>
          </w14:textFill>
        </w:rPr>
        <w:t>》《</w:t>
      </w:r>
      <w:r>
        <w:rPr>
          <w:rFonts w:hint="eastAsia" w:ascii="Times New Roman" w:hAnsi="Times New Roman"/>
          <w:color w:val="000000" w:themeColor="text1"/>
          <w:szCs w:val="32"/>
          <w14:textFill>
            <w14:solidFill>
              <w14:schemeClr w14:val="tx1"/>
            </w14:solidFill>
          </w14:textFill>
        </w:rPr>
        <w:t>韶关市社会福利院老年部工作人员绩效考评制度</w:t>
      </w:r>
      <w:r>
        <w:rPr>
          <w:rFonts w:ascii="Times New Roman" w:hAnsi="Times New Roman"/>
          <w:color w:val="000000" w:themeColor="text1"/>
          <w:szCs w:val="32"/>
          <w14:textFill>
            <w14:solidFill>
              <w14:schemeClr w14:val="tx1"/>
            </w14:solidFill>
          </w14:textFill>
        </w:rPr>
        <w:t>》，</w:t>
      </w:r>
      <w:r>
        <w:rPr>
          <w:rFonts w:hint="eastAsia" w:ascii="Times New Roman" w:hAnsi="Times New Roman"/>
          <w:color w:val="000000" w:themeColor="text1"/>
          <w:szCs w:val="32"/>
          <w14:textFill>
            <w14:solidFill>
              <w14:schemeClr w14:val="tx1"/>
            </w14:solidFill>
          </w14:textFill>
        </w:rPr>
        <w:t>绩效综合考评时间跨度为每个月进行，由至少两名绩效考评领导小组成员对考评对象进行检查，并登记在案，考核内容包括：环境卫生、服务对象护理、护理工作、护理员精神风貌、一票否决等，但</w:t>
      </w:r>
      <w:r>
        <w:rPr>
          <w:rFonts w:ascii="Times New Roman" w:hAnsi="Times New Roman"/>
          <w:color w:val="000000" w:themeColor="text1"/>
          <w:szCs w:val="32"/>
          <w14:textFill>
            <w14:solidFill>
              <w14:schemeClr w14:val="tx1"/>
            </w14:solidFill>
          </w14:textFill>
        </w:rPr>
        <w:t>市福利院没有每月进行考评，而是每季度对劳务派遣护理人员进行绩效考评，</w:t>
      </w:r>
      <w:r>
        <w:rPr>
          <w:rFonts w:hint="eastAsia" w:ascii="Times New Roman" w:hAnsi="Times New Roman"/>
          <w:color w:val="000000" w:themeColor="text1"/>
          <w:szCs w:val="32"/>
          <w14:textFill>
            <w14:solidFill>
              <w14:schemeClr w14:val="tx1"/>
            </w14:solidFill>
          </w14:textFill>
        </w:rPr>
        <w:t>而且</w:t>
      </w:r>
      <w:r>
        <w:rPr>
          <w:rFonts w:ascii="Times New Roman" w:hAnsi="Times New Roman"/>
          <w:color w:val="000000" w:themeColor="text1"/>
          <w:szCs w:val="32"/>
          <w14:textFill>
            <w14:solidFill>
              <w14:schemeClr w14:val="tx1"/>
            </w14:solidFill>
          </w14:textFill>
        </w:rPr>
        <w:t>考核确认表仅有两名考评小组成员签名及一个绩效考</w:t>
      </w:r>
      <w:r>
        <w:rPr>
          <w:rFonts w:hint="eastAsia" w:ascii="Times New Roman" w:hAnsi="Times New Roman"/>
          <w:color w:val="000000" w:themeColor="text1"/>
          <w:szCs w:val="32"/>
          <w14:textFill>
            <w14:solidFill>
              <w14:schemeClr w14:val="tx1"/>
            </w14:solidFill>
          </w14:textFill>
        </w:rPr>
        <w:t>核</w:t>
      </w:r>
      <w:r>
        <w:rPr>
          <w:rFonts w:ascii="Times New Roman" w:hAnsi="Times New Roman"/>
          <w:color w:val="000000" w:themeColor="text1"/>
          <w:szCs w:val="32"/>
          <w14:textFill>
            <w14:solidFill>
              <w14:schemeClr w14:val="tx1"/>
            </w14:solidFill>
          </w14:textFill>
        </w:rPr>
        <w:t>分数，缺少对考评内容的逐项考核，分别给予考核分数，考核流于形式。</w:t>
      </w:r>
    </w:p>
    <w:p>
      <w:pPr>
        <w:pStyle w:val="4"/>
        <w:ind w:firstLine="640"/>
        <w:rPr>
          <w:b w:val="0"/>
          <w:bCs w:val="0"/>
        </w:rPr>
      </w:pPr>
      <w:bookmarkStart w:id="40" w:name="_Toc178147158"/>
      <w:r>
        <w:rPr>
          <w:rFonts w:hint="eastAsia"/>
          <w:b w:val="0"/>
          <w:bCs w:val="0"/>
        </w:rPr>
        <w:t>（三）业务培训覆盖面较窄，未覆盖所有护理人员。</w:t>
      </w:r>
      <w:bookmarkEnd w:id="40"/>
    </w:p>
    <w:p>
      <w:pPr>
        <w:ind w:firstLine="640"/>
        <w:rPr>
          <w:rFonts w:ascii="Times New Roman" w:hAnsi="Times New Roman"/>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韶关市新雅物业服务有限公司作为劳务派遣公司，应对劳务派遣护理人员定期进行业务培训，确保护理人员的业务水平。根据《福利院劳务派遣服务方案2022-2023年》，劳务派遣公司应根据实际需要，每年至少安排一期提高部门员工素质或工作能力为目标的定期培训和至少安排二期以提高员工业务操作能力为目标的不定期培训。2022年和2023年韶关市新雅物业服务有限公司分别举办了3场关于护理技能、康复护理知识和员工情感教育等方面的培训，但参与培训的护理人员几乎是相同人员，且每场培训参与人员大约30人，部分劳务派遣护理人员2022-2023年期间均未参与劳务派遣公司举办的业务培训。</w:t>
      </w:r>
    </w:p>
    <w:p>
      <w:pPr>
        <w:pStyle w:val="3"/>
        <w:ind w:firstLine="640"/>
      </w:pPr>
      <w:bookmarkStart w:id="41" w:name="_Toc19623168"/>
      <w:bookmarkStart w:id="42" w:name="_Toc178147159"/>
      <w:bookmarkStart w:id="43" w:name="_Toc21995300"/>
      <w:bookmarkStart w:id="44" w:name="_Toc21995532"/>
      <w:r>
        <w:rPr>
          <w:rFonts w:hint="eastAsia"/>
        </w:rPr>
        <w:t>六、建议</w:t>
      </w:r>
      <w:bookmarkEnd w:id="41"/>
      <w:bookmarkEnd w:id="42"/>
      <w:bookmarkEnd w:id="43"/>
      <w:bookmarkEnd w:id="44"/>
    </w:p>
    <w:p>
      <w:pPr>
        <w:pStyle w:val="4"/>
        <w:ind w:firstLine="640"/>
        <w:rPr>
          <w:b w:val="0"/>
          <w:bCs w:val="0"/>
        </w:rPr>
      </w:pPr>
      <w:bookmarkStart w:id="45" w:name="_Toc178147160"/>
      <w:r>
        <w:rPr>
          <w:rFonts w:hint="eastAsia"/>
          <w:b w:val="0"/>
          <w:bCs w:val="0"/>
        </w:rPr>
        <w:t>（一）合理设置项目绩效目标，提高绩效指标编报质量。</w:t>
      </w:r>
      <w:bookmarkEnd w:id="45"/>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在编制绩效指标时，结合项目目的与预期达成的目标，从具体执行层面出发设计绩效指标，需要分析如何达成目标、相对地如何考核目标达成情况，以提高指标的合理性、可衡量性。本项目的目的是保障院内特困人员、孤残儿童和托养儿童能够得到正常的护理照料和后勤保障，因此护理人员的业务水平、项目对象的满意度是主要目标。由此，围绕着主要目标的实现方式，可以从产出指标、效益指标方面设置具体指标，如产出数量指标除设置招聘劳务派遣人数之外，还可增加“供养孤儿人数”“供养特困老人人数”，而产出质量指标可设置“购买服务护理人员绩效考核合格率”等；为考核“护理人员业务水平”目标的达成情况，应设置可量化指标如“护理人员培训次数”等。</w:t>
      </w:r>
    </w:p>
    <w:p>
      <w:pPr>
        <w:pStyle w:val="4"/>
        <w:ind w:firstLine="640"/>
        <w:rPr>
          <w:b w:val="0"/>
          <w:bCs w:val="0"/>
        </w:rPr>
      </w:pPr>
      <w:bookmarkStart w:id="46" w:name="_Toc178147161"/>
      <w:r>
        <w:rPr>
          <w:rFonts w:hint="eastAsia"/>
          <w:b w:val="0"/>
          <w:bCs w:val="0"/>
        </w:rPr>
        <w:t>（二）加强项目监督管理，落实绩效考评方案。</w:t>
      </w:r>
      <w:bookmarkEnd w:id="46"/>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市福利院应严格执行考评方案，每月对考核内容进行逐项考评，对于考核人的选择，要确保考核人有足够时间和机会观察被考核人的工作情况，并且有能力将观察结果转化为有用信息，得出客观的评价结果。树立科学绩效管理理念，指导科学的绩效管理，不仅是对护理人员工作的评价，更是帮助护理人员与福利院实现更高绩效目标的手段与方法。</w:t>
      </w:r>
    </w:p>
    <w:p>
      <w:pPr>
        <w:pStyle w:val="4"/>
        <w:ind w:firstLine="640"/>
        <w:rPr>
          <w:b w:val="0"/>
          <w:bCs w:val="0"/>
        </w:rPr>
      </w:pPr>
      <w:bookmarkStart w:id="47" w:name="_Toc178147162"/>
      <w:r>
        <w:rPr>
          <w:rFonts w:hint="eastAsia"/>
          <w:b w:val="0"/>
          <w:bCs w:val="0"/>
        </w:rPr>
        <w:t>（三）加强培训效果的管理和控制，扩大培训范围。</w:t>
      </w:r>
      <w:bookmarkEnd w:id="47"/>
    </w:p>
    <w:p>
      <w:pPr>
        <w:ind w:firstLine="640"/>
        <w:rPr>
          <w:rFonts w:ascii="Times New Roman" w:hAnsi="Times New Roman"/>
          <w:color w:val="000000" w:themeColor="text1"/>
          <w:szCs w:val="32"/>
          <w14:textFill>
            <w14:solidFill>
              <w14:schemeClr w14:val="tx1"/>
            </w14:solidFill>
          </w14:textFill>
        </w:rPr>
      </w:pPr>
      <w:r>
        <w:rPr>
          <w:rFonts w:hint="eastAsia" w:ascii="Times New Roman" w:hAnsi="Times New Roman"/>
          <w:color w:val="000000" w:themeColor="text1"/>
          <w:szCs w:val="32"/>
          <w14:textFill>
            <w14:solidFill>
              <w14:schemeClr w14:val="tx1"/>
            </w14:solidFill>
          </w14:textFill>
        </w:rPr>
        <w:t>护理工作在福利院内始终是工作重点和工作重心，护理人员作为特困老人、孤残儿童的贴身照料者，护理人员的专业技能及素养在儿童成长、老年人生活中起着重要的作用。为进一步提高护理人员的护理水准和专业素养，应定期对所有劳务派遣护理人员进行培训，督促护理人员学习基本的护理知识，持续提升理论知识和业务技能水平。</w:t>
      </w:r>
    </w:p>
    <w:p>
      <w:pPr>
        <w:pStyle w:val="3"/>
        <w:ind w:firstLine="640"/>
      </w:pPr>
      <w:bookmarkStart w:id="48" w:name="_Toc178147163"/>
      <w:r>
        <w:rPr>
          <w:rFonts w:hint="eastAsia"/>
        </w:rPr>
        <w:t>七、附件</w:t>
      </w:r>
      <w:bookmarkEnd w:id="48"/>
    </w:p>
    <w:p>
      <w:pPr>
        <w:ind w:left="960" w:leftChars="200" w:hanging="320" w:hangingChars="100"/>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1. 2022-2023年韶关市社会福利院护理服务费和后勤保障服务项目绩效评价评分表</w:t>
      </w:r>
    </w:p>
    <w:p>
      <w:pPr>
        <w:ind w:left="960" w:leftChars="200" w:hanging="320" w:hangingChars="100"/>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2.</w:t>
      </w:r>
      <w:r>
        <w:rPr>
          <w:rFonts w:hint="eastAsia" w:ascii="仿宋_GB2312" w:hAnsi="仿宋_GB2312" w:eastAsia="仿宋_GB2312" w:cs="仿宋_GB2312"/>
        </w:rPr>
        <w:t xml:space="preserve"> </w:t>
      </w:r>
      <w:r>
        <w:rPr>
          <w:rFonts w:hint="eastAsia" w:ascii="仿宋_GB2312" w:hAnsi="仿宋_GB2312" w:eastAsia="仿宋_GB2312" w:cs="仿宋_GB2312"/>
          <w:color w:val="000000" w:themeColor="text1"/>
          <w:szCs w:val="32"/>
          <w14:textFill>
            <w14:solidFill>
              <w14:schemeClr w14:val="tx1"/>
            </w14:solidFill>
          </w14:textFill>
        </w:rPr>
        <w:t>2022-2023年韶关市社会福利院护理服务费和后勤保障服务项目绩效评价小组成员名单</w:t>
      </w:r>
    </w:p>
    <w:p>
      <w:pPr>
        <w:ind w:left="960" w:leftChars="200" w:hanging="320" w:hangingChars="100"/>
        <w:rPr>
          <w:rFonts w:hint="eastAsia" w:ascii="仿宋_GB2312" w:hAnsi="仿宋_GB2312" w:eastAsia="仿宋_GB2312" w:cs="仿宋_GB2312"/>
          <w:color w:val="000000" w:themeColor="text1"/>
          <w:szCs w:val="32"/>
          <w14:textFill>
            <w14:solidFill>
              <w14:schemeClr w14:val="tx1"/>
            </w14:solidFill>
          </w14:textFill>
        </w:rPr>
      </w:pPr>
      <w:r>
        <w:rPr>
          <w:rFonts w:hint="eastAsia" w:ascii="仿宋_GB2312" w:hAnsi="仿宋_GB2312" w:eastAsia="仿宋_GB2312" w:cs="仿宋_GB2312"/>
          <w:color w:val="000000" w:themeColor="text1"/>
          <w:szCs w:val="32"/>
          <w14:textFill>
            <w14:solidFill>
              <w14:schemeClr w14:val="tx1"/>
            </w14:solidFill>
          </w14:textFill>
        </w:rPr>
        <w:t>3.</w:t>
      </w:r>
      <w:r>
        <w:rPr>
          <w:rFonts w:hint="eastAsia" w:ascii="仿宋_GB2312" w:hAnsi="仿宋_GB2312" w:eastAsia="仿宋_GB2312" w:cs="仿宋_GB2312"/>
        </w:rPr>
        <w:t xml:space="preserve"> </w:t>
      </w:r>
      <w:r>
        <w:rPr>
          <w:rFonts w:hint="eastAsia" w:ascii="仿宋_GB2312" w:hAnsi="仿宋_GB2312" w:eastAsia="仿宋_GB2312" w:cs="仿宋_GB2312"/>
          <w:color w:val="000000" w:themeColor="text1"/>
          <w:szCs w:val="32"/>
          <w14:textFill>
            <w14:solidFill>
              <w14:schemeClr w14:val="tx1"/>
            </w14:solidFill>
          </w14:textFill>
        </w:rPr>
        <w:t>2022-2023年韶关市社会福利院护理服务费和后勤保障服务项目社会效益和满意度问卷调查结果</w:t>
      </w:r>
    </w:p>
    <w:p>
      <w:pPr>
        <w:ind w:firstLine="640"/>
        <w:rPr>
          <w:rFonts w:ascii="Times New Roman" w:hAnsi="Times New Roman"/>
          <w:color w:val="000000" w:themeColor="text1"/>
          <w:szCs w:val="32"/>
          <w14:textFill>
            <w14:solidFill>
              <w14:schemeClr w14:val="tx1"/>
            </w14:solidFill>
          </w14:textFill>
        </w:rPr>
        <w:sectPr>
          <w:footerReference r:id="rId17" w:type="default"/>
          <w:footerReference r:id="rId18" w:type="even"/>
          <w:footnotePr>
            <w:numRestart w:val="eachPage"/>
          </w:footnotePr>
          <w:pgSz w:w="11906" w:h="16838"/>
          <w:pgMar w:top="1440" w:right="1418" w:bottom="1440" w:left="1531" w:header="851" w:footer="992" w:gutter="0"/>
          <w:pgNumType w:fmt="numberInDash" w:start="1"/>
          <w:cols w:space="425" w:num="1"/>
          <w:docGrid w:linePitch="435" w:charSpace="0"/>
        </w:sectPr>
      </w:pPr>
    </w:p>
    <w:p>
      <w:pPr>
        <w:pStyle w:val="3"/>
        <w:ind w:firstLine="0" w:firstLineChars="0"/>
        <w:rPr>
          <w:rFonts w:hint="eastAsia" w:ascii="仿宋_GB2312" w:hAnsi="仿宋_GB2312" w:eastAsia="仿宋_GB2312" w:cs="仿宋_GB2312"/>
          <w:b w:val="0"/>
          <w:bCs/>
        </w:rPr>
      </w:pPr>
      <w:bookmarkStart w:id="49" w:name="_Toc178147164"/>
      <w:r>
        <w:rPr>
          <w:rFonts w:hint="eastAsia" w:ascii="仿宋_GB2312" w:hAnsi="仿宋_GB2312" w:eastAsia="仿宋_GB2312" w:cs="仿宋_GB2312"/>
          <w:b w:val="0"/>
          <w:bCs/>
        </w:rPr>
        <w:t>附件1</w:t>
      </w:r>
      <w:bookmarkEnd w:id="49"/>
    </w:p>
    <w:p>
      <w:pPr>
        <w:ind w:firstLine="643"/>
        <w:jc w:val="center"/>
        <w:rPr>
          <w:rFonts w:asciiTheme="majorEastAsia" w:hAnsiTheme="majorEastAsia" w:eastAsiaTheme="majorEastAsia"/>
          <w:b/>
          <w:bCs/>
          <w:color w:val="000000" w:themeColor="text1"/>
          <w:szCs w:val="32"/>
          <w14:textFill>
            <w14:solidFill>
              <w14:schemeClr w14:val="tx1"/>
            </w14:solidFill>
          </w14:textFill>
        </w:rPr>
      </w:pPr>
      <w:r>
        <w:rPr>
          <w:rFonts w:hint="eastAsia" w:asciiTheme="majorEastAsia" w:hAnsiTheme="majorEastAsia" w:eastAsiaTheme="majorEastAsia"/>
          <w:b w:val="0"/>
          <w:bCs w:val="0"/>
          <w:color w:val="000000" w:themeColor="text1"/>
          <w:szCs w:val="32"/>
          <w14:textFill>
            <w14:solidFill>
              <w14:schemeClr w14:val="tx1"/>
            </w14:solidFill>
          </w14:textFill>
        </w:rPr>
        <w:t>2022-2023年韶关市社会福利院护理服务费和后勤保障服务项目绩效评价评分表</w:t>
      </w:r>
    </w:p>
    <w:tbl>
      <w:tblPr>
        <w:tblStyle w:val="33"/>
        <w:tblW w:w="14729" w:type="dxa"/>
        <w:tblInd w:w="93" w:type="dxa"/>
        <w:tblLayout w:type="fixed"/>
        <w:tblCellMar>
          <w:top w:w="0" w:type="dxa"/>
          <w:left w:w="108" w:type="dxa"/>
          <w:bottom w:w="0" w:type="dxa"/>
          <w:right w:w="108" w:type="dxa"/>
        </w:tblCellMar>
      </w:tblPr>
      <w:tblGrid>
        <w:gridCol w:w="975"/>
        <w:gridCol w:w="976"/>
        <w:gridCol w:w="1033"/>
        <w:gridCol w:w="972"/>
        <w:gridCol w:w="758"/>
        <w:gridCol w:w="6187"/>
        <w:gridCol w:w="709"/>
        <w:gridCol w:w="3119"/>
      </w:tblGrid>
      <w:tr>
        <w:tblPrEx>
          <w:tblCellMar>
            <w:top w:w="0" w:type="dxa"/>
            <w:left w:w="108" w:type="dxa"/>
            <w:bottom w:w="0" w:type="dxa"/>
            <w:right w:w="108" w:type="dxa"/>
          </w:tblCellMar>
        </w:tblPrEx>
        <w:trPr>
          <w:trHeight w:val="444" w:hRule="atLeast"/>
          <w:tblHeader/>
        </w:trPr>
        <w:tc>
          <w:tcPr>
            <w:tcW w:w="9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一级指标</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二级指标</w:t>
            </w:r>
          </w:p>
        </w:tc>
        <w:tc>
          <w:tcPr>
            <w:tcW w:w="1033"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三级指标</w:t>
            </w:r>
          </w:p>
        </w:tc>
        <w:tc>
          <w:tcPr>
            <w:tcW w:w="972"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四级指标</w:t>
            </w:r>
          </w:p>
        </w:tc>
        <w:tc>
          <w:tcPr>
            <w:tcW w:w="758"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权重</w:t>
            </w:r>
          </w:p>
        </w:tc>
        <w:tc>
          <w:tcPr>
            <w:tcW w:w="618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评分标准</w:t>
            </w:r>
          </w:p>
        </w:tc>
        <w:tc>
          <w:tcPr>
            <w:tcW w:w="709"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评分</w:t>
            </w:r>
          </w:p>
        </w:tc>
        <w:tc>
          <w:tcPr>
            <w:tcW w:w="3119"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b/>
                <w:kern w:val="0"/>
                <w:sz w:val="18"/>
                <w:szCs w:val="18"/>
              </w:rPr>
            </w:pPr>
            <w:r>
              <w:rPr>
                <w:rFonts w:hint="eastAsia" w:cs="宋体" w:asciiTheme="minorEastAsia" w:hAnsiTheme="minorEastAsia" w:eastAsiaTheme="minorEastAsia"/>
                <w:b/>
                <w:kern w:val="0"/>
                <w:sz w:val="18"/>
                <w:szCs w:val="18"/>
              </w:rPr>
              <w:t>评分依据</w:t>
            </w:r>
          </w:p>
        </w:tc>
      </w:tr>
      <w:tr>
        <w:tblPrEx>
          <w:tblCellMar>
            <w:top w:w="0" w:type="dxa"/>
            <w:left w:w="108" w:type="dxa"/>
            <w:bottom w:w="0" w:type="dxa"/>
            <w:right w:w="108" w:type="dxa"/>
          </w:tblCellMar>
        </w:tblPrEx>
        <w:trPr>
          <w:trHeight w:val="1884" w:hRule="atLeast"/>
        </w:trPr>
        <w:tc>
          <w:tcPr>
            <w:tcW w:w="975"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决策</w:t>
            </w: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项目立项</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论证决策</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论证充分性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1.项目申报立项符合相关法律法规、政策文件、管理制度的得2分，否则酌情扣分；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2.前期论证充分，经过必要的可行性研究、专家论证、风险评估、绩效评估、集体决策，且可行性研究报告、摸底调查工作总结、专家意见表等材料前期论证材料完整的,得2分。否则酌情扣分。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本指标得分为上述两项得分之和。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儿童福利机构基本规范》和《广东省民政厅关于开展2020年度养老机构星级评定工作的通知》文件，参考2021年孤儿、特困老人在院人员和后勤服务人员工资水平，报市财政局和市人社局审批核定劳务派遣招聘人数及预算金额。论证充分性指标不予扣分。</w:t>
            </w:r>
          </w:p>
        </w:tc>
      </w:tr>
      <w:tr>
        <w:tblPrEx>
          <w:tblCellMar>
            <w:top w:w="0" w:type="dxa"/>
            <w:left w:w="108" w:type="dxa"/>
            <w:bottom w:w="0" w:type="dxa"/>
            <w:right w:w="108" w:type="dxa"/>
          </w:tblCellMar>
        </w:tblPrEx>
        <w:trPr>
          <w:trHeight w:val="2016"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目标设置</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完整性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依据项目实施内容、预算申请额度等相关基础信息判断项目预算绩效目标设置的完整性。</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1.具备年度总体目标的，得1分；否则不得分；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2.包含预期提供的公共产品或服务的产出数量、质量、时效、成本指标，预期达到的效果性指标，且指标值无缺项，得1分；否则缺1项扣0.5分，扣完为止。</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本指标得分为上述两项得分之和。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根据市福利院提供的《项目绩效自评指标评分表》，项目设置了总目标，但未设置质量、时效指标，指标设置不完整扣1分。</w:t>
            </w:r>
          </w:p>
        </w:tc>
      </w:tr>
      <w:tr>
        <w:tblPrEx>
          <w:tblCellMar>
            <w:top w:w="0" w:type="dxa"/>
            <w:left w:w="108" w:type="dxa"/>
            <w:bottom w:w="0" w:type="dxa"/>
            <w:right w:w="108" w:type="dxa"/>
          </w:tblCellMar>
        </w:tblPrEx>
        <w:trPr>
          <w:trHeight w:val="4425"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合理性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依据项目实施内容、预算申请额度等相关基础信息判断绩效目标设置的相关性</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1.项目绩效目标与实际工作内容相关性较强得1分；否则酌情扣分；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2.项目预期产出和效果符合正常的业绩水平，与预算确定的项目投资额或资金量相匹配的得1分；否则，出现1项与正常业绩水平、预算确定项目投资额或资金量偏离程度较大的，扣0.5分，扣完为止。</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本指标得分为上述两项得分之和。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1、该项目总体目标为保障院内特困人员、孤残儿童和托养儿童能够得到正常的护理照料，但数量指标仅设置了招聘劳务派遣人员目标，未设置保障特困老人、孤残儿童和托养儿童的数量目标。</w:t>
            </w:r>
          </w:p>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根据《2022-2023年福利院劳务派遣服务方案》，劳务派遣公司韶关市新雅物业服务有限公司应定期组织培训以提高员工的素质与工作技能，但可持续发展指标仅设置了健全采购机制与监管机制以及社会和谐发展、特困人员及儿童护理照料水平等目标，未能反应劳务派遣人员自身业务能力提升等可持续发展目标。</w:t>
            </w:r>
          </w:p>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综上项目绩效目标与实际工作内容相关性有待提高，预期产出和效果有待完善，指标设置不合理酌情扣1分。</w:t>
            </w:r>
          </w:p>
        </w:tc>
      </w:tr>
      <w:tr>
        <w:tblPrEx>
          <w:tblCellMar>
            <w:top w:w="0" w:type="dxa"/>
            <w:left w:w="108" w:type="dxa"/>
            <w:bottom w:w="0" w:type="dxa"/>
            <w:right w:w="108" w:type="dxa"/>
          </w:tblCellMar>
        </w:tblPrEx>
        <w:trPr>
          <w:trHeight w:val="2120"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可衡量性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依据项目实施内容、预算申请额度等相关基础信息判断绩效目标设置的可衡量性，绩效目标设置是否有数据支撑、是否有可衡量性的产出和效果指标。</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1.能将绩效目标细化分解为具体的绩效指标的，得0.5分；否则酌情扣分；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2.指标值清晰、可衡量的，得0.5分，否则酌情扣分；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3.与项目年度任务数或计划数相对应的，得0.5分；否则酌情扣分；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4.与预算确定的项目投资额或资金量相匹配的，得0.5分；否则酌情扣分。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本指标得分为上述四项得分之和。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根据市福利院提供的《项目绩效自评指标评分表》，设置的效果性指标均不可衡量，如：特困人员及儿童护理照料水平，绩效目标值为逐步提高。指标不具有可衡量性酌情扣1分。</w:t>
            </w:r>
          </w:p>
        </w:tc>
      </w:tr>
      <w:tr>
        <w:tblPrEx>
          <w:tblCellMar>
            <w:top w:w="0" w:type="dxa"/>
            <w:left w:w="108" w:type="dxa"/>
            <w:bottom w:w="0" w:type="dxa"/>
            <w:right w:w="108" w:type="dxa"/>
          </w:tblCellMar>
        </w:tblPrEx>
        <w:trPr>
          <w:trHeight w:val="1983"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保障措施</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制度完整性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项目是否具备各项财务管理制度和业务管理制度（如工程管理制度、档案管理制度等），管理制度全面完整，足以保障项目顺利开展的，得1分；若存在必要管理制度缺漏或制度内容不合理的，酌情扣分。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市福利院已制定《韶关市社会福利院关于护理服务费和后勤保障服务资金项目管理制度》《韶关市社会福利院培训管理制度》《韶关市社会福利院财务管理办法》《韶关市社会福利院固定资产制度》等制度，制度完整不予扣分。</w:t>
            </w:r>
          </w:p>
        </w:tc>
      </w:tr>
      <w:tr>
        <w:tblPrEx>
          <w:tblCellMar>
            <w:top w:w="0" w:type="dxa"/>
            <w:left w:w="108" w:type="dxa"/>
            <w:bottom w:w="0" w:type="dxa"/>
            <w:right w:w="108" w:type="dxa"/>
          </w:tblCellMar>
        </w:tblPrEx>
        <w:trPr>
          <w:trHeight w:val="2532"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计划安排</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合理性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依据工作进度计划等相关基础信息和证据判断项目实施计划是否符合实际情况，是否详细、完备，据实评分。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市福利院按照市财政局、市人社局批复的人数及标准，与第三方劳务派遣公司韶关市新雅物业服务有限公司签订劳务派遣合同。每月根据市福利院提交的劳务派遣人员工资表（含社会保险等费用），由第三方劳务派遣公司开具发票，市福利院每月按时向市财政申请，将上述费用支付至劳务派遣公司。计划安排合理不予扣分。</w:t>
            </w:r>
          </w:p>
        </w:tc>
      </w:tr>
      <w:tr>
        <w:tblPrEx>
          <w:tblCellMar>
            <w:top w:w="0" w:type="dxa"/>
            <w:left w:w="108" w:type="dxa"/>
            <w:bottom w:w="0" w:type="dxa"/>
            <w:right w:w="108" w:type="dxa"/>
          </w:tblCellMar>
        </w:tblPrEx>
        <w:trPr>
          <w:trHeight w:val="2106"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资金落实</w:t>
            </w:r>
          </w:p>
        </w:tc>
        <w:tc>
          <w:tcPr>
            <w:tcW w:w="1033"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资金到位</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资金到位率</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1.各类来源的资金足额到位的，得3分；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2.各类来源的资金未足额到位的，得分=实际到位金额/应到位金额*100%*3。</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资金到位率100%，根据实质大于形式的原则，资金到位率考核目的是考核资金落实对项目实施的保障，故此处以每月申请资金与到位资金作为考核基础。2022</w:t>
            </w:r>
            <w:r>
              <w:rPr>
                <w:rFonts w:cs="宋体" w:asciiTheme="minorEastAsia" w:hAnsiTheme="minorEastAsia" w:eastAsiaTheme="minorEastAsia"/>
                <w:kern w:val="0"/>
                <w:sz w:val="18"/>
                <w:szCs w:val="18"/>
              </w:rPr>
              <w:t>-2023</w:t>
            </w:r>
            <w:r>
              <w:rPr>
                <w:rFonts w:hint="eastAsia" w:cs="宋体" w:asciiTheme="minorEastAsia" w:hAnsiTheme="minorEastAsia" w:eastAsiaTheme="minorEastAsia"/>
                <w:kern w:val="0"/>
                <w:sz w:val="18"/>
                <w:szCs w:val="18"/>
              </w:rPr>
              <w:t>年申请支付劳务派遣人员薪酬及服务费624.01万元，实际支付金额为624.01万元，每月资金均足额到位。资金到位率指标不予扣分。</w:t>
            </w:r>
          </w:p>
        </w:tc>
      </w:tr>
      <w:tr>
        <w:tblPrEx>
          <w:tblCellMar>
            <w:top w:w="0" w:type="dxa"/>
            <w:left w:w="108" w:type="dxa"/>
            <w:bottom w:w="0" w:type="dxa"/>
            <w:right w:w="108" w:type="dxa"/>
          </w:tblCellMar>
        </w:tblPrEx>
        <w:trPr>
          <w:trHeight w:val="1397"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资金到位</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及时性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1.各类来源的资金及时到位的，得2分；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2.各类来源的资金未及时到位的，得分=及时到位的金额/应及时到位的金额*100%*2。</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依据市福利院提供的每月工资表，由劳务派遣公司开具发票，于当月发放至劳务派遣公司，资金到位及时。该指标不予扣分。</w:t>
            </w:r>
          </w:p>
        </w:tc>
      </w:tr>
      <w:tr>
        <w:tblPrEx>
          <w:tblCellMar>
            <w:top w:w="0" w:type="dxa"/>
            <w:left w:w="108" w:type="dxa"/>
            <w:bottom w:w="0" w:type="dxa"/>
            <w:right w:w="108" w:type="dxa"/>
          </w:tblCellMar>
        </w:tblPrEx>
        <w:trPr>
          <w:trHeight w:val="1680"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资金分配</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资金分配</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合理性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依据相关信息和证据判断资金分配合理，有助于实现资金的绩效目标的，得3分，否则酌情扣分。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经了解，预算测算标准为：参考2021年度护理人员工资水平和市财政局核定护理人员人数测算2022-2023年度预计金额，资金分配合理。该指标不予扣分。</w:t>
            </w:r>
          </w:p>
        </w:tc>
      </w:tr>
      <w:tr>
        <w:tblPrEx>
          <w:tblCellMar>
            <w:top w:w="0" w:type="dxa"/>
            <w:left w:w="108" w:type="dxa"/>
            <w:bottom w:w="0" w:type="dxa"/>
            <w:right w:w="108" w:type="dxa"/>
          </w:tblCellMar>
        </w:tblPrEx>
        <w:trPr>
          <w:trHeight w:val="2129" w:hRule="atLeast"/>
        </w:trPr>
        <w:tc>
          <w:tcPr>
            <w:tcW w:w="975"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过程</w:t>
            </w: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资金管理</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资金支付</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资金支出率</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本指标得分=（2022年内已支付金额+2023年内已支付金额）/（2022年内实际到位金额+2023年内实际到位金额）*100%*3。</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同时综合考虑工作进度，以及是否垫资或履行支付手续而影响支出率等因素适当调整最后得分。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根据市财政局《市级部门预算通知》及财政直接支付凭证，预算额为624.23万元，实际支付为624.01万元，计算得资金支出率为99.96%=（624.01/624.23*100%），故该项得分=624.01/624.23*100</w:t>
            </w:r>
            <w:r>
              <w:rPr>
                <w:rFonts w:cs="宋体" w:asciiTheme="minorEastAsia" w:hAnsiTheme="minorEastAsia" w:eastAsiaTheme="minorEastAsia"/>
                <w:kern w:val="0"/>
                <w:sz w:val="18"/>
                <w:szCs w:val="18"/>
              </w:rPr>
              <w:t>%</w:t>
            </w:r>
            <w:r>
              <w:rPr>
                <w:rFonts w:hint="eastAsia" w:cs="宋体" w:asciiTheme="minorEastAsia" w:hAnsiTheme="minorEastAsia" w:eastAsiaTheme="minorEastAsia"/>
                <w:kern w:val="0"/>
                <w:sz w:val="18"/>
                <w:szCs w:val="18"/>
              </w:rPr>
              <w:t>*</w:t>
            </w:r>
            <w:r>
              <w:rPr>
                <w:rFonts w:cs="宋体" w:asciiTheme="minorEastAsia" w:hAnsiTheme="minorEastAsia" w:eastAsiaTheme="minorEastAsia"/>
                <w:kern w:val="0"/>
                <w:sz w:val="18"/>
                <w:szCs w:val="18"/>
              </w:rPr>
              <w:t>3</w:t>
            </w:r>
            <w:r>
              <w:rPr>
                <w:rFonts w:hint="eastAsia" w:cs="宋体" w:asciiTheme="minorEastAsia" w:hAnsiTheme="minorEastAsia" w:eastAsiaTheme="minorEastAsia"/>
                <w:kern w:val="0"/>
                <w:sz w:val="18"/>
                <w:szCs w:val="18"/>
              </w:rPr>
              <w:t>=</w:t>
            </w:r>
            <w:r>
              <w:rPr>
                <w:rFonts w:cs="宋体" w:asciiTheme="minorEastAsia" w:hAnsiTheme="minorEastAsia" w:eastAsiaTheme="minorEastAsia"/>
                <w:kern w:val="0"/>
                <w:sz w:val="18"/>
                <w:szCs w:val="18"/>
              </w:rPr>
              <w:t>2.999</w:t>
            </w:r>
            <w:r>
              <w:rPr>
                <w:rFonts w:hint="eastAsia" w:cs="宋体" w:asciiTheme="minorEastAsia" w:hAnsiTheme="minorEastAsia" w:eastAsiaTheme="minorEastAsia"/>
                <w:kern w:val="0"/>
                <w:sz w:val="18"/>
                <w:szCs w:val="18"/>
              </w:rPr>
              <w:t xml:space="preserve"> ≈</w:t>
            </w:r>
            <w:r>
              <w:rPr>
                <w:rFonts w:cs="宋体" w:asciiTheme="minorEastAsia" w:hAnsiTheme="minorEastAsia" w:eastAsiaTheme="minorEastAsia"/>
                <w:kern w:val="0"/>
                <w:sz w:val="18"/>
                <w:szCs w:val="18"/>
              </w:rPr>
              <w:t>3</w:t>
            </w:r>
            <w:r>
              <w:rPr>
                <w:rFonts w:hint="eastAsia" w:cs="宋体" w:asciiTheme="minorEastAsia" w:hAnsiTheme="minorEastAsia" w:eastAsiaTheme="minorEastAsia"/>
                <w:kern w:val="0"/>
                <w:sz w:val="18"/>
                <w:szCs w:val="18"/>
              </w:rPr>
              <w:t>，综上，该指标不扣分。</w:t>
            </w:r>
          </w:p>
        </w:tc>
      </w:tr>
      <w:tr>
        <w:tblPrEx>
          <w:tblCellMar>
            <w:top w:w="0" w:type="dxa"/>
            <w:left w:w="108" w:type="dxa"/>
            <w:bottom w:w="0" w:type="dxa"/>
            <w:right w:w="108" w:type="dxa"/>
          </w:tblCellMar>
        </w:tblPrEx>
        <w:trPr>
          <w:trHeight w:val="3818"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支出规范性</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支出规范性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6</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1.预算执行规范性：按规定履行调整报批手续或未发生调整的，且按事项完成进度支付资金的得2分，否则酌情扣分；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2.事项支出的合规性：资金管理、费用标准、支付符合有关制度规定的得2分，超范围、超标准支出，虚列支出，截留、挤占、挪用资金的，以及其他不符合制度规定支出的，视情节严重情况扣分，直至扣到0分；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3.会计核算规范性：规范执行会计核算制度得2分，未按规定设专账核算，或支出凭证不符合规定，或其他核算不规范的，视具体情况扣分。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本指标得分为上述三项得分之和。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6</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1、未发生预算调整，且按事项完成进度支付资金；</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2、检查2022-2023年韶关市社会福利院护理服务费和后勤保障服务项目明细账，该项目资金均用于支付劳务派遣人员薪酬及服务费，未发现超范围、超标准支出；</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3、经抽查2022年11月17日支付10月劳务派遣人员薪酬211,890.94元和2023年12月19日支付12月劳务派遣人员薪酬90,965.73元两笔业务，可提供充足的相关原始凭证如经费支出报销单、电子发票、经审核的派遣人员工资表等。</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综上，支出规范性指标不予扣分。</w:t>
            </w:r>
          </w:p>
        </w:tc>
      </w:tr>
      <w:tr>
        <w:tblPrEx>
          <w:tblCellMar>
            <w:top w:w="0" w:type="dxa"/>
            <w:left w:w="108" w:type="dxa"/>
            <w:bottom w:w="0" w:type="dxa"/>
            <w:right w:w="108" w:type="dxa"/>
          </w:tblCellMar>
        </w:tblPrEx>
        <w:trPr>
          <w:trHeight w:val="1548"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项目管理</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实施程序</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程序规范性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项目或方案按规定程序实施，包括项目或方案调整按规定履行报批手续，项目招投标、建设、验收等或方案实施严格执行相关制度规定的，得满分，否则酌情扣分。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该项目方案按规定程序报市财政局、市人社局审批，且通过竞争性磋商程序确定由韶关市新雅物业服务有限公司作为成交供应商。程序规范性指标不予扣分。</w:t>
            </w:r>
          </w:p>
        </w:tc>
      </w:tr>
      <w:tr>
        <w:tblPrEx>
          <w:tblCellMar>
            <w:top w:w="0" w:type="dxa"/>
            <w:left w:w="108" w:type="dxa"/>
            <w:bottom w:w="0" w:type="dxa"/>
            <w:right w:w="108" w:type="dxa"/>
          </w:tblCellMar>
        </w:tblPrEx>
        <w:trPr>
          <w:trHeight w:val="2375"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管理情况</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监管有效性</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1.资金使用单位或基层资金管理单位建立有效管理机制，且执行情况良好得2分，存在管理机制不健全、执行不到位的酌情扣分；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2.项目单位按规定对项目建设或方案实施开展有效的检查、监控、督促整改的，得2分；否则酌情扣分。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本指标得分为上述两项得分之和。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市福利院制定了《老年部绩效考评方案》《儿童部绩效考评方案》对劳务派遣护理人员每月进行考评，但根据市福利院提供的绩效考核确认表，未按考评方案每月进行考评，而是按季度进行考评，并且考评流于形式仅有一个考评分数和等级，没有按照考评方案中的考评明细表逐项进行评分考核。监管有效性指标酌情扣1分。</w:t>
            </w:r>
          </w:p>
        </w:tc>
      </w:tr>
      <w:tr>
        <w:tblPrEx>
          <w:tblCellMar>
            <w:top w:w="0" w:type="dxa"/>
            <w:left w:w="108" w:type="dxa"/>
            <w:bottom w:w="0" w:type="dxa"/>
            <w:right w:w="108" w:type="dxa"/>
          </w:tblCellMar>
        </w:tblPrEx>
        <w:trPr>
          <w:trHeight w:val="1402"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绩效管理</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自评组织工作情况</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自评组织</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工作情况</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1.能够及时开展自评工作的，得1.5分；未及时完成绩效自评的，不得分；</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2.绩效自评表及其佐证材料提供及时、全面、完整，得1.5分；绩效自评表或佐证材料，每缺少1份扣0.5分，扣完即止。</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本指标得分为上述两项得分之和。</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市福利院能够及时开展自评工作，且能够及时、全面、完整的提供绩效自评表及其佐证材料。自评组织工作情况指标不予扣分。</w:t>
            </w:r>
          </w:p>
        </w:tc>
      </w:tr>
      <w:tr>
        <w:tblPrEx>
          <w:tblCellMar>
            <w:top w:w="0" w:type="dxa"/>
            <w:left w:w="108" w:type="dxa"/>
            <w:bottom w:w="0" w:type="dxa"/>
            <w:right w:w="108" w:type="dxa"/>
          </w:tblCellMar>
        </w:tblPrEx>
        <w:trPr>
          <w:trHeight w:val="1266" w:hRule="atLeast"/>
        </w:trPr>
        <w:tc>
          <w:tcPr>
            <w:tcW w:w="975"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产出</w:t>
            </w: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经济性</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预算控制</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预算控制</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在预算执行进度与事项完成进度基本匹配的前提下，实际支出未超过预算计划的，得3分；实际支出超过预算安排额度的，得分=3-（实际支出额度-预算安排额度）/预算安排额度*100%*3；</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项目支出未能保障事项相应完成进度的，酌情扣分。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根据市财政局《市级部门预算通知》及财政直接支付凭证，该项目预算执行进度与事项完成进度基本匹配，未超出预算。预算控制指标不予扣分。</w:t>
            </w:r>
          </w:p>
        </w:tc>
      </w:tr>
      <w:tr>
        <w:tblPrEx>
          <w:tblCellMar>
            <w:top w:w="0" w:type="dxa"/>
            <w:left w:w="108" w:type="dxa"/>
            <w:bottom w:w="0" w:type="dxa"/>
            <w:right w:w="108" w:type="dxa"/>
          </w:tblCellMar>
        </w:tblPrEx>
        <w:trPr>
          <w:trHeight w:val="2126"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成本控制</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费用超预算比例</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以合同价或实际支出额为准，成本未超过预算金额的，得2分；存在超出预算情况的，得分=2-（成本-预算金额）/预算金额*2。</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该项目经过竞争性磋商确定供应商，并严格执行资金安排计划，未见项目金额超出预算范围的情况，且暂时未见项目开支明显高于市场同类项目成本的资金支出，各项目实施成本属于合理范围。费用超预算比例指标不予扣分。</w:t>
            </w:r>
          </w:p>
        </w:tc>
      </w:tr>
      <w:tr>
        <w:tblPrEx>
          <w:tblCellMar>
            <w:top w:w="0" w:type="dxa"/>
            <w:left w:w="108" w:type="dxa"/>
            <w:bottom w:w="0" w:type="dxa"/>
            <w:right w:w="108" w:type="dxa"/>
          </w:tblCellMar>
        </w:tblPrEx>
        <w:trPr>
          <w:trHeight w:val="1645"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restart"/>
            <w:tcBorders>
              <w:top w:val="nil"/>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cs="宋体" w:asciiTheme="minorEastAsia" w:hAnsiTheme="minorEastAsia" w:eastAsiaTheme="minorEastAsia"/>
                <w:kern w:val="0"/>
                <w:sz w:val="18"/>
                <w:szCs w:val="18"/>
              </w:rPr>
              <w:t>效率性</w:t>
            </w:r>
          </w:p>
        </w:tc>
        <w:tc>
          <w:tcPr>
            <w:tcW w:w="1033" w:type="dxa"/>
            <w:vMerge w:val="restart"/>
            <w:tcBorders>
              <w:left w:val="nil"/>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完成进度</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供养孤儿人数</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年均供养孤儿目标值为70人，完成率=已供养人数/目标值。因年初未设置指标，该指标最高得分50%，（1）完成率60%以下为不及格，不得分；（2）完成率为60%-100%的，得分=完成率×本指标分值的50%；（3）完成率100%-150%，得1分；（4）完成率高于150%，得分=本指标分值的50%×50%。</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0.99</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2022年平均每月供养孤儿69人、2023年平均每月供养孤儿70人，完成率99.29%=（（69+70）/2/70*100%），由于2022年平均供养孤儿人数未达设定的目标值，且年初未设置该指标，因此该指标得0.99分=</w:t>
            </w:r>
            <w:r>
              <w:rPr>
                <w:rFonts w:cs="宋体" w:asciiTheme="minorEastAsia" w:hAnsiTheme="minorEastAsia" w:eastAsiaTheme="minorEastAsia"/>
                <w:kern w:val="0"/>
                <w:sz w:val="18"/>
                <w:szCs w:val="18"/>
              </w:rPr>
              <w:t>99.29%*2*50%</w:t>
            </w:r>
            <w:r>
              <w:rPr>
                <w:rFonts w:hint="eastAsia" w:cs="宋体" w:asciiTheme="minorEastAsia" w:hAnsiTheme="minorEastAsia" w:eastAsiaTheme="minorEastAsia"/>
                <w:kern w:val="0"/>
                <w:sz w:val="18"/>
                <w:szCs w:val="18"/>
              </w:rPr>
              <w:t>。</w:t>
            </w:r>
          </w:p>
        </w:tc>
      </w:tr>
      <w:tr>
        <w:tblPrEx>
          <w:tblCellMar>
            <w:top w:w="0" w:type="dxa"/>
            <w:left w:w="108" w:type="dxa"/>
            <w:bottom w:w="0" w:type="dxa"/>
            <w:right w:w="108" w:type="dxa"/>
          </w:tblCellMar>
        </w:tblPrEx>
        <w:trPr>
          <w:trHeight w:val="1696"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供养特困老人人数</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年均供养特困老人目标值为33人，完成率=已供养人数/目标值。</w:t>
            </w:r>
          </w:p>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因年初未设置指标，该指标最高得分50%，（1）完成率60%以下为不及格，不得分；（2）完成率为60%-100%的，得分=完成率×本指标分值的50%；（3）完成率100%-150%，得1分；（4）完成率高于150%，得分=本指标分值的50%×50%。"</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2022年供养特困老人31人、2023年供养特困老人62人，完成率</w:t>
            </w:r>
            <w:r>
              <w:rPr>
                <w:rFonts w:cs="宋体" w:asciiTheme="minorEastAsia" w:hAnsiTheme="minorEastAsia" w:eastAsiaTheme="minorEastAsia"/>
                <w:kern w:val="0"/>
                <w:sz w:val="18"/>
                <w:szCs w:val="18"/>
              </w:rPr>
              <w:t>140.91</w:t>
            </w:r>
            <w:r>
              <w:rPr>
                <w:rFonts w:hint="eastAsia" w:cs="宋体" w:asciiTheme="minorEastAsia" w:hAnsiTheme="minorEastAsia" w:eastAsiaTheme="minorEastAsia"/>
                <w:kern w:val="0"/>
                <w:sz w:val="18"/>
                <w:szCs w:val="18"/>
              </w:rPr>
              <w:t>%=（（31+62）/2/33*100%）已达设定的目标值，但是年初未设置该指标，因此该指标得分1分。</w:t>
            </w:r>
          </w:p>
        </w:tc>
      </w:tr>
      <w:tr>
        <w:tblPrEx>
          <w:tblCellMar>
            <w:top w:w="0" w:type="dxa"/>
            <w:left w:w="108" w:type="dxa"/>
            <w:bottom w:w="0" w:type="dxa"/>
            <w:right w:w="108" w:type="dxa"/>
          </w:tblCellMar>
        </w:tblPrEx>
        <w:trPr>
          <w:trHeight w:val="1687"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购买服务护理人员人数</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年均购买服务护理人员目标值为49人，完成率=已购买服务护理人员人数/目标值。</w:t>
            </w:r>
          </w:p>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该项指标从绩效目标中提取，未完成按完成率计分：（1）完成率60%以下为不及格，不得分；（2）完成率为60%-100%，得分=完成率×本指标分值；（3）完成率100-150%，得满分；（4）完成率高于150%，得分=本指标分值的50%。"</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2022年购买劳务派遣人员55人、2023年购买劳务派遣人员70人，完成率127.55%=（（55+70）/2/49*100%）已达设定的目标值，因此该指标得分2分。</w:t>
            </w:r>
          </w:p>
        </w:tc>
      </w:tr>
      <w:tr>
        <w:tblPrEx>
          <w:tblCellMar>
            <w:top w:w="0" w:type="dxa"/>
            <w:left w:w="108" w:type="dxa"/>
            <w:bottom w:w="0" w:type="dxa"/>
            <w:right w:w="108" w:type="dxa"/>
          </w:tblCellMar>
        </w:tblPrEx>
        <w:trPr>
          <w:trHeight w:val="3288" w:hRule="atLeast"/>
        </w:trPr>
        <w:tc>
          <w:tcPr>
            <w:tcW w:w="975"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完成质量</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购买服务护理人员绩效考核合格率</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70分以下（不含70分）为考核不合格，70-100分为考核合格。</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因年初未设置指标，该指标最高得分50%，完成的得2分，计算公式：绩效考核合格率指标得分=合格人数/购买服务护理人员总人数×本指标分值的50%。</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抽查了2023年第一季度和第四季度的绩效考核表，第一季度购买服务护理人员总人数59人、第四季度购买服务护理人员总人数61人，两个季度所有护理人员考核均在70分以上，合格率为100%=[（59+61）/（59+61）*100%]，但市福利院未按制定的考评方案每月进行考评，且季度考评流于形式，考虑该事项在监管有效性指标已扣分，避免同一事项重复扣分，故此处不予扣分。由于年初未设置该指标，因此该指标得分2分。</w:t>
            </w:r>
          </w:p>
        </w:tc>
      </w:tr>
      <w:tr>
        <w:tblPrEx>
          <w:tblCellMar>
            <w:top w:w="0" w:type="dxa"/>
            <w:left w:w="108" w:type="dxa"/>
            <w:bottom w:w="0" w:type="dxa"/>
            <w:right w:w="108" w:type="dxa"/>
          </w:tblCellMar>
        </w:tblPrEx>
        <w:trPr>
          <w:trHeight w:val="1942" w:hRule="atLeast"/>
        </w:trPr>
        <w:tc>
          <w:tcPr>
            <w:tcW w:w="9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效益</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效果性</w:t>
            </w:r>
          </w:p>
        </w:tc>
        <w:tc>
          <w:tcPr>
            <w:tcW w:w="1033"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社会效益</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社会认同度</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10</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计算公式：社会认同度=（线下问卷调查中认同的人数/线下问卷调查总人数）×60%+（线上问卷调查中认同的人数/线上问卷调查总人数）×40%。</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该项指标从绩效目标中提取，未完成按完成率计分：（1）社会认同度70%以下为不及格，不得分；（2）社会认同度为70%-100%的，得分=社会认同度×本指标分值。</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8.41</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针对社会群体发放调查问卷，线上回收有效问卷数63份，综合满意度为60.32%；线下问卷调查主要为学校、医院等与服务对象接触较多的社会群体，回收有效问卷数40份，综合满意度为100%。</w:t>
            </w:r>
          </w:p>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社会认同度=100%*60%</w:t>
            </w:r>
            <w:r>
              <w:rPr>
                <w:rFonts w:cs="宋体" w:asciiTheme="minorEastAsia" w:hAnsiTheme="minorEastAsia" w:eastAsiaTheme="minorEastAsia"/>
                <w:kern w:val="0"/>
                <w:sz w:val="18"/>
                <w:szCs w:val="18"/>
              </w:rPr>
              <w:t>+</w:t>
            </w:r>
            <w:r>
              <w:rPr>
                <w:rFonts w:hint="eastAsia" w:cs="宋体" w:asciiTheme="minorEastAsia" w:hAnsiTheme="minorEastAsia" w:eastAsiaTheme="minorEastAsia"/>
                <w:kern w:val="0"/>
                <w:sz w:val="18"/>
                <w:szCs w:val="18"/>
              </w:rPr>
              <w:t>60.32%*40%=</w:t>
            </w:r>
            <w:r>
              <w:rPr>
                <w:rFonts w:cs="宋体" w:asciiTheme="minorEastAsia" w:hAnsiTheme="minorEastAsia" w:eastAsiaTheme="minorEastAsia"/>
                <w:kern w:val="0"/>
                <w:sz w:val="18"/>
                <w:szCs w:val="18"/>
              </w:rPr>
              <w:t>84.12%</w:t>
            </w:r>
            <w:r>
              <w:rPr>
                <w:rFonts w:hint="eastAsia" w:cs="宋体" w:asciiTheme="minorEastAsia" w:hAnsiTheme="minorEastAsia" w:eastAsiaTheme="minorEastAsia"/>
                <w:kern w:val="0"/>
                <w:sz w:val="18"/>
                <w:szCs w:val="18"/>
              </w:rPr>
              <w:t>，该指标得8.41分=</w:t>
            </w:r>
            <w:r>
              <w:rPr>
                <w:rFonts w:cs="宋体" w:asciiTheme="minorEastAsia" w:hAnsiTheme="minorEastAsia" w:eastAsiaTheme="minorEastAsia"/>
                <w:kern w:val="0"/>
                <w:sz w:val="18"/>
                <w:szCs w:val="18"/>
              </w:rPr>
              <w:t>84.12%</w:t>
            </w:r>
            <w:r>
              <w:rPr>
                <w:rFonts w:hint="eastAsia" w:cs="宋体" w:asciiTheme="minorEastAsia" w:hAnsiTheme="minorEastAsia" w:eastAsiaTheme="minorEastAsia"/>
                <w:kern w:val="0"/>
                <w:sz w:val="18"/>
                <w:szCs w:val="18"/>
              </w:rPr>
              <w:t>*10</w:t>
            </w:r>
          </w:p>
        </w:tc>
      </w:tr>
      <w:tr>
        <w:tblPrEx>
          <w:tblCellMar>
            <w:top w:w="0" w:type="dxa"/>
            <w:left w:w="108" w:type="dxa"/>
            <w:bottom w:w="0" w:type="dxa"/>
            <w:right w:w="108" w:type="dxa"/>
          </w:tblCellMar>
        </w:tblPrEx>
        <w:trPr>
          <w:trHeight w:val="3684" w:hRule="atLeast"/>
        </w:trPr>
        <w:tc>
          <w:tcPr>
            <w:tcW w:w="975" w:type="dxa"/>
            <w:vMerge w:val="continue"/>
            <w:tcBorders>
              <w:top w:val="single" w:color="auto" w:sz="4" w:space="0"/>
              <w:left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restart"/>
            <w:tcBorders>
              <w:top w:val="nil"/>
              <w:left w:val="single" w:color="auto" w:sz="4" w:space="0"/>
              <w:bottom w:val="single" w:color="000000"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可持续发展</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购买护理人员培训次数</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20</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每年至少安排一期以提高部门员工素质或工作能力为目标的定期培训，至少安排二期以提高员工业务操作能力为目的不定期培训。</w:t>
            </w:r>
            <w:r>
              <w:rPr>
                <w:rFonts w:hint="eastAsia" w:cs="宋体" w:asciiTheme="minorEastAsia" w:hAnsiTheme="minorEastAsia" w:eastAsiaTheme="minorEastAsia"/>
                <w:kern w:val="0"/>
                <w:sz w:val="18"/>
                <w:szCs w:val="18"/>
              </w:rPr>
              <w:br w:type="textWrapping"/>
            </w:r>
            <w:r>
              <w:rPr>
                <w:rFonts w:hint="eastAsia" w:cs="宋体" w:asciiTheme="minorEastAsia" w:hAnsiTheme="minorEastAsia" w:eastAsiaTheme="minorEastAsia"/>
                <w:kern w:val="0"/>
                <w:sz w:val="18"/>
                <w:szCs w:val="18"/>
              </w:rPr>
              <w:t>因年初未设置指标，该指标最高得分50%，完成的得10分，未完成按完成率计分：得分=已培训次数/3×本指标分值的50%。</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8</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根据市福利院提供的韶关市新雅物业服务有限公司培训材料，该公司2022年举办了3场关于护理知识、康复护理知识和员工情感教育等方面的培训，培训签到分别19人、29人、28人；2023年举办了3场关于护理技能、传染病护理等方面的培训，培训签到分别31人、29人、28人。培训次数已完成目标的100%=[(3/3*100%+3/3*100%)/2]，但由于2022年及2023年两年参加培训的人员几乎为相同人员，未能覆盖劳务派遣的所有护理人员，因此酌情扣2分，且年初未设置该指标，该指标得8分=（20*50%-2)。</w:t>
            </w:r>
          </w:p>
        </w:tc>
      </w:tr>
      <w:tr>
        <w:tblPrEx>
          <w:tblCellMar>
            <w:top w:w="0" w:type="dxa"/>
            <w:left w:w="108" w:type="dxa"/>
            <w:bottom w:w="0" w:type="dxa"/>
            <w:right w:w="108" w:type="dxa"/>
          </w:tblCellMar>
        </w:tblPrEx>
        <w:trPr>
          <w:trHeight w:val="3666" w:hRule="atLeast"/>
        </w:trPr>
        <w:tc>
          <w:tcPr>
            <w:tcW w:w="975" w:type="dxa"/>
            <w:vMerge w:val="continue"/>
            <w:tcBorders>
              <w:left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vMerge w:val="continue"/>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1033" w:type="dxa"/>
            <w:vMerge w:val="continue"/>
            <w:tcBorders>
              <w:top w:val="nil"/>
              <w:left w:val="single" w:color="auto" w:sz="4" w:space="0"/>
              <w:bottom w:val="single" w:color="000000"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培训考核通过率</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10</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因年初未设置指标，该指标最高得分50%，培训结束后考核通过率95%以上，得5分；考核通过率70%-95%，得分=考核通过人数/培训总人数×本指标分值的50%；考核通过率70%（不含70%）以下，不得分。</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5</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韶关市新雅物业服务有限公司2022年已举办了3场培训，参与培训人数分别为19人、29人、28人，培训结束后通过考核人数分别为19人、29人、28人，通过率为100%=[(19/19+29/29+28/28)/3]；2023年已举办了3场培训，参与培训人数分别为31人、29人、28人，培训结束后通过考核人数分别为31人、29人、28人，通过率为100%=[(31/31+29/29+28/28)/3]；2022-2023年两年平均通过率为100%=(100%+100%)/2已达95%以上，因年初未设置该指标，该指标得分5分。</w:t>
            </w:r>
          </w:p>
        </w:tc>
      </w:tr>
      <w:tr>
        <w:tblPrEx>
          <w:tblCellMar>
            <w:top w:w="0" w:type="dxa"/>
            <w:left w:w="108" w:type="dxa"/>
            <w:bottom w:w="0" w:type="dxa"/>
            <w:right w:w="108" w:type="dxa"/>
          </w:tblCellMar>
        </w:tblPrEx>
        <w:trPr>
          <w:trHeight w:val="1219" w:hRule="atLeast"/>
        </w:trPr>
        <w:tc>
          <w:tcPr>
            <w:tcW w:w="975" w:type="dxa"/>
            <w:vMerge w:val="continue"/>
            <w:tcBorders>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p>
        </w:tc>
        <w:tc>
          <w:tcPr>
            <w:tcW w:w="976" w:type="dxa"/>
            <w:tcBorders>
              <w:top w:val="nil"/>
              <w:left w:val="single" w:color="auto" w:sz="4" w:space="0"/>
              <w:bottom w:val="single" w:color="auto" w:sz="4" w:space="0"/>
              <w:right w:val="single" w:color="auto" w:sz="4" w:space="0"/>
            </w:tcBorders>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公平性</w:t>
            </w:r>
          </w:p>
        </w:tc>
        <w:tc>
          <w:tcPr>
            <w:tcW w:w="1033" w:type="dxa"/>
            <w:tcBorders>
              <w:top w:val="nil"/>
              <w:left w:val="single" w:color="auto" w:sz="4" w:space="0"/>
              <w:bottom w:val="single" w:color="000000" w:sz="4" w:space="0"/>
              <w:right w:val="single" w:color="auto" w:sz="4" w:space="0"/>
            </w:tcBorders>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满意度</w:t>
            </w:r>
          </w:p>
        </w:tc>
        <w:tc>
          <w:tcPr>
            <w:tcW w:w="972"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服务对象满意度</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5</w:t>
            </w:r>
          </w:p>
        </w:tc>
        <w:tc>
          <w:tcPr>
            <w:tcW w:w="6187"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表示满意的服务对象数/项目覆盖范围内接受调查的对象总数*指标分值。</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4.98</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针对院内特困老人、孤残儿童和托养儿童发放满意度调查问卷，回收有效问卷数24份，综合满意度为99.58%，该指标得4.98分=5*99.58%。</w:t>
            </w:r>
          </w:p>
        </w:tc>
      </w:tr>
      <w:tr>
        <w:tblPrEx>
          <w:tblCellMar>
            <w:top w:w="0" w:type="dxa"/>
            <w:left w:w="108" w:type="dxa"/>
            <w:bottom w:w="0" w:type="dxa"/>
            <w:right w:w="108" w:type="dxa"/>
          </w:tblCellMar>
        </w:tblPrEx>
        <w:trPr>
          <w:trHeight w:val="744" w:hRule="atLeast"/>
        </w:trPr>
        <w:tc>
          <w:tcPr>
            <w:tcW w:w="395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合计</w:t>
            </w:r>
          </w:p>
        </w:tc>
        <w:tc>
          <w:tcPr>
            <w:tcW w:w="758"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100</w:t>
            </w:r>
          </w:p>
        </w:tc>
        <w:tc>
          <w:tcPr>
            <w:tcW w:w="6187" w:type="dxa"/>
            <w:tcBorders>
              <w:top w:val="single" w:color="auto" w:sz="4" w:space="0"/>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绩效评价结果分为优、良、中、低、差五个等级，其中90分及以上为优，80～90分为良，70～80分为中，60～70分为低，60分以下为差。</w:t>
            </w:r>
          </w:p>
        </w:tc>
        <w:tc>
          <w:tcPr>
            <w:tcW w:w="70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center"/>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73.38</w:t>
            </w:r>
          </w:p>
        </w:tc>
        <w:tc>
          <w:tcPr>
            <w:tcW w:w="3119" w:type="dxa"/>
            <w:tcBorders>
              <w:top w:val="nil"/>
              <w:left w:val="nil"/>
              <w:bottom w:val="single" w:color="auto" w:sz="4" w:space="0"/>
              <w:right w:val="single" w:color="auto" w:sz="4" w:space="0"/>
            </w:tcBorders>
            <w:shd w:val="clear" w:color="auto" w:fill="auto"/>
            <w:vAlign w:val="center"/>
          </w:tcPr>
          <w:p>
            <w:pPr>
              <w:widowControl/>
              <w:adjustRightInd/>
              <w:snapToGrid/>
              <w:spacing w:line="240" w:lineRule="auto"/>
              <w:ind w:firstLine="0" w:firstLineChars="0"/>
              <w:jc w:val="left"/>
              <w:rPr>
                <w:rFonts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绩效评价结果等级为“中” </w:t>
            </w:r>
          </w:p>
        </w:tc>
      </w:tr>
    </w:tbl>
    <w:p>
      <w:pPr>
        <w:ind w:firstLine="643"/>
        <w:jc w:val="center"/>
        <w:rPr>
          <w:rFonts w:asciiTheme="majorEastAsia" w:hAnsiTheme="majorEastAsia" w:eastAsiaTheme="majorEastAsia"/>
          <w:b/>
          <w:bCs/>
          <w:color w:val="000000" w:themeColor="text1"/>
          <w:szCs w:val="32"/>
          <w14:textFill>
            <w14:solidFill>
              <w14:schemeClr w14:val="tx1"/>
            </w14:solidFill>
          </w14:textFill>
        </w:rPr>
      </w:pPr>
    </w:p>
    <w:p>
      <w:pPr>
        <w:ind w:firstLine="643"/>
        <w:jc w:val="center"/>
        <w:rPr>
          <w:rFonts w:asciiTheme="majorEastAsia" w:hAnsiTheme="majorEastAsia" w:eastAsiaTheme="majorEastAsia"/>
          <w:b/>
          <w:bCs/>
          <w:color w:val="000000" w:themeColor="text1"/>
          <w:szCs w:val="32"/>
          <w14:textFill>
            <w14:solidFill>
              <w14:schemeClr w14:val="tx1"/>
            </w14:solidFill>
          </w14:textFill>
        </w:rPr>
        <w:sectPr>
          <w:footnotePr>
            <w:numRestart w:val="eachPage"/>
          </w:footnotePr>
          <w:pgSz w:w="16838" w:h="11906" w:orient="landscape"/>
          <w:pgMar w:top="850" w:right="1021" w:bottom="850" w:left="1134" w:header="624" w:footer="368" w:gutter="0"/>
          <w:pgNumType w:fmt="numberInDash"/>
          <w:cols w:space="0" w:num="1"/>
          <w:docGrid w:linePitch="435" w:charSpace="0"/>
        </w:sectPr>
      </w:pPr>
    </w:p>
    <w:p>
      <w:pPr>
        <w:pStyle w:val="3"/>
        <w:ind w:firstLine="0" w:firstLineChars="0"/>
        <w:rPr>
          <w:rFonts w:hint="eastAsia" w:ascii="仿宋_GB2312" w:hAnsi="仿宋_GB2312" w:eastAsia="仿宋_GB2312" w:cs="仿宋_GB2312"/>
          <w:b w:val="0"/>
          <w:bCs/>
        </w:rPr>
      </w:pPr>
      <w:bookmarkStart w:id="50" w:name="_Toc117542380"/>
      <w:bookmarkStart w:id="51" w:name="_Toc54077328"/>
      <w:bookmarkStart w:id="52" w:name="_Toc178147165"/>
      <w:r>
        <w:rPr>
          <w:rFonts w:hint="eastAsia" w:ascii="仿宋_GB2312" w:hAnsi="仿宋_GB2312" w:eastAsia="仿宋_GB2312" w:cs="仿宋_GB2312"/>
          <w:b w:val="0"/>
          <w:bCs/>
        </w:rPr>
        <w:t>附件2</w:t>
      </w:r>
      <w:bookmarkEnd w:id="50"/>
      <w:bookmarkEnd w:id="51"/>
      <w:bookmarkEnd w:id="52"/>
    </w:p>
    <w:p>
      <w:pPr>
        <w:ind w:firstLine="643"/>
        <w:jc w:val="center"/>
        <w:rPr>
          <w:rFonts w:hint="eastAsia" w:ascii="仿宋_GB2312" w:hAnsi="仿宋_GB2312" w:eastAsia="仿宋_GB2312" w:cs="仿宋_GB2312"/>
          <w:b w:val="0"/>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2022-2023年韶关市社会福利院护理服务费和后勤保障服务项目绩效评价小组成员名单</w:t>
      </w:r>
    </w:p>
    <w:tbl>
      <w:tblPr>
        <w:tblStyle w:val="33"/>
        <w:tblW w:w="918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850"/>
        <w:gridCol w:w="1134"/>
        <w:gridCol w:w="2115"/>
        <w:gridCol w:w="43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blHeader/>
          <w:jc w:val="center"/>
        </w:trPr>
        <w:tc>
          <w:tcPr>
            <w:tcW w:w="70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pPr>
            <w:r>
              <w:rPr>
                <w:rFonts w:hint="eastAsia"/>
              </w:rPr>
              <w:t>序号</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pPr>
            <w:r>
              <w:rPr>
                <w:rFonts w:hint="eastAsia"/>
              </w:rPr>
              <w:t>姓名</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pPr>
            <w:r>
              <w:rPr>
                <w:rFonts w:hint="eastAsia"/>
              </w:rPr>
              <w:t>职务</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工作单位</w:t>
            </w:r>
          </w:p>
        </w:tc>
        <w:tc>
          <w:tcPr>
            <w:tcW w:w="4374" w:type="dxa"/>
            <w:tcBorders>
              <w:top w:val="single" w:color="auto" w:sz="4" w:space="0"/>
              <w:left w:val="single" w:color="auto" w:sz="4" w:space="0"/>
              <w:bottom w:val="single" w:color="auto" w:sz="4" w:space="0"/>
              <w:right w:val="single" w:color="auto" w:sz="4" w:space="0"/>
            </w:tcBorders>
            <w:shd w:val="clear" w:color="auto" w:fill="auto"/>
            <w:vAlign w:val="center"/>
          </w:tcPr>
          <w:p>
            <w:pPr>
              <w:pStyle w:val="225"/>
            </w:pPr>
            <w:r>
              <w:rPr>
                <w:rFonts w:hint="eastAsia"/>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1</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邱中华</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合伙人</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韶关中一</w:t>
            </w:r>
          </w:p>
        </w:tc>
        <w:tc>
          <w:tcPr>
            <w:tcW w:w="4374" w:type="dxa"/>
            <w:tcBorders>
              <w:top w:val="single" w:color="auto" w:sz="4" w:space="0"/>
              <w:left w:val="single" w:color="auto" w:sz="4" w:space="0"/>
              <w:bottom w:val="single" w:color="auto" w:sz="4" w:space="0"/>
              <w:right w:val="single" w:color="auto" w:sz="4" w:space="0"/>
            </w:tcBorders>
            <w:vAlign w:val="center"/>
          </w:tcPr>
          <w:p>
            <w:pPr>
              <w:pStyle w:val="225"/>
              <w:jc w:val="left"/>
            </w:pPr>
            <w:r>
              <w:rPr>
                <w:rFonts w:hint="eastAsia"/>
              </w:rPr>
              <w:t>负责评价工作质量把关、关键环节跟踪监控。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2"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2</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钟敏玲</w:t>
            </w:r>
          </w:p>
        </w:tc>
        <w:tc>
          <w:tcPr>
            <w:tcW w:w="1134"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项目经理</w:t>
            </w:r>
          </w:p>
        </w:tc>
        <w:tc>
          <w:tcPr>
            <w:tcW w:w="2115"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韶关中一</w:t>
            </w:r>
          </w:p>
        </w:tc>
        <w:tc>
          <w:tcPr>
            <w:tcW w:w="4374" w:type="dxa"/>
            <w:tcBorders>
              <w:top w:val="single" w:color="auto" w:sz="4" w:space="0"/>
              <w:left w:val="single" w:color="auto" w:sz="4" w:space="0"/>
              <w:bottom w:val="single" w:color="auto" w:sz="4" w:space="0"/>
              <w:right w:val="single" w:color="auto" w:sz="4" w:space="0"/>
            </w:tcBorders>
            <w:vAlign w:val="center"/>
          </w:tcPr>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（1）项目负责人，统筹项目、把控项目质量。</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（2）负责与市财局、被评价单位沟通；</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（3）确保评价小组按照评价目的、评价指标体系实施评价；</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（4）督促并协调评价小组成员的工作并管理日常工作；</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（5）编写评价报告并负责报告最终定稿。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3</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黄素琼</w:t>
            </w:r>
          </w:p>
        </w:tc>
        <w:tc>
          <w:tcPr>
            <w:tcW w:w="1134" w:type="dxa"/>
            <w:vMerge w:val="restart"/>
            <w:tcBorders>
              <w:top w:val="single" w:color="auto" w:sz="4" w:space="0"/>
              <w:left w:val="single" w:color="auto" w:sz="4" w:space="0"/>
              <w:right w:val="single" w:color="auto" w:sz="4" w:space="0"/>
            </w:tcBorders>
            <w:vAlign w:val="center"/>
          </w:tcPr>
          <w:p>
            <w:pPr>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项目成员</w:t>
            </w:r>
          </w:p>
        </w:tc>
        <w:tc>
          <w:tcPr>
            <w:tcW w:w="2115" w:type="dxa"/>
            <w:vMerge w:val="restart"/>
            <w:tcBorders>
              <w:top w:val="single" w:color="auto" w:sz="4" w:space="0"/>
              <w:left w:val="single" w:color="auto" w:sz="4" w:space="0"/>
              <w:right w:val="single" w:color="auto" w:sz="4" w:space="0"/>
            </w:tcBorders>
            <w:vAlign w:val="center"/>
          </w:tcPr>
          <w:p>
            <w:pPr>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韶关中一</w:t>
            </w:r>
          </w:p>
        </w:tc>
        <w:tc>
          <w:tcPr>
            <w:tcW w:w="4374" w:type="dxa"/>
            <w:vMerge w:val="restart"/>
            <w:tcBorders>
              <w:top w:val="single" w:color="auto" w:sz="4" w:space="0"/>
              <w:left w:val="single" w:color="auto" w:sz="4" w:space="0"/>
              <w:right w:val="single" w:color="auto" w:sz="4" w:space="0"/>
            </w:tcBorders>
            <w:vAlign w:val="center"/>
          </w:tcPr>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（1）负责评价材料的收集整理工作；</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（2）协助编写评价报告；</w:t>
            </w:r>
          </w:p>
          <w:p>
            <w:pPr>
              <w:ind w:firstLine="0" w:firstLineChars="0"/>
              <w:rPr>
                <w:rFonts w:asciiTheme="minorEastAsia" w:hAnsiTheme="minorEastAsia" w:eastAsiaTheme="minorEastAsia"/>
                <w:sz w:val="18"/>
                <w:szCs w:val="18"/>
              </w:rPr>
            </w:pPr>
            <w:r>
              <w:rPr>
                <w:rFonts w:hint="eastAsia" w:asciiTheme="minorEastAsia" w:hAnsiTheme="minorEastAsia" w:eastAsiaTheme="minorEastAsia"/>
                <w:sz w:val="18"/>
                <w:szCs w:val="18"/>
              </w:rPr>
              <w:t>（3）与本次评价相关的其他事项。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4</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李艳明</w:t>
            </w:r>
          </w:p>
        </w:tc>
        <w:tc>
          <w:tcPr>
            <w:tcW w:w="1134" w:type="dxa"/>
            <w:vMerge w:val="continue"/>
            <w:tcBorders>
              <w:left w:val="single" w:color="auto" w:sz="4" w:space="0"/>
              <w:right w:val="single" w:color="auto" w:sz="4" w:space="0"/>
            </w:tcBorders>
            <w:vAlign w:val="center"/>
          </w:tcPr>
          <w:p>
            <w:pPr>
              <w:pStyle w:val="225"/>
            </w:pPr>
          </w:p>
        </w:tc>
        <w:tc>
          <w:tcPr>
            <w:tcW w:w="2115" w:type="dxa"/>
            <w:vMerge w:val="continue"/>
            <w:tcBorders>
              <w:left w:val="single" w:color="auto" w:sz="4" w:space="0"/>
              <w:right w:val="single" w:color="auto" w:sz="4" w:space="0"/>
            </w:tcBorders>
            <w:vAlign w:val="center"/>
          </w:tcPr>
          <w:p>
            <w:pPr>
              <w:pStyle w:val="225"/>
            </w:pPr>
          </w:p>
        </w:tc>
        <w:tc>
          <w:tcPr>
            <w:tcW w:w="4374" w:type="dxa"/>
            <w:vMerge w:val="continue"/>
            <w:tcBorders>
              <w:left w:val="single" w:color="auto" w:sz="4" w:space="0"/>
              <w:right w:val="single" w:color="auto" w:sz="4" w:space="0"/>
            </w:tcBorders>
            <w:vAlign w:val="center"/>
          </w:tcPr>
          <w:p>
            <w:pPr>
              <w:pStyle w:val="2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09" w:type="dxa"/>
            <w:tcBorders>
              <w:top w:val="single" w:color="auto" w:sz="4" w:space="0"/>
              <w:left w:val="single" w:color="auto" w:sz="4" w:space="0"/>
              <w:bottom w:val="single" w:color="auto" w:sz="4" w:space="0"/>
              <w:right w:val="single" w:color="auto" w:sz="4" w:space="0"/>
            </w:tcBorders>
            <w:vAlign w:val="center"/>
          </w:tcPr>
          <w:p>
            <w:pPr>
              <w:pStyle w:val="225"/>
            </w:pPr>
            <w:r>
              <w:t>5</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卢铱卉</w:t>
            </w:r>
          </w:p>
        </w:tc>
        <w:tc>
          <w:tcPr>
            <w:tcW w:w="1134" w:type="dxa"/>
            <w:vMerge w:val="continue"/>
            <w:tcBorders>
              <w:left w:val="single" w:color="auto" w:sz="4" w:space="0"/>
              <w:right w:val="single" w:color="auto" w:sz="4" w:space="0"/>
            </w:tcBorders>
            <w:vAlign w:val="center"/>
          </w:tcPr>
          <w:p>
            <w:pPr>
              <w:pStyle w:val="225"/>
            </w:pPr>
          </w:p>
        </w:tc>
        <w:tc>
          <w:tcPr>
            <w:tcW w:w="2115" w:type="dxa"/>
            <w:vMerge w:val="continue"/>
            <w:tcBorders>
              <w:left w:val="single" w:color="auto" w:sz="4" w:space="0"/>
              <w:right w:val="single" w:color="auto" w:sz="4" w:space="0"/>
            </w:tcBorders>
            <w:vAlign w:val="center"/>
          </w:tcPr>
          <w:p>
            <w:pPr>
              <w:pStyle w:val="225"/>
            </w:pPr>
          </w:p>
        </w:tc>
        <w:tc>
          <w:tcPr>
            <w:tcW w:w="4374" w:type="dxa"/>
            <w:vMerge w:val="continue"/>
            <w:tcBorders>
              <w:left w:val="single" w:color="auto" w:sz="4" w:space="0"/>
              <w:right w:val="single" w:color="auto" w:sz="4" w:space="0"/>
            </w:tcBorders>
            <w:vAlign w:val="center"/>
          </w:tcPr>
          <w:p>
            <w:pPr>
              <w:pStyle w:val="2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709" w:type="dxa"/>
            <w:tcBorders>
              <w:top w:val="single" w:color="auto" w:sz="4" w:space="0"/>
              <w:left w:val="single" w:color="auto" w:sz="4" w:space="0"/>
              <w:right w:val="single" w:color="auto" w:sz="4" w:space="0"/>
            </w:tcBorders>
            <w:vAlign w:val="center"/>
          </w:tcPr>
          <w:p>
            <w:pPr>
              <w:pStyle w:val="225"/>
            </w:pPr>
            <w:r>
              <w:t>6</w:t>
            </w:r>
          </w:p>
        </w:tc>
        <w:tc>
          <w:tcPr>
            <w:tcW w:w="850" w:type="dxa"/>
            <w:tcBorders>
              <w:top w:val="single" w:color="auto" w:sz="4" w:space="0"/>
              <w:left w:val="single" w:color="auto" w:sz="4" w:space="0"/>
              <w:bottom w:val="single" w:color="auto" w:sz="4" w:space="0"/>
              <w:right w:val="single" w:color="auto" w:sz="4" w:space="0"/>
            </w:tcBorders>
            <w:vAlign w:val="center"/>
          </w:tcPr>
          <w:p>
            <w:pPr>
              <w:spacing w:line="240" w:lineRule="auto"/>
              <w:ind w:firstLine="0" w:firstLineChars="0"/>
              <w:jc w:val="center"/>
              <w:rPr>
                <w:rFonts w:asciiTheme="minorEastAsia" w:hAnsiTheme="minorEastAsia" w:eastAsiaTheme="minorEastAsia"/>
                <w:sz w:val="18"/>
                <w:szCs w:val="18"/>
              </w:rPr>
            </w:pPr>
            <w:r>
              <w:rPr>
                <w:rFonts w:hint="eastAsia" w:asciiTheme="minorEastAsia" w:hAnsiTheme="minorEastAsia" w:eastAsiaTheme="minorEastAsia"/>
                <w:sz w:val="18"/>
                <w:szCs w:val="18"/>
              </w:rPr>
              <w:t>刘丽婷</w:t>
            </w:r>
          </w:p>
        </w:tc>
        <w:tc>
          <w:tcPr>
            <w:tcW w:w="1134" w:type="dxa"/>
            <w:vMerge w:val="continue"/>
            <w:tcBorders>
              <w:left w:val="single" w:color="auto" w:sz="4" w:space="0"/>
              <w:right w:val="single" w:color="auto" w:sz="4" w:space="0"/>
            </w:tcBorders>
            <w:vAlign w:val="center"/>
          </w:tcPr>
          <w:p>
            <w:pPr>
              <w:pStyle w:val="225"/>
            </w:pPr>
          </w:p>
        </w:tc>
        <w:tc>
          <w:tcPr>
            <w:tcW w:w="2115" w:type="dxa"/>
            <w:vMerge w:val="continue"/>
            <w:tcBorders>
              <w:left w:val="single" w:color="auto" w:sz="4" w:space="0"/>
              <w:right w:val="single" w:color="auto" w:sz="4" w:space="0"/>
            </w:tcBorders>
            <w:vAlign w:val="center"/>
          </w:tcPr>
          <w:p>
            <w:pPr>
              <w:pStyle w:val="225"/>
            </w:pPr>
          </w:p>
        </w:tc>
        <w:tc>
          <w:tcPr>
            <w:tcW w:w="4374" w:type="dxa"/>
            <w:vMerge w:val="continue"/>
            <w:tcBorders>
              <w:left w:val="single" w:color="auto" w:sz="4" w:space="0"/>
              <w:right w:val="single" w:color="auto" w:sz="4" w:space="0"/>
            </w:tcBorders>
            <w:vAlign w:val="center"/>
          </w:tcPr>
          <w:p>
            <w:pPr>
              <w:pStyle w:val="225"/>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jc w:val="center"/>
        </w:trPr>
        <w:tc>
          <w:tcPr>
            <w:tcW w:w="709" w:type="dxa"/>
            <w:tcBorders>
              <w:top w:val="single" w:color="auto" w:sz="4" w:space="0"/>
              <w:left w:val="single" w:color="auto" w:sz="4" w:space="0"/>
              <w:right w:val="single" w:color="auto" w:sz="4" w:space="0"/>
            </w:tcBorders>
            <w:vAlign w:val="center"/>
          </w:tcPr>
          <w:p>
            <w:pPr>
              <w:pStyle w:val="225"/>
            </w:pPr>
            <w:r>
              <w:t>7</w:t>
            </w:r>
          </w:p>
        </w:tc>
        <w:tc>
          <w:tcPr>
            <w:tcW w:w="850" w:type="dxa"/>
            <w:tcBorders>
              <w:top w:val="single" w:color="auto" w:sz="4" w:space="0"/>
              <w:left w:val="single" w:color="auto" w:sz="4" w:space="0"/>
              <w:bottom w:val="single" w:color="auto" w:sz="4" w:space="0"/>
              <w:right w:val="single" w:color="auto" w:sz="4" w:space="0"/>
            </w:tcBorders>
            <w:vAlign w:val="center"/>
          </w:tcPr>
          <w:p>
            <w:pPr>
              <w:pStyle w:val="225"/>
            </w:pPr>
            <w:r>
              <w:rPr>
                <w:rFonts w:hint="eastAsia"/>
              </w:rPr>
              <w:t>王淑琪</w:t>
            </w:r>
          </w:p>
        </w:tc>
        <w:tc>
          <w:tcPr>
            <w:tcW w:w="1134" w:type="dxa"/>
            <w:vMerge w:val="continue"/>
            <w:tcBorders>
              <w:left w:val="single" w:color="auto" w:sz="4" w:space="0"/>
              <w:right w:val="single" w:color="auto" w:sz="4" w:space="0"/>
            </w:tcBorders>
            <w:vAlign w:val="center"/>
          </w:tcPr>
          <w:p>
            <w:pPr>
              <w:pStyle w:val="225"/>
            </w:pPr>
          </w:p>
        </w:tc>
        <w:tc>
          <w:tcPr>
            <w:tcW w:w="2115" w:type="dxa"/>
            <w:vMerge w:val="continue"/>
            <w:tcBorders>
              <w:left w:val="single" w:color="auto" w:sz="4" w:space="0"/>
              <w:right w:val="single" w:color="auto" w:sz="4" w:space="0"/>
            </w:tcBorders>
            <w:vAlign w:val="center"/>
          </w:tcPr>
          <w:p>
            <w:pPr>
              <w:pStyle w:val="225"/>
            </w:pPr>
          </w:p>
        </w:tc>
        <w:tc>
          <w:tcPr>
            <w:tcW w:w="4374" w:type="dxa"/>
            <w:vMerge w:val="continue"/>
            <w:tcBorders>
              <w:left w:val="single" w:color="auto" w:sz="4" w:space="0"/>
              <w:right w:val="single" w:color="auto" w:sz="4" w:space="0"/>
            </w:tcBorders>
            <w:vAlign w:val="center"/>
          </w:tcPr>
          <w:p>
            <w:pPr>
              <w:pStyle w:val="225"/>
            </w:pPr>
          </w:p>
        </w:tc>
      </w:tr>
    </w:tbl>
    <w:p>
      <w:pPr>
        <w:tabs>
          <w:tab w:val="left" w:pos="524"/>
        </w:tabs>
        <w:ind w:firstLine="0" w:firstLineChars="0"/>
        <w:sectPr>
          <w:footnotePr>
            <w:numRestart w:val="eachPage"/>
          </w:footnotePr>
          <w:pgSz w:w="11906" w:h="16838"/>
          <w:pgMar w:top="850" w:right="1021" w:bottom="850" w:left="1134" w:header="851" w:footer="709" w:gutter="0"/>
          <w:pgNumType w:fmt="numberInDash"/>
          <w:cols w:space="0" w:num="1"/>
          <w:docGrid w:linePitch="435" w:charSpace="0"/>
        </w:sectPr>
      </w:pPr>
      <w:r>
        <w:tab/>
      </w:r>
    </w:p>
    <w:p>
      <w:pPr>
        <w:pStyle w:val="3"/>
        <w:ind w:firstLine="0" w:firstLineChars="0"/>
        <w:rPr>
          <w:rFonts w:hint="eastAsia" w:ascii="仿宋_GB2312" w:hAnsi="仿宋_GB2312" w:eastAsia="仿宋_GB2312" w:cs="仿宋_GB2312"/>
          <w:b w:val="0"/>
          <w:bCs/>
          <w:color w:val="000000" w:themeColor="text1"/>
          <w:szCs w:val="32"/>
          <w14:textFill>
            <w14:solidFill>
              <w14:schemeClr w14:val="tx1"/>
            </w14:solidFill>
          </w14:textFill>
        </w:rPr>
      </w:pPr>
      <w:bookmarkStart w:id="53" w:name="_Toc178147166"/>
      <w:r>
        <w:rPr>
          <w:rFonts w:hint="eastAsia" w:ascii="仿宋_GB2312" w:hAnsi="仿宋_GB2312" w:eastAsia="仿宋_GB2312" w:cs="仿宋_GB2312"/>
          <w:b w:val="0"/>
          <w:bCs/>
        </w:rPr>
        <w:t>附件3</w:t>
      </w:r>
      <w:bookmarkEnd w:id="53"/>
    </w:p>
    <w:p>
      <w:pPr>
        <w:ind w:firstLine="643"/>
        <w:jc w:val="center"/>
        <w:rPr>
          <w:rFonts w:asciiTheme="majorEastAsia" w:hAnsiTheme="majorEastAsia" w:eastAsiaTheme="majorEastAsia"/>
          <w:b/>
          <w:bCs/>
          <w:color w:val="000000" w:themeColor="text1"/>
          <w:szCs w:val="32"/>
          <w14:textFill>
            <w14:solidFill>
              <w14:schemeClr w14:val="tx1"/>
            </w14:solidFill>
          </w14:textFill>
        </w:rPr>
      </w:pPr>
      <w:r>
        <w:rPr>
          <w:rFonts w:hint="eastAsia" w:ascii="仿宋_GB2312" w:hAnsi="仿宋_GB2312" w:eastAsia="仿宋_GB2312" w:cs="仿宋_GB2312"/>
          <w:b w:val="0"/>
          <w:bCs/>
          <w:color w:val="000000" w:themeColor="text1"/>
          <w:szCs w:val="32"/>
          <w14:textFill>
            <w14:solidFill>
              <w14:schemeClr w14:val="tx1"/>
            </w14:solidFill>
          </w14:textFill>
        </w:rPr>
        <w:t>2022-2023年韶关市社会福利院护理服务费和后勤保障服务项目社会效益和满意度问卷调查结果</w:t>
      </w:r>
    </w:p>
    <w:p>
      <w:pPr>
        <w:ind w:firstLine="560"/>
        <w:rPr>
          <w:rFonts w:ascii="Times New Roman" w:hAnsi="Times New Roman"/>
          <w:color w:val="000000" w:themeColor="text1"/>
          <w:sz w:val="28"/>
          <w:szCs w:val="28"/>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1.</w:t>
      </w:r>
      <w:r>
        <w:rPr>
          <w:rFonts w:hint="eastAsia" w:ascii="仿宋_GB2312" w:hAnsi="仿宋_GB2312" w:eastAsia="仿宋_GB2312" w:cs="仿宋_GB2312"/>
          <w:b w:val="0"/>
          <w:bCs w:val="0"/>
        </w:rPr>
        <w:t xml:space="preserve"> </w:t>
      </w:r>
      <w:r>
        <w:rPr>
          <w:rFonts w:hint="eastAsia" w:ascii="仿宋_GB2312" w:hAnsi="仿宋_GB2312" w:eastAsia="仿宋_GB2312" w:cs="仿宋_GB2312"/>
          <w:b w:val="0"/>
          <w:bCs w:val="0"/>
          <w:color w:val="000000" w:themeColor="text1"/>
          <w:sz w:val="28"/>
          <w:szCs w:val="28"/>
          <w14:textFill>
            <w14:solidFill>
              <w14:schemeClr w14:val="tx1"/>
            </w14:solidFill>
          </w14:textFill>
        </w:rPr>
        <w:t>您认为福利院提供的生活照护服务、医疗服务和后勤保障是否能满足儿童和老年人的需要?   [单选题]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32</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18</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48.03%</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8</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39</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30.71%</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2.</w:t>
      </w:r>
      <w:r>
        <w:rPr>
          <w:rFonts w:hint="eastAsia" w:ascii="仿宋_GB2312" w:hAnsi="仿宋_GB2312" w:eastAsia="仿宋_GB2312" w:cs="仿宋_GB2312"/>
          <w:b w:val="0"/>
          <w:bCs w:val="0"/>
        </w:rPr>
        <w:t xml:space="preserve"> </w:t>
      </w:r>
      <w:r>
        <w:rPr>
          <w:rFonts w:hint="eastAsia" w:ascii="仿宋_GB2312" w:hAnsi="仿宋_GB2312" w:eastAsia="仿宋_GB2312" w:cs="仿宋_GB2312"/>
          <w:b w:val="0"/>
          <w:bCs w:val="0"/>
          <w:color w:val="000000" w:themeColor="text1"/>
          <w:sz w:val="28"/>
          <w:szCs w:val="28"/>
          <w14:textFill>
            <w14:solidFill>
              <w14:schemeClr w14:val="tx1"/>
            </w14:solidFill>
          </w14:textFill>
        </w:rPr>
        <w:t>您认为福利院所提供的各类娱乐活动（如日常兴趣活动、节日系列活动等）是否能满足孤儿、特困老人的需要?  [单选题]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35</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44.88%</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42</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33.07%</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不满足</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5.51%</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3. 您对福利院现有的日常活动、节日系列活动以及大型活动等安排是否满意? [单选题]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44.88%</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28</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44</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34.65%</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20</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15.75%</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4. 您对福利院提供营养餐、膳食服务是否满意？[单选题]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18</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62</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48.82%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38</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29.92%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5、您对福利院的环境、居室和设施是否满意？[单选题]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14</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18</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65</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51.18%</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38</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29.92%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20</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20</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15.75%</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3.15%</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6. 您对于福利院护理人员的服务态度是否满意？（是否和蔼可亲，关爱尊重老人等）[单选题]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14</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35</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73</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57.48%</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32</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25.20%</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12.60%</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7. 您对于护理人员响应孤儿、特困老人需求的及时性是否满意？（是否和蔼可亲，关爱尊重老人等）[单选题]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68</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53.54%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28</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28.35%</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12.60%</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5.51%</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8. 您对于福利院护理人员的技能水平是否满意？（护理人员是否经过专业，持证上岗）[单选题]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68</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53.54%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34</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26.77%</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19</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19</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14.96%</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9. 您对护理人员的工作热情如何评价？（是否对工作认真负责，有耐心等）[单选题]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55.91%</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30</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23.62%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21</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16.54%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3.94%</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640"/>
        <w:rPr>
          <w:rFonts w:hint="eastAsia" w:ascii="仿宋_GB2312" w:hAnsi="仿宋_GB2312" w:eastAsia="仿宋_GB2312" w:cs="仿宋_GB2312"/>
          <w:b w:val="0"/>
          <w:bCs w:val="0"/>
          <w:color w:val="000000" w:themeColor="text1"/>
          <w:szCs w:val="32"/>
          <w14:textFill>
            <w14:solidFill>
              <w14:schemeClr w14:val="tx1"/>
            </w14:solidFill>
          </w14:textFill>
        </w:rPr>
      </w:pPr>
    </w:p>
    <w:p>
      <w:pPr>
        <w:ind w:firstLine="560"/>
        <w:rPr>
          <w:rFonts w:hint="eastAsia" w:ascii="仿宋_GB2312" w:hAnsi="仿宋_GB2312" w:eastAsia="仿宋_GB2312" w:cs="仿宋_GB2312"/>
          <w:b w:val="0"/>
          <w:bCs w:val="0"/>
          <w:color w:val="000000" w:themeColor="text1"/>
          <w:sz w:val="28"/>
          <w:szCs w:val="28"/>
          <w14:textFill>
            <w14:solidFill>
              <w14:schemeClr w14:val="tx1"/>
            </w14:solidFill>
          </w14:textFill>
        </w:rPr>
      </w:pPr>
      <w:r>
        <w:rPr>
          <w:rFonts w:hint="eastAsia" w:ascii="仿宋_GB2312" w:hAnsi="仿宋_GB2312" w:eastAsia="仿宋_GB2312" w:cs="仿宋_GB2312"/>
          <w:b w:val="0"/>
          <w:bCs w:val="0"/>
          <w:color w:val="000000" w:themeColor="text1"/>
          <w:sz w:val="28"/>
          <w:szCs w:val="28"/>
          <w14:textFill>
            <w14:solidFill>
              <w14:schemeClr w14:val="tx1"/>
            </w14:solidFill>
          </w14:textFill>
        </w:rPr>
        <w:t>10. 您对孤儿、特困老人照护服务的整体情况如何评价？[单选题]</w:t>
      </w:r>
    </w:p>
    <w:tbl>
      <w:tblPr>
        <w:tblStyle w:val="33"/>
        <w:tblW w:w="9484" w:type="dxa"/>
        <w:tblInd w:w="93" w:type="dxa"/>
        <w:tblLayout w:type="autofit"/>
        <w:tblCellMar>
          <w:top w:w="0" w:type="dxa"/>
          <w:left w:w="108" w:type="dxa"/>
          <w:bottom w:w="0" w:type="dxa"/>
          <w:right w:w="108" w:type="dxa"/>
        </w:tblCellMar>
      </w:tblPr>
      <w:tblGrid>
        <w:gridCol w:w="2822"/>
        <w:gridCol w:w="1275"/>
        <w:gridCol w:w="1134"/>
        <w:gridCol w:w="1276"/>
        <w:gridCol w:w="1276"/>
        <w:gridCol w:w="1701"/>
      </w:tblGrid>
      <w:tr>
        <w:tblPrEx>
          <w:tblCellMar>
            <w:top w:w="0" w:type="dxa"/>
            <w:left w:w="108" w:type="dxa"/>
            <w:bottom w:w="0" w:type="dxa"/>
            <w:right w:w="108" w:type="dxa"/>
          </w:tblCellMar>
        </w:tblPrEx>
        <w:trPr>
          <w:trHeight w:val="312" w:hRule="atLeast"/>
        </w:trPr>
        <w:tc>
          <w:tcPr>
            <w:tcW w:w="2822"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选项</w:t>
            </w:r>
          </w:p>
        </w:tc>
        <w:tc>
          <w:tcPr>
            <w:tcW w:w="1275"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线上</w:t>
            </w:r>
          </w:p>
        </w:tc>
        <w:tc>
          <w:tcPr>
            <w:tcW w:w="1134"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线下</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服务对象</w:t>
            </w:r>
          </w:p>
        </w:tc>
        <w:tc>
          <w:tcPr>
            <w:tcW w:w="1276"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合计</w:t>
            </w:r>
          </w:p>
        </w:tc>
        <w:tc>
          <w:tcPr>
            <w:tcW w:w="1701" w:type="dxa"/>
            <w:tcBorders>
              <w:top w:val="single" w:color="auto" w:sz="4" w:space="0"/>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百分比</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非常满意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33</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69</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54.33%</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28</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7</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35</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27.56%</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一般</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17</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13.39%</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不满意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4.72%</w:t>
            </w:r>
          </w:p>
        </w:tc>
      </w:tr>
      <w:tr>
        <w:tblPrEx>
          <w:tblCellMar>
            <w:top w:w="0" w:type="dxa"/>
            <w:left w:w="108" w:type="dxa"/>
            <w:bottom w:w="0" w:type="dxa"/>
            <w:right w:w="108" w:type="dxa"/>
          </w:tblCellMar>
        </w:tblPrEx>
        <w:trPr>
          <w:trHeight w:val="312" w:hRule="atLeast"/>
        </w:trPr>
        <w:tc>
          <w:tcPr>
            <w:tcW w:w="2822" w:type="dxa"/>
            <w:tcBorders>
              <w:top w:val="nil"/>
              <w:left w:val="single" w:color="auto" w:sz="4" w:space="0"/>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有效填写量</w:t>
            </w:r>
          </w:p>
        </w:tc>
        <w:tc>
          <w:tcPr>
            <w:tcW w:w="1275"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63</w:t>
            </w:r>
          </w:p>
        </w:tc>
        <w:tc>
          <w:tcPr>
            <w:tcW w:w="1134"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40</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24</w:t>
            </w:r>
          </w:p>
        </w:tc>
        <w:tc>
          <w:tcPr>
            <w:tcW w:w="1276"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127</w:t>
            </w:r>
          </w:p>
        </w:tc>
        <w:tc>
          <w:tcPr>
            <w:tcW w:w="1701" w:type="dxa"/>
            <w:tcBorders>
              <w:top w:val="nil"/>
              <w:left w:val="nil"/>
              <w:bottom w:val="single" w:color="auto" w:sz="4" w:space="0"/>
              <w:right w:val="single" w:color="auto" w:sz="4" w:space="0"/>
            </w:tcBorders>
            <w:shd w:val="clear" w:color="auto" w:fill="auto"/>
            <w:noWrap/>
            <w:vAlign w:val="center"/>
          </w:tcPr>
          <w:p>
            <w:pPr>
              <w:widowControl/>
              <w:adjustRightInd/>
              <w:snapToGrid/>
              <w:spacing w:line="240" w:lineRule="auto"/>
              <w:ind w:firstLine="0" w:firstLineChars="0"/>
              <w:jc w:val="center"/>
              <w:rPr>
                <w:rFonts w:hint="eastAsia" w:ascii="仿宋_GB2312" w:hAnsi="仿宋_GB2312" w:eastAsia="仿宋_GB2312" w:cs="仿宋_GB2312"/>
                <w:b w:val="0"/>
                <w:bCs w:val="0"/>
                <w:kern w:val="0"/>
                <w:sz w:val="21"/>
                <w:szCs w:val="21"/>
              </w:rPr>
            </w:pPr>
            <w:r>
              <w:rPr>
                <w:rFonts w:hint="eastAsia" w:ascii="仿宋_GB2312" w:hAnsi="仿宋_GB2312" w:eastAsia="仿宋_GB2312" w:cs="仿宋_GB2312"/>
                <w:b w:val="0"/>
                <w:bCs w:val="0"/>
                <w:kern w:val="0"/>
                <w:sz w:val="21"/>
                <w:szCs w:val="21"/>
              </w:rPr>
              <w:t>100.00%</w:t>
            </w:r>
          </w:p>
        </w:tc>
      </w:tr>
    </w:tbl>
    <w:p>
      <w:pPr>
        <w:pStyle w:val="2"/>
        <w:ind w:firstLine="480"/>
        <w:rPr>
          <w:rFonts w:hint="eastAsia" w:ascii="仿宋_GB2312" w:hAnsi="仿宋_GB2312" w:eastAsia="仿宋_GB2312" w:cs="仿宋_GB2312"/>
          <w:b w:val="0"/>
          <w:bCs w:val="0"/>
        </w:rPr>
      </w:pPr>
    </w:p>
    <w:sectPr>
      <w:footnotePr>
        <w:numRestart w:val="eachPage"/>
      </w:footnotePr>
      <w:pgSz w:w="11906" w:h="16838"/>
      <w:pgMar w:top="850" w:right="1021" w:bottom="850" w:left="1134" w:header="851" w:footer="709" w:gutter="0"/>
      <w:pgNumType w:fmt="numberInDash"/>
      <w:cols w:space="0" w:num="1"/>
      <w:docGrid w:linePitch="435"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Cambria">
    <w:altName w:val="Noto Sans Syriac Eastern"/>
    <w:panose1 w:val="02040503050406030204"/>
    <w:charset w:val="00"/>
    <w:family w:val="roman"/>
    <w:pitch w:val="default"/>
    <w:sig w:usb0="00000000" w:usb1="00000000" w:usb2="02000000"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Calibri Light">
    <w:altName w:val="DejaVu Sans"/>
    <w:panose1 w:val="020F0302020204030204"/>
    <w:charset w:val="00"/>
    <w:family w:val="swiss"/>
    <w:pitch w:val="default"/>
    <w:sig w:usb0="00000000" w:usb1="00000000" w:usb2="00000009" w:usb3="00000000" w:csb0="000001FF" w:csb1="00000000"/>
  </w:font>
  <w:font w:name="微软雅黑">
    <w:altName w:val="方正黑体_GBK"/>
    <w:panose1 w:val="020B0503020204020204"/>
    <w:charset w:val="86"/>
    <w:family w:val="swiss"/>
    <w:pitch w:val="default"/>
    <w:sig w:usb0="00000000" w:usb1="00000000" w:usb2="00000016" w:usb3="00000000" w:csb0="0004001F" w:csb1="00000000"/>
  </w:font>
  <w:font w:name="Book Antiqua">
    <w:altName w:val="Noto Sans Syriac Eastern"/>
    <w:panose1 w:val="02040602050305030304"/>
    <w:charset w:val="00"/>
    <w:family w:val="roman"/>
    <w:pitch w:val="default"/>
    <w:sig w:usb0="00000000" w:usb1="00000000" w:usb2="00000000" w:usb3="00000000" w:csb0="0000009F" w:csb1="00000000"/>
  </w:font>
  <w:font w:name="Microsoft YaHei UI">
    <w:altName w:val="Droid Sans Fallback"/>
    <w:panose1 w:val="020B0503020204020204"/>
    <w:charset w:val="86"/>
    <w:family w:val="swiss"/>
    <w:pitch w:val="default"/>
    <w:sig w:usb0="00000000" w:usb1="00000000" w:usb2="00000016" w:usb3="00000000" w:csb0="0004001F" w:csb1="00000000"/>
  </w:font>
  <w:font w:name="Verdana">
    <w:altName w:val="DejaVu Sans"/>
    <w:panose1 w:val="020B0604030504040204"/>
    <w:charset w:val="00"/>
    <w:family w:val="swiss"/>
    <w:pitch w:val="default"/>
    <w:sig w:usb0="00000000" w:usb1="00000000" w:usb2="00000010" w:usb3="00000000" w:csb0="0000019F" w:csb1="00000000"/>
  </w:font>
  <w:font w:name="楷体">
    <w:altName w:val="方正楷体_GBK"/>
    <w:panose1 w:val="02010609060101010101"/>
    <w:charset w:val="86"/>
    <w:family w:val="modern"/>
    <w:pitch w:val="default"/>
    <w:sig w:usb0="00000000" w:usb1="00000000" w:usb2="00000016" w:usb3="00000000" w:csb0="00040001" w:csb1="00000000"/>
  </w:font>
  <w:font w:name="方正书宋简体">
    <w:altName w:val="方正书宋_GBK"/>
    <w:panose1 w:val="00000000000000000000"/>
    <w:charset w:val="86"/>
    <w:family w:val="script"/>
    <w:pitch w:val="default"/>
    <w:sig w:usb0="00000000" w:usb1="00000000" w:usb2="00000010" w:usb3="00000000" w:csb0="00040000" w:csb1="00000000"/>
  </w:font>
  <w:font w:name="Heiti SC Light">
    <w:altName w:val="仿宋_GB2312"/>
    <w:panose1 w:val="00000000000000000000"/>
    <w:charset w:val="86"/>
    <w:family w:val="auto"/>
    <w:pitch w:val="default"/>
    <w:sig w:usb0="00000000" w:usb1="00000000" w:usb2="00000010" w:usb3="00000000" w:csb0="00040000" w:csb1="00000000"/>
  </w:font>
  <w:font w:name="等线">
    <w:altName w:val="汉仪中宋简"/>
    <w:panose1 w:val="02010600030101010101"/>
    <w:charset w:val="86"/>
    <w:family w:val="auto"/>
    <w:pitch w:val="default"/>
    <w:sig w:usb0="00000000" w:usb1="00000000" w:usb2="00000016" w:usb3="00000000" w:csb0="0004000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仿宋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560"/>
      <w:jc w:val="right"/>
      <w:rPr>
        <w:rFonts w:ascii="宋体" w:hAnsi="宋体" w:eastAsia="宋体"/>
        <w:sz w:val="28"/>
        <w:szCs w:val="28"/>
        <w:lang w:val="zh-CN"/>
      </w:rPr>
    </w:pPr>
  </w:p>
  <w:p>
    <w:pPr>
      <w:pStyle w:val="21"/>
      <w:ind w:firstLine="0" w:firstLineChars="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230463928"/>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15 -</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Avuix5FQIAABsEAAAOAAAAAAAAAAEAIAAAADUBAABkcnMvZTJvRG9jLnhtbFBLBQYAAAAABgAG&#10;AFkBAAC8BQAAAAA=&#10;">
              <v:fill on="f" focussize="0,0"/>
              <v:stroke on="f" weight="0.5pt"/>
              <v:imagedata o:title=""/>
              <o:lock v:ext="edit" aspectratio="f"/>
              <v:textbox inset="0mm,0mm,0mm,0mm" style="mso-fit-shape-to-text:t;">
                <w:txbxContent>
                  <w:sdt>
                    <w:sdtPr>
                      <w:id w:val="-230463928"/>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15 -</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560"/>
      <w:jc w:val="right"/>
      <w:rPr>
        <w:rFonts w:ascii="宋体" w:hAnsi="宋体" w:eastAsia="宋体"/>
        <w:sz w:val="28"/>
        <w:szCs w:val="28"/>
        <w:lang w:val="zh-CN"/>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33072350"/>
                          </w:sdtPr>
                          <w:sdtEndPr>
                            <w:rPr>
                              <w:rFonts w:ascii="宋体" w:hAnsi="宋体" w:eastAsia="宋体"/>
                              <w:sz w:val="28"/>
                              <w:szCs w:val="28"/>
                              <w:lang w:val="zh-CN"/>
                            </w:rPr>
                          </w:sdtEndPr>
                          <w:sdtContent>
                            <w:p>
                              <w:pPr>
                                <w:pStyle w:val="21"/>
                                <w:ind w:firstLine="360"/>
                                <w:jc w:val="right"/>
                                <w:rPr>
                                  <w:rFonts w:ascii="宋体" w:hAnsi="宋体" w:eastAsia="宋体"/>
                                  <w:sz w:val="28"/>
                                  <w:szCs w:val="28"/>
                                  <w:lang w:val="zh-CN"/>
                                </w:rPr>
                              </w:pPr>
                              <w:r>
                                <w:rPr>
                                  <w:rFonts w:ascii="宋体" w:hAnsi="宋体" w:eastAsia="宋体"/>
                                  <w:sz w:val="28"/>
                                  <w:szCs w:val="28"/>
                                  <w:lang w:val="zh-CN"/>
                                </w:rPr>
                                <w:fldChar w:fldCharType="begin"/>
                              </w:r>
                              <w:r>
                                <w:rPr>
                                  <w:rFonts w:ascii="宋体" w:hAnsi="宋体" w:eastAsia="宋体"/>
                                  <w:sz w:val="28"/>
                                  <w:szCs w:val="28"/>
                                  <w:lang w:val="zh-CN"/>
                                </w:rPr>
                                <w:instrText xml:space="preserve">PAGE   \* MERGEFORMAT</w:instrText>
                              </w:r>
                              <w:r>
                                <w:rPr>
                                  <w:rFonts w:ascii="宋体" w:hAnsi="宋体" w:eastAsia="宋体"/>
                                  <w:sz w:val="28"/>
                                  <w:szCs w:val="28"/>
                                  <w:lang w:val="zh-CN"/>
                                </w:rPr>
                                <w:fldChar w:fldCharType="separate"/>
                              </w:r>
                              <w:r>
                                <w:rPr>
                                  <w:rFonts w:ascii="宋体" w:hAnsi="宋体" w:eastAsia="宋体"/>
                                  <w:sz w:val="28"/>
                                  <w:szCs w:val="28"/>
                                  <w:lang w:val="zh-CN"/>
                                </w:rPr>
                                <w:t>- 1 -</w:t>
                              </w:r>
                              <w:r>
                                <w:rPr>
                                  <w:rFonts w:ascii="宋体" w:hAnsi="宋体" w:eastAsia="宋体"/>
                                  <w:sz w:val="28"/>
                                  <w:szCs w:val="28"/>
                                  <w:lang w:val="zh-CN"/>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cR+mXFQIAABsEAAAOAAAAAAAAAAEAIAAAADUBAABkcnMvZTJvRG9jLnhtbFBLBQYAAAAABgAG&#10;AFkBAAC8BQAAAAA=&#10;">
              <v:fill on="f" focussize="0,0"/>
              <v:stroke on="f" weight="0.5pt"/>
              <v:imagedata o:title=""/>
              <o:lock v:ext="edit" aspectratio="f"/>
              <v:textbox inset="0mm,0mm,0mm,0mm" style="mso-fit-shape-to-text:t;">
                <w:txbxContent>
                  <w:sdt>
                    <w:sdtPr>
                      <w:id w:val="133072350"/>
                    </w:sdtPr>
                    <w:sdtEndPr>
                      <w:rPr>
                        <w:rFonts w:ascii="宋体" w:hAnsi="宋体" w:eastAsia="宋体"/>
                        <w:sz w:val="28"/>
                        <w:szCs w:val="28"/>
                        <w:lang w:val="zh-CN"/>
                      </w:rPr>
                    </w:sdtEndPr>
                    <w:sdtContent>
                      <w:p>
                        <w:pPr>
                          <w:pStyle w:val="21"/>
                          <w:ind w:firstLine="360"/>
                          <w:jc w:val="right"/>
                          <w:rPr>
                            <w:rFonts w:ascii="宋体" w:hAnsi="宋体" w:eastAsia="宋体"/>
                            <w:sz w:val="28"/>
                            <w:szCs w:val="28"/>
                            <w:lang w:val="zh-CN"/>
                          </w:rPr>
                        </w:pPr>
                        <w:r>
                          <w:rPr>
                            <w:rFonts w:ascii="宋体" w:hAnsi="宋体" w:eastAsia="宋体"/>
                            <w:sz w:val="28"/>
                            <w:szCs w:val="28"/>
                            <w:lang w:val="zh-CN"/>
                          </w:rPr>
                          <w:fldChar w:fldCharType="begin"/>
                        </w:r>
                        <w:r>
                          <w:rPr>
                            <w:rFonts w:ascii="宋体" w:hAnsi="宋体" w:eastAsia="宋体"/>
                            <w:sz w:val="28"/>
                            <w:szCs w:val="28"/>
                            <w:lang w:val="zh-CN"/>
                          </w:rPr>
                          <w:instrText xml:space="preserve">PAGE   \* MERGEFORMAT</w:instrText>
                        </w:r>
                        <w:r>
                          <w:rPr>
                            <w:rFonts w:ascii="宋体" w:hAnsi="宋体" w:eastAsia="宋体"/>
                            <w:sz w:val="28"/>
                            <w:szCs w:val="28"/>
                            <w:lang w:val="zh-CN"/>
                          </w:rPr>
                          <w:fldChar w:fldCharType="separate"/>
                        </w:r>
                        <w:r>
                          <w:rPr>
                            <w:rFonts w:ascii="宋体" w:hAnsi="宋体" w:eastAsia="宋体"/>
                            <w:sz w:val="28"/>
                            <w:szCs w:val="28"/>
                            <w:lang w:val="zh-CN"/>
                          </w:rPr>
                          <w:t>- 1 -</w:t>
                        </w:r>
                        <w:r>
                          <w:rPr>
                            <w:rFonts w:ascii="宋体" w:hAnsi="宋体" w:eastAsia="宋体"/>
                            <w:sz w:val="28"/>
                            <w:szCs w:val="28"/>
                            <w:lang w:val="zh-CN"/>
                          </w:rPr>
                          <w:fldChar w:fldCharType="end"/>
                        </w:r>
                      </w:p>
                    </w:sdtContent>
                  </w:sdt>
                </w:txbxContent>
              </v:textbox>
            </v:shape>
          </w:pict>
        </mc:Fallback>
      </mc:AlternateContent>
    </w:r>
  </w:p>
  <w:p>
    <w:pPr>
      <w:pStyle w:val="21"/>
      <w:ind w:firstLine="0" w:firstLineChars="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47410193"/>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2 -</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0Tqs0UAgAAGwQAAA4AAAAAAAAAAQAgAAAANQEAAGRycy9lMm9Eb2MueG1sUEsFBgAAAAAGAAYA&#10;WQEAALsFAAAAAA==&#10;">
              <v:fill on="f" focussize="0,0"/>
              <v:stroke on="f" weight="0.5pt"/>
              <v:imagedata o:title=""/>
              <o:lock v:ext="edit" aspectratio="f"/>
              <v:textbox inset="0mm,0mm,0mm,0mm" style="mso-fit-shape-to-text:t;">
                <w:txbxContent>
                  <w:sdt>
                    <w:sdtPr>
                      <w:id w:val="-847410193"/>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2 -</w:t>
                        </w:r>
                        <w:r>
                          <w:rPr>
                            <w:rFonts w:hint="eastAsia" w:ascii="宋体" w:hAnsi="宋体" w:eastAsia="宋体" w:cs="宋体"/>
                            <w:sz w:val="28"/>
                            <w:szCs w:val="28"/>
                          </w:rPr>
                          <w:fldChar w:fldCharType="end"/>
                        </w:r>
                      </w:p>
                    </w:sdtContent>
                  </w:sdt>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360"/>
      <w:jc w:val="center"/>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797560" cy="1828800"/>
              <wp:effectExtent l="0" t="0" r="2540" b="10795"/>
              <wp:wrapNone/>
              <wp:docPr id="9" name="文本框 9"/>
              <wp:cNvGraphicFramePr/>
              <a:graphic xmlns:a="http://schemas.openxmlformats.org/drawingml/2006/main">
                <a:graphicData uri="http://schemas.microsoft.com/office/word/2010/wordprocessingShape">
                  <wps:wsp>
                    <wps:cNvSpPr txBox="true"/>
                    <wps:spPr>
                      <a:xfrm>
                        <a:off x="0" y="0"/>
                        <a:ext cx="797668"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1"/>
                            <w:ind w:firstLine="56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wps:txbx>
                    <wps:bodyPr rot="0" spcFirstLastPara="0" vertOverflow="overflow" horzOverflow="overflow" vert="horz" wrap="squar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62.8pt;mso-position-horizontal:outside;mso-position-horizontal-relative:margin;z-index:251659264;mso-width-relative:page;mso-height-relative:page;" filled="f" stroked="f" coordsize="21600,21600" o:gfxdata="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WAAAAZHJzL1BLAQIU&#10;ABQAAAAIAIdO4kB0jyqn1AAAAAUBAAAPAAAAAAAAAAEAIAAAADgAAABkcnMvZG93bnJldi54bWxQ&#10;SwECFAAUAAAACACHTuJAaLgyNR4CAAAaBAAADgAAAAAAAAABACAAAAA5AQAAZHJzL2Uyb0RvYy54&#10;bWxQSwUGAAAAAAYABgBZAQAAyQUAAAAA&#10;">
              <v:fill on="f" focussize="0,0"/>
              <v:stroke on="f" weight="0.5pt"/>
              <v:imagedata o:title=""/>
              <o:lock v:ext="edit" aspectratio="f"/>
              <v:textbox inset="0mm,0mm,0mm,0mm" style="mso-fit-shape-to-text:t;">
                <w:txbxContent>
                  <w:p>
                    <w:pPr>
                      <w:pStyle w:val="21"/>
                      <w:ind w:firstLine="560"/>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ascii="宋体" w:hAnsi="宋体" w:eastAsia="宋体" w:cs="宋体"/>
                        <w:sz w:val="28"/>
                        <w:szCs w:val="28"/>
                      </w:rPr>
                      <w:t>- 1 -</w:t>
                    </w:r>
                    <w:r>
                      <w:rPr>
                        <w:rFonts w:hint="eastAsia" w:ascii="宋体" w:hAnsi="宋体" w:eastAsia="宋体" w:cs="宋体"/>
                        <w:sz w:val="28"/>
                        <w:szCs w:val="28"/>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17956940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2 -</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IkRNFQIAABsEAAAOAAAAZHJz&#10;L2Uyb0RvYy54bWytU8uO0zAU3SPxD5b3NGlH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9IkRNFQIAABsEAAAOAAAAAAAAAAEAIAAAADUBAABkcnMvZTJvRG9jLnhtbFBLBQYAAAAABgAG&#10;AFkBAAC8BQAAAAA=&#10;">
              <v:fill on="f" focussize="0,0"/>
              <v:stroke on="f" weight="0.5pt"/>
              <v:imagedata o:title=""/>
              <o:lock v:ext="edit" aspectratio="f"/>
              <v:textbox inset="0mm,0mm,0mm,0mm" style="mso-fit-shape-to-text:t;">
                <w:txbxContent>
                  <w:sdt>
                    <w:sdtPr>
                      <w:id w:val="-117956940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2 -</w:t>
                        </w:r>
                        <w:r>
                          <w:rPr>
                            <w:rFonts w:hint="eastAsia" w:ascii="宋体" w:hAnsi="宋体" w:eastAsia="宋体" w:cs="宋体"/>
                            <w:sz w:val="28"/>
                            <w:szCs w:val="28"/>
                          </w:rPr>
                          <w:fldChar w:fldCharType="end"/>
                        </w:r>
                      </w:p>
                    </w:sdtContent>
                  </w:sdt>
                  <w:p>
                    <w:pPr>
                      <w:ind w:firstLine="640"/>
                      <w:rPr>
                        <w:rFonts w:ascii="Times New Roman" w:hAnsi="Times New Roman" w:cs="Times New Roman"/>
                        <w:szCs w:val="32"/>
                      </w:rPr>
                    </w:pP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rPr>
        <w:rFonts w:ascii="Times New Roman" w:hAnsi="Times New Roman" w:cs="Times New Roman"/>
        <w:sz w:val="32"/>
        <w:szCs w:val="32"/>
      </w:rPr>
    </w:pPr>
    <w:r>
      <w:rPr>
        <w:sz w:val="32"/>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87385901"/>
                          </w:sdtPr>
                          <w:sdtEndPr>
                            <w:rPr>
                              <w:rFonts w:ascii="Times New Roman" w:hAnsi="Times New Roman" w:cs="Times New Roman"/>
                              <w:sz w:val="32"/>
                              <w:szCs w:val="32"/>
                            </w:rPr>
                          </w:sdtEndPr>
                          <w:sdtContent>
                            <w:p>
                              <w:pPr>
                                <w:pStyle w:val="21"/>
                                <w:ind w:firstLine="360"/>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15 -</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fi8L5FQIAABsEAAAOAAAAAAAAAAEAIAAAADUBAABkcnMvZTJvRG9jLnhtbFBLBQYAAAAABgAG&#10;AFkBAAC8BQAAAAA=&#10;">
              <v:fill on="f" focussize="0,0"/>
              <v:stroke on="f" weight="0.5pt"/>
              <v:imagedata o:title=""/>
              <o:lock v:ext="edit" aspectratio="f"/>
              <v:textbox inset="0mm,0mm,0mm,0mm" style="mso-fit-shape-to-text:t;">
                <w:txbxContent>
                  <w:sdt>
                    <w:sdtPr>
                      <w:id w:val="-87385901"/>
                    </w:sdtPr>
                    <w:sdtEndPr>
                      <w:rPr>
                        <w:rFonts w:ascii="Times New Roman" w:hAnsi="Times New Roman" w:cs="Times New Roman"/>
                        <w:sz w:val="32"/>
                        <w:szCs w:val="32"/>
                      </w:rPr>
                    </w:sdtEndPr>
                    <w:sdtContent>
                      <w:p>
                        <w:pPr>
                          <w:pStyle w:val="21"/>
                          <w:ind w:firstLine="360"/>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15 -</w:t>
                        </w:r>
                        <w:r>
                          <w:rPr>
                            <w:rFonts w:hint="eastAsia" w:ascii="宋体" w:hAnsi="宋体" w:eastAsia="宋体" w:cs="宋体"/>
                            <w:sz w:val="28"/>
                            <w:szCs w:val="28"/>
                          </w:rPr>
                          <w:fldChar w:fldCharType="end"/>
                        </w:r>
                      </w:p>
                    </w:sdtContent>
                  </w:sdt>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1"/>
      <w:ind w:firstLine="640"/>
      <w:jc w:val="right"/>
      <w:rPr>
        <w:rFonts w:ascii="Times New Roman" w:hAnsi="Times New Roman" w:cs="Times New Roman"/>
        <w:sz w:val="32"/>
        <w:szCs w:val="32"/>
      </w:rPr>
    </w:pPr>
    <w:r>
      <w:rPr>
        <w:sz w:val="32"/>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53830767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28 -</w:t>
                              </w:r>
                              <w:r>
                                <w:rPr>
                                  <w:rFonts w:hint="eastAsia" w:ascii="宋体" w:hAnsi="宋体" w:eastAsia="宋体" w:cs="宋体"/>
                                  <w:sz w:val="28"/>
                                  <w:szCs w:val="28"/>
                                </w:rPr>
                                <w:fldChar w:fldCharType="end"/>
                              </w:r>
                            </w:p>
                          </w:sdtContent>
                        </w:sdt>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FgAAAGRycy9QSwECFAAUAAAACACHTuJAs0lY&#10;7tAAAAAFAQAADwAAAAAAAAABACAAAAA4AAAAZHJzL2Rvd25yZXYueG1sUEsBAhQAFAAAAAgAh07i&#10;QA7fgaMUAgAAGwQAAA4AAAAAAAAAAQAgAAAANQEAAGRycy9lMm9Eb2MueG1sUEsFBgAAAAAGAAYA&#10;WQEAALsFAAAAAA==&#10;">
              <v:fill on="f" focussize="0,0"/>
              <v:stroke on="f" weight="0.5pt"/>
              <v:imagedata o:title=""/>
              <o:lock v:ext="edit" aspectratio="f"/>
              <v:textbox inset="0mm,0mm,0mm,0mm" style="mso-fit-shape-to-text:t;">
                <w:txbxContent>
                  <w:sdt>
                    <w:sdtPr>
                      <w:id w:val="1538307675"/>
                    </w:sdtPr>
                    <w:sdtEndPr>
                      <w:rPr>
                        <w:rFonts w:ascii="Times New Roman" w:hAnsi="Times New Roman" w:cs="Times New Roman"/>
                        <w:sz w:val="32"/>
                        <w:szCs w:val="32"/>
                      </w:rPr>
                    </w:sdtEndPr>
                    <w:sdtContent>
                      <w:p>
                        <w:pPr>
                          <w:pStyle w:val="21"/>
                          <w:ind w:firstLine="360"/>
                          <w:jc w:val="right"/>
                          <w:rPr>
                            <w:rFonts w:ascii="Times New Roman" w:hAnsi="Times New Roman" w:cs="Times New Roman"/>
                            <w:sz w:val="32"/>
                            <w:szCs w:val="32"/>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PAGE   \* MERGEFORMAT</w:instrText>
                        </w:r>
                        <w:r>
                          <w:rPr>
                            <w:rFonts w:hint="eastAsia" w:ascii="宋体" w:hAnsi="宋体" w:eastAsia="宋体" w:cs="宋体"/>
                            <w:sz w:val="28"/>
                            <w:szCs w:val="28"/>
                          </w:rPr>
                          <w:fldChar w:fldCharType="separate"/>
                        </w:r>
                        <w:r>
                          <w:rPr>
                            <w:rFonts w:ascii="宋体" w:hAnsi="宋体" w:eastAsia="宋体" w:cs="宋体"/>
                            <w:sz w:val="28"/>
                            <w:szCs w:val="28"/>
                            <w:lang w:val="zh-CN"/>
                          </w:rPr>
                          <w:t>-</w:t>
                        </w:r>
                        <w:r>
                          <w:rPr>
                            <w:rFonts w:ascii="宋体" w:hAnsi="宋体" w:eastAsia="宋体" w:cs="宋体"/>
                            <w:sz w:val="28"/>
                            <w:szCs w:val="28"/>
                          </w:rPr>
                          <w:t xml:space="preserve"> 28 -</w:t>
                        </w:r>
                        <w:r>
                          <w:rPr>
                            <w:rFonts w:hint="eastAsia" w:ascii="宋体" w:hAnsi="宋体" w:eastAsia="宋体" w:cs="宋体"/>
                            <w:sz w:val="28"/>
                            <w:szCs w:val="28"/>
                          </w:rPr>
                          <w:fldChar w:fldCharType="end"/>
                        </w:r>
                      </w:p>
                    </w:sdtContent>
                  </w:sdt>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1"/>
      </w:pBdr>
      <w:ind w:firstLine="0" w:firstLineChars="0"/>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64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2"/>
      <w:pBdr>
        <w:bottom w:val="none" w:color="auto" w:sz="0" w:space="0"/>
      </w:pBdr>
      <w:ind w:firstLine="36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true"/>
  <w:bordersDoNotSurroundFooter w:val="true"/>
  <w:documentProtection w:enforcement="0"/>
  <w:defaultTabStop w:val="420"/>
  <w:evenAndOddHeaders w:val="true"/>
  <w:drawingGridHorizontalSpacing w:val="160"/>
  <w:drawingGridVerticalSpacing w:val="434"/>
  <w:characterSpacingControl w:val="compressPunctuation"/>
  <w:footnotePr>
    <w:numRestart w:val="eachPage"/>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zMDAyNmQxNjEzZDBkMjU3NjNjYjdjOGFiMmY4NTAifQ=="/>
  </w:docVars>
  <w:rsids>
    <w:rsidRoot w:val="00A51746"/>
    <w:rsid w:val="000002C8"/>
    <w:rsid w:val="00000A13"/>
    <w:rsid w:val="000019EC"/>
    <w:rsid w:val="000019FB"/>
    <w:rsid w:val="00001BAC"/>
    <w:rsid w:val="00001CB3"/>
    <w:rsid w:val="00001E50"/>
    <w:rsid w:val="00002222"/>
    <w:rsid w:val="00002AB3"/>
    <w:rsid w:val="0000330F"/>
    <w:rsid w:val="000039E0"/>
    <w:rsid w:val="00003D2F"/>
    <w:rsid w:val="0000426F"/>
    <w:rsid w:val="000042C5"/>
    <w:rsid w:val="000046C2"/>
    <w:rsid w:val="00004AD6"/>
    <w:rsid w:val="00004DFD"/>
    <w:rsid w:val="000054BB"/>
    <w:rsid w:val="00005569"/>
    <w:rsid w:val="000063F9"/>
    <w:rsid w:val="00006F49"/>
    <w:rsid w:val="0000736D"/>
    <w:rsid w:val="0000766E"/>
    <w:rsid w:val="00007C7A"/>
    <w:rsid w:val="0001009F"/>
    <w:rsid w:val="000105A8"/>
    <w:rsid w:val="00010780"/>
    <w:rsid w:val="00010EE2"/>
    <w:rsid w:val="00011CBA"/>
    <w:rsid w:val="00011CC8"/>
    <w:rsid w:val="00012FA1"/>
    <w:rsid w:val="000135E0"/>
    <w:rsid w:val="000138B0"/>
    <w:rsid w:val="00014657"/>
    <w:rsid w:val="00014E87"/>
    <w:rsid w:val="00014EF3"/>
    <w:rsid w:val="00015276"/>
    <w:rsid w:val="000154DD"/>
    <w:rsid w:val="000155C6"/>
    <w:rsid w:val="00016158"/>
    <w:rsid w:val="000170AA"/>
    <w:rsid w:val="0001750E"/>
    <w:rsid w:val="000176E3"/>
    <w:rsid w:val="00017FDF"/>
    <w:rsid w:val="00020225"/>
    <w:rsid w:val="00020CD7"/>
    <w:rsid w:val="0002160B"/>
    <w:rsid w:val="00021967"/>
    <w:rsid w:val="00021E72"/>
    <w:rsid w:val="000223DF"/>
    <w:rsid w:val="0002283E"/>
    <w:rsid w:val="00022D64"/>
    <w:rsid w:val="000231D0"/>
    <w:rsid w:val="000235E3"/>
    <w:rsid w:val="00023709"/>
    <w:rsid w:val="0002391D"/>
    <w:rsid w:val="00023DE1"/>
    <w:rsid w:val="0002435B"/>
    <w:rsid w:val="00024532"/>
    <w:rsid w:val="000246EC"/>
    <w:rsid w:val="00024EC4"/>
    <w:rsid w:val="00025049"/>
    <w:rsid w:val="00025280"/>
    <w:rsid w:val="00025D3D"/>
    <w:rsid w:val="00026053"/>
    <w:rsid w:val="0002639E"/>
    <w:rsid w:val="000263FB"/>
    <w:rsid w:val="00026C7E"/>
    <w:rsid w:val="00026D22"/>
    <w:rsid w:val="000271A6"/>
    <w:rsid w:val="000272F8"/>
    <w:rsid w:val="00027A18"/>
    <w:rsid w:val="00027A33"/>
    <w:rsid w:val="00027EFE"/>
    <w:rsid w:val="00030044"/>
    <w:rsid w:val="000308F2"/>
    <w:rsid w:val="00031193"/>
    <w:rsid w:val="00031714"/>
    <w:rsid w:val="00031801"/>
    <w:rsid w:val="00031CBD"/>
    <w:rsid w:val="0003258E"/>
    <w:rsid w:val="00032617"/>
    <w:rsid w:val="0003278C"/>
    <w:rsid w:val="00032814"/>
    <w:rsid w:val="00032EC5"/>
    <w:rsid w:val="00033349"/>
    <w:rsid w:val="00033410"/>
    <w:rsid w:val="000335C5"/>
    <w:rsid w:val="000336EC"/>
    <w:rsid w:val="00034E60"/>
    <w:rsid w:val="000354A7"/>
    <w:rsid w:val="0003571B"/>
    <w:rsid w:val="00035A19"/>
    <w:rsid w:val="00036519"/>
    <w:rsid w:val="000370C3"/>
    <w:rsid w:val="00037835"/>
    <w:rsid w:val="00037996"/>
    <w:rsid w:val="00037A15"/>
    <w:rsid w:val="00037CEC"/>
    <w:rsid w:val="00040BB3"/>
    <w:rsid w:val="0004102E"/>
    <w:rsid w:val="000413BD"/>
    <w:rsid w:val="00041417"/>
    <w:rsid w:val="00041476"/>
    <w:rsid w:val="0004223A"/>
    <w:rsid w:val="00044660"/>
    <w:rsid w:val="00044BA3"/>
    <w:rsid w:val="00044CB1"/>
    <w:rsid w:val="00044DF3"/>
    <w:rsid w:val="00044E91"/>
    <w:rsid w:val="000456E0"/>
    <w:rsid w:val="00045888"/>
    <w:rsid w:val="00045901"/>
    <w:rsid w:val="00045AC8"/>
    <w:rsid w:val="00045C00"/>
    <w:rsid w:val="00045C93"/>
    <w:rsid w:val="00045DCC"/>
    <w:rsid w:val="00046536"/>
    <w:rsid w:val="00046651"/>
    <w:rsid w:val="000468BF"/>
    <w:rsid w:val="00046AEE"/>
    <w:rsid w:val="00046FD3"/>
    <w:rsid w:val="0004712F"/>
    <w:rsid w:val="0004769D"/>
    <w:rsid w:val="00047AA3"/>
    <w:rsid w:val="00047BF4"/>
    <w:rsid w:val="00047EB5"/>
    <w:rsid w:val="00047ED1"/>
    <w:rsid w:val="00047F52"/>
    <w:rsid w:val="00050CED"/>
    <w:rsid w:val="00051714"/>
    <w:rsid w:val="00051C0E"/>
    <w:rsid w:val="00051F98"/>
    <w:rsid w:val="00052004"/>
    <w:rsid w:val="000528F4"/>
    <w:rsid w:val="00052921"/>
    <w:rsid w:val="00052B07"/>
    <w:rsid w:val="00053455"/>
    <w:rsid w:val="000535D4"/>
    <w:rsid w:val="0005448D"/>
    <w:rsid w:val="0005450E"/>
    <w:rsid w:val="000547E8"/>
    <w:rsid w:val="00054C7F"/>
    <w:rsid w:val="00054C9F"/>
    <w:rsid w:val="0005507A"/>
    <w:rsid w:val="00055E47"/>
    <w:rsid w:val="00055EA4"/>
    <w:rsid w:val="000562E8"/>
    <w:rsid w:val="0005673E"/>
    <w:rsid w:val="000567CB"/>
    <w:rsid w:val="000571CC"/>
    <w:rsid w:val="000601CE"/>
    <w:rsid w:val="0006044F"/>
    <w:rsid w:val="000608FE"/>
    <w:rsid w:val="00060920"/>
    <w:rsid w:val="00060965"/>
    <w:rsid w:val="00060AC2"/>
    <w:rsid w:val="0006165D"/>
    <w:rsid w:val="0006191C"/>
    <w:rsid w:val="00061A98"/>
    <w:rsid w:val="000629C3"/>
    <w:rsid w:val="00062F62"/>
    <w:rsid w:val="00063005"/>
    <w:rsid w:val="00063441"/>
    <w:rsid w:val="00063A4E"/>
    <w:rsid w:val="000641F3"/>
    <w:rsid w:val="000647F7"/>
    <w:rsid w:val="000648F6"/>
    <w:rsid w:val="00065DA7"/>
    <w:rsid w:val="000662A2"/>
    <w:rsid w:val="00066D8C"/>
    <w:rsid w:val="00066FBD"/>
    <w:rsid w:val="000672CB"/>
    <w:rsid w:val="0006737B"/>
    <w:rsid w:val="00067AD9"/>
    <w:rsid w:val="00067D14"/>
    <w:rsid w:val="000701AC"/>
    <w:rsid w:val="00071005"/>
    <w:rsid w:val="00071650"/>
    <w:rsid w:val="0007179C"/>
    <w:rsid w:val="00071C3C"/>
    <w:rsid w:val="00072002"/>
    <w:rsid w:val="0007225E"/>
    <w:rsid w:val="00072461"/>
    <w:rsid w:val="000724B1"/>
    <w:rsid w:val="00072630"/>
    <w:rsid w:val="000726AC"/>
    <w:rsid w:val="00072961"/>
    <w:rsid w:val="00072A66"/>
    <w:rsid w:val="000735FB"/>
    <w:rsid w:val="00073BA2"/>
    <w:rsid w:val="00073D38"/>
    <w:rsid w:val="0007535B"/>
    <w:rsid w:val="00076200"/>
    <w:rsid w:val="00076DBE"/>
    <w:rsid w:val="00077517"/>
    <w:rsid w:val="00077524"/>
    <w:rsid w:val="00077D25"/>
    <w:rsid w:val="0008005B"/>
    <w:rsid w:val="00080218"/>
    <w:rsid w:val="00080960"/>
    <w:rsid w:val="0008110F"/>
    <w:rsid w:val="0008139F"/>
    <w:rsid w:val="000817B1"/>
    <w:rsid w:val="000818D5"/>
    <w:rsid w:val="000825C0"/>
    <w:rsid w:val="00082A3C"/>
    <w:rsid w:val="00082C08"/>
    <w:rsid w:val="00083B19"/>
    <w:rsid w:val="0008458A"/>
    <w:rsid w:val="00084618"/>
    <w:rsid w:val="000846C0"/>
    <w:rsid w:val="000846D2"/>
    <w:rsid w:val="00084B21"/>
    <w:rsid w:val="00084B35"/>
    <w:rsid w:val="00084BF9"/>
    <w:rsid w:val="00084CBB"/>
    <w:rsid w:val="00084F02"/>
    <w:rsid w:val="000851CA"/>
    <w:rsid w:val="00085633"/>
    <w:rsid w:val="00085847"/>
    <w:rsid w:val="00085F8D"/>
    <w:rsid w:val="00086404"/>
    <w:rsid w:val="0008709C"/>
    <w:rsid w:val="00087BE7"/>
    <w:rsid w:val="00090057"/>
    <w:rsid w:val="000908F5"/>
    <w:rsid w:val="00091A01"/>
    <w:rsid w:val="00091A04"/>
    <w:rsid w:val="00091D3D"/>
    <w:rsid w:val="00091D58"/>
    <w:rsid w:val="00092571"/>
    <w:rsid w:val="000926CC"/>
    <w:rsid w:val="00092C23"/>
    <w:rsid w:val="0009345B"/>
    <w:rsid w:val="00093518"/>
    <w:rsid w:val="00093905"/>
    <w:rsid w:val="00094227"/>
    <w:rsid w:val="000943F6"/>
    <w:rsid w:val="000949B9"/>
    <w:rsid w:val="00095CB8"/>
    <w:rsid w:val="0009685B"/>
    <w:rsid w:val="0009699B"/>
    <w:rsid w:val="00096F67"/>
    <w:rsid w:val="00096F94"/>
    <w:rsid w:val="000979CE"/>
    <w:rsid w:val="00097A12"/>
    <w:rsid w:val="00097A96"/>
    <w:rsid w:val="00097E85"/>
    <w:rsid w:val="00097F5D"/>
    <w:rsid w:val="000A035B"/>
    <w:rsid w:val="000A051C"/>
    <w:rsid w:val="000A0540"/>
    <w:rsid w:val="000A0A16"/>
    <w:rsid w:val="000A0AA9"/>
    <w:rsid w:val="000A0D10"/>
    <w:rsid w:val="000A0D4B"/>
    <w:rsid w:val="000A11DC"/>
    <w:rsid w:val="000A127D"/>
    <w:rsid w:val="000A1BBE"/>
    <w:rsid w:val="000A22D0"/>
    <w:rsid w:val="000A31AE"/>
    <w:rsid w:val="000A3423"/>
    <w:rsid w:val="000A35D3"/>
    <w:rsid w:val="000A3644"/>
    <w:rsid w:val="000A3BC3"/>
    <w:rsid w:val="000A3C3D"/>
    <w:rsid w:val="000A3C70"/>
    <w:rsid w:val="000A4173"/>
    <w:rsid w:val="000A4255"/>
    <w:rsid w:val="000A4741"/>
    <w:rsid w:val="000A4E81"/>
    <w:rsid w:val="000A5159"/>
    <w:rsid w:val="000A5A0E"/>
    <w:rsid w:val="000A5AA2"/>
    <w:rsid w:val="000A5D3E"/>
    <w:rsid w:val="000A5FC2"/>
    <w:rsid w:val="000A6119"/>
    <w:rsid w:val="000A646F"/>
    <w:rsid w:val="000A6479"/>
    <w:rsid w:val="000A662C"/>
    <w:rsid w:val="000A6CA5"/>
    <w:rsid w:val="000A7122"/>
    <w:rsid w:val="000A7762"/>
    <w:rsid w:val="000A78D2"/>
    <w:rsid w:val="000B0710"/>
    <w:rsid w:val="000B0A55"/>
    <w:rsid w:val="000B1756"/>
    <w:rsid w:val="000B1BD5"/>
    <w:rsid w:val="000B1C20"/>
    <w:rsid w:val="000B1C53"/>
    <w:rsid w:val="000B1EB3"/>
    <w:rsid w:val="000B255C"/>
    <w:rsid w:val="000B281A"/>
    <w:rsid w:val="000B2E29"/>
    <w:rsid w:val="000B32F2"/>
    <w:rsid w:val="000B34CC"/>
    <w:rsid w:val="000B370F"/>
    <w:rsid w:val="000B3D47"/>
    <w:rsid w:val="000B4AF0"/>
    <w:rsid w:val="000B4C0E"/>
    <w:rsid w:val="000B4E6C"/>
    <w:rsid w:val="000B51AD"/>
    <w:rsid w:val="000B53D1"/>
    <w:rsid w:val="000B5660"/>
    <w:rsid w:val="000B5F3E"/>
    <w:rsid w:val="000B6213"/>
    <w:rsid w:val="000B6245"/>
    <w:rsid w:val="000B7244"/>
    <w:rsid w:val="000B7E71"/>
    <w:rsid w:val="000C0569"/>
    <w:rsid w:val="000C077A"/>
    <w:rsid w:val="000C0A66"/>
    <w:rsid w:val="000C0BB4"/>
    <w:rsid w:val="000C0E4C"/>
    <w:rsid w:val="000C26A6"/>
    <w:rsid w:val="000C2ABF"/>
    <w:rsid w:val="000C33EE"/>
    <w:rsid w:val="000C3A41"/>
    <w:rsid w:val="000C3B70"/>
    <w:rsid w:val="000C3E25"/>
    <w:rsid w:val="000C3E42"/>
    <w:rsid w:val="000C487A"/>
    <w:rsid w:val="000C4FA4"/>
    <w:rsid w:val="000C5621"/>
    <w:rsid w:val="000C5B47"/>
    <w:rsid w:val="000C6CE6"/>
    <w:rsid w:val="000C6F8A"/>
    <w:rsid w:val="000C7214"/>
    <w:rsid w:val="000C7D09"/>
    <w:rsid w:val="000C7EC5"/>
    <w:rsid w:val="000D07C1"/>
    <w:rsid w:val="000D0DC0"/>
    <w:rsid w:val="000D0FE6"/>
    <w:rsid w:val="000D1069"/>
    <w:rsid w:val="000D1859"/>
    <w:rsid w:val="000D27BE"/>
    <w:rsid w:val="000D2F37"/>
    <w:rsid w:val="000D3525"/>
    <w:rsid w:val="000D37CD"/>
    <w:rsid w:val="000D3CEC"/>
    <w:rsid w:val="000D3E2F"/>
    <w:rsid w:val="000D47DC"/>
    <w:rsid w:val="000D4EAE"/>
    <w:rsid w:val="000D51DD"/>
    <w:rsid w:val="000D5516"/>
    <w:rsid w:val="000D6016"/>
    <w:rsid w:val="000D6439"/>
    <w:rsid w:val="000D66E6"/>
    <w:rsid w:val="000D67ED"/>
    <w:rsid w:val="000D68D3"/>
    <w:rsid w:val="000D6B58"/>
    <w:rsid w:val="000D6DF7"/>
    <w:rsid w:val="000D6F50"/>
    <w:rsid w:val="000D7385"/>
    <w:rsid w:val="000D766E"/>
    <w:rsid w:val="000D7927"/>
    <w:rsid w:val="000D7B1B"/>
    <w:rsid w:val="000D7DA1"/>
    <w:rsid w:val="000E072A"/>
    <w:rsid w:val="000E0AB5"/>
    <w:rsid w:val="000E2288"/>
    <w:rsid w:val="000E272A"/>
    <w:rsid w:val="000E2D30"/>
    <w:rsid w:val="000E2ECD"/>
    <w:rsid w:val="000E2F0D"/>
    <w:rsid w:val="000E31A2"/>
    <w:rsid w:val="000E3CFA"/>
    <w:rsid w:val="000E4746"/>
    <w:rsid w:val="000E4978"/>
    <w:rsid w:val="000E4BBB"/>
    <w:rsid w:val="000E54E4"/>
    <w:rsid w:val="000E58EB"/>
    <w:rsid w:val="000E5AD9"/>
    <w:rsid w:val="000E5AEF"/>
    <w:rsid w:val="000E6600"/>
    <w:rsid w:val="000E69E6"/>
    <w:rsid w:val="000E6A30"/>
    <w:rsid w:val="000E705F"/>
    <w:rsid w:val="000E75BC"/>
    <w:rsid w:val="000E7C16"/>
    <w:rsid w:val="000F02CC"/>
    <w:rsid w:val="000F0379"/>
    <w:rsid w:val="000F0D21"/>
    <w:rsid w:val="000F15EA"/>
    <w:rsid w:val="000F1899"/>
    <w:rsid w:val="000F1F50"/>
    <w:rsid w:val="000F23D0"/>
    <w:rsid w:val="000F2415"/>
    <w:rsid w:val="000F28F1"/>
    <w:rsid w:val="000F2F80"/>
    <w:rsid w:val="000F34E5"/>
    <w:rsid w:val="000F352B"/>
    <w:rsid w:val="000F370F"/>
    <w:rsid w:val="000F3A12"/>
    <w:rsid w:val="000F3AFB"/>
    <w:rsid w:val="000F3BDF"/>
    <w:rsid w:val="000F3EC4"/>
    <w:rsid w:val="000F4B6E"/>
    <w:rsid w:val="000F649E"/>
    <w:rsid w:val="000F6AC7"/>
    <w:rsid w:val="000F6F1E"/>
    <w:rsid w:val="000F71BF"/>
    <w:rsid w:val="000F7A30"/>
    <w:rsid w:val="000F7AF9"/>
    <w:rsid w:val="000F7D79"/>
    <w:rsid w:val="000F7F66"/>
    <w:rsid w:val="00101AAE"/>
    <w:rsid w:val="00101CD9"/>
    <w:rsid w:val="001029C4"/>
    <w:rsid w:val="00102B2E"/>
    <w:rsid w:val="00102EAB"/>
    <w:rsid w:val="00103246"/>
    <w:rsid w:val="001037CB"/>
    <w:rsid w:val="001037D9"/>
    <w:rsid w:val="00103E3F"/>
    <w:rsid w:val="001043CB"/>
    <w:rsid w:val="00104678"/>
    <w:rsid w:val="001047AB"/>
    <w:rsid w:val="00104A2F"/>
    <w:rsid w:val="00104CE8"/>
    <w:rsid w:val="00105109"/>
    <w:rsid w:val="00105957"/>
    <w:rsid w:val="00105F16"/>
    <w:rsid w:val="00105F2B"/>
    <w:rsid w:val="00106381"/>
    <w:rsid w:val="00106385"/>
    <w:rsid w:val="00106995"/>
    <w:rsid w:val="00106A48"/>
    <w:rsid w:val="0010721D"/>
    <w:rsid w:val="0010721E"/>
    <w:rsid w:val="001074ED"/>
    <w:rsid w:val="00107C0B"/>
    <w:rsid w:val="00110011"/>
    <w:rsid w:val="0011035A"/>
    <w:rsid w:val="001106D1"/>
    <w:rsid w:val="00111A9D"/>
    <w:rsid w:val="00112C28"/>
    <w:rsid w:val="00112E61"/>
    <w:rsid w:val="00113324"/>
    <w:rsid w:val="0011347E"/>
    <w:rsid w:val="0011401E"/>
    <w:rsid w:val="00114249"/>
    <w:rsid w:val="001149EB"/>
    <w:rsid w:val="00114E3C"/>
    <w:rsid w:val="00114F0E"/>
    <w:rsid w:val="00115960"/>
    <w:rsid w:val="00115A47"/>
    <w:rsid w:val="00116F33"/>
    <w:rsid w:val="001173CE"/>
    <w:rsid w:val="0011759D"/>
    <w:rsid w:val="001179B7"/>
    <w:rsid w:val="00117C53"/>
    <w:rsid w:val="00120A1F"/>
    <w:rsid w:val="00121926"/>
    <w:rsid w:val="00122F18"/>
    <w:rsid w:val="00123C0F"/>
    <w:rsid w:val="001245F5"/>
    <w:rsid w:val="00124E3C"/>
    <w:rsid w:val="0012549F"/>
    <w:rsid w:val="00126403"/>
    <w:rsid w:val="0012659C"/>
    <w:rsid w:val="001267D8"/>
    <w:rsid w:val="00126B3C"/>
    <w:rsid w:val="00126DD2"/>
    <w:rsid w:val="0012725E"/>
    <w:rsid w:val="00127871"/>
    <w:rsid w:val="001303B1"/>
    <w:rsid w:val="00130775"/>
    <w:rsid w:val="00130BFD"/>
    <w:rsid w:val="00130CC5"/>
    <w:rsid w:val="00130CF8"/>
    <w:rsid w:val="001312B6"/>
    <w:rsid w:val="00131327"/>
    <w:rsid w:val="00131509"/>
    <w:rsid w:val="0013157E"/>
    <w:rsid w:val="001316A3"/>
    <w:rsid w:val="00132565"/>
    <w:rsid w:val="00132D50"/>
    <w:rsid w:val="001346DA"/>
    <w:rsid w:val="00134A15"/>
    <w:rsid w:val="00134F76"/>
    <w:rsid w:val="00135286"/>
    <w:rsid w:val="00135339"/>
    <w:rsid w:val="001353A1"/>
    <w:rsid w:val="0013578A"/>
    <w:rsid w:val="00135B80"/>
    <w:rsid w:val="00135C66"/>
    <w:rsid w:val="00135D33"/>
    <w:rsid w:val="00136103"/>
    <w:rsid w:val="00136397"/>
    <w:rsid w:val="0013699E"/>
    <w:rsid w:val="00137F09"/>
    <w:rsid w:val="001405BC"/>
    <w:rsid w:val="00140870"/>
    <w:rsid w:val="00140AEB"/>
    <w:rsid w:val="00140C57"/>
    <w:rsid w:val="00140C6B"/>
    <w:rsid w:val="00141132"/>
    <w:rsid w:val="00141191"/>
    <w:rsid w:val="001413DC"/>
    <w:rsid w:val="001414B1"/>
    <w:rsid w:val="0014179D"/>
    <w:rsid w:val="0014188F"/>
    <w:rsid w:val="00141897"/>
    <w:rsid w:val="00141898"/>
    <w:rsid w:val="00141A95"/>
    <w:rsid w:val="00141CE6"/>
    <w:rsid w:val="0014247C"/>
    <w:rsid w:val="001424D6"/>
    <w:rsid w:val="00142DB9"/>
    <w:rsid w:val="00142E37"/>
    <w:rsid w:val="00142FD4"/>
    <w:rsid w:val="00143013"/>
    <w:rsid w:val="00143480"/>
    <w:rsid w:val="00143FC6"/>
    <w:rsid w:val="00144010"/>
    <w:rsid w:val="001443E4"/>
    <w:rsid w:val="00144B08"/>
    <w:rsid w:val="00144B93"/>
    <w:rsid w:val="00145146"/>
    <w:rsid w:val="00145227"/>
    <w:rsid w:val="00145719"/>
    <w:rsid w:val="00145C19"/>
    <w:rsid w:val="00145CA1"/>
    <w:rsid w:val="0014678A"/>
    <w:rsid w:val="00146847"/>
    <w:rsid w:val="00146A19"/>
    <w:rsid w:val="00146A78"/>
    <w:rsid w:val="00146E93"/>
    <w:rsid w:val="001471E1"/>
    <w:rsid w:val="00147261"/>
    <w:rsid w:val="00147D60"/>
    <w:rsid w:val="00147E3C"/>
    <w:rsid w:val="00147EC7"/>
    <w:rsid w:val="00150033"/>
    <w:rsid w:val="0015014B"/>
    <w:rsid w:val="0015030E"/>
    <w:rsid w:val="00150FBF"/>
    <w:rsid w:val="00151141"/>
    <w:rsid w:val="0015237E"/>
    <w:rsid w:val="00152399"/>
    <w:rsid w:val="00152415"/>
    <w:rsid w:val="0015251C"/>
    <w:rsid w:val="00152A4B"/>
    <w:rsid w:val="00153014"/>
    <w:rsid w:val="00153833"/>
    <w:rsid w:val="001547E0"/>
    <w:rsid w:val="00154C6E"/>
    <w:rsid w:val="00154D47"/>
    <w:rsid w:val="00154DF1"/>
    <w:rsid w:val="00156634"/>
    <w:rsid w:val="00156F94"/>
    <w:rsid w:val="00157ACB"/>
    <w:rsid w:val="00160355"/>
    <w:rsid w:val="00160376"/>
    <w:rsid w:val="00160454"/>
    <w:rsid w:val="001611BF"/>
    <w:rsid w:val="00161337"/>
    <w:rsid w:val="001613D9"/>
    <w:rsid w:val="00161463"/>
    <w:rsid w:val="00161845"/>
    <w:rsid w:val="00161A18"/>
    <w:rsid w:val="00161D70"/>
    <w:rsid w:val="00162233"/>
    <w:rsid w:val="0016293D"/>
    <w:rsid w:val="00162A41"/>
    <w:rsid w:val="00162C0F"/>
    <w:rsid w:val="001630B5"/>
    <w:rsid w:val="00163104"/>
    <w:rsid w:val="001633A4"/>
    <w:rsid w:val="00163BD7"/>
    <w:rsid w:val="00163D25"/>
    <w:rsid w:val="00163D7E"/>
    <w:rsid w:val="00163DC4"/>
    <w:rsid w:val="00164333"/>
    <w:rsid w:val="0016476E"/>
    <w:rsid w:val="0016494A"/>
    <w:rsid w:val="00164A14"/>
    <w:rsid w:val="00164F03"/>
    <w:rsid w:val="00165C9D"/>
    <w:rsid w:val="00166007"/>
    <w:rsid w:val="001666F0"/>
    <w:rsid w:val="00166815"/>
    <w:rsid w:val="00166B0C"/>
    <w:rsid w:val="0016710C"/>
    <w:rsid w:val="001673C1"/>
    <w:rsid w:val="001676EF"/>
    <w:rsid w:val="00167F1E"/>
    <w:rsid w:val="00167F7D"/>
    <w:rsid w:val="00170222"/>
    <w:rsid w:val="00170874"/>
    <w:rsid w:val="00171904"/>
    <w:rsid w:val="00171B43"/>
    <w:rsid w:val="0017214B"/>
    <w:rsid w:val="00172209"/>
    <w:rsid w:val="00172233"/>
    <w:rsid w:val="00173AA9"/>
    <w:rsid w:val="00174295"/>
    <w:rsid w:val="001743B0"/>
    <w:rsid w:val="00175436"/>
    <w:rsid w:val="001758F3"/>
    <w:rsid w:val="00175D6A"/>
    <w:rsid w:val="00175F72"/>
    <w:rsid w:val="001761D6"/>
    <w:rsid w:val="00176925"/>
    <w:rsid w:val="001769CE"/>
    <w:rsid w:val="00176A80"/>
    <w:rsid w:val="00176DDC"/>
    <w:rsid w:val="00176EBE"/>
    <w:rsid w:val="0017795C"/>
    <w:rsid w:val="00177EA8"/>
    <w:rsid w:val="00177FD0"/>
    <w:rsid w:val="00180091"/>
    <w:rsid w:val="001800EF"/>
    <w:rsid w:val="0018020E"/>
    <w:rsid w:val="0018035C"/>
    <w:rsid w:val="001806D4"/>
    <w:rsid w:val="001808E2"/>
    <w:rsid w:val="001808E8"/>
    <w:rsid w:val="001809C3"/>
    <w:rsid w:val="00181291"/>
    <w:rsid w:val="00181732"/>
    <w:rsid w:val="00181976"/>
    <w:rsid w:val="00181D94"/>
    <w:rsid w:val="00181EE1"/>
    <w:rsid w:val="00183C44"/>
    <w:rsid w:val="00183F19"/>
    <w:rsid w:val="00183F9B"/>
    <w:rsid w:val="001840E8"/>
    <w:rsid w:val="00184380"/>
    <w:rsid w:val="00184587"/>
    <w:rsid w:val="001845BF"/>
    <w:rsid w:val="00184783"/>
    <w:rsid w:val="001847BE"/>
    <w:rsid w:val="001857FC"/>
    <w:rsid w:val="00185DE0"/>
    <w:rsid w:val="001860B4"/>
    <w:rsid w:val="00186129"/>
    <w:rsid w:val="00186646"/>
    <w:rsid w:val="00186F42"/>
    <w:rsid w:val="00187059"/>
    <w:rsid w:val="001873A7"/>
    <w:rsid w:val="00187507"/>
    <w:rsid w:val="00187CD1"/>
    <w:rsid w:val="00187CEB"/>
    <w:rsid w:val="00187E03"/>
    <w:rsid w:val="00190DB3"/>
    <w:rsid w:val="00190F2B"/>
    <w:rsid w:val="001916AA"/>
    <w:rsid w:val="00191748"/>
    <w:rsid w:val="00191E00"/>
    <w:rsid w:val="00191E3F"/>
    <w:rsid w:val="00192568"/>
    <w:rsid w:val="00192AD6"/>
    <w:rsid w:val="00192EDC"/>
    <w:rsid w:val="00193801"/>
    <w:rsid w:val="00193889"/>
    <w:rsid w:val="00193AFA"/>
    <w:rsid w:val="00193B9A"/>
    <w:rsid w:val="0019419D"/>
    <w:rsid w:val="001943EA"/>
    <w:rsid w:val="00194A08"/>
    <w:rsid w:val="00194EFF"/>
    <w:rsid w:val="00194F68"/>
    <w:rsid w:val="00194F72"/>
    <w:rsid w:val="001951B0"/>
    <w:rsid w:val="00195918"/>
    <w:rsid w:val="00195A97"/>
    <w:rsid w:val="00195D57"/>
    <w:rsid w:val="00195EF4"/>
    <w:rsid w:val="00196614"/>
    <w:rsid w:val="001967B1"/>
    <w:rsid w:val="00196A00"/>
    <w:rsid w:val="00197579"/>
    <w:rsid w:val="001A0139"/>
    <w:rsid w:val="001A06EA"/>
    <w:rsid w:val="001A0BA8"/>
    <w:rsid w:val="001A2099"/>
    <w:rsid w:val="001A24C2"/>
    <w:rsid w:val="001A2575"/>
    <w:rsid w:val="001A25A9"/>
    <w:rsid w:val="001A2CEE"/>
    <w:rsid w:val="001A30F7"/>
    <w:rsid w:val="001A3D76"/>
    <w:rsid w:val="001A3FCD"/>
    <w:rsid w:val="001A4776"/>
    <w:rsid w:val="001A4F40"/>
    <w:rsid w:val="001A5077"/>
    <w:rsid w:val="001A517D"/>
    <w:rsid w:val="001A51EC"/>
    <w:rsid w:val="001A5AC8"/>
    <w:rsid w:val="001A5DC0"/>
    <w:rsid w:val="001A620B"/>
    <w:rsid w:val="001A635B"/>
    <w:rsid w:val="001A676C"/>
    <w:rsid w:val="001A6875"/>
    <w:rsid w:val="001A68F8"/>
    <w:rsid w:val="001A6A62"/>
    <w:rsid w:val="001A6B2B"/>
    <w:rsid w:val="001A6C1A"/>
    <w:rsid w:val="001A6E97"/>
    <w:rsid w:val="001A7181"/>
    <w:rsid w:val="001A73E3"/>
    <w:rsid w:val="001A777C"/>
    <w:rsid w:val="001A79EE"/>
    <w:rsid w:val="001A7C20"/>
    <w:rsid w:val="001B0920"/>
    <w:rsid w:val="001B12EC"/>
    <w:rsid w:val="001B130F"/>
    <w:rsid w:val="001B16AF"/>
    <w:rsid w:val="001B17D7"/>
    <w:rsid w:val="001B17DD"/>
    <w:rsid w:val="001B1883"/>
    <w:rsid w:val="001B206A"/>
    <w:rsid w:val="001B2131"/>
    <w:rsid w:val="001B23C5"/>
    <w:rsid w:val="001B255B"/>
    <w:rsid w:val="001B2DED"/>
    <w:rsid w:val="001B2F7D"/>
    <w:rsid w:val="001B2FFE"/>
    <w:rsid w:val="001B32FD"/>
    <w:rsid w:val="001B3A73"/>
    <w:rsid w:val="001B3B84"/>
    <w:rsid w:val="001B4780"/>
    <w:rsid w:val="001B47B7"/>
    <w:rsid w:val="001B4982"/>
    <w:rsid w:val="001B4A98"/>
    <w:rsid w:val="001B4AFF"/>
    <w:rsid w:val="001B4E60"/>
    <w:rsid w:val="001B4FD8"/>
    <w:rsid w:val="001B53A0"/>
    <w:rsid w:val="001B548C"/>
    <w:rsid w:val="001B5876"/>
    <w:rsid w:val="001B5922"/>
    <w:rsid w:val="001B5F96"/>
    <w:rsid w:val="001B632C"/>
    <w:rsid w:val="001B67C3"/>
    <w:rsid w:val="001B70CF"/>
    <w:rsid w:val="001B74D4"/>
    <w:rsid w:val="001B7550"/>
    <w:rsid w:val="001B76A6"/>
    <w:rsid w:val="001B7DB9"/>
    <w:rsid w:val="001C0341"/>
    <w:rsid w:val="001C0D2A"/>
    <w:rsid w:val="001C0E0B"/>
    <w:rsid w:val="001C0EBE"/>
    <w:rsid w:val="001C1577"/>
    <w:rsid w:val="001C1A87"/>
    <w:rsid w:val="001C1B82"/>
    <w:rsid w:val="001C1F4F"/>
    <w:rsid w:val="001C20B5"/>
    <w:rsid w:val="001C21D6"/>
    <w:rsid w:val="001C2234"/>
    <w:rsid w:val="001C2FCB"/>
    <w:rsid w:val="001C36E5"/>
    <w:rsid w:val="001C385A"/>
    <w:rsid w:val="001C3D05"/>
    <w:rsid w:val="001C3E72"/>
    <w:rsid w:val="001C3F0D"/>
    <w:rsid w:val="001C4346"/>
    <w:rsid w:val="001C4C53"/>
    <w:rsid w:val="001C4CD1"/>
    <w:rsid w:val="001C5092"/>
    <w:rsid w:val="001C5560"/>
    <w:rsid w:val="001C5B8F"/>
    <w:rsid w:val="001C5F93"/>
    <w:rsid w:val="001C6037"/>
    <w:rsid w:val="001C63C5"/>
    <w:rsid w:val="001C6B68"/>
    <w:rsid w:val="001C6B74"/>
    <w:rsid w:val="001C75E8"/>
    <w:rsid w:val="001C76D5"/>
    <w:rsid w:val="001C7F6F"/>
    <w:rsid w:val="001D06CF"/>
    <w:rsid w:val="001D0D38"/>
    <w:rsid w:val="001D11D9"/>
    <w:rsid w:val="001D136E"/>
    <w:rsid w:val="001D2A81"/>
    <w:rsid w:val="001D2C35"/>
    <w:rsid w:val="001D2FEC"/>
    <w:rsid w:val="001D4107"/>
    <w:rsid w:val="001D4313"/>
    <w:rsid w:val="001D4539"/>
    <w:rsid w:val="001D4CF8"/>
    <w:rsid w:val="001D4D0C"/>
    <w:rsid w:val="001D5B8F"/>
    <w:rsid w:val="001D5C58"/>
    <w:rsid w:val="001D5E4E"/>
    <w:rsid w:val="001D6194"/>
    <w:rsid w:val="001D644B"/>
    <w:rsid w:val="001D6B87"/>
    <w:rsid w:val="001D7438"/>
    <w:rsid w:val="001D7492"/>
    <w:rsid w:val="001D74C5"/>
    <w:rsid w:val="001D7608"/>
    <w:rsid w:val="001D76F5"/>
    <w:rsid w:val="001D79AC"/>
    <w:rsid w:val="001D7AC9"/>
    <w:rsid w:val="001D7E07"/>
    <w:rsid w:val="001D7E6D"/>
    <w:rsid w:val="001D7EA1"/>
    <w:rsid w:val="001E0483"/>
    <w:rsid w:val="001E052C"/>
    <w:rsid w:val="001E07FB"/>
    <w:rsid w:val="001E0AB0"/>
    <w:rsid w:val="001E1005"/>
    <w:rsid w:val="001E15DD"/>
    <w:rsid w:val="001E19DE"/>
    <w:rsid w:val="001E2DB7"/>
    <w:rsid w:val="001E306C"/>
    <w:rsid w:val="001E3B38"/>
    <w:rsid w:val="001E3FCF"/>
    <w:rsid w:val="001E4955"/>
    <w:rsid w:val="001E49E5"/>
    <w:rsid w:val="001E4D16"/>
    <w:rsid w:val="001E55E3"/>
    <w:rsid w:val="001E5711"/>
    <w:rsid w:val="001E5DF6"/>
    <w:rsid w:val="001E5E8B"/>
    <w:rsid w:val="001E69A3"/>
    <w:rsid w:val="001E69CD"/>
    <w:rsid w:val="001E6D08"/>
    <w:rsid w:val="001E6DC6"/>
    <w:rsid w:val="001E7050"/>
    <w:rsid w:val="001E7253"/>
    <w:rsid w:val="001E77F3"/>
    <w:rsid w:val="001F00B1"/>
    <w:rsid w:val="001F02A7"/>
    <w:rsid w:val="001F085F"/>
    <w:rsid w:val="001F0B9A"/>
    <w:rsid w:val="001F0F7E"/>
    <w:rsid w:val="001F147C"/>
    <w:rsid w:val="001F1793"/>
    <w:rsid w:val="001F17A7"/>
    <w:rsid w:val="001F1861"/>
    <w:rsid w:val="001F2799"/>
    <w:rsid w:val="001F2930"/>
    <w:rsid w:val="001F2E07"/>
    <w:rsid w:val="001F314F"/>
    <w:rsid w:val="001F319B"/>
    <w:rsid w:val="001F3F78"/>
    <w:rsid w:val="001F3FC2"/>
    <w:rsid w:val="001F405C"/>
    <w:rsid w:val="001F50E9"/>
    <w:rsid w:val="001F5689"/>
    <w:rsid w:val="001F58AD"/>
    <w:rsid w:val="001F5C2A"/>
    <w:rsid w:val="001F5E93"/>
    <w:rsid w:val="001F638C"/>
    <w:rsid w:val="001F7373"/>
    <w:rsid w:val="001F7D4F"/>
    <w:rsid w:val="001F7D90"/>
    <w:rsid w:val="001F7DCC"/>
    <w:rsid w:val="001F7FC5"/>
    <w:rsid w:val="0020018F"/>
    <w:rsid w:val="0020033D"/>
    <w:rsid w:val="0020034C"/>
    <w:rsid w:val="00201180"/>
    <w:rsid w:val="00201A83"/>
    <w:rsid w:val="00202180"/>
    <w:rsid w:val="00202950"/>
    <w:rsid w:val="00202D83"/>
    <w:rsid w:val="00202E08"/>
    <w:rsid w:val="002037FA"/>
    <w:rsid w:val="00203973"/>
    <w:rsid w:val="00203AC7"/>
    <w:rsid w:val="00203CC3"/>
    <w:rsid w:val="0020401D"/>
    <w:rsid w:val="00204024"/>
    <w:rsid w:val="00204095"/>
    <w:rsid w:val="00204532"/>
    <w:rsid w:val="00204586"/>
    <w:rsid w:val="00204659"/>
    <w:rsid w:val="002049DB"/>
    <w:rsid w:val="00204A7E"/>
    <w:rsid w:val="00205102"/>
    <w:rsid w:val="002053BB"/>
    <w:rsid w:val="00205458"/>
    <w:rsid w:val="00205886"/>
    <w:rsid w:val="00205B11"/>
    <w:rsid w:val="00206584"/>
    <w:rsid w:val="00206860"/>
    <w:rsid w:val="00206BE0"/>
    <w:rsid w:val="00206D80"/>
    <w:rsid w:val="00207185"/>
    <w:rsid w:val="00207654"/>
    <w:rsid w:val="002078D2"/>
    <w:rsid w:val="00207978"/>
    <w:rsid w:val="00207C90"/>
    <w:rsid w:val="00210432"/>
    <w:rsid w:val="00210E0E"/>
    <w:rsid w:val="00210FFB"/>
    <w:rsid w:val="00211992"/>
    <w:rsid w:val="00212484"/>
    <w:rsid w:val="00212852"/>
    <w:rsid w:val="00212E45"/>
    <w:rsid w:val="00212F53"/>
    <w:rsid w:val="0021383B"/>
    <w:rsid w:val="00213C5F"/>
    <w:rsid w:val="00213CDB"/>
    <w:rsid w:val="0021469B"/>
    <w:rsid w:val="00214E4F"/>
    <w:rsid w:val="00214E57"/>
    <w:rsid w:val="0021571A"/>
    <w:rsid w:val="002173F9"/>
    <w:rsid w:val="00217481"/>
    <w:rsid w:val="00217818"/>
    <w:rsid w:val="002178B6"/>
    <w:rsid w:val="00217982"/>
    <w:rsid w:val="00217D59"/>
    <w:rsid w:val="00217F97"/>
    <w:rsid w:val="0022077D"/>
    <w:rsid w:val="00221960"/>
    <w:rsid w:val="00221E18"/>
    <w:rsid w:val="002222C9"/>
    <w:rsid w:val="00222562"/>
    <w:rsid w:val="0022339D"/>
    <w:rsid w:val="00223472"/>
    <w:rsid w:val="00223964"/>
    <w:rsid w:val="00223992"/>
    <w:rsid w:val="00223A06"/>
    <w:rsid w:val="00223A32"/>
    <w:rsid w:val="00223C59"/>
    <w:rsid w:val="00223DD1"/>
    <w:rsid w:val="002248F9"/>
    <w:rsid w:val="00224F68"/>
    <w:rsid w:val="002275D7"/>
    <w:rsid w:val="0023035E"/>
    <w:rsid w:val="0023039F"/>
    <w:rsid w:val="002306D8"/>
    <w:rsid w:val="00230A74"/>
    <w:rsid w:val="00230F66"/>
    <w:rsid w:val="002310C3"/>
    <w:rsid w:val="00231512"/>
    <w:rsid w:val="00232077"/>
    <w:rsid w:val="00233887"/>
    <w:rsid w:val="002338F2"/>
    <w:rsid w:val="00233C2D"/>
    <w:rsid w:val="00234515"/>
    <w:rsid w:val="00234F00"/>
    <w:rsid w:val="002355A6"/>
    <w:rsid w:val="00236A4C"/>
    <w:rsid w:val="00236BCE"/>
    <w:rsid w:val="00236E81"/>
    <w:rsid w:val="00237869"/>
    <w:rsid w:val="00237E01"/>
    <w:rsid w:val="00237FB1"/>
    <w:rsid w:val="002404E2"/>
    <w:rsid w:val="002405EC"/>
    <w:rsid w:val="00240790"/>
    <w:rsid w:val="002410D9"/>
    <w:rsid w:val="002417AD"/>
    <w:rsid w:val="00241B26"/>
    <w:rsid w:val="00241C3A"/>
    <w:rsid w:val="00241FDC"/>
    <w:rsid w:val="002422E6"/>
    <w:rsid w:val="00242D4A"/>
    <w:rsid w:val="002431E6"/>
    <w:rsid w:val="00243574"/>
    <w:rsid w:val="00243F14"/>
    <w:rsid w:val="00244507"/>
    <w:rsid w:val="002447E8"/>
    <w:rsid w:val="002449FA"/>
    <w:rsid w:val="00244A7B"/>
    <w:rsid w:val="00244AE5"/>
    <w:rsid w:val="00244D8A"/>
    <w:rsid w:val="00244E67"/>
    <w:rsid w:val="00245085"/>
    <w:rsid w:val="0024566B"/>
    <w:rsid w:val="00245B87"/>
    <w:rsid w:val="00245F99"/>
    <w:rsid w:val="00246011"/>
    <w:rsid w:val="0024617D"/>
    <w:rsid w:val="0024648D"/>
    <w:rsid w:val="0024649B"/>
    <w:rsid w:val="002469B3"/>
    <w:rsid w:val="00246D77"/>
    <w:rsid w:val="00247039"/>
    <w:rsid w:val="002472A8"/>
    <w:rsid w:val="00247607"/>
    <w:rsid w:val="002477DD"/>
    <w:rsid w:val="0025042B"/>
    <w:rsid w:val="00250460"/>
    <w:rsid w:val="00250992"/>
    <w:rsid w:val="00251EC8"/>
    <w:rsid w:val="00251F17"/>
    <w:rsid w:val="0025242D"/>
    <w:rsid w:val="00252987"/>
    <w:rsid w:val="00253937"/>
    <w:rsid w:val="00253E06"/>
    <w:rsid w:val="00253E2A"/>
    <w:rsid w:val="00253E2E"/>
    <w:rsid w:val="00253E47"/>
    <w:rsid w:val="0025428A"/>
    <w:rsid w:val="0025449F"/>
    <w:rsid w:val="00254694"/>
    <w:rsid w:val="00254BDC"/>
    <w:rsid w:val="00255030"/>
    <w:rsid w:val="00256566"/>
    <w:rsid w:val="00256A2B"/>
    <w:rsid w:val="002570F1"/>
    <w:rsid w:val="002573CC"/>
    <w:rsid w:val="002575BE"/>
    <w:rsid w:val="00260857"/>
    <w:rsid w:val="00260D96"/>
    <w:rsid w:val="00260FFE"/>
    <w:rsid w:val="0026171C"/>
    <w:rsid w:val="00261B82"/>
    <w:rsid w:val="00261CA3"/>
    <w:rsid w:val="00261EA4"/>
    <w:rsid w:val="00262A91"/>
    <w:rsid w:val="00262B4B"/>
    <w:rsid w:val="00262DFE"/>
    <w:rsid w:val="002635BB"/>
    <w:rsid w:val="002636A6"/>
    <w:rsid w:val="00263983"/>
    <w:rsid w:val="00263AA1"/>
    <w:rsid w:val="00263CA7"/>
    <w:rsid w:val="00263E54"/>
    <w:rsid w:val="0026437B"/>
    <w:rsid w:val="002648F7"/>
    <w:rsid w:val="00264CD1"/>
    <w:rsid w:val="00264E54"/>
    <w:rsid w:val="00264E61"/>
    <w:rsid w:val="00265099"/>
    <w:rsid w:val="00265391"/>
    <w:rsid w:val="0026547B"/>
    <w:rsid w:val="002658EB"/>
    <w:rsid w:val="00265A85"/>
    <w:rsid w:val="00265E5C"/>
    <w:rsid w:val="00265FF2"/>
    <w:rsid w:val="00265FFD"/>
    <w:rsid w:val="002665C7"/>
    <w:rsid w:val="00266BA2"/>
    <w:rsid w:val="00266BAC"/>
    <w:rsid w:val="0026714F"/>
    <w:rsid w:val="0026757C"/>
    <w:rsid w:val="0026793D"/>
    <w:rsid w:val="00267C4A"/>
    <w:rsid w:val="002704D3"/>
    <w:rsid w:val="0027084A"/>
    <w:rsid w:val="00270BB2"/>
    <w:rsid w:val="00270ED0"/>
    <w:rsid w:val="002724AE"/>
    <w:rsid w:val="0027360F"/>
    <w:rsid w:val="00273A38"/>
    <w:rsid w:val="00273C4E"/>
    <w:rsid w:val="002746A0"/>
    <w:rsid w:val="0027473F"/>
    <w:rsid w:val="00274D87"/>
    <w:rsid w:val="00275185"/>
    <w:rsid w:val="0027534E"/>
    <w:rsid w:val="00275B60"/>
    <w:rsid w:val="00275BDD"/>
    <w:rsid w:val="00275C60"/>
    <w:rsid w:val="0027643E"/>
    <w:rsid w:val="00276597"/>
    <w:rsid w:val="00276667"/>
    <w:rsid w:val="0027688B"/>
    <w:rsid w:val="00276B0F"/>
    <w:rsid w:val="00276DF0"/>
    <w:rsid w:val="00277FDA"/>
    <w:rsid w:val="00280004"/>
    <w:rsid w:val="002802DC"/>
    <w:rsid w:val="00280404"/>
    <w:rsid w:val="0028061F"/>
    <w:rsid w:val="00280EB8"/>
    <w:rsid w:val="0028176A"/>
    <w:rsid w:val="0028194D"/>
    <w:rsid w:val="00282272"/>
    <w:rsid w:val="00282431"/>
    <w:rsid w:val="0028395B"/>
    <w:rsid w:val="00283990"/>
    <w:rsid w:val="00283D3E"/>
    <w:rsid w:val="00284343"/>
    <w:rsid w:val="00284997"/>
    <w:rsid w:val="00284FB6"/>
    <w:rsid w:val="00284FCA"/>
    <w:rsid w:val="00285125"/>
    <w:rsid w:val="002858E6"/>
    <w:rsid w:val="00285985"/>
    <w:rsid w:val="00286391"/>
    <w:rsid w:val="00286A60"/>
    <w:rsid w:val="00286AC0"/>
    <w:rsid w:val="002877EE"/>
    <w:rsid w:val="002901A2"/>
    <w:rsid w:val="00290281"/>
    <w:rsid w:val="00291394"/>
    <w:rsid w:val="0029140F"/>
    <w:rsid w:val="00291822"/>
    <w:rsid w:val="00291E73"/>
    <w:rsid w:val="00291F47"/>
    <w:rsid w:val="0029264D"/>
    <w:rsid w:val="00292799"/>
    <w:rsid w:val="00292AFF"/>
    <w:rsid w:val="00292B6B"/>
    <w:rsid w:val="00292B87"/>
    <w:rsid w:val="00292C89"/>
    <w:rsid w:val="00292DE9"/>
    <w:rsid w:val="00293862"/>
    <w:rsid w:val="00293E04"/>
    <w:rsid w:val="00293F95"/>
    <w:rsid w:val="002951D1"/>
    <w:rsid w:val="002959F5"/>
    <w:rsid w:val="00295B77"/>
    <w:rsid w:val="00295C40"/>
    <w:rsid w:val="00295D0A"/>
    <w:rsid w:val="00295FF5"/>
    <w:rsid w:val="00297167"/>
    <w:rsid w:val="002978F8"/>
    <w:rsid w:val="0029791D"/>
    <w:rsid w:val="00297A7F"/>
    <w:rsid w:val="00297AF2"/>
    <w:rsid w:val="00297D3B"/>
    <w:rsid w:val="00297E13"/>
    <w:rsid w:val="002A014F"/>
    <w:rsid w:val="002A0613"/>
    <w:rsid w:val="002A0747"/>
    <w:rsid w:val="002A107B"/>
    <w:rsid w:val="002A1476"/>
    <w:rsid w:val="002A2365"/>
    <w:rsid w:val="002A2554"/>
    <w:rsid w:val="002A26DA"/>
    <w:rsid w:val="002A26F0"/>
    <w:rsid w:val="002A27C6"/>
    <w:rsid w:val="002A2912"/>
    <w:rsid w:val="002A347C"/>
    <w:rsid w:val="002A3BD0"/>
    <w:rsid w:val="002A3F0E"/>
    <w:rsid w:val="002A4432"/>
    <w:rsid w:val="002A4477"/>
    <w:rsid w:val="002A47C5"/>
    <w:rsid w:val="002A4899"/>
    <w:rsid w:val="002A51BF"/>
    <w:rsid w:val="002A598F"/>
    <w:rsid w:val="002A5AA4"/>
    <w:rsid w:val="002A5C4F"/>
    <w:rsid w:val="002A5CBE"/>
    <w:rsid w:val="002A5EF4"/>
    <w:rsid w:val="002A6338"/>
    <w:rsid w:val="002A6384"/>
    <w:rsid w:val="002A654E"/>
    <w:rsid w:val="002A743D"/>
    <w:rsid w:val="002A7628"/>
    <w:rsid w:val="002A76F0"/>
    <w:rsid w:val="002A7C5D"/>
    <w:rsid w:val="002A7F83"/>
    <w:rsid w:val="002B0104"/>
    <w:rsid w:val="002B021A"/>
    <w:rsid w:val="002B0317"/>
    <w:rsid w:val="002B04F6"/>
    <w:rsid w:val="002B0771"/>
    <w:rsid w:val="002B0821"/>
    <w:rsid w:val="002B08DC"/>
    <w:rsid w:val="002B0929"/>
    <w:rsid w:val="002B0C89"/>
    <w:rsid w:val="002B1E45"/>
    <w:rsid w:val="002B26AA"/>
    <w:rsid w:val="002B273F"/>
    <w:rsid w:val="002B2FEB"/>
    <w:rsid w:val="002B3210"/>
    <w:rsid w:val="002B3543"/>
    <w:rsid w:val="002B3768"/>
    <w:rsid w:val="002B3905"/>
    <w:rsid w:val="002B3F25"/>
    <w:rsid w:val="002B3F4B"/>
    <w:rsid w:val="002B4EE2"/>
    <w:rsid w:val="002B4F2F"/>
    <w:rsid w:val="002B4F91"/>
    <w:rsid w:val="002B4FF6"/>
    <w:rsid w:val="002B500B"/>
    <w:rsid w:val="002B5093"/>
    <w:rsid w:val="002B51D4"/>
    <w:rsid w:val="002B5DAA"/>
    <w:rsid w:val="002B65E0"/>
    <w:rsid w:val="002B7388"/>
    <w:rsid w:val="002B7755"/>
    <w:rsid w:val="002C0251"/>
    <w:rsid w:val="002C02F5"/>
    <w:rsid w:val="002C03B0"/>
    <w:rsid w:val="002C0611"/>
    <w:rsid w:val="002C0C32"/>
    <w:rsid w:val="002C110D"/>
    <w:rsid w:val="002C148C"/>
    <w:rsid w:val="002C17A9"/>
    <w:rsid w:val="002C1E0B"/>
    <w:rsid w:val="002C1E4D"/>
    <w:rsid w:val="002C1EDB"/>
    <w:rsid w:val="002C231E"/>
    <w:rsid w:val="002C2519"/>
    <w:rsid w:val="002C2D16"/>
    <w:rsid w:val="002C2DD7"/>
    <w:rsid w:val="002C2F92"/>
    <w:rsid w:val="002C3367"/>
    <w:rsid w:val="002C3954"/>
    <w:rsid w:val="002C44B2"/>
    <w:rsid w:val="002C454A"/>
    <w:rsid w:val="002C4F4C"/>
    <w:rsid w:val="002C562F"/>
    <w:rsid w:val="002C63F2"/>
    <w:rsid w:val="002C740A"/>
    <w:rsid w:val="002D006A"/>
    <w:rsid w:val="002D075D"/>
    <w:rsid w:val="002D130A"/>
    <w:rsid w:val="002D13E9"/>
    <w:rsid w:val="002D1898"/>
    <w:rsid w:val="002D19F7"/>
    <w:rsid w:val="002D1B9E"/>
    <w:rsid w:val="002D2C56"/>
    <w:rsid w:val="002D2EDC"/>
    <w:rsid w:val="002D3058"/>
    <w:rsid w:val="002D3D34"/>
    <w:rsid w:val="002D3F2E"/>
    <w:rsid w:val="002D413F"/>
    <w:rsid w:val="002D4927"/>
    <w:rsid w:val="002D49DD"/>
    <w:rsid w:val="002D4B1D"/>
    <w:rsid w:val="002D5122"/>
    <w:rsid w:val="002D5334"/>
    <w:rsid w:val="002D579A"/>
    <w:rsid w:val="002D5DA6"/>
    <w:rsid w:val="002D6148"/>
    <w:rsid w:val="002D6294"/>
    <w:rsid w:val="002D6434"/>
    <w:rsid w:val="002D659A"/>
    <w:rsid w:val="002D68DB"/>
    <w:rsid w:val="002D6C98"/>
    <w:rsid w:val="002D6EF1"/>
    <w:rsid w:val="002D71C3"/>
    <w:rsid w:val="002D73F5"/>
    <w:rsid w:val="002D7535"/>
    <w:rsid w:val="002D7CDE"/>
    <w:rsid w:val="002D7E32"/>
    <w:rsid w:val="002E01CE"/>
    <w:rsid w:val="002E04B9"/>
    <w:rsid w:val="002E14D4"/>
    <w:rsid w:val="002E15D8"/>
    <w:rsid w:val="002E2560"/>
    <w:rsid w:val="002E4E2E"/>
    <w:rsid w:val="002E58F1"/>
    <w:rsid w:val="002E5B4E"/>
    <w:rsid w:val="002E5C05"/>
    <w:rsid w:val="002E60EB"/>
    <w:rsid w:val="002E62F3"/>
    <w:rsid w:val="002E641F"/>
    <w:rsid w:val="002E645A"/>
    <w:rsid w:val="002E687F"/>
    <w:rsid w:val="002E6FFC"/>
    <w:rsid w:val="002E7235"/>
    <w:rsid w:val="002E7853"/>
    <w:rsid w:val="002E7C98"/>
    <w:rsid w:val="002E7DD2"/>
    <w:rsid w:val="002F0201"/>
    <w:rsid w:val="002F1341"/>
    <w:rsid w:val="002F1381"/>
    <w:rsid w:val="002F17A8"/>
    <w:rsid w:val="002F18B0"/>
    <w:rsid w:val="002F195F"/>
    <w:rsid w:val="002F1B62"/>
    <w:rsid w:val="002F22C9"/>
    <w:rsid w:val="002F23F4"/>
    <w:rsid w:val="002F2A01"/>
    <w:rsid w:val="002F30FF"/>
    <w:rsid w:val="002F35F3"/>
    <w:rsid w:val="002F3920"/>
    <w:rsid w:val="002F3F7F"/>
    <w:rsid w:val="002F4697"/>
    <w:rsid w:val="002F4964"/>
    <w:rsid w:val="002F4AE7"/>
    <w:rsid w:val="002F4CDC"/>
    <w:rsid w:val="002F50C2"/>
    <w:rsid w:val="002F5E1B"/>
    <w:rsid w:val="002F6BDF"/>
    <w:rsid w:val="002F721E"/>
    <w:rsid w:val="002F7258"/>
    <w:rsid w:val="002F7306"/>
    <w:rsid w:val="002F731E"/>
    <w:rsid w:val="002F73E8"/>
    <w:rsid w:val="002F746B"/>
    <w:rsid w:val="002F7B64"/>
    <w:rsid w:val="002F7B6E"/>
    <w:rsid w:val="0030016F"/>
    <w:rsid w:val="00301C7E"/>
    <w:rsid w:val="00302178"/>
    <w:rsid w:val="0030262E"/>
    <w:rsid w:val="00302983"/>
    <w:rsid w:val="00302B07"/>
    <w:rsid w:val="00302C70"/>
    <w:rsid w:val="00302F43"/>
    <w:rsid w:val="0030302A"/>
    <w:rsid w:val="00303C3B"/>
    <w:rsid w:val="00304055"/>
    <w:rsid w:val="00304128"/>
    <w:rsid w:val="00304AC9"/>
    <w:rsid w:val="00304FD8"/>
    <w:rsid w:val="00305EFB"/>
    <w:rsid w:val="00306253"/>
    <w:rsid w:val="003068D5"/>
    <w:rsid w:val="00306D4A"/>
    <w:rsid w:val="003077A1"/>
    <w:rsid w:val="0031042F"/>
    <w:rsid w:val="003106FC"/>
    <w:rsid w:val="00310AC0"/>
    <w:rsid w:val="0031148E"/>
    <w:rsid w:val="0031162F"/>
    <w:rsid w:val="00311710"/>
    <w:rsid w:val="003117D0"/>
    <w:rsid w:val="003119DA"/>
    <w:rsid w:val="00311BAD"/>
    <w:rsid w:val="00311F1A"/>
    <w:rsid w:val="003122FD"/>
    <w:rsid w:val="00312AF4"/>
    <w:rsid w:val="00312D4A"/>
    <w:rsid w:val="00312E4D"/>
    <w:rsid w:val="0031312B"/>
    <w:rsid w:val="003135F5"/>
    <w:rsid w:val="00313D66"/>
    <w:rsid w:val="00313DD2"/>
    <w:rsid w:val="00314F97"/>
    <w:rsid w:val="0031517B"/>
    <w:rsid w:val="003152FA"/>
    <w:rsid w:val="00315411"/>
    <w:rsid w:val="0031564F"/>
    <w:rsid w:val="003156F3"/>
    <w:rsid w:val="00315AEA"/>
    <w:rsid w:val="0031600D"/>
    <w:rsid w:val="00316138"/>
    <w:rsid w:val="00316304"/>
    <w:rsid w:val="00317346"/>
    <w:rsid w:val="003174AE"/>
    <w:rsid w:val="003175AC"/>
    <w:rsid w:val="003175F7"/>
    <w:rsid w:val="00317A54"/>
    <w:rsid w:val="00320289"/>
    <w:rsid w:val="0032032E"/>
    <w:rsid w:val="00320A6E"/>
    <w:rsid w:val="00320B7E"/>
    <w:rsid w:val="00320C43"/>
    <w:rsid w:val="00320DEF"/>
    <w:rsid w:val="003214D8"/>
    <w:rsid w:val="00321937"/>
    <w:rsid w:val="00321D3A"/>
    <w:rsid w:val="00321E31"/>
    <w:rsid w:val="00322319"/>
    <w:rsid w:val="00322646"/>
    <w:rsid w:val="00322F07"/>
    <w:rsid w:val="00323BCF"/>
    <w:rsid w:val="00323C24"/>
    <w:rsid w:val="00323E47"/>
    <w:rsid w:val="00324024"/>
    <w:rsid w:val="003244FB"/>
    <w:rsid w:val="00324C7F"/>
    <w:rsid w:val="00324DCB"/>
    <w:rsid w:val="003256B8"/>
    <w:rsid w:val="00325723"/>
    <w:rsid w:val="00325B75"/>
    <w:rsid w:val="00325C6C"/>
    <w:rsid w:val="00326A11"/>
    <w:rsid w:val="00326AFD"/>
    <w:rsid w:val="00327183"/>
    <w:rsid w:val="00327BEE"/>
    <w:rsid w:val="003308C2"/>
    <w:rsid w:val="00330960"/>
    <w:rsid w:val="00331063"/>
    <w:rsid w:val="0033156D"/>
    <w:rsid w:val="0033169E"/>
    <w:rsid w:val="003317E2"/>
    <w:rsid w:val="00331D28"/>
    <w:rsid w:val="00331DBB"/>
    <w:rsid w:val="00331FDD"/>
    <w:rsid w:val="003331A0"/>
    <w:rsid w:val="00334D65"/>
    <w:rsid w:val="00335E13"/>
    <w:rsid w:val="00335F28"/>
    <w:rsid w:val="003365BD"/>
    <w:rsid w:val="00336670"/>
    <w:rsid w:val="0033676C"/>
    <w:rsid w:val="00337024"/>
    <w:rsid w:val="00337737"/>
    <w:rsid w:val="003404E9"/>
    <w:rsid w:val="003407D2"/>
    <w:rsid w:val="00340C6D"/>
    <w:rsid w:val="0034121E"/>
    <w:rsid w:val="003412B8"/>
    <w:rsid w:val="00341696"/>
    <w:rsid w:val="00341C28"/>
    <w:rsid w:val="00341DDF"/>
    <w:rsid w:val="003424FC"/>
    <w:rsid w:val="00342719"/>
    <w:rsid w:val="003427BC"/>
    <w:rsid w:val="00342AAF"/>
    <w:rsid w:val="00342C2B"/>
    <w:rsid w:val="00342C40"/>
    <w:rsid w:val="0034326A"/>
    <w:rsid w:val="0034366E"/>
    <w:rsid w:val="00343787"/>
    <w:rsid w:val="00344096"/>
    <w:rsid w:val="00344152"/>
    <w:rsid w:val="003443B6"/>
    <w:rsid w:val="00345082"/>
    <w:rsid w:val="003451EC"/>
    <w:rsid w:val="003455FC"/>
    <w:rsid w:val="0034582F"/>
    <w:rsid w:val="003468ED"/>
    <w:rsid w:val="00346AF3"/>
    <w:rsid w:val="00347798"/>
    <w:rsid w:val="00347877"/>
    <w:rsid w:val="00347E4A"/>
    <w:rsid w:val="00350369"/>
    <w:rsid w:val="00350796"/>
    <w:rsid w:val="00351612"/>
    <w:rsid w:val="0035214A"/>
    <w:rsid w:val="0035214D"/>
    <w:rsid w:val="00352177"/>
    <w:rsid w:val="00352351"/>
    <w:rsid w:val="003528E8"/>
    <w:rsid w:val="00352932"/>
    <w:rsid w:val="00352956"/>
    <w:rsid w:val="003531A5"/>
    <w:rsid w:val="003532CD"/>
    <w:rsid w:val="00353637"/>
    <w:rsid w:val="00353907"/>
    <w:rsid w:val="00353B8A"/>
    <w:rsid w:val="00353C7F"/>
    <w:rsid w:val="00353D84"/>
    <w:rsid w:val="0035464F"/>
    <w:rsid w:val="00354DA2"/>
    <w:rsid w:val="00354DE1"/>
    <w:rsid w:val="00355552"/>
    <w:rsid w:val="003562F2"/>
    <w:rsid w:val="003573FB"/>
    <w:rsid w:val="00357743"/>
    <w:rsid w:val="00357DB7"/>
    <w:rsid w:val="00357EB2"/>
    <w:rsid w:val="0036013F"/>
    <w:rsid w:val="00360696"/>
    <w:rsid w:val="00360C98"/>
    <w:rsid w:val="00360D80"/>
    <w:rsid w:val="00360EC6"/>
    <w:rsid w:val="0036103A"/>
    <w:rsid w:val="00361FA3"/>
    <w:rsid w:val="003627F6"/>
    <w:rsid w:val="00362CAD"/>
    <w:rsid w:val="00362F8E"/>
    <w:rsid w:val="00363777"/>
    <w:rsid w:val="003641F2"/>
    <w:rsid w:val="003646EF"/>
    <w:rsid w:val="003647C3"/>
    <w:rsid w:val="00364A74"/>
    <w:rsid w:val="00364ADF"/>
    <w:rsid w:val="00364D74"/>
    <w:rsid w:val="00364F7C"/>
    <w:rsid w:val="0036532B"/>
    <w:rsid w:val="003662F4"/>
    <w:rsid w:val="00366866"/>
    <w:rsid w:val="0037054C"/>
    <w:rsid w:val="00370B25"/>
    <w:rsid w:val="00370FEE"/>
    <w:rsid w:val="00371409"/>
    <w:rsid w:val="00371530"/>
    <w:rsid w:val="003715AF"/>
    <w:rsid w:val="00371DFD"/>
    <w:rsid w:val="0037208D"/>
    <w:rsid w:val="003721E2"/>
    <w:rsid w:val="0037376E"/>
    <w:rsid w:val="00373EFB"/>
    <w:rsid w:val="00373FA7"/>
    <w:rsid w:val="0037487D"/>
    <w:rsid w:val="0037503F"/>
    <w:rsid w:val="00375328"/>
    <w:rsid w:val="003754C6"/>
    <w:rsid w:val="0037552C"/>
    <w:rsid w:val="003755E5"/>
    <w:rsid w:val="0037578C"/>
    <w:rsid w:val="00375AB7"/>
    <w:rsid w:val="00375BDF"/>
    <w:rsid w:val="003760EF"/>
    <w:rsid w:val="00376971"/>
    <w:rsid w:val="00376C8F"/>
    <w:rsid w:val="00377279"/>
    <w:rsid w:val="003778CF"/>
    <w:rsid w:val="00377A3A"/>
    <w:rsid w:val="0038050B"/>
    <w:rsid w:val="00380BD6"/>
    <w:rsid w:val="00380F2A"/>
    <w:rsid w:val="00381060"/>
    <w:rsid w:val="00381973"/>
    <w:rsid w:val="003825DF"/>
    <w:rsid w:val="0038267D"/>
    <w:rsid w:val="00382D4D"/>
    <w:rsid w:val="00383464"/>
    <w:rsid w:val="00383701"/>
    <w:rsid w:val="00383826"/>
    <w:rsid w:val="00383B03"/>
    <w:rsid w:val="00384919"/>
    <w:rsid w:val="00384976"/>
    <w:rsid w:val="00384EC3"/>
    <w:rsid w:val="003856B8"/>
    <w:rsid w:val="0038575D"/>
    <w:rsid w:val="00387EE1"/>
    <w:rsid w:val="00387F6D"/>
    <w:rsid w:val="00390ADF"/>
    <w:rsid w:val="003914BE"/>
    <w:rsid w:val="0039176A"/>
    <w:rsid w:val="00391A55"/>
    <w:rsid w:val="0039224D"/>
    <w:rsid w:val="003922A1"/>
    <w:rsid w:val="0039278A"/>
    <w:rsid w:val="0039289E"/>
    <w:rsid w:val="003928B5"/>
    <w:rsid w:val="00392901"/>
    <w:rsid w:val="003929C7"/>
    <w:rsid w:val="00392B8B"/>
    <w:rsid w:val="00392D1F"/>
    <w:rsid w:val="00393306"/>
    <w:rsid w:val="0039346F"/>
    <w:rsid w:val="00393F85"/>
    <w:rsid w:val="00394708"/>
    <w:rsid w:val="003948C3"/>
    <w:rsid w:val="00394DE3"/>
    <w:rsid w:val="00395879"/>
    <w:rsid w:val="00395BFD"/>
    <w:rsid w:val="00395E5E"/>
    <w:rsid w:val="00396435"/>
    <w:rsid w:val="00396751"/>
    <w:rsid w:val="00396769"/>
    <w:rsid w:val="003970E0"/>
    <w:rsid w:val="00397347"/>
    <w:rsid w:val="003A033A"/>
    <w:rsid w:val="003A0A91"/>
    <w:rsid w:val="003A1447"/>
    <w:rsid w:val="003A1B71"/>
    <w:rsid w:val="003A1F76"/>
    <w:rsid w:val="003A2445"/>
    <w:rsid w:val="003A259A"/>
    <w:rsid w:val="003A27AB"/>
    <w:rsid w:val="003A3245"/>
    <w:rsid w:val="003A3478"/>
    <w:rsid w:val="003A357F"/>
    <w:rsid w:val="003A3820"/>
    <w:rsid w:val="003A4215"/>
    <w:rsid w:val="003A439C"/>
    <w:rsid w:val="003A4A64"/>
    <w:rsid w:val="003A4B33"/>
    <w:rsid w:val="003A4E9F"/>
    <w:rsid w:val="003A5C9E"/>
    <w:rsid w:val="003A6046"/>
    <w:rsid w:val="003A60A0"/>
    <w:rsid w:val="003A6249"/>
    <w:rsid w:val="003A7F01"/>
    <w:rsid w:val="003B03C0"/>
    <w:rsid w:val="003B09BC"/>
    <w:rsid w:val="003B0C0C"/>
    <w:rsid w:val="003B15AE"/>
    <w:rsid w:val="003B1864"/>
    <w:rsid w:val="003B209A"/>
    <w:rsid w:val="003B24A4"/>
    <w:rsid w:val="003B2505"/>
    <w:rsid w:val="003B25AA"/>
    <w:rsid w:val="003B2D8F"/>
    <w:rsid w:val="003B2FE0"/>
    <w:rsid w:val="003B30D9"/>
    <w:rsid w:val="003B3371"/>
    <w:rsid w:val="003B388F"/>
    <w:rsid w:val="003B433D"/>
    <w:rsid w:val="003B4385"/>
    <w:rsid w:val="003B488F"/>
    <w:rsid w:val="003B48E8"/>
    <w:rsid w:val="003B5406"/>
    <w:rsid w:val="003B553A"/>
    <w:rsid w:val="003B5C17"/>
    <w:rsid w:val="003B6FFC"/>
    <w:rsid w:val="003B7208"/>
    <w:rsid w:val="003B7AC2"/>
    <w:rsid w:val="003C0322"/>
    <w:rsid w:val="003C035E"/>
    <w:rsid w:val="003C0F50"/>
    <w:rsid w:val="003C1303"/>
    <w:rsid w:val="003C2054"/>
    <w:rsid w:val="003C21F4"/>
    <w:rsid w:val="003C258F"/>
    <w:rsid w:val="003C265E"/>
    <w:rsid w:val="003C2852"/>
    <w:rsid w:val="003C317A"/>
    <w:rsid w:val="003C38E9"/>
    <w:rsid w:val="003C3F00"/>
    <w:rsid w:val="003C41DF"/>
    <w:rsid w:val="003C47DE"/>
    <w:rsid w:val="003C4860"/>
    <w:rsid w:val="003C4F40"/>
    <w:rsid w:val="003C4FEF"/>
    <w:rsid w:val="003C5816"/>
    <w:rsid w:val="003C5A53"/>
    <w:rsid w:val="003C5D11"/>
    <w:rsid w:val="003C60B3"/>
    <w:rsid w:val="003C60EE"/>
    <w:rsid w:val="003C6269"/>
    <w:rsid w:val="003C62AA"/>
    <w:rsid w:val="003C64D6"/>
    <w:rsid w:val="003C664A"/>
    <w:rsid w:val="003C6A0C"/>
    <w:rsid w:val="003C6B11"/>
    <w:rsid w:val="003C6E52"/>
    <w:rsid w:val="003C6F18"/>
    <w:rsid w:val="003C75D6"/>
    <w:rsid w:val="003C77C8"/>
    <w:rsid w:val="003C7C20"/>
    <w:rsid w:val="003C7EF1"/>
    <w:rsid w:val="003D01FB"/>
    <w:rsid w:val="003D06C5"/>
    <w:rsid w:val="003D1EC7"/>
    <w:rsid w:val="003D2026"/>
    <w:rsid w:val="003D205D"/>
    <w:rsid w:val="003D2193"/>
    <w:rsid w:val="003D2BFE"/>
    <w:rsid w:val="003D2EA9"/>
    <w:rsid w:val="003D305F"/>
    <w:rsid w:val="003D3100"/>
    <w:rsid w:val="003D31B9"/>
    <w:rsid w:val="003D35BD"/>
    <w:rsid w:val="003D4DFE"/>
    <w:rsid w:val="003D565F"/>
    <w:rsid w:val="003D56A1"/>
    <w:rsid w:val="003D5758"/>
    <w:rsid w:val="003D5E6B"/>
    <w:rsid w:val="003D66BF"/>
    <w:rsid w:val="003D6A4B"/>
    <w:rsid w:val="003D7091"/>
    <w:rsid w:val="003D76C4"/>
    <w:rsid w:val="003D7746"/>
    <w:rsid w:val="003E01F0"/>
    <w:rsid w:val="003E0795"/>
    <w:rsid w:val="003E160F"/>
    <w:rsid w:val="003E16C5"/>
    <w:rsid w:val="003E1D56"/>
    <w:rsid w:val="003E221B"/>
    <w:rsid w:val="003E28F4"/>
    <w:rsid w:val="003E2BD8"/>
    <w:rsid w:val="003E2CA7"/>
    <w:rsid w:val="003E3138"/>
    <w:rsid w:val="003E3147"/>
    <w:rsid w:val="003E3BD8"/>
    <w:rsid w:val="003E3F52"/>
    <w:rsid w:val="003E3FD5"/>
    <w:rsid w:val="003E46B3"/>
    <w:rsid w:val="003E4868"/>
    <w:rsid w:val="003E4DB8"/>
    <w:rsid w:val="003E50CE"/>
    <w:rsid w:val="003E5AEA"/>
    <w:rsid w:val="003E5E02"/>
    <w:rsid w:val="003E5E0C"/>
    <w:rsid w:val="003E6323"/>
    <w:rsid w:val="003E6B99"/>
    <w:rsid w:val="003E6D44"/>
    <w:rsid w:val="003E7150"/>
    <w:rsid w:val="003E718B"/>
    <w:rsid w:val="003E75FE"/>
    <w:rsid w:val="003E7A90"/>
    <w:rsid w:val="003E7B59"/>
    <w:rsid w:val="003E7C79"/>
    <w:rsid w:val="003F033B"/>
    <w:rsid w:val="003F0628"/>
    <w:rsid w:val="003F08F7"/>
    <w:rsid w:val="003F16C1"/>
    <w:rsid w:val="003F19D2"/>
    <w:rsid w:val="003F27EF"/>
    <w:rsid w:val="003F2B4E"/>
    <w:rsid w:val="003F2EAB"/>
    <w:rsid w:val="003F305C"/>
    <w:rsid w:val="003F3258"/>
    <w:rsid w:val="003F3590"/>
    <w:rsid w:val="003F3D0F"/>
    <w:rsid w:val="003F572A"/>
    <w:rsid w:val="003F6079"/>
    <w:rsid w:val="003F608B"/>
    <w:rsid w:val="003F6470"/>
    <w:rsid w:val="003F6E7B"/>
    <w:rsid w:val="003F798F"/>
    <w:rsid w:val="003F7E52"/>
    <w:rsid w:val="004000C9"/>
    <w:rsid w:val="004008C1"/>
    <w:rsid w:val="00400D98"/>
    <w:rsid w:val="00401014"/>
    <w:rsid w:val="004016DF"/>
    <w:rsid w:val="00401B61"/>
    <w:rsid w:val="00401F78"/>
    <w:rsid w:val="00402C0C"/>
    <w:rsid w:val="00403004"/>
    <w:rsid w:val="0040303A"/>
    <w:rsid w:val="0040313F"/>
    <w:rsid w:val="0040348A"/>
    <w:rsid w:val="00403AE8"/>
    <w:rsid w:val="00403B5E"/>
    <w:rsid w:val="00403DD1"/>
    <w:rsid w:val="00403E1B"/>
    <w:rsid w:val="004044AA"/>
    <w:rsid w:val="0040450C"/>
    <w:rsid w:val="0040454A"/>
    <w:rsid w:val="00404FFA"/>
    <w:rsid w:val="00406811"/>
    <w:rsid w:val="004071A4"/>
    <w:rsid w:val="004076CD"/>
    <w:rsid w:val="00407F01"/>
    <w:rsid w:val="004101A4"/>
    <w:rsid w:val="00410C28"/>
    <w:rsid w:val="0041189B"/>
    <w:rsid w:val="0041189E"/>
    <w:rsid w:val="004118A7"/>
    <w:rsid w:val="00411974"/>
    <w:rsid w:val="00412226"/>
    <w:rsid w:val="004127EC"/>
    <w:rsid w:val="00413053"/>
    <w:rsid w:val="004145D1"/>
    <w:rsid w:val="0041472C"/>
    <w:rsid w:val="00414862"/>
    <w:rsid w:val="00414DB4"/>
    <w:rsid w:val="004157F6"/>
    <w:rsid w:val="00415964"/>
    <w:rsid w:val="00415AC3"/>
    <w:rsid w:val="00415B1F"/>
    <w:rsid w:val="00415B50"/>
    <w:rsid w:val="00415C0C"/>
    <w:rsid w:val="00415F7E"/>
    <w:rsid w:val="00416997"/>
    <w:rsid w:val="00417344"/>
    <w:rsid w:val="00417758"/>
    <w:rsid w:val="00417D00"/>
    <w:rsid w:val="00420036"/>
    <w:rsid w:val="00420319"/>
    <w:rsid w:val="00420598"/>
    <w:rsid w:val="004205C3"/>
    <w:rsid w:val="0042114B"/>
    <w:rsid w:val="00421658"/>
    <w:rsid w:val="0042172E"/>
    <w:rsid w:val="004218A8"/>
    <w:rsid w:val="004223B3"/>
    <w:rsid w:val="004226EF"/>
    <w:rsid w:val="00422D4C"/>
    <w:rsid w:val="00423145"/>
    <w:rsid w:val="0042320B"/>
    <w:rsid w:val="0042377C"/>
    <w:rsid w:val="004242FC"/>
    <w:rsid w:val="00424746"/>
    <w:rsid w:val="00424E6B"/>
    <w:rsid w:val="00425635"/>
    <w:rsid w:val="00425D44"/>
    <w:rsid w:val="00425FC5"/>
    <w:rsid w:val="00426784"/>
    <w:rsid w:val="00426886"/>
    <w:rsid w:val="00426A2F"/>
    <w:rsid w:val="00426DE8"/>
    <w:rsid w:val="00427469"/>
    <w:rsid w:val="00427690"/>
    <w:rsid w:val="00427707"/>
    <w:rsid w:val="00430B32"/>
    <w:rsid w:val="00430BB2"/>
    <w:rsid w:val="00431160"/>
    <w:rsid w:val="00431804"/>
    <w:rsid w:val="00432A91"/>
    <w:rsid w:val="00433C22"/>
    <w:rsid w:val="004356C9"/>
    <w:rsid w:val="004357D2"/>
    <w:rsid w:val="00435C17"/>
    <w:rsid w:val="00435F74"/>
    <w:rsid w:val="00437385"/>
    <w:rsid w:val="00437779"/>
    <w:rsid w:val="0043777F"/>
    <w:rsid w:val="0043795C"/>
    <w:rsid w:val="00437D3D"/>
    <w:rsid w:val="00437E62"/>
    <w:rsid w:val="0044000F"/>
    <w:rsid w:val="004418F4"/>
    <w:rsid w:val="004420DB"/>
    <w:rsid w:val="004420DE"/>
    <w:rsid w:val="0044295B"/>
    <w:rsid w:val="00442C07"/>
    <w:rsid w:val="00443185"/>
    <w:rsid w:val="00443407"/>
    <w:rsid w:val="00443622"/>
    <w:rsid w:val="00443695"/>
    <w:rsid w:val="00444088"/>
    <w:rsid w:val="004441E7"/>
    <w:rsid w:val="00444587"/>
    <w:rsid w:val="0044476D"/>
    <w:rsid w:val="00444CB7"/>
    <w:rsid w:val="00444EAB"/>
    <w:rsid w:val="00445542"/>
    <w:rsid w:val="00445933"/>
    <w:rsid w:val="00445956"/>
    <w:rsid w:val="00445B00"/>
    <w:rsid w:val="00446B0B"/>
    <w:rsid w:val="00446FF6"/>
    <w:rsid w:val="0044751A"/>
    <w:rsid w:val="00447529"/>
    <w:rsid w:val="00447828"/>
    <w:rsid w:val="00447CFA"/>
    <w:rsid w:val="0045010F"/>
    <w:rsid w:val="0045027C"/>
    <w:rsid w:val="0045049A"/>
    <w:rsid w:val="004504F7"/>
    <w:rsid w:val="00450FB6"/>
    <w:rsid w:val="004513B2"/>
    <w:rsid w:val="00451A5D"/>
    <w:rsid w:val="00451AE7"/>
    <w:rsid w:val="00452078"/>
    <w:rsid w:val="0045341B"/>
    <w:rsid w:val="0045446F"/>
    <w:rsid w:val="00454A96"/>
    <w:rsid w:val="00454DC1"/>
    <w:rsid w:val="00454E93"/>
    <w:rsid w:val="0045518E"/>
    <w:rsid w:val="0045553B"/>
    <w:rsid w:val="004558CE"/>
    <w:rsid w:val="0045593C"/>
    <w:rsid w:val="004559EA"/>
    <w:rsid w:val="00455F38"/>
    <w:rsid w:val="004562DB"/>
    <w:rsid w:val="00456612"/>
    <w:rsid w:val="00456649"/>
    <w:rsid w:val="00456899"/>
    <w:rsid w:val="00457135"/>
    <w:rsid w:val="004572F9"/>
    <w:rsid w:val="0045779A"/>
    <w:rsid w:val="00457AFE"/>
    <w:rsid w:val="00457D35"/>
    <w:rsid w:val="0046093E"/>
    <w:rsid w:val="00460E76"/>
    <w:rsid w:val="0046149A"/>
    <w:rsid w:val="0046263D"/>
    <w:rsid w:val="004627ED"/>
    <w:rsid w:val="00462EA3"/>
    <w:rsid w:val="00462FA4"/>
    <w:rsid w:val="00463236"/>
    <w:rsid w:val="004632F0"/>
    <w:rsid w:val="00463715"/>
    <w:rsid w:val="00463863"/>
    <w:rsid w:val="00463AE2"/>
    <w:rsid w:val="00464029"/>
    <w:rsid w:val="00464BC9"/>
    <w:rsid w:val="004651ED"/>
    <w:rsid w:val="00466C18"/>
    <w:rsid w:val="00466D6A"/>
    <w:rsid w:val="00467B2B"/>
    <w:rsid w:val="00467C8E"/>
    <w:rsid w:val="00467F26"/>
    <w:rsid w:val="004700AC"/>
    <w:rsid w:val="0047026D"/>
    <w:rsid w:val="004706EB"/>
    <w:rsid w:val="0047078F"/>
    <w:rsid w:val="00470BC8"/>
    <w:rsid w:val="00470C0A"/>
    <w:rsid w:val="00470F39"/>
    <w:rsid w:val="00470F81"/>
    <w:rsid w:val="0047187C"/>
    <w:rsid w:val="004718DC"/>
    <w:rsid w:val="00471B6F"/>
    <w:rsid w:val="00471C89"/>
    <w:rsid w:val="00471EFD"/>
    <w:rsid w:val="004720A7"/>
    <w:rsid w:val="00472709"/>
    <w:rsid w:val="004728F1"/>
    <w:rsid w:val="00472CA3"/>
    <w:rsid w:val="00472E2C"/>
    <w:rsid w:val="00472E3D"/>
    <w:rsid w:val="00474D87"/>
    <w:rsid w:val="004757CC"/>
    <w:rsid w:val="004758A7"/>
    <w:rsid w:val="00475E65"/>
    <w:rsid w:val="004765D5"/>
    <w:rsid w:val="004765D6"/>
    <w:rsid w:val="00476622"/>
    <w:rsid w:val="00476929"/>
    <w:rsid w:val="00476CD8"/>
    <w:rsid w:val="00476DBA"/>
    <w:rsid w:val="00476DD4"/>
    <w:rsid w:val="00476E65"/>
    <w:rsid w:val="00477227"/>
    <w:rsid w:val="00477A4B"/>
    <w:rsid w:val="00480A16"/>
    <w:rsid w:val="00480A36"/>
    <w:rsid w:val="00480C7E"/>
    <w:rsid w:val="00480D8B"/>
    <w:rsid w:val="00480DBF"/>
    <w:rsid w:val="004816F9"/>
    <w:rsid w:val="0048196A"/>
    <w:rsid w:val="00481F8F"/>
    <w:rsid w:val="004823DC"/>
    <w:rsid w:val="004823ED"/>
    <w:rsid w:val="00482636"/>
    <w:rsid w:val="004827C4"/>
    <w:rsid w:val="00482F8B"/>
    <w:rsid w:val="004831EB"/>
    <w:rsid w:val="0048450E"/>
    <w:rsid w:val="0048493C"/>
    <w:rsid w:val="00484FFB"/>
    <w:rsid w:val="00485343"/>
    <w:rsid w:val="0048559C"/>
    <w:rsid w:val="00485D63"/>
    <w:rsid w:val="00486772"/>
    <w:rsid w:val="00486875"/>
    <w:rsid w:val="0048709F"/>
    <w:rsid w:val="00487C91"/>
    <w:rsid w:val="00487D12"/>
    <w:rsid w:val="00490286"/>
    <w:rsid w:val="00490EF1"/>
    <w:rsid w:val="00490EFD"/>
    <w:rsid w:val="0049158C"/>
    <w:rsid w:val="004920D0"/>
    <w:rsid w:val="00492271"/>
    <w:rsid w:val="0049237D"/>
    <w:rsid w:val="004924B7"/>
    <w:rsid w:val="00492D27"/>
    <w:rsid w:val="004934CB"/>
    <w:rsid w:val="004936E2"/>
    <w:rsid w:val="00494195"/>
    <w:rsid w:val="00494503"/>
    <w:rsid w:val="004952E2"/>
    <w:rsid w:val="00495ACB"/>
    <w:rsid w:val="00495E3C"/>
    <w:rsid w:val="00496097"/>
    <w:rsid w:val="00496442"/>
    <w:rsid w:val="004964AE"/>
    <w:rsid w:val="00496893"/>
    <w:rsid w:val="0049691E"/>
    <w:rsid w:val="00496AE4"/>
    <w:rsid w:val="00496BC8"/>
    <w:rsid w:val="00496D53"/>
    <w:rsid w:val="00497199"/>
    <w:rsid w:val="00497429"/>
    <w:rsid w:val="004A0A96"/>
    <w:rsid w:val="004A0B7E"/>
    <w:rsid w:val="004A0F72"/>
    <w:rsid w:val="004A0FA9"/>
    <w:rsid w:val="004A10C6"/>
    <w:rsid w:val="004A12EE"/>
    <w:rsid w:val="004A13CC"/>
    <w:rsid w:val="004A16BA"/>
    <w:rsid w:val="004A1792"/>
    <w:rsid w:val="004A1B8A"/>
    <w:rsid w:val="004A1CC4"/>
    <w:rsid w:val="004A1DB3"/>
    <w:rsid w:val="004A2036"/>
    <w:rsid w:val="004A2038"/>
    <w:rsid w:val="004A25E1"/>
    <w:rsid w:val="004A2742"/>
    <w:rsid w:val="004A2B07"/>
    <w:rsid w:val="004A2C8A"/>
    <w:rsid w:val="004A2F9F"/>
    <w:rsid w:val="004A37AC"/>
    <w:rsid w:val="004A3A2E"/>
    <w:rsid w:val="004A519D"/>
    <w:rsid w:val="004A53F5"/>
    <w:rsid w:val="004A5B10"/>
    <w:rsid w:val="004A5BF3"/>
    <w:rsid w:val="004A5DA6"/>
    <w:rsid w:val="004A5F3D"/>
    <w:rsid w:val="004A6758"/>
    <w:rsid w:val="004A6C96"/>
    <w:rsid w:val="004A7C0F"/>
    <w:rsid w:val="004A7C24"/>
    <w:rsid w:val="004A7F3E"/>
    <w:rsid w:val="004B00DF"/>
    <w:rsid w:val="004B1124"/>
    <w:rsid w:val="004B1A95"/>
    <w:rsid w:val="004B1CB8"/>
    <w:rsid w:val="004B1F21"/>
    <w:rsid w:val="004B2143"/>
    <w:rsid w:val="004B21A0"/>
    <w:rsid w:val="004B23F0"/>
    <w:rsid w:val="004B29B0"/>
    <w:rsid w:val="004B321B"/>
    <w:rsid w:val="004B3C56"/>
    <w:rsid w:val="004B3CD7"/>
    <w:rsid w:val="004B4309"/>
    <w:rsid w:val="004B449E"/>
    <w:rsid w:val="004B450C"/>
    <w:rsid w:val="004B5038"/>
    <w:rsid w:val="004B579B"/>
    <w:rsid w:val="004B636A"/>
    <w:rsid w:val="004B645F"/>
    <w:rsid w:val="004B6514"/>
    <w:rsid w:val="004B68C7"/>
    <w:rsid w:val="004B68FF"/>
    <w:rsid w:val="004B6B42"/>
    <w:rsid w:val="004B76A7"/>
    <w:rsid w:val="004B7793"/>
    <w:rsid w:val="004B77FF"/>
    <w:rsid w:val="004C05E6"/>
    <w:rsid w:val="004C1280"/>
    <w:rsid w:val="004C1564"/>
    <w:rsid w:val="004C1A1E"/>
    <w:rsid w:val="004C1BD7"/>
    <w:rsid w:val="004C29D7"/>
    <w:rsid w:val="004C334E"/>
    <w:rsid w:val="004C387B"/>
    <w:rsid w:val="004C3AFA"/>
    <w:rsid w:val="004C3E91"/>
    <w:rsid w:val="004C3F74"/>
    <w:rsid w:val="004C41E2"/>
    <w:rsid w:val="004C431E"/>
    <w:rsid w:val="004C45A8"/>
    <w:rsid w:val="004C48A1"/>
    <w:rsid w:val="004C490B"/>
    <w:rsid w:val="004C49A8"/>
    <w:rsid w:val="004C5C32"/>
    <w:rsid w:val="004C61C0"/>
    <w:rsid w:val="004C6223"/>
    <w:rsid w:val="004C66F0"/>
    <w:rsid w:val="004C68A7"/>
    <w:rsid w:val="004C702E"/>
    <w:rsid w:val="004C7A9A"/>
    <w:rsid w:val="004D0840"/>
    <w:rsid w:val="004D0EC1"/>
    <w:rsid w:val="004D13F5"/>
    <w:rsid w:val="004D29F4"/>
    <w:rsid w:val="004D2A6D"/>
    <w:rsid w:val="004D2C00"/>
    <w:rsid w:val="004D3071"/>
    <w:rsid w:val="004D30B7"/>
    <w:rsid w:val="004D34A6"/>
    <w:rsid w:val="004D35A8"/>
    <w:rsid w:val="004D3781"/>
    <w:rsid w:val="004D3D4E"/>
    <w:rsid w:val="004D3D7B"/>
    <w:rsid w:val="004D424C"/>
    <w:rsid w:val="004D4E98"/>
    <w:rsid w:val="004D4ECF"/>
    <w:rsid w:val="004D4F5E"/>
    <w:rsid w:val="004D5CAF"/>
    <w:rsid w:val="004D61C3"/>
    <w:rsid w:val="004D61EA"/>
    <w:rsid w:val="004D7065"/>
    <w:rsid w:val="004D7A99"/>
    <w:rsid w:val="004E04EB"/>
    <w:rsid w:val="004E053E"/>
    <w:rsid w:val="004E10EC"/>
    <w:rsid w:val="004E12BE"/>
    <w:rsid w:val="004E146D"/>
    <w:rsid w:val="004E152B"/>
    <w:rsid w:val="004E16CD"/>
    <w:rsid w:val="004E1B56"/>
    <w:rsid w:val="004E1DAB"/>
    <w:rsid w:val="004E205C"/>
    <w:rsid w:val="004E219A"/>
    <w:rsid w:val="004E2882"/>
    <w:rsid w:val="004E2966"/>
    <w:rsid w:val="004E2D55"/>
    <w:rsid w:val="004E3603"/>
    <w:rsid w:val="004E3771"/>
    <w:rsid w:val="004E37A4"/>
    <w:rsid w:val="004E38EE"/>
    <w:rsid w:val="004E39F9"/>
    <w:rsid w:val="004E3E2E"/>
    <w:rsid w:val="004E3F06"/>
    <w:rsid w:val="004E40B4"/>
    <w:rsid w:val="004E4773"/>
    <w:rsid w:val="004E4B9C"/>
    <w:rsid w:val="004E4F1C"/>
    <w:rsid w:val="004E5016"/>
    <w:rsid w:val="004E59E7"/>
    <w:rsid w:val="004E5A2D"/>
    <w:rsid w:val="004E5B40"/>
    <w:rsid w:val="004E5B4A"/>
    <w:rsid w:val="004E5C46"/>
    <w:rsid w:val="004E6983"/>
    <w:rsid w:val="004E69D2"/>
    <w:rsid w:val="004E752E"/>
    <w:rsid w:val="004E7BD0"/>
    <w:rsid w:val="004E7C6F"/>
    <w:rsid w:val="004F0E0F"/>
    <w:rsid w:val="004F1B63"/>
    <w:rsid w:val="004F1F10"/>
    <w:rsid w:val="004F1F5A"/>
    <w:rsid w:val="004F26DC"/>
    <w:rsid w:val="004F2AC2"/>
    <w:rsid w:val="004F3230"/>
    <w:rsid w:val="004F34AD"/>
    <w:rsid w:val="004F35AE"/>
    <w:rsid w:val="004F3D13"/>
    <w:rsid w:val="004F4174"/>
    <w:rsid w:val="004F4677"/>
    <w:rsid w:val="004F48E6"/>
    <w:rsid w:val="004F49D1"/>
    <w:rsid w:val="004F4D18"/>
    <w:rsid w:val="004F52BC"/>
    <w:rsid w:val="004F55CB"/>
    <w:rsid w:val="004F65E3"/>
    <w:rsid w:val="004F6AC5"/>
    <w:rsid w:val="004F6CC9"/>
    <w:rsid w:val="004F6D3A"/>
    <w:rsid w:val="004F6E19"/>
    <w:rsid w:val="004F6EC4"/>
    <w:rsid w:val="004F72C7"/>
    <w:rsid w:val="004F7FEF"/>
    <w:rsid w:val="00500314"/>
    <w:rsid w:val="005003FB"/>
    <w:rsid w:val="00500EC5"/>
    <w:rsid w:val="0050105C"/>
    <w:rsid w:val="00501FF1"/>
    <w:rsid w:val="0050231B"/>
    <w:rsid w:val="005029FD"/>
    <w:rsid w:val="00502BD8"/>
    <w:rsid w:val="00502FA6"/>
    <w:rsid w:val="00503136"/>
    <w:rsid w:val="00503350"/>
    <w:rsid w:val="00503DBE"/>
    <w:rsid w:val="005044DB"/>
    <w:rsid w:val="00504EFD"/>
    <w:rsid w:val="0050528B"/>
    <w:rsid w:val="0050552B"/>
    <w:rsid w:val="00505708"/>
    <w:rsid w:val="00505A53"/>
    <w:rsid w:val="00505C42"/>
    <w:rsid w:val="00506A40"/>
    <w:rsid w:val="00507632"/>
    <w:rsid w:val="00507C17"/>
    <w:rsid w:val="00510C87"/>
    <w:rsid w:val="005111F2"/>
    <w:rsid w:val="00511617"/>
    <w:rsid w:val="005117C6"/>
    <w:rsid w:val="005117F1"/>
    <w:rsid w:val="00511A8F"/>
    <w:rsid w:val="00511B17"/>
    <w:rsid w:val="00511E11"/>
    <w:rsid w:val="00512940"/>
    <w:rsid w:val="005130AC"/>
    <w:rsid w:val="00513EEA"/>
    <w:rsid w:val="00513FFB"/>
    <w:rsid w:val="00514243"/>
    <w:rsid w:val="00514576"/>
    <w:rsid w:val="0051570E"/>
    <w:rsid w:val="005157A0"/>
    <w:rsid w:val="00515811"/>
    <w:rsid w:val="005159DA"/>
    <w:rsid w:val="00515A07"/>
    <w:rsid w:val="00515C1D"/>
    <w:rsid w:val="005168F9"/>
    <w:rsid w:val="00516DD4"/>
    <w:rsid w:val="00517BFB"/>
    <w:rsid w:val="005200D8"/>
    <w:rsid w:val="00520B9D"/>
    <w:rsid w:val="00520C0A"/>
    <w:rsid w:val="0052111D"/>
    <w:rsid w:val="005212C2"/>
    <w:rsid w:val="005215DC"/>
    <w:rsid w:val="005217C9"/>
    <w:rsid w:val="00521BA1"/>
    <w:rsid w:val="0052204F"/>
    <w:rsid w:val="005220A4"/>
    <w:rsid w:val="0052218A"/>
    <w:rsid w:val="00523C87"/>
    <w:rsid w:val="00523D34"/>
    <w:rsid w:val="0052473A"/>
    <w:rsid w:val="0052482E"/>
    <w:rsid w:val="005249B3"/>
    <w:rsid w:val="0052545A"/>
    <w:rsid w:val="005255AF"/>
    <w:rsid w:val="00525841"/>
    <w:rsid w:val="00525855"/>
    <w:rsid w:val="00525B4C"/>
    <w:rsid w:val="00525DFD"/>
    <w:rsid w:val="0052610D"/>
    <w:rsid w:val="00526406"/>
    <w:rsid w:val="00526730"/>
    <w:rsid w:val="005276E1"/>
    <w:rsid w:val="00527EEA"/>
    <w:rsid w:val="00530CFB"/>
    <w:rsid w:val="005314B8"/>
    <w:rsid w:val="005315DC"/>
    <w:rsid w:val="00531887"/>
    <w:rsid w:val="00531F6C"/>
    <w:rsid w:val="00532311"/>
    <w:rsid w:val="0053232E"/>
    <w:rsid w:val="005324DD"/>
    <w:rsid w:val="00532E55"/>
    <w:rsid w:val="00532E62"/>
    <w:rsid w:val="0053375F"/>
    <w:rsid w:val="005340B9"/>
    <w:rsid w:val="00534B22"/>
    <w:rsid w:val="00535136"/>
    <w:rsid w:val="00535F1B"/>
    <w:rsid w:val="0053754C"/>
    <w:rsid w:val="00537A82"/>
    <w:rsid w:val="00537E94"/>
    <w:rsid w:val="00537EBC"/>
    <w:rsid w:val="0054014A"/>
    <w:rsid w:val="0054028B"/>
    <w:rsid w:val="00540C3E"/>
    <w:rsid w:val="00540DDC"/>
    <w:rsid w:val="005414A6"/>
    <w:rsid w:val="00541BB8"/>
    <w:rsid w:val="00541E86"/>
    <w:rsid w:val="005426EC"/>
    <w:rsid w:val="0054292E"/>
    <w:rsid w:val="00544931"/>
    <w:rsid w:val="00544CC9"/>
    <w:rsid w:val="00544E81"/>
    <w:rsid w:val="00544F1F"/>
    <w:rsid w:val="0054527A"/>
    <w:rsid w:val="00545445"/>
    <w:rsid w:val="0054568D"/>
    <w:rsid w:val="0054571C"/>
    <w:rsid w:val="00545CC9"/>
    <w:rsid w:val="005462FD"/>
    <w:rsid w:val="00546AD6"/>
    <w:rsid w:val="00546BBF"/>
    <w:rsid w:val="00547E7F"/>
    <w:rsid w:val="00547F7D"/>
    <w:rsid w:val="00550350"/>
    <w:rsid w:val="00550459"/>
    <w:rsid w:val="005509E4"/>
    <w:rsid w:val="00550DC2"/>
    <w:rsid w:val="005520A2"/>
    <w:rsid w:val="00552163"/>
    <w:rsid w:val="005523C8"/>
    <w:rsid w:val="005526B7"/>
    <w:rsid w:val="005526C5"/>
    <w:rsid w:val="0055297E"/>
    <w:rsid w:val="00553444"/>
    <w:rsid w:val="00553B7E"/>
    <w:rsid w:val="0055436A"/>
    <w:rsid w:val="00554C2C"/>
    <w:rsid w:val="00554DB1"/>
    <w:rsid w:val="00555554"/>
    <w:rsid w:val="005555E4"/>
    <w:rsid w:val="005556D9"/>
    <w:rsid w:val="00555E15"/>
    <w:rsid w:val="00555FF7"/>
    <w:rsid w:val="0055660F"/>
    <w:rsid w:val="00556649"/>
    <w:rsid w:val="00557933"/>
    <w:rsid w:val="00560314"/>
    <w:rsid w:val="005603A6"/>
    <w:rsid w:val="00560487"/>
    <w:rsid w:val="0056091D"/>
    <w:rsid w:val="00560AF1"/>
    <w:rsid w:val="00560C55"/>
    <w:rsid w:val="00560D38"/>
    <w:rsid w:val="0056107F"/>
    <w:rsid w:val="0056130E"/>
    <w:rsid w:val="00561D6F"/>
    <w:rsid w:val="00562198"/>
    <w:rsid w:val="00562895"/>
    <w:rsid w:val="00562DB4"/>
    <w:rsid w:val="00563046"/>
    <w:rsid w:val="0056444C"/>
    <w:rsid w:val="00564CBB"/>
    <w:rsid w:val="00564FFB"/>
    <w:rsid w:val="00565D4A"/>
    <w:rsid w:val="00566B8B"/>
    <w:rsid w:val="00566BFC"/>
    <w:rsid w:val="00566E20"/>
    <w:rsid w:val="00566F77"/>
    <w:rsid w:val="00567095"/>
    <w:rsid w:val="0056790A"/>
    <w:rsid w:val="00567949"/>
    <w:rsid w:val="00567D95"/>
    <w:rsid w:val="00567E1F"/>
    <w:rsid w:val="00570287"/>
    <w:rsid w:val="005703A3"/>
    <w:rsid w:val="00570D0E"/>
    <w:rsid w:val="0057128A"/>
    <w:rsid w:val="00571A97"/>
    <w:rsid w:val="00572047"/>
    <w:rsid w:val="005729FD"/>
    <w:rsid w:val="00572B62"/>
    <w:rsid w:val="00572E94"/>
    <w:rsid w:val="0057326A"/>
    <w:rsid w:val="00573302"/>
    <w:rsid w:val="0057384F"/>
    <w:rsid w:val="00573A47"/>
    <w:rsid w:val="005754AF"/>
    <w:rsid w:val="00575F4F"/>
    <w:rsid w:val="00576315"/>
    <w:rsid w:val="00576875"/>
    <w:rsid w:val="00577537"/>
    <w:rsid w:val="00577608"/>
    <w:rsid w:val="00577A5B"/>
    <w:rsid w:val="00577A86"/>
    <w:rsid w:val="00580879"/>
    <w:rsid w:val="00580F27"/>
    <w:rsid w:val="005813B0"/>
    <w:rsid w:val="005819F3"/>
    <w:rsid w:val="00581ED8"/>
    <w:rsid w:val="00581FC6"/>
    <w:rsid w:val="0058302B"/>
    <w:rsid w:val="005833C5"/>
    <w:rsid w:val="0058484F"/>
    <w:rsid w:val="00584CE8"/>
    <w:rsid w:val="00584EC7"/>
    <w:rsid w:val="005850E8"/>
    <w:rsid w:val="00585395"/>
    <w:rsid w:val="00585446"/>
    <w:rsid w:val="005856D8"/>
    <w:rsid w:val="00585CC3"/>
    <w:rsid w:val="00585DFB"/>
    <w:rsid w:val="00586350"/>
    <w:rsid w:val="005863F8"/>
    <w:rsid w:val="00586485"/>
    <w:rsid w:val="00586515"/>
    <w:rsid w:val="005866F4"/>
    <w:rsid w:val="00586ECF"/>
    <w:rsid w:val="00587725"/>
    <w:rsid w:val="005877F0"/>
    <w:rsid w:val="0058782B"/>
    <w:rsid w:val="00587C14"/>
    <w:rsid w:val="0059057A"/>
    <w:rsid w:val="0059097D"/>
    <w:rsid w:val="00590BA4"/>
    <w:rsid w:val="0059100D"/>
    <w:rsid w:val="005913E5"/>
    <w:rsid w:val="00591DC1"/>
    <w:rsid w:val="00592054"/>
    <w:rsid w:val="005928DC"/>
    <w:rsid w:val="005934E1"/>
    <w:rsid w:val="00593710"/>
    <w:rsid w:val="00593A73"/>
    <w:rsid w:val="00593EE9"/>
    <w:rsid w:val="005944F6"/>
    <w:rsid w:val="005949B5"/>
    <w:rsid w:val="00594DE3"/>
    <w:rsid w:val="0059518D"/>
    <w:rsid w:val="00595B55"/>
    <w:rsid w:val="00595B69"/>
    <w:rsid w:val="00595C64"/>
    <w:rsid w:val="00595E28"/>
    <w:rsid w:val="00595F08"/>
    <w:rsid w:val="00596E9C"/>
    <w:rsid w:val="005977BB"/>
    <w:rsid w:val="00597EA1"/>
    <w:rsid w:val="005A0520"/>
    <w:rsid w:val="005A0833"/>
    <w:rsid w:val="005A11CB"/>
    <w:rsid w:val="005A1909"/>
    <w:rsid w:val="005A1A3B"/>
    <w:rsid w:val="005A1C8A"/>
    <w:rsid w:val="005A1CFD"/>
    <w:rsid w:val="005A245F"/>
    <w:rsid w:val="005A2AB3"/>
    <w:rsid w:val="005A2FE7"/>
    <w:rsid w:val="005A37F3"/>
    <w:rsid w:val="005A3800"/>
    <w:rsid w:val="005A3D1A"/>
    <w:rsid w:val="005A3D6F"/>
    <w:rsid w:val="005A3FB9"/>
    <w:rsid w:val="005A410C"/>
    <w:rsid w:val="005A4A15"/>
    <w:rsid w:val="005A4C7C"/>
    <w:rsid w:val="005A5429"/>
    <w:rsid w:val="005A5518"/>
    <w:rsid w:val="005A561E"/>
    <w:rsid w:val="005A646F"/>
    <w:rsid w:val="005A6A9A"/>
    <w:rsid w:val="005A77E9"/>
    <w:rsid w:val="005A7C24"/>
    <w:rsid w:val="005A7ECD"/>
    <w:rsid w:val="005A7EE4"/>
    <w:rsid w:val="005B016A"/>
    <w:rsid w:val="005B0563"/>
    <w:rsid w:val="005B0FD3"/>
    <w:rsid w:val="005B112C"/>
    <w:rsid w:val="005B140F"/>
    <w:rsid w:val="005B1DD1"/>
    <w:rsid w:val="005B22E5"/>
    <w:rsid w:val="005B2415"/>
    <w:rsid w:val="005B25C2"/>
    <w:rsid w:val="005B268B"/>
    <w:rsid w:val="005B2808"/>
    <w:rsid w:val="005B29EA"/>
    <w:rsid w:val="005B2D33"/>
    <w:rsid w:val="005B3020"/>
    <w:rsid w:val="005B336A"/>
    <w:rsid w:val="005B33C5"/>
    <w:rsid w:val="005B3713"/>
    <w:rsid w:val="005B3FCD"/>
    <w:rsid w:val="005B414B"/>
    <w:rsid w:val="005B4152"/>
    <w:rsid w:val="005B42EB"/>
    <w:rsid w:val="005B46BF"/>
    <w:rsid w:val="005B4C4A"/>
    <w:rsid w:val="005B4D56"/>
    <w:rsid w:val="005B500A"/>
    <w:rsid w:val="005B5A5B"/>
    <w:rsid w:val="005B5FA6"/>
    <w:rsid w:val="005B63A0"/>
    <w:rsid w:val="005B668E"/>
    <w:rsid w:val="005B70F1"/>
    <w:rsid w:val="005B7C27"/>
    <w:rsid w:val="005C0C8B"/>
    <w:rsid w:val="005C0C96"/>
    <w:rsid w:val="005C1000"/>
    <w:rsid w:val="005C1331"/>
    <w:rsid w:val="005C1543"/>
    <w:rsid w:val="005C18C0"/>
    <w:rsid w:val="005C19A7"/>
    <w:rsid w:val="005C22E6"/>
    <w:rsid w:val="005C2C91"/>
    <w:rsid w:val="005C2E5B"/>
    <w:rsid w:val="005C3A73"/>
    <w:rsid w:val="005C3A9C"/>
    <w:rsid w:val="005C3C1A"/>
    <w:rsid w:val="005C4609"/>
    <w:rsid w:val="005C5567"/>
    <w:rsid w:val="005C5654"/>
    <w:rsid w:val="005C5BCC"/>
    <w:rsid w:val="005C5DF3"/>
    <w:rsid w:val="005C5FD5"/>
    <w:rsid w:val="005C6581"/>
    <w:rsid w:val="005C673D"/>
    <w:rsid w:val="005C6F72"/>
    <w:rsid w:val="005C70C5"/>
    <w:rsid w:val="005C749F"/>
    <w:rsid w:val="005D002F"/>
    <w:rsid w:val="005D01B1"/>
    <w:rsid w:val="005D0460"/>
    <w:rsid w:val="005D0CED"/>
    <w:rsid w:val="005D0D61"/>
    <w:rsid w:val="005D0DF5"/>
    <w:rsid w:val="005D0EB5"/>
    <w:rsid w:val="005D138C"/>
    <w:rsid w:val="005D182E"/>
    <w:rsid w:val="005D1FBA"/>
    <w:rsid w:val="005D2F7B"/>
    <w:rsid w:val="005D3382"/>
    <w:rsid w:val="005D3566"/>
    <w:rsid w:val="005D358C"/>
    <w:rsid w:val="005D35A4"/>
    <w:rsid w:val="005D39A8"/>
    <w:rsid w:val="005D3C44"/>
    <w:rsid w:val="005D3E53"/>
    <w:rsid w:val="005D49DC"/>
    <w:rsid w:val="005D4F6C"/>
    <w:rsid w:val="005D52B0"/>
    <w:rsid w:val="005D559D"/>
    <w:rsid w:val="005D574D"/>
    <w:rsid w:val="005D6B26"/>
    <w:rsid w:val="005D70F6"/>
    <w:rsid w:val="005D7156"/>
    <w:rsid w:val="005D7420"/>
    <w:rsid w:val="005E118D"/>
    <w:rsid w:val="005E2E47"/>
    <w:rsid w:val="005E3090"/>
    <w:rsid w:val="005E3742"/>
    <w:rsid w:val="005E377A"/>
    <w:rsid w:val="005E38FA"/>
    <w:rsid w:val="005E50C2"/>
    <w:rsid w:val="005E526E"/>
    <w:rsid w:val="005E531B"/>
    <w:rsid w:val="005E588B"/>
    <w:rsid w:val="005E5F6F"/>
    <w:rsid w:val="005E6819"/>
    <w:rsid w:val="005E754C"/>
    <w:rsid w:val="005E76CC"/>
    <w:rsid w:val="005E7909"/>
    <w:rsid w:val="005E7A88"/>
    <w:rsid w:val="005E7F6D"/>
    <w:rsid w:val="005F0FD8"/>
    <w:rsid w:val="005F12B2"/>
    <w:rsid w:val="005F16C1"/>
    <w:rsid w:val="005F1962"/>
    <w:rsid w:val="005F1988"/>
    <w:rsid w:val="005F216F"/>
    <w:rsid w:val="005F2253"/>
    <w:rsid w:val="005F268B"/>
    <w:rsid w:val="005F281D"/>
    <w:rsid w:val="005F2F3C"/>
    <w:rsid w:val="005F3092"/>
    <w:rsid w:val="005F3375"/>
    <w:rsid w:val="005F39E4"/>
    <w:rsid w:val="005F3D34"/>
    <w:rsid w:val="005F5353"/>
    <w:rsid w:val="005F5485"/>
    <w:rsid w:val="005F6CC3"/>
    <w:rsid w:val="005F7089"/>
    <w:rsid w:val="005F7DB3"/>
    <w:rsid w:val="005F7E18"/>
    <w:rsid w:val="00600184"/>
    <w:rsid w:val="00600413"/>
    <w:rsid w:val="006005D3"/>
    <w:rsid w:val="00600979"/>
    <w:rsid w:val="00600DAD"/>
    <w:rsid w:val="00600E2D"/>
    <w:rsid w:val="00600E99"/>
    <w:rsid w:val="0060152A"/>
    <w:rsid w:val="0060164F"/>
    <w:rsid w:val="00601C82"/>
    <w:rsid w:val="00601DED"/>
    <w:rsid w:val="00601FAA"/>
    <w:rsid w:val="00602342"/>
    <w:rsid w:val="00602465"/>
    <w:rsid w:val="00602FE1"/>
    <w:rsid w:val="006030AE"/>
    <w:rsid w:val="00603165"/>
    <w:rsid w:val="00603171"/>
    <w:rsid w:val="00603BAD"/>
    <w:rsid w:val="0060407D"/>
    <w:rsid w:val="00604E84"/>
    <w:rsid w:val="00604ED5"/>
    <w:rsid w:val="00605441"/>
    <w:rsid w:val="00605A26"/>
    <w:rsid w:val="00605E8B"/>
    <w:rsid w:val="00606089"/>
    <w:rsid w:val="00606258"/>
    <w:rsid w:val="00606502"/>
    <w:rsid w:val="00606508"/>
    <w:rsid w:val="0060658E"/>
    <w:rsid w:val="0060664B"/>
    <w:rsid w:val="00607087"/>
    <w:rsid w:val="00607ACC"/>
    <w:rsid w:val="00607C2B"/>
    <w:rsid w:val="00610019"/>
    <w:rsid w:val="006102D6"/>
    <w:rsid w:val="00610789"/>
    <w:rsid w:val="00611377"/>
    <w:rsid w:val="00611981"/>
    <w:rsid w:val="00611B92"/>
    <w:rsid w:val="00611C3D"/>
    <w:rsid w:val="00611DC2"/>
    <w:rsid w:val="006120F3"/>
    <w:rsid w:val="006122F9"/>
    <w:rsid w:val="00612687"/>
    <w:rsid w:val="00612757"/>
    <w:rsid w:val="00612A9B"/>
    <w:rsid w:val="00612D7E"/>
    <w:rsid w:val="0061320C"/>
    <w:rsid w:val="00613930"/>
    <w:rsid w:val="00613B05"/>
    <w:rsid w:val="00614714"/>
    <w:rsid w:val="006154E4"/>
    <w:rsid w:val="0061622A"/>
    <w:rsid w:val="006163BD"/>
    <w:rsid w:val="006164AE"/>
    <w:rsid w:val="00616B3B"/>
    <w:rsid w:val="00616F97"/>
    <w:rsid w:val="006176D2"/>
    <w:rsid w:val="0061782D"/>
    <w:rsid w:val="006178C1"/>
    <w:rsid w:val="00617943"/>
    <w:rsid w:val="00617D7A"/>
    <w:rsid w:val="00617F00"/>
    <w:rsid w:val="00617F74"/>
    <w:rsid w:val="006204C9"/>
    <w:rsid w:val="00620624"/>
    <w:rsid w:val="00620657"/>
    <w:rsid w:val="00620660"/>
    <w:rsid w:val="00620689"/>
    <w:rsid w:val="006211A8"/>
    <w:rsid w:val="006218FA"/>
    <w:rsid w:val="00621E64"/>
    <w:rsid w:val="00622788"/>
    <w:rsid w:val="006228AC"/>
    <w:rsid w:val="00622A3B"/>
    <w:rsid w:val="006232E7"/>
    <w:rsid w:val="00623492"/>
    <w:rsid w:val="00623D7F"/>
    <w:rsid w:val="0062420E"/>
    <w:rsid w:val="00624ECA"/>
    <w:rsid w:val="00624F64"/>
    <w:rsid w:val="00624FC1"/>
    <w:rsid w:val="006251E9"/>
    <w:rsid w:val="00625ACE"/>
    <w:rsid w:val="00625B17"/>
    <w:rsid w:val="00625C34"/>
    <w:rsid w:val="00625D65"/>
    <w:rsid w:val="00625F2C"/>
    <w:rsid w:val="0062602F"/>
    <w:rsid w:val="006267BD"/>
    <w:rsid w:val="00626965"/>
    <w:rsid w:val="00626C5B"/>
    <w:rsid w:val="006273D4"/>
    <w:rsid w:val="006276F0"/>
    <w:rsid w:val="00627D39"/>
    <w:rsid w:val="006314F6"/>
    <w:rsid w:val="006318D9"/>
    <w:rsid w:val="00631D4F"/>
    <w:rsid w:val="00632C21"/>
    <w:rsid w:val="00632EFF"/>
    <w:rsid w:val="006332E3"/>
    <w:rsid w:val="00633313"/>
    <w:rsid w:val="00633395"/>
    <w:rsid w:val="00633C86"/>
    <w:rsid w:val="006340E0"/>
    <w:rsid w:val="006340E1"/>
    <w:rsid w:val="006341B1"/>
    <w:rsid w:val="00634452"/>
    <w:rsid w:val="00634EAB"/>
    <w:rsid w:val="006354CC"/>
    <w:rsid w:val="0063565E"/>
    <w:rsid w:val="0063578D"/>
    <w:rsid w:val="006358EA"/>
    <w:rsid w:val="006360E0"/>
    <w:rsid w:val="006361AA"/>
    <w:rsid w:val="0063672D"/>
    <w:rsid w:val="00636B6C"/>
    <w:rsid w:val="00636E34"/>
    <w:rsid w:val="0063744D"/>
    <w:rsid w:val="006376E9"/>
    <w:rsid w:val="0063776E"/>
    <w:rsid w:val="00637BE8"/>
    <w:rsid w:val="00637F7D"/>
    <w:rsid w:val="006401AD"/>
    <w:rsid w:val="00640342"/>
    <w:rsid w:val="006403F7"/>
    <w:rsid w:val="00640FBE"/>
    <w:rsid w:val="006413FD"/>
    <w:rsid w:val="00641992"/>
    <w:rsid w:val="00641B4E"/>
    <w:rsid w:val="006420EE"/>
    <w:rsid w:val="00642134"/>
    <w:rsid w:val="006421D8"/>
    <w:rsid w:val="00642733"/>
    <w:rsid w:val="00642907"/>
    <w:rsid w:val="00642C09"/>
    <w:rsid w:val="006439B8"/>
    <w:rsid w:val="00643B2F"/>
    <w:rsid w:val="00643F5E"/>
    <w:rsid w:val="00644278"/>
    <w:rsid w:val="00644626"/>
    <w:rsid w:val="006447AA"/>
    <w:rsid w:val="00644F34"/>
    <w:rsid w:val="00645074"/>
    <w:rsid w:val="006450A4"/>
    <w:rsid w:val="006455F0"/>
    <w:rsid w:val="00645FF1"/>
    <w:rsid w:val="00646712"/>
    <w:rsid w:val="00646974"/>
    <w:rsid w:val="00646A59"/>
    <w:rsid w:val="00646D6D"/>
    <w:rsid w:val="00646E6C"/>
    <w:rsid w:val="006472B5"/>
    <w:rsid w:val="00647495"/>
    <w:rsid w:val="006475C1"/>
    <w:rsid w:val="006476E0"/>
    <w:rsid w:val="006504E4"/>
    <w:rsid w:val="00650849"/>
    <w:rsid w:val="006508AC"/>
    <w:rsid w:val="006520A5"/>
    <w:rsid w:val="006520ED"/>
    <w:rsid w:val="00652217"/>
    <w:rsid w:val="00652628"/>
    <w:rsid w:val="006529C5"/>
    <w:rsid w:val="00652FAC"/>
    <w:rsid w:val="006530A0"/>
    <w:rsid w:val="006532A1"/>
    <w:rsid w:val="00653933"/>
    <w:rsid w:val="00653BE7"/>
    <w:rsid w:val="00653E90"/>
    <w:rsid w:val="00653F8B"/>
    <w:rsid w:val="00654724"/>
    <w:rsid w:val="00654CB7"/>
    <w:rsid w:val="00654D55"/>
    <w:rsid w:val="00655902"/>
    <w:rsid w:val="00655BAC"/>
    <w:rsid w:val="00655D98"/>
    <w:rsid w:val="00655EE0"/>
    <w:rsid w:val="006564FE"/>
    <w:rsid w:val="006568CC"/>
    <w:rsid w:val="00657D2D"/>
    <w:rsid w:val="00657F4D"/>
    <w:rsid w:val="0066034D"/>
    <w:rsid w:val="00660506"/>
    <w:rsid w:val="00660592"/>
    <w:rsid w:val="00660642"/>
    <w:rsid w:val="00660713"/>
    <w:rsid w:val="0066087A"/>
    <w:rsid w:val="00661FF6"/>
    <w:rsid w:val="00663850"/>
    <w:rsid w:val="00663DFD"/>
    <w:rsid w:val="0066441D"/>
    <w:rsid w:val="00664645"/>
    <w:rsid w:val="00664735"/>
    <w:rsid w:val="00664D37"/>
    <w:rsid w:val="00665AEF"/>
    <w:rsid w:val="00665E99"/>
    <w:rsid w:val="00666080"/>
    <w:rsid w:val="0066642F"/>
    <w:rsid w:val="00666A95"/>
    <w:rsid w:val="00666E2E"/>
    <w:rsid w:val="006678B4"/>
    <w:rsid w:val="00667AC6"/>
    <w:rsid w:val="00667C10"/>
    <w:rsid w:val="006704B6"/>
    <w:rsid w:val="006704CF"/>
    <w:rsid w:val="0067098A"/>
    <w:rsid w:val="00670A27"/>
    <w:rsid w:val="00670FBC"/>
    <w:rsid w:val="00671904"/>
    <w:rsid w:val="00671945"/>
    <w:rsid w:val="0067214E"/>
    <w:rsid w:val="0067234F"/>
    <w:rsid w:val="00672865"/>
    <w:rsid w:val="00673926"/>
    <w:rsid w:val="00673ECC"/>
    <w:rsid w:val="00674068"/>
    <w:rsid w:val="00674558"/>
    <w:rsid w:val="006746C0"/>
    <w:rsid w:val="00674715"/>
    <w:rsid w:val="00675D18"/>
    <w:rsid w:val="00675F08"/>
    <w:rsid w:val="006762A6"/>
    <w:rsid w:val="00676686"/>
    <w:rsid w:val="00676B87"/>
    <w:rsid w:val="00676D2C"/>
    <w:rsid w:val="00677007"/>
    <w:rsid w:val="006773E4"/>
    <w:rsid w:val="0067766A"/>
    <w:rsid w:val="00677C2E"/>
    <w:rsid w:val="00677CB3"/>
    <w:rsid w:val="00677E2A"/>
    <w:rsid w:val="00680209"/>
    <w:rsid w:val="00680CAF"/>
    <w:rsid w:val="00680D3F"/>
    <w:rsid w:val="0068178D"/>
    <w:rsid w:val="0068186D"/>
    <w:rsid w:val="00681913"/>
    <w:rsid w:val="006819ED"/>
    <w:rsid w:val="00681D34"/>
    <w:rsid w:val="00681E46"/>
    <w:rsid w:val="00681EFA"/>
    <w:rsid w:val="006825B4"/>
    <w:rsid w:val="00682873"/>
    <w:rsid w:val="0068387B"/>
    <w:rsid w:val="00683D4D"/>
    <w:rsid w:val="00683EC4"/>
    <w:rsid w:val="0068447D"/>
    <w:rsid w:val="00684F9F"/>
    <w:rsid w:val="0068531E"/>
    <w:rsid w:val="0068575E"/>
    <w:rsid w:val="006859EF"/>
    <w:rsid w:val="00685C10"/>
    <w:rsid w:val="00687014"/>
    <w:rsid w:val="006873DB"/>
    <w:rsid w:val="00687606"/>
    <w:rsid w:val="00687626"/>
    <w:rsid w:val="00687A06"/>
    <w:rsid w:val="00687B50"/>
    <w:rsid w:val="00690046"/>
    <w:rsid w:val="00690358"/>
    <w:rsid w:val="00690516"/>
    <w:rsid w:val="006906B2"/>
    <w:rsid w:val="0069079F"/>
    <w:rsid w:val="00690D5B"/>
    <w:rsid w:val="00690D85"/>
    <w:rsid w:val="00690E27"/>
    <w:rsid w:val="00690FDA"/>
    <w:rsid w:val="0069160B"/>
    <w:rsid w:val="00691B45"/>
    <w:rsid w:val="00691BFB"/>
    <w:rsid w:val="00693059"/>
    <w:rsid w:val="006934DE"/>
    <w:rsid w:val="00693AB3"/>
    <w:rsid w:val="00693ACF"/>
    <w:rsid w:val="00693BE2"/>
    <w:rsid w:val="006941C4"/>
    <w:rsid w:val="00694B04"/>
    <w:rsid w:val="00694B40"/>
    <w:rsid w:val="00694BFC"/>
    <w:rsid w:val="00694C61"/>
    <w:rsid w:val="00694F2F"/>
    <w:rsid w:val="00694F31"/>
    <w:rsid w:val="006955CF"/>
    <w:rsid w:val="00695B27"/>
    <w:rsid w:val="00696A51"/>
    <w:rsid w:val="00697124"/>
    <w:rsid w:val="00697A5D"/>
    <w:rsid w:val="00697F99"/>
    <w:rsid w:val="00697FF7"/>
    <w:rsid w:val="006A009D"/>
    <w:rsid w:val="006A0696"/>
    <w:rsid w:val="006A078D"/>
    <w:rsid w:val="006A08A0"/>
    <w:rsid w:val="006A0BE1"/>
    <w:rsid w:val="006A0CED"/>
    <w:rsid w:val="006A0F85"/>
    <w:rsid w:val="006A14C5"/>
    <w:rsid w:val="006A23E1"/>
    <w:rsid w:val="006A26FD"/>
    <w:rsid w:val="006A2728"/>
    <w:rsid w:val="006A27F5"/>
    <w:rsid w:val="006A27F6"/>
    <w:rsid w:val="006A29FA"/>
    <w:rsid w:val="006A2DB1"/>
    <w:rsid w:val="006A3B9F"/>
    <w:rsid w:val="006A4275"/>
    <w:rsid w:val="006A4423"/>
    <w:rsid w:val="006A5415"/>
    <w:rsid w:val="006A587A"/>
    <w:rsid w:val="006A6BA7"/>
    <w:rsid w:val="006A6D84"/>
    <w:rsid w:val="006A7509"/>
    <w:rsid w:val="006A7A36"/>
    <w:rsid w:val="006A7B82"/>
    <w:rsid w:val="006A7C6F"/>
    <w:rsid w:val="006B041A"/>
    <w:rsid w:val="006B06FD"/>
    <w:rsid w:val="006B0C6D"/>
    <w:rsid w:val="006B0F98"/>
    <w:rsid w:val="006B1305"/>
    <w:rsid w:val="006B14F2"/>
    <w:rsid w:val="006B15AA"/>
    <w:rsid w:val="006B170C"/>
    <w:rsid w:val="006B1B98"/>
    <w:rsid w:val="006B1D68"/>
    <w:rsid w:val="006B22F0"/>
    <w:rsid w:val="006B285F"/>
    <w:rsid w:val="006B31DC"/>
    <w:rsid w:val="006B3428"/>
    <w:rsid w:val="006B355C"/>
    <w:rsid w:val="006B37EB"/>
    <w:rsid w:val="006B3CD3"/>
    <w:rsid w:val="006B52D1"/>
    <w:rsid w:val="006B5328"/>
    <w:rsid w:val="006B57D8"/>
    <w:rsid w:val="006B5A50"/>
    <w:rsid w:val="006B609B"/>
    <w:rsid w:val="006B6397"/>
    <w:rsid w:val="006B6E76"/>
    <w:rsid w:val="006B7150"/>
    <w:rsid w:val="006B7452"/>
    <w:rsid w:val="006B7A6A"/>
    <w:rsid w:val="006B7E02"/>
    <w:rsid w:val="006C0698"/>
    <w:rsid w:val="006C0A42"/>
    <w:rsid w:val="006C0FAE"/>
    <w:rsid w:val="006C1043"/>
    <w:rsid w:val="006C22C4"/>
    <w:rsid w:val="006C2766"/>
    <w:rsid w:val="006C2A7E"/>
    <w:rsid w:val="006C2A98"/>
    <w:rsid w:val="006C317E"/>
    <w:rsid w:val="006C33AC"/>
    <w:rsid w:val="006C35D1"/>
    <w:rsid w:val="006C3B30"/>
    <w:rsid w:val="006C445E"/>
    <w:rsid w:val="006C4DA7"/>
    <w:rsid w:val="006C54FD"/>
    <w:rsid w:val="006C579A"/>
    <w:rsid w:val="006C5EBC"/>
    <w:rsid w:val="006C65A5"/>
    <w:rsid w:val="006C689C"/>
    <w:rsid w:val="006C6AFA"/>
    <w:rsid w:val="006C6BCB"/>
    <w:rsid w:val="006C7386"/>
    <w:rsid w:val="006C7522"/>
    <w:rsid w:val="006C7A98"/>
    <w:rsid w:val="006C7D35"/>
    <w:rsid w:val="006D05DC"/>
    <w:rsid w:val="006D0680"/>
    <w:rsid w:val="006D08C8"/>
    <w:rsid w:val="006D11B4"/>
    <w:rsid w:val="006D1210"/>
    <w:rsid w:val="006D154A"/>
    <w:rsid w:val="006D16AC"/>
    <w:rsid w:val="006D1CF9"/>
    <w:rsid w:val="006D1E1B"/>
    <w:rsid w:val="006D1F00"/>
    <w:rsid w:val="006D3497"/>
    <w:rsid w:val="006D35DD"/>
    <w:rsid w:val="006D3DA4"/>
    <w:rsid w:val="006D3F9D"/>
    <w:rsid w:val="006D4C8F"/>
    <w:rsid w:val="006D4ED9"/>
    <w:rsid w:val="006D51AC"/>
    <w:rsid w:val="006D568B"/>
    <w:rsid w:val="006D5B3E"/>
    <w:rsid w:val="006D6FCD"/>
    <w:rsid w:val="006D7114"/>
    <w:rsid w:val="006D7206"/>
    <w:rsid w:val="006D7664"/>
    <w:rsid w:val="006D7DC9"/>
    <w:rsid w:val="006E0E22"/>
    <w:rsid w:val="006E103A"/>
    <w:rsid w:val="006E1551"/>
    <w:rsid w:val="006E165B"/>
    <w:rsid w:val="006E1C18"/>
    <w:rsid w:val="006E1E2D"/>
    <w:rsid w:val="006E1E66"/>
    <w:rsid w:val="006E1F2F"/>
    <w:rsid w:val="006E2225"/>
    <w:rsid w:val="006E34A3"/>
    <w:rsid w:val="006E3A90"/>
    <w:rsid w:val="006E3C7E"/>
    <w:rsid w:val="006E3D83"/>
    <w:rsid w:val="006E3DFA"/>
    <w:rsid w:val="006E3F5C"/>
    <w:rsid w:val="006E45B9"/>
    <w:rsid w:val="006E4FEC"/>
    <w:rsid w:val="006E6017"/>
    <w:rsid w:val="006E6268"/>
    <w:rsid w:val="006E635A"/>
    <w:rsid w:val="006E6972"/>
    <w:rsid w:val="006E72F7"/>
    <w:rsid w:val="006E7BE6"/>
    <w:rsid w:val="006F02D0"/>
    <w:rsid w:val="006F0331"/>
    <w:rsid w:val="006F03BF"/>
    <w:rsid w:val="006F0D0F"/>
    <w:rsid w:val="006F0D16"/>
    <w:rsid w:val="006F0D44"/>
    <w:rsid w:val="006F0FE4"/>
    <w:rsid w:val="006F1541"/>
    <w:rsid w:val="006F1ADE"/>
    <w:rsid w:val="006F2287"/>
    <w:rsid w:val="006F27E9"/>
    <w:rsid w:val="006F2B4B"/>
    <w:rsid w:val="006F2C89"/>
    <w:rsid w:val="006F2FC0"/>
    <w:rsid w:val="006F3695"/>
    <w:rsid w:val="006F3C49"/>
    <w:rsid w:val="006F3CC5"/>
    <w:rsid w:val="006F4256"/>
    <w:rsid w:val="006F46CF"/>
    <w:rsid w:val="006F6E43"/>
    <w:rsid w:val="006F73F3"/>
    <w:rsid w:val="006F7768"/>
    <w:rsid w:val="006F7968"/>
    <w:rsid w:val="006F7E11"/>
    <w:rsid w:val="006F7E3A"/>
    <w:rsid w:val="006F7E81"/>
    <w:rsid w:val="00700138"/>
    <w:rsid w:val="007003A2"/>
    <w:rsid w:val="00700A8C"/>
    <w:rsid w:val="00700F90"/>
    <w:rsid w:val="00701078"/>
    <w:rsid w:val="00701307"/>
    <w:rsid w:val="007016EC"/>
    <w:rsid w:val="0070193E"/>
    <w:rsid w:val="00701CC2"/>
    <w:rsid w:val="007022E3"/>
    <w:rsid w:val="00702831"/>
    <w:rsid w:val="00703239"/>
    <w:rsid w:val="007037F0"/>
    <w:rsid w:val="007039D8"/>
    <w:rsid w:val="00703A25"/>
    <w:rsid w:val="00703D9D"/>
    <w:rsid w:val="00703FBB"/>
    <w:rsid w:val="007051BB"/>
    <w:rsid w:val="0070646A"/>
    <w:rsid w:val="0070649B"/>
    <w:rsid w:val="00706D9C"/>
    <w:rsid w:val="00706E33"/>
    <w:rsid w:val="00707253"/>
    <w:rsid w:val="00707A96"/>
    <w:rsid w:val="00707E8E"/>
    <w:rsid w:val="00707EF4"/>
    <w:rsid w:val="00710999"/>
    <w:rsid w:val="00711323"/>
    <w:rsid w:val="00712224"/>
    <w:rsid w:val="007124EF"/>
    <w:rsid w:val="0071365F"/>
    <w:rsid w:val="007138C5"/>
    <w:rsid w:val="00713A5A"/>
    <w:rsid w:val="00714157"/>
    <w:rsid w:val="0071484D"/>
    <w:rsid w:val="00715AC4"/>
    <w:rsid w:val="00715F5A"/>
    <w:rsid w:val="00716032"/>
    <w:rsid w:val="00716127"/>
    <w:rsid w:val="00716374"/>
    <w:rsid w:val="00716569"/>
    <w:rsid w:val="0071738B"/>
    <w:rsid w:val="007200DA"/>
    <w:rsid w:val="0072032E"/>
    <w:rsid w:val="00720676"/>
    <w:rsid w:val="007210E3"/>
    <w:rsid w:val="0072121D"/>
    <w:rsid w:val="00721452"/>
    <w:rsid w:val="0072269B"/>
    <w:rsid w:val="007229C1"/>
    <w:rsid w:val="00722D2F"/>
    <w:rsid w:val="00723BA5"/>
    <w:rsid w:val="00723C78"/>
    <w:rsid w:val="00723D88"/>
    <w:rsid w:val="00723ED1"/>
    <w:rsid w:val="00723FF0"/>
    <w:rsid w:val="007244CC"/>
    <w:rsid w:val="0072450E"/>
    <w:rsid w:val="00724876"/>
    <w:rsid w:val="00724955"/>
    <w:rsid w:val="007249CF"/>
    <w:rsid w:val="007252D9"/>
    <w:rsid w:val="00725506"/>
    <w:rsid w:val="00725CAB"/>
    <w:rsid w:val="00725CE8"/>
    <w:rsid w:val="00726187"/>
    <w:rsid w:val="00726409"/>
    <w:rsid w:val="007268AC"/>
    <w:rsid w:val="00726E92"/>
    <w:rsid w:val="00726F64"/>
    <w:rsid w:val="0072731D"/>
    <w:rsid w:val="007275CC"/>
    <w:rsid w:val="007279E0"/>
    <w:rsid w:val="00727DBB"/>
    <w:rsid w:val="00727E11"/>
    <w:rsid w:val="007304ED"/>
    <w:rsid w:val="00730923"/>
    <w:rsid w:val="00730F24"/>
    <w:rsid w:val="007314AE"/>
    <w:rsid w:val="00731966"/>
    <w:rsid w:val="007319EB"/>
    <w:rsid w:val="00731EEC"/>
    <w:rsid w:val="0073214C"/>
    <w:rsid w:val="007322AC"/>
    <w:rsid w:val="00732AA2"/>
    <w:rsid w:val="00732B9A"/>
    <w:rsid w:val="00732BC8"/>
    <w:rsid w:val="00732D80"/>
    <w:rsid w:val="00732EBD"/>
    <w:rsid w:val="00733748"/>
    <w:rsid w:val="007340BC"/>
    <w:rsid w:val="00734822"/>
    <w:rsid w:val="00734CF0"/>
    <w:rsid w:val="00734EA7"/>
    <w:rsid w:val="007355B7"/>
    <w:rsid w:val="0073573E"/>
    <w:rsid w:val="007359E4"/>
    <w:rsid w:val="007365F3"/>
    <w:rsid w:val="00736628"/>
    <w:rsid w:val="00736C94"/>
    <w:rsid w:val="00736F17"/>
    <w:rsid w:val="00737239"/>
    <w:rsid w:val="007377C6"/>
    <w:rsid w:val="00737879"/>
    <w:rsid w:val="00737C48"/>
    <w:rsid w:val="00740584"/>
    <w:rsid w:val="00740AC6"/>
    <w:rsid w:val="007419E8"/>
    <w:rsid w:val="00741DCC"/>
    <w:rsid w:val="00741F58"/>
    <w:rsid w:val="007424F6"/>
    <w:rsid w:val="00742671"/>
    <w:rsid w:val="0074279A"/>
    <w:rsid w:val="007438F0"/>
    <w:rsid w:val="00743BBF"/>
    <w:rsid w:val="007442D6"/>
    <w:rsid w:val="007452EE"/>
    <w:rsid w:val="00745571"/>
    <w:rsid w:val="00747235"/>
    <w:rsid w:val="00747296"/>
    <w:rsid w:val="00747428"/>
    <w:rsid w:val="0074767C"/>
    <w:rsid w:val="0075006A"/>
    <w:rsid w:val="00750393"/>
    <w:rsid w:val="00750A05"/>
    <w:rsid w:val="007510B6"/>
    <w:rsid w:val="00751188"/>
    <w:rsid w:val="0075152D"/>
    <w:rsid w:val="00751678"/>
    <w:rsid w:val="007520D4"/>
    <w:rsid w:val="007520E7"/>
    <w:rsid w:val="007522F5"/>
    <w:rsid w:val="00753507"/>
    <w:rsid w:val="00753561"/>
    <w:rsid w:val="00753842"/>
    <w:rsid w:val="007539D9"/>
    <w:rsid w:val="00753CFE"/>
    <w:rsid w:val="007548E5"/>
    <w:rsid w:val="00754AC3"/>
    <w:rsid w:val="00754B91"/>
    <w:rsid w:val="00755411"/>
    <w:rsid w:val="007554C6"/>
    <w:rsid w:val="00755540"/>
    <w:rsid w:val="007558BE"/>
    <w:rsid w:val="00755B69"/>
    <w:rsid w:val="00755F04"/>
    <w:rsid w:val="00756142"/>
    <w:rsid w:val="00756397"/>
    <w:rsid w:val="007567EF"/>
    <w:rsid w:val="0075682E"/>
    <w:rsid w:val="00757610"/>
    <w:rsid w:val="00757861"/>
    <w:rsid w:val="00757A3A"/>
    <w:rsid w:val="00757BBF"/>
    <w:rsid w:val="00757C41"/>
    <w:rsid w:val="00757FC6"/>
    <w:rsid w:val="00760301"/>
    <w:rsid w:val="007603C3"/>
    <w:rsid w:val="0076069D"/>
    <w:rsid w:val="00761311"/>
    <w:rsid w:val="00761A2E"/>
    <w:rsid w:val="00762178"/>
    <w:rsid w:val="00762858"/>
    <w:rsid w:val="00762A1E"/>
    <w:rsid w:val="00763A5D"/>
    <w:rsid w:val="007642E0"/>
    <w:rsid w:val="007648A7"/>
    <w:rsid w:val="007661C4"/>
    <w:rsid w:val="007666EA"/>
    <w:rsid w:val="0076679B"/>
    <w:rsid w:val="007670E1"/>
    <w:rsid w:val="00767FBF"/>
    <w:rsid w:val="00770015"/>
    <w:rsid w:val="0077062B"/>
    <w:rsid w:val="0077088D"/>
    <w:rsid w:val="007712F0"/>
    <w:rsid w:val="007716E4"/>
    <w:rsid w:val="00772212"/>
    <w:rsid w:val="00772328"/>
    <w:rsid w:val="00772364"/>
    <w:rsid w:val="007723AE"/>
    <w:rsid w:val="007725E6"/>
    <w:rsid w:val="00772D2C"/>
    <w:rsid w:val="00772D95"/>
    <w:rsid w:val="0077318E"/>
    <w:rsid w:val="007732D0"/>
    <w:rsid w:val="0077373A"/>
    <w:rsid w:val="007737A5"/>
    <w:rsid w:val="00774301"/>
    <w:rsid w:val="00774451"/>
    <w:rsid w:val="00774C1F"/>
    <w:rsid w:val="0077528F"/>
    <w:rsid w:val="0077581E"/>
    <w:rsid w:val="00775AB3"/>
    <w:rsid w:val="00776B37"/>
    <w:rsid w:val="00776D03"/>
    <w:rsid w:val="00776D67"/>
    <w:rsid w:val="00776DB7"/>
    <w:rsid w:val="0077751D"/>
    <w:rsid w:val="0077797F"/>
    <w:rsid w:val="00777C3A"/>
    <w:rsid w:val="00777CFC"/>
    <w:rsid w:val="007808BD"/>
    <w:rsid w:val="00780DA2"/>
    <w:rsid w:val="00782436"/>
    <w:rsid w:val="00782535"/>
    <w:rsid w:val="007826A2"/>
    <w:rsid w:val="00782F7D"/>
    <w:rsid w:val="00783028"/>
    <w:rsid w:val="007833A9"/>
    <w:rsid w:val="00783464"/>
    <w:rsid w:val="00783B4A"/>
    <w:rsid w:val="00784160"/>
    <w:rsid w:val="0078462D"/>
    <w:rsid w:val="00784652"/>
    <w:rsid w:val="00784665"/>
    <w:rsid w:val="00784CE4"/>
    <w:rsid w:val="00785305"/>
    <w:rsid w:val="007853F2"/>
    <w:rsid w:val="0078563E"/>
    <w:rsid w:val="007857C2"/>
    <w:rsid w:val="007859B0"/>
    <w:rsid w:val="007861E7"/>
    <w:rsid w:val="0078641D"/>
    <w:rsid w:val="00786467"/>
    <w:rsid w:val="00786F1E"/>
    <w:rsid w:val="007870C1"/>
    <w:rsid w:val="007875AE"/>
    <w:rsid w:val="00787899"/>
    <w:rsid w:val="00787A60"/>
    <w:rsid w:val="00787BD5"/>
    <w:rsid w:val="00787CD5"/>
    <w:rsid w:val="007907F6"/>
    <w:rsid w:val="00790C77"/>
    <w:rsid w:val="00791068"/>
    <w:rsid w:val="00792115"/>
    <w:rsid w:val="0079251C"/>
    <w:rsid w:val="00792BC0"/>
    <w:rsid w:val="00792EA3"/>
    <w:rsid w:val="0079349D"/>
    <w:rsid w:val="0079396C"/>
    <w:rsid w:val="00793C2E"/>
    <w:rsid w:val="00794211"/>
    <w:rsid w:val="007943E6"/>
    <w:rsid w:val="00794E0A"/>
    <w:rsid w:val="007953F1"/>
    <w:rsid w:val="00795B59"/>
    <w:rsid w:val="00795CF8"/>
    <w:rsid w:val="00795FBB"/>
    <w:rsid w:val="00796488"/>
    <w:rsid w:val="00796850"/>
    <w:rsid w:val="00796B38"/>
    <w:rsid w:val="007973BB"/>
    <w:rsid w:val="007A02BF"/>
    <w:rsid w:val="007A045B"/>
    <w:rsid w:val="007A07CB"/>
    <w:rsid w:val="007A0CF3"/>
    <w:rsid w:val="007A130B"/>
    <w:rsid w:val="007A1A1A"/>
    <w:rsid w:val="007A2220"/>
    <w:rsid w:val="007A22A6"/>
    <w:rsid w:val="007A2440"/>
    <w:rsid w:val="007A2483"/>
    <w:rsid w:val="007A25E2"/>
    <w:rsid w:val="007A28A8"/>
    <w:rsid w:val="007A3052"/>
    <w:rsid w:val="007A38FE"/>
    <w:rsid w:val="007A3D3F"/>
    <w:rsid w:val="007A3D58"/>
    <w:rsid w:val="007A418E"/>
    <w:rsid w:val="007A42E9"/>
    <w:rsid w:val="007A4811"/>
    <w:rsid w:val="007A4BAE"/>
    <w:rsid w:val="007A4F6C"/>
    <w:rsid w:val="007A51A0"/>
    <w:rsid w:val="007A5367"/>
    <w:rsid w:val="007A5B80"/>
    <w:rsid w:val="007A5F55"/>
    <w:rsid w:val="007A708D"/>
    <w:rsid w:val="007A72A3"/>
    <w:rsid w:val="007B01BD"/>
    <w:rsid w:val="007B05EC"/>
    <w:rsid w:val="007B0630"/>
    <w:rsid w:val="007B0CF8"/>
    <w:rsid w:val="007B0D1C"/>
    <w:rsid w:val="007B0D2A"/>
    <w:rsid w:val="007B13A0"/>
    <w:rsid w:val="007B1D17"/>
    <w:rsid w:val="007B1F2F"/>
    <w:rsid w:val="007B2AB0"/>
    <w:rsid w:val="007B32AC"/>
    <w:rsid w:val="007B490F"/>
    <w:rsid w:val="007B50AE"/>
    <w:rsid w:val="007B5256"/>
    <w:rsid w:val="007B5654"/>
    <w:rsid w:val="007B5F7B"/>
    <w:rsid w:val="007B6002"/>
    <w:rsid w:val="007B60F8"/>
    <w:rsid w:val="007B61EC"/>
    <w:rsid w:val="007B66F8"/>
    <w:rsid w:val="007B6A31"/>
    <w:rsid w:val="007B6EAF"/>
    <w:rsid w:val="007B77C7"/>
    <w:rsid w:val="007B7B2A"/>
    <w:rsid w:val="007B7D7B"/>
    <w:rsid w:val="007B7F11"/>
    <w:rsid w:val="007C08F8"/>
    <w:rsid w:val="007C0F69"/>
    <w:rsid w:val="007C11A1"/>
    <w:rsid w:val="007C1292"/>
    <w:rsid w:val="007C1449"/>
    <w:rsid w:val="007C2131"/>
    <w:rsid w:val="007C232A"/>
    <w:rsid w:val="007C2A8A"/>
    <w:rsid w:val="007C2B38"/>
    <w:rsid w:val="007C3653"/>
    <w:rsid w:val="007C435C"/>
    <w:rsid w:val="007C4EA5"/>
    <w:rsid w:val="007C53B7"/>
    <w:rsid w:val="007C5405"/>
    <w:rsid w:val="007C60D5"/>
    <w:rsid w:val="007C6381"/>
    <w:rsid w:val="007C7041"/>
    <w:rsid w:val="007C725B"/>
    <w:rsid w:val="007C7837"/>
    <w:rsid w:val="007C7D6B"/>
    <w:rsid w:val="007C7E4F"/>
    <w:rsid w:val="007C7E60"/>
    <w:rsid w:val="007D0451"/>
    <w:rsid w:val="007D0505"/>
    <w:rsid w:val="007D05B6"/>
    <w:rsid w:val="007D0786"/>
    <w:rsid w:val="007D1A6E"/>
    <w:rsid w:val="007D1AFB"/>
    <w:rsid w:val="007D2748"/>
    <w:rsid w:val="007D276F"/>
    <w:rsid w:val="007D2A7F"/>
    <w:rsid w:val="007D2C94"/>
    <w:rsid w:val="007D333C"/>
    <w:rsid w:val="007D371F"/>
    <w:rsid w:val="007D3C12"/>
    <w:rsid w:val="007D4543"/>
    <w:rsid w:val="007D45AC"/>
    <w:rsid w:val="007D5297"/>
    <w:rsid w:val="007D52D1"/>
    <w:rsid w:val="007D541E"/>
    <w:rsid w:val="007D5548"/>
    <w:rsid w:val="007D5581"/>
    <w:rsid w:val="007D59A1"/>
    <w:rsid w:val="007D5AA4"/>
    <w:rsid w:val="007D6EFA"/>
    <w:rsid w:val="007D719D"/>
    <w:rsid w:val="007D7B2E"/>
    <w:rsid w:val="007D7BDF"/>
    <w:rsid w:val="007D7C09"/>
    <w:rsid w:val="007D7D32"/>
    <w:rsid w:val="007E07F8"/>
    <w:rsid w:val="007E0859"/>
    <w:rsid w:val="007E08B6"/>
    <w:rsid w:val="007E0CF0"/>
    <w:rsid w:val="007E0DB8"/>
    <w:rsid w:val="007E1B20"/>
    <w:rsid w:val="007E2100"/>
    <w:rsid w:val="007E3217"/>
    <w:rsid w:val="007E373A"/>
    <w:rsid w:val="007E3B7D"/>
    <w:rsid w:val="007E3DC2"/>
    <w:rsid w:val="007E4353"/>
    <w:rsid w:val="007E438E"/>
    <w:rsid w:val="007E43C4"/>
    <w:rsid w:val="007E4745"/>
    <w:rsid w:val="007E4E95"/>
    <w:rsid w:val="007E527F"/>
    <w:rsid w:val="007E57F3"/>
    <w:rsid w:val="007E5D1A"/>
    <w:rsid w:val="007E5E44"/>
    <w:rsid w:val="007E6255"/>
    <w:rsid w:val="007E6277"/>
    <w:rsid w:val="007E62EE"/>
    <w:rsid w:val="007E68F5"/>
    <w:rsid w:val="007E698B"/>
    <w:rsid w:val="007E6B7E"/>
    <w:rsid w:val="007E6C52"/>
    <w:rsid w:val="007E6D1C"/>
    <w:rsid w:val="007E6E5E"/>
    <w:rsid w:val="007E7BC3"/>
    <w:rsid w:val="007E7C53"/>
    <w:rsid w:val="007F04F9"/>
    <w:rsid w:val="007F1005"/>
    <w:rsid w:val="007F18D3"/>
    <w:rsid w:val="007F1AE0"/>
    <w:rsid w:val="007F1D4F"/>
    <w:rsid w:val="007F2282"/>
    <w:rsid w:val="007F26F4"/>
    <w:rsid w:val="007F37AF"/>
    <w:rsid w:val="007F3C27"/>
    <w:rsid w:val="007F3D53"/>
    <w:rsid w:val="007F40EA"/>
    <w:rsid w:val="007F479C"/>
    <w:rsid w:val="007F57BE"/>
    <w:rsid w:val="007F5A26"/>
    <w:rsid w:val="007F5D5C"/>
    <w:rsid w:val="007F5FDF"/>
    <w:rsid w:val="007F6A6D"/>
    <w:rsid w:val="007F6A8B"/>
    <w:rsid w:val="007F6B78"/>
    <w:rsid w:val="007F6FD8"/>
    <w:rsid w:val="007F715A"/>
    <w:rsid w:val="007F7482"/>
    <w:rsid w:val="007F78AE"/>
    <w:rsid w:val="007F78FA"/>
    <w:rsid w:val="007F7D43"/>
    <w:rsid w:val="00800368"/>
    <w:rsid w:val="0080086C"/>
    <w:rsid w:val="00801250"/>
    <w:rsid w:val="008017A5"/>
    <w:rsid w:val="00801A91"/>
    <w:rsid w:val="00802361"/>
    <w:rsid w:val="00802524"/>
    <w:rsid w:val="0080278E"/>
    <w:rsid w:val="00802907"/>
    <w:rsid w:val="008029E7"/>
    <w:rsid w:val="00802CC2"/>
    <w:rsid w:val="00802DAD"/>
    <w:rsid w:val="00802DFF"/>
    <w:rsid w:val="00803187"/>
    <w:rsid w:val="008034A1"/>
    <w:rsid w:val="008034D6"/>
    <w:rsid w:val="00803819"/>
    <w:rsid w:val="00803F43"/>
    <w:rsid w:val="008040A7"/>
    <w:rsid w:val="008042BA"/>
    <w:rsid w:val="008047AB"/>
    <w:rsid w:val="0080505B"/>
    <w:rsid w:val="008052FC"/>
    <w:rsid w:val="008056EF"/>
    <w:rsid w:val="00805AFA"/>
    <w:rsid w:val="008063C0"/>
    <w:rsid w:val="00806DBD"/>
    <w:rsid w:val="00807C94"/>
    <w:rsid w:val="00807DD8"/>
    <w:rsid w:val="008102C7"/>
    <w:rsid w:val="008105FB"/>
    <w:rsid w:val="00810CB5"/>
    <w:rsid w:val="00811193"/>
    <w:rsid w:val="00811682"/>
    <w:rsid w:val="00811F4C"/>
    <w:rsid w:val="0081278F"/>
    <w:rsid w:val="00812EF7"/>
    <w:rsid w:val="00813286"/>
    <w:rsid w:val="00813BB0"/>
    <w:rsid w:val="00813D93"/>
    <w:rsid w:val="0081450E"/>
    <w:rsid w:val="00814755"/>
    <w:rsid w:val="008154A9"/>
    <w:rsid w:val="0081591F"/>
    <w:rsid w:val="00815E7C"/>
    <w:rsid w:val="008163F6"/>
    <w:rsid w:val="00816774"/>
    <w:rsid w:val="0081687A"/>
    <w:rsid w:val="008168D1"/>
    <w:rsid w:val="00816C41"/>
    <w:rsid w:val="008174DD"/>
    <w:rsid w:val="00817F68"/>
    <w:rsid w:val="008202E0"/>
    <w:rsid w:val="0082035B"/>
    <w:rsid w:val="00820654"/>
    <w:rsid w:val="00820785"/>
    <w:rsid w:val="00820D13"/>
    <w:rsid w:val="00821A5A"/>
    <w:rsid w:val="00821E3E"/>
    <w:rsid w:val="00821E6A"/>
    <w:rsid w:val="00822005"/>
    <w:rsid w:val="0082201D"/>
    <w:rsid w:val="00822CAE"/>
    <w:rsid w:val="00823455"/>
    <w:rsid w:val="00823839"/>
    <w:rsid w:val="00823E3F"/>
    <w:rsid w:val="008249E1"/>
    <w:rsid w:val="00824C9F"/>
    <w:rsid w:val="00824E7A"/>
    <w:rsid w:val="00824FD1"/>
    <w:rsid w:val="008251C9"/>
    <w:rsid w:val="00825BC4"/>
    <w:rsid w:val="00825CBE"/>
    <w:rsid w:val="00825F80"/>
    <w:rsid w:val="00826161"/>
    <w:rsid w:val="008267FB"/>
    <w:rsid w:val="00826F03"/>
    <w:rsid w:val="008270B8"/>
    <w:rsid w:val="0082798F"/>
    <w:rsid w:val="00827DBF"/>
    <w:rsid w:val="008300A5"/>
    <w:rsid w:val="00830319"/>
    <w:rsid w:val="0083085E"/>
    <w:rsid w:val="00830B9D"/>
    <w:rsid w:val="00830D30"/>
    <w:rsid w:val="00830EC2"/>
    <w:rsid w:val="0083127B"/>
    <w:rsid w:val="00831DFD"/>
    <w:rsid w:val="00832AA9"/>
    <w:rsid w:val="00832D5A"/>
    <w:rsid w:val="00832EF8"/>
    <w:rsid w:val="00834694"/>
    <w:rsid w:val="00834B04"/>
    <w:rsid w:val="00834C62"/>
    <w:rsid w:val="00835259"/>
    <w:rsid w:val="00835531"/>
    <w:rsid w:val="00835717"/>
    <w:rsid w:val="00835EEA"/>
    <w:rsid w:val="0083681E"/>
    <w:rsid w:val="00836889"/>
    <w:rsid w:val="00836CCE"/>
    <w:rsid w:val="008370C4"/>
    <w:rsid w:val="0083727B"/>
    <w:rsid w:val="00837387"/>
    <w:rsid w:val="00840151"/>
    <w:rsid w:val="0084063E"/>
    <w:rsid w:val="0084066C"/>
    <w:rsid w:val="00840863"/>
    <w:rsid w:val="00840D40"/>
    <w:rsid w:val="008415CD"/>
    <w:rsid w:val="00841BF8"/>
    <w:rsid w:val="0084214C"/>
    <w:rsid w:val="008422DB"/>
    <w:rsid w:val="008423D3"/>
    <w:rsid w:val="008424CB"/>
    <w:rsid w:val="00843E3E"/>
    <w:rsid w:val="00844149"/>
    <w:rsid w:val="008446A3"/>
    <w:rsid w:val="008449A2"/>
    <w:rsid w:val="00844EA9"/>
    <w:rsid w:val="00845474"/>
    <w:rsid w:val="00845849"/>
    <w:rsid w:val="0084644E"/>
    <w:rsid w:val="008464CD"/>
    <w:rsid w:val="00846541"/>
    <w:rsid w:val="00846810"/>
    <w:rsid w:val="0084695A"/>
    <w:rsid w:val="00846986"/>
    <w:rsid w:val="00847435"/>
    <w:rsid w:val="00850903"/>
    <w:rsid w:val="00850BB5"/>
    <w:rsid w:val="00851012"/>
    <w:rsid w:val="00851592"/>
    <w:rsid w:val="008515A0"/>
    <w:rsid w:val="00851D0B"/>
    <w:rsid w:val="00851EB1"/>
    <w:rsid w:val="00852056"/>
    <w:rsid w:val="008521BE"/>
    <w:rsid w:val="008525F9"/>
    <w:rsid w:val="00852A35"/>
    <w:rsid w:val="00852DFE"/>
    <w:rsid w:val="0085312A"/>
    <w:rsid w:val="008533EE"/>
    <w:rsid w:val="0085350C"/>
    <w:rsid w:val="0085419C"/>
    <w:rsid w:val="0085444D"/>
    <w:rsid w:val="008549AF"/>
    <w:rsid w:val="00854EA5"/>
    <w:rsid w:val="00855110"/>
    <w:rsid w:val="00855180"/>
    <w:rsid w:val="00855296"/>
    <w:rsid w:val="008552D6"/>
    <w:rsid w:val="008561A1"/>
    <w:rsid w:val="008569D7"/>
    <w:rsid w:val="00856A2C"/>
    <w:rsid w:val="00856C33"/>
    <w:rsid w:val="00856DCE"/>
    <w:rsid w:val="00857288"/>
    <w:rsid w:val="008573F8"/>
    <w:rsid w:val="00857404"/>
    <w:rsid w:val="00857408"/>
    <w:rsid w:val="00860D9D"/>
    <w:rsid w:val="0086139B"/>
    <w:rsid w:val="0086171D"/>
    <w:rsid w:val="00861953"/>
    <w:rsid w:val="00861B34"/>
    <w:rsid w:val="008621E6"/>
    <w:rsid w:val="008625BE"/>
    <w:rsid w:val="00862783"/>
    <w:rsid w:val="00862C38"/>
    <w:rsid w:val="008630EB"/>
    <w:rsid w:val="008631B9"/>
    <w:rsid w:val="008645B1"/>
    <w:rsid w:val="00865735"/>
    <w:rsid w:val="008657E7"/>
    <w:rsid w:val="008670EF"/>
    <w:rsid w:val="008704AD"/>
    <w:rsid w:val="0087079C"/>
    <w:rsid w:val="00870A0D"/>
    <w:rsid w:val="00870ADE"/>
    <w:rsid w:val="008715A9"/>
    <w:rsid w:val="008724C1"/>
    <w:rsid w:val="00873578"/>
    <w:rsid w:val="00873AC8"/>
    <w:rsid w:val="00874A00"/>
    <w:rsid w:val="00874E5C"/>
    <w:rsid w:val="00874FBD"/>
    <w:rsid w:val="0087513C"/>
    <w:rsid w:val="008751B0"/>
    <w:rsid w:val="008752E4"/>
    <w:rsid w:val="008763E2"/>
    <w:rsid w:val="008766F2"/>
    <w:rsid w:val="008767FD"/>
    <w:rsid w:val="00876FB4"/>
    <w:rsid w:val="0087705F"/>
    <w:rsid w:val="0087709F"/>
    <w:rsid w:val="0087715B"/>
    <w:rsid w:val="00877911"/>
    <w:rsid w:val="00877B85"/>
    <w:rsid w:val="0088051D"/>
    <w:rsid w:val="00880739"/>
    <w:rsid w:val="00880AF5"/>
    <w:rsid w:val="00881078"/>
    <w:rsid w:val="008819BB"/>
    <w:rsid w:val="00881A6F"/>
    <w:rsid w:val="00881BAB"/>
    <w:rsid w:val="00882112"/>
    <w:rsid w:val="008823C1"/>
    <w:rsid w:val="00882842"/>
    <w:rsid w:val="00882A36"/>
    <w:rsid w:val="00882AC4"/>
    <w:rsid w:val="00882CD8"/>
    <w:rsid w:val="00882D5C"/>
    <w:rsid w:val="00882DEF"/>
    <w:rsid w:val="008836F8"/>
    <w:rsid w:val="008840B6"/>
    <w:rsid w:val="0088437B"/>
    <w:rsid w:val="0088444E"/>
    <w:rsid w:val="00884947"/>
    <w:rsid w:val="00884F79"/>
    <w:rsid w:val="0088512C"/>
    <w:rsid w:val="0088533D"/>
    <w:rsid w:val="00885C23"/>
    <w:rsid w:val="00885E45"/>
    <w:rsid w:val="0088646F"/>
    <w:rsid w:val="00886A83"/>
    <w:rsid w:val="00886D20"/>
    <w:rsid w:val="00886EAD"/>
    <w:rsid w:val="008878E5"/>
    <w:rsid w:val="008879D9"/>
    <w:rsid w:val="00887A05"/>
    <w:rsid w:val="00887AC9"/>
    <w:rsid w:val="00887ADE"/>
    <w:rsid w:val="00887D9E"/>
    <w:rsid w:val="0089016D"/>
    <w:rsid w:val="00890281"/>
    <w:rsid w:val="00890550"/>
    <w:rsid w:val="0089058D"/>
    <w:rsid w:val="00890973"/>
    <w:rsid w:val="00890F61"/>
    <w:rsid w:val="00891A2F"/>
    <w:rsid w:val="00891BA1"/>
    <w:rsid w:val="00891EBB"/>
    <w:rsid w:val="00891F3F"/>
    <w:rsid w:val="00892354"/>
    <w:rsid w:val="0089246F"/>
    <w:rsid w:val="00893EA2"/>
    <w:rsid w:val="00893EA7"/>
    <w:rsid w:val="0089481C"/>
    <w:rsid w:val="00894A6E"/>
    <w:rsid w:val="00895640"/>
    <w:rsid w:val="00895753"/>
    <w:rsid w:val="00895E19"/>
    <w:rsid w:val="00896023"/>
    <w:rsid w:val="00896069"/>
    <w:rsid w:val="008961B7"/>
    <w:rsid w:val="008969BD"/>
    <w:rsid w:val="00896BA3"/>
    <w:rsid w:val="00896F88"/>
    <w:rsid w:val="008974E9"/>
    <w:rsid w:val="00897A5C"/>
    <w:rsid w:val="00897E1B"/>
    <w:rsid w:val="00897FD7"/>
    <w:rsid w:val="008A0C6C"/>
    <w:rsid w:val="008A1162"/>
    <w:rsid w:val="008A16CD"/>
    <w:rsid w:val="008A28F1"/>
    <w:rsid w:val="008A31EB"/>
    <w:rsid w:val="008A33B8"/>
    <w:rsid w:val="008A351E"/>
    <w:rsid w:val="008A35BA"/>
    <w:rsid w:val="008A3F05"/>
    <w:rsid w:val="008A3F80"/>
    <w:rsid w:val="008A406A"/>
    <w:rsid w:val="008A4D52"/>
    <w:rsid w:val="008A4E54"/>
    <w:rsid w:val="008A4F99"/>
    <w:rsid w:val="008A542F"/>
    <w:rsid w:val="008A57D2"/>
    <w:rsid w:val="008A598C"/>
    <w:rsid w:val="008A5A38"/>
    <w:rsid w:val="008A5F6D"/>
    <w:rsid w:val="008A611F"/>
    <w:rsid w:val="008A6202"/>
    <w:rsid w:val="008A6658"/>
    <w:rsid w:val="008A66A5"/>
    <w:rsid w:val="008A68CE"/>
    <w:rsid w:val="008A7009"/>
    <w:rsid w:val="008A76F8"/>
    <w:rsid w:val="008A7A2A"/>
    <w:rsid w:val="008A7CD7"/>
    <w:rsid w:val="008A7E4C"/>
    <w:rsid w:val="008A7EC7"/>
    <w:rsid w:val="008B01FE"/>
    <w:rsid w:val="008B037C"/>
    <w:rsid w:val="008B0387"/>
    <w:rsid w:val="008B0C49"/>
    <w:rsid w:val="008B0F1B"/>
    <w:rsid w:val="008B1E13"/>
    <w:rsid w:val="008B28D6"/>
    <w:rsid w:val="008B2C42"/>
    <w:rsid w:val="008B35FF"/>
    <w:rsid w:val="008B3B15"/>
    <w:rsid w:val="008B480B"/>
    <w:rsid w:val="008B4C1A"/>
    <w:rsid w:val="008B4D25"/>
    <w:rsid w:val="008B51D1"/>
    <w:rsid w:val="008B5A5F"/>
    <w:rsid w:val="008B5BA9"/>
    <w:rsid w:val="008B5C3D"/>
    <w:rsid w:val="008B5D62"/>
    <w:rsid w:val="008B646B"/>
    <w:rsid w:val="008B7063"/>
    <w:rsid w:val="008B724C"/>
    <w:rsid w:val="008B7333"/>
    <w:rsid w:val="008B76D7"/>
    <w:rsid w:val="008B798B"/>
    <w:rsid w:val="008B7A27"/>
    <w:rsid w:val="008B7F21"/>
    <w:rsid w:val="008C03EA"/>
    <w:rsid w:val="008C06EF"/>
    <w:rsid w:val="008C0B43"/>
    <w:rsid w:val="008C0FC9"/>
    <w:rsid w:val="008C10A8"/>
    <w:rsid w:val="008C1483"/>
    <w:rsid w:val="008C241F"/>
    <w:rsid w:val="008C2C80"/>
    <w:rsid w:val="008C2F83"/>
    <w:rsid w:val="008C368E"/>
    <w:rsid w:val="008C36D5"/>
    <w:rsid w:val="008C3846"/>
    <w:rsid w:val="008C3B44"/>
    <w:rsid w:val="008C3C4E"/>
    <w:rsid w:val="008C4082"/>
    <w:rsid w:val="008C4D41"/>
    <w:rsid w:val="008C5DCE"/>
    <w:rsid w:val="008C5E66"/>
    <w:rsid w:val="008C653A"/>
    <w:rsid w:val="008C6542"/>
    <w:rsid w:val="008C76E4"/>
    <w:rsid w:val="008D01BA"/>
    <w:rsid w:val="008D03ED"/>
    <w:rsid w:val="008D117D"/>
    <w:rsid w:val="008D165A"/>
    <w:rsid w:val="008D1E62"/>
    <w:rsid w:val="008D2B97"/>
    <w:rsid w:val="008D31BB"/>
    <w:rsid w:val="008D3CF9"/>
    <w:rsid w:val="008D4B9C"/>
    <w:rsid w:val="008D53CB"/>
    <w:rsid w:val="008D586B"/>
    <w:rsid w:val="008D6840"/>
    <w:rsid w:val="008D6E29"/>
    <w:rsid w:val="008D7BB1"/>
    <w:rsid w:val="008D7FFD"/>
    <w:rsid w:val="008E0061"/>
    <w:rsid w:val="008E1946"/>
    <w:rsid w:val="008E1DA9"/>
    <w:rsid w:val="008E23CD"/>
    <w:rsid w:val="008E272B"/>
    <w:rsid w:val="008E27A4"/>
    <w:rsid w:val="008E2A3F"/>
    <w:rsid w:val="008E3972"/>
    <w:rsid w:val="008E3AD8"/>
    <w:rsid w:val="008E4C41"/>
    <w:rsid w:val="008E4F74"/>
    <w:rsid w:val="008E55E7"/>
    <w:rsid w:val="008E56A0"/>
    <w:rsid w:val="008E6066"/>
    <w:rsid w:val="008E6B5B"/>
    <w:rsid w:val="008E73BF"/>
    <w:rsid w:val="008E7653"/>
    <w:rsid w:val="008F00AE"/>
    <w:rsid w:val="008F0822"/>
    <w:rsid w:val="008F0E6C"/>
    <w:rsid w:val="008F1819"/>
    <w:rsid w:val="008F2801"/>
    <w:rsid w:val="008F2B00"/>
    <w:rsid w:val="008F2C55"/>
    <w:rsid w:val="008F2E60"/>
    <w:rsid w:val="008F3184"/>
    <w:rsid w:val="008F39A6"/>
    <w:rsid w:val="008F3CDD"/>
    <w:rsid w:val="008F4B3E"/>
    <w:rsid w:val="008F536D"/>
    <w:rsid w:val="008F5911"/>
    <w:rsid w:val="008F5F3F"/>
    <w:rsid w:val="008F60EF"/>
    <w:rsid w:val="008F633B"/>
    <w:rsid w:val="008F68A7"/>
    <w:rsid w:val="008F7246"/>
    <w:rsid w:val="008F7317"/>
    <w:rsid w:val="008F73F4"/>
    <w:rsid w:val="008F785C"/>
    <w:rsid w:val="008F7B23"/>
    <w:rsid w:val="008F7FB1"/>
    <w:rsid w:val="009007AD"/>
    <w:rsid w:val="00900EAD"/>
    <w:rsid w:val="009018C9"/>
    <w:rsid w:val="00901C7E"/>
    <w:rsid w:val="0090320D"/>
    <w:rsid w:val="0090357D"/>
    <w:rsid w:val="00904712"/>
    <w:rsid w:val="00904FB9"/>
    <w:rsid w:val="00905D7B"/>
    <w:rsid w:val="00905F14"/>
    <w:rsid w:val="00906BA8"/>
    <w:rsid w:val="00906D8A"/>
    <w:rsid w:val="00906DE9"/>
    <w:rsid w:val="00906E32"/>
    <w:rsid w:val="00907A33"/>
    <w:rsid w:val="00907A56"/>
    <w:rsid w:val="00907DD5"/>
    <w:rsid w:val="00910225"/>
    <w:rsid w:val="00910A7A"/>
    <w:rsid w:val="00911060"/>
    <w:rsid w:val="009111E2"/>
    <w:rsid w:val="00911747"/>
    <w:rsid w:val="009120B3"/>
    <w:rsid w:val="00912A36"/>
    <w:rsid w:val="009138E2"/>
    <w:rsid w:val="0091485C"/>
    <w:rsid w:val="00914AF3"/>
    <w:rsid w:val="00914B84"/>
    <w:rsid w:val="009150BD"/>
    <w:rsid w:val="0091557F"/>
    <w:rsid w:val="009157A2"/>
    <w:rsid w:val="00915F4B"/>
    <w:rsid w:val="00916182"/>
    <w:rsid w:val="009161DB"/>
    <w:rsid w:val="009168C3"/>
    <w:rsid w:val="00916928"/>
    <w:rsid w:val="00916F30"/>
    <w:rsid w:val="00917197"/>
    <w:rsid w:val="0091740A"/>
    <w:rsid w:val="00917470"/>
    <w:rsid w:val="0092006C"/>
    <w:rsid w:val="00920286"/>
    <w:rsid w:val="009205A9"/>
    <w:rsid w:val="00920DB0"/>
    <w:rsid w:val="009210CB"/>
    <w:rsid w:val="00921448"/>
    <w:rsid w:val="00921730"/>
    <w:rsid w:val="00921E50"/>
    <w:rsid w:val="00922096"/>
    <w:rsid w:val="009221A2"/>
    <w:rsid w:val="00922A9A"/>
    <w:rsid w:val="00922AE3"/>
    <w:rsid w:val="00923060"/>
    <w:rsid w:val="0092314B"/>
    <w:rsid w:val="00924728"/>
    <w:rsid w:val="0092483A"/>
    <w:rsid w:val="00924D95"/>
    <w:rsid w:val="0092581F"/>
    <w:rsid w:val="00926822"/>
    <w:rsid w:val="0092687D"/>
    <w:rsid w:val="00926A5A"/>
    <w:rsid w:val="00926AF7"/>
    <w:rsid w:val="00927453"/>
    <w:rsid w:val="009278A0"/>
    <w:rsid w:val="00930529"/>
    <w:rsid w:val="0093130F"/>
    <w:rsid w:val="009314E9"/>
    <w:rsid w:val="00931D50"/>
    <w:rsid w:val="00931F85"/>
    <w:rsid w:val="00932105"/>
    <w:rsid w:val="0093214D"/>
    <w:rsid w:val="00933001"/>
    <w:rsid w:val="0093377F"/>
    <w:rsid w:val="009337E2"/>
    <w:rsid w:val="00933BAF"/>
    <w:rsid w:val="00933C14"/>
    <w:rsid w:val="009340F5"/>
    <w:rsid w:val="009344B9"/>
    <w:rsid w:val="00934905"/>
    <w:rsid w:val="0093498D"/>
    <w:rsid w:val="009349B7"/>
    <w:rsid w:val="00934BDC"/>
    <w:rsid w:val="00934CDB"/>
    <w:rsid w:val="00934DD2"/>
    <w:rsid w:val="00935255"/>
    <w:rsid w:val="0093606C"/>
    <w:rsid w:val="00936283"/>
    <w:rsid w:val="009362D0"/>
    <w:rsid w:val="00936EF7"/>
    <w:rsid w:val="00937579"/>
    <w:rsid w:val="00937CC9"/>
    <w:rsid w:val="00937FB1"/>
    <w:rsid w:val="0094022F"/>
    <w:rsid w:val="00940563"/>
    <w:rsid w:val="00941430"/>
    <w:rsid w:val="009417B4"/>
    <w:rsid w:val="00941CD6"/>
    <w:rsid w:val="00941D33"/>
    <w:rsid w:val="00941F03"/>
    <w:rsid w:val="00942574"/>
    <w:rsid w:val="00942A98"/>
    <w:rsid w:val="00943BAD"/>
    <w:rsid w:val="00943C07"/>
    <w:rsid w:val="0094408F"/>
    <w:rsid w:val="009440C6"/>
    <w:rsid w:val="0094445E"/>
    <w:rsid w:val="00944971"/>
    <w:rsid w:val="00944DA6"/>
    <w:rsid w:val="00944FE6"/>
    <w:rsid w:val="009454FD"/>
    <w:rsid w:val="009466A4"/>
    <w:rsid w:val="00946C6C"/>
    <w:rsid w:val="00946FE7"/>
    <w:rsid w:val="00947544"/>
    <w:rsid w:val="00947ECC"/>
    <w:rsid w:val="009508FD"/>
    <w:rsid w:val="00951960"/>
    <w:rsid w:val="00951B97"/>
    <w:rsid w:val="009525D6"/>
    <w:rsid w:val="00953037"/>
    <w:rsid w:val="00953147"/>
    <w:rsid w:val="00953456"/>
    <w:rsid w:val="00953641"/>
    <w:rsid w:val="0095402D"/>
    <w:rsid w:val="009540F1"/>
    <w:rsid w:val="009546EE"/>
    <w:rsid w:val="00954CB0"/>
    <w:rsid w:val="00954D58"/>
    <w:rsid w:val="00954D6F"/>
    <w:rsid w:val="009557FA"/>
    <w:rsid w:val="009559F0"/>
    <w:rsid w:val="00955CDB"/>
    <w:rsid w:val="00955F64"/>
    <w:rsid w:val="00956228"/>
    <w:rsid w:val="009566EA"/>
    <w:rsid w:val="00956926"/>
    <w:rsid w:val="00956A6F"/>
    <w:rsid w:val="00956C4F"/>
    <w:rsid w:val="00956ED0"/>
    <w:rsid w:val="009575D5"/>
    <w:rsid w:val="00957805"/>
    <w:rsid w:val="00957B66"/>
    <w:rsid w:val="00957D20"/>
    <w:rsid w:val="0096019C"/>
    <w:rsid w:val="009609A2"/>
    <w:rsid w:val="00960FFE"/>
    <w:rsid w:val="009612A1"/>
    <w:rsid w:val="009612F4"/>
    <w:rsid w:val="009617DC"/>
    <w:rsid w:val="00961AC3"/>
    <w:rsid w:val="00961E43"/>
    <w:rsid w:val="00961FB3"/>
    <w:rsid w:val="00962E80"/>
    <w:rsid w:val="00963281"/>
    <w:rsid w:val="00963AF9"/>
    <w:rsid w:val="00963BFF"/>
    <w:rsid w:val="00964141"/>
    <w:rsid w:val="00964313"/>
    <w:rsid w:val="00964FF2"/>
    <w:rsid w:val="0096507E"/>
    <w:rsid w:val="00965084"/>
    <w:rsid w:val="00965301"/>
    <w:rsid w:val="00965A68"/>
    <w:rsid w:val="00965FDC"/>
    <w:rsid w:val="00966373"/>
    <w:rsid w:val="009667D9"/>
    <w:rsid w:val="009669A6"/>
    <w:rsid w:val="00966C1E"/>
    <w:rsid w:val="00966DB6"/>
    <w:rsid w:val="00966DBD"/>
    <w:rsid w:val="00967BFC"/>
    <w:rsid w:val="009702B7"/>
    <w:rsid w:val="0097055A"/>
    <w:rsid w:val="009707DB"/>
    <w:rsid w:val="00970CEB"/>
    <w:rsid w:val="00970FFE"/>
    <w:rsid w:val="00971585"/>
    <w:rsid w:val="009717D7"/>
    <w:rsid w:val="00971851"/>
    <w:rsid w:val="00971FC1"/>
    <w:rsid w:val="009723B9"/>
    <w:rsid w:val="00972CDC"/>
    <w:rsid w:val="00972FE8"/>
    <w:rsid w:val="0097332B"/>
    <w:rsid w:val="00973450"/>
    <w:rsid w:val="00973833"/>
    <w:rsid w:val="0097397D"/>
    <w:rsid w:val="0097426D"/>
    <w:rsid w:val="0097458F"/>
    <w:rsid w:val="009748DA"/>
    <w:rsid w:val="00974932"/>
    <w:rsid w:val="00974F50"/>
    <w:rsid w:val="00975FFA"/>
    <w:rsid w:val="009764B8"/>
    <w:rsid w:val="00976C5C"/>
    <w:rsid w:val="009770A6"/>
    <w:rsid w:val="00977F3C"/>
    <w:rsid w:val="009802BD"/>
    <w:rsid w:val="00980301"/>
    <w:rsid w:val="00980323"/>
    <w:rsid w:val="009811E9"/>
    <w:rsid w:val="00981412"/>
    <w:rsid w:val="009818A8"/>
    <w:rsid w:val="00981D13"/>
    <w:rsid w:val="00981F29"/>
    <w:rsid w:val="009820BD"/>
    <w:rsid w:val="00982151"/>
    <w:rsid w:val="00982717"/>
    <w:rsid w:val="00983B5A"/>
    <w:rsid w:val="00983F37"/>
    <w:rsid w:val="00984B52"/>
    <w:rsid w:val="00984B83"/>
    <w:rsid w:val="00984D7D"/>
    <w:rsid w:val="00984E1C"/>
    <w:rsid w:val="0098581E"/>
    <w:rsid w:val="00985C8E"/>
    <w:rsid w:val="00985E15"/>
    <w:rsid w:val="00986575"/>
    <w:rsid w:val="0098714E"/>
    <w:rsid w:val="00987178"/>
    <w:rsid w:val="0098787C"/>
    <w:rsid w:val="009878F8"/>
    <w:rsid w:val="00987BBB"/>
    <w:rsid w:val="00990BA5"/>
    <w:rsid w:val="00991012"/>
    <w:rsid w:val="0099102F"/>
    <w:rsid w:val="009910B6"/>
    <w:rsid w:val="00991509"/>
    <w:rsid w:val="009917B7"/>
    <w:rsid w:val="00991B2B"/>
    <w:rsid w:val="0099211D"/>
    <w:rsid w:val="00992A9D"/>
    <w:rsid w:val="00992AFF"/>
    <w:rsid w:val="00992D50"/>
    <w:rsid w:val="0099499B"/>
    <w:rsid w:val="009949BD"/>
    <w:rsid w:val="00994D0F"/>
    <w:rsid w:val="00994D67"/>
    <w:rsid w:val="00995B85"/>
    <w:rsid w:val="00995FAE"/>
    <w:rsid w:val="0099669E"/>
    <w:rsid w:val="00996726"/>
    <w:rsid w:val="00996899"/>
    <w:rsid w:val="00996B3F"/>
    <w:rsid w:val="00996C9E"/>
    <w:rsid w:val="009970F3"/>
    <w:rsid w:val="009978E0"/>
    <w:rsid w:val="009A07FA"/>
    <w:rsid w:val="009A0EBE"/>
    <w:rsid w:val="009A11FE"/>
    <w:rsid w:val="009A127A"/>
    <w:rsid w:val="009A142B"/>
    <w:rsid w:val="009A243E"/>
    <w:rsid w:val="009A248A"/>
    <w:rsid w:val="009A2504"/>
    <w:rsid w:val="009A2780"/>
    <w:rsid w:val="009A3008"/>
    <w:rsid w:val="009A32BD"/>
    <w:rsid w:val="009A3B1C"/>
    <w:rsid w:val="009A3F66"/>
    <w:rsid w:val="009A411E"/>
    <w:rsid w:val="009A4461"/>
    <w:rsid w:val="009A45E7"/>
    <w:rsid w:val="009A4666"/>
    <w:rsid w:val="009A4677"/>
    <w:rsid w:val="009A4B94"/>
    <w:rsid w:val="009A4C11"/>
    <w:rsid w:val="009A4DFE"/>
    <w:rsid w:val="009A57FA"/>
    <w:rsid w:val="009A5E4C"/>
    <w:rsid w:val="009A64E9"/>
    <w:rsid w:val="009A68BE"/>
    <w:rsid w:val="009A6CA8"/>
    <w:rsid w:val="009A6FF6"/>
    <w:rsid w:val="009A74EB"/>
    <w:rsid w:val="009A78A2"/>
    <w:rsid w:val="009A7A3B"/>
    <w:rsid w:val="009B0231"/>
    <w:rsid w:val="009B02FE"/>
    <w:rsid w:val="009B0566"/>
    <w:rsid w:val="009B067F"/>
    <w:rsid w:val="009B1195"/>
    <w:rsid w:val="009B198E"/>
    <w:rsid w:val="009B1BBB"/>
    <w:rsid w:val="009B1E25"/>
    <w:rsid w:val="009B2118"/>
    <w:rsid w:val="009B22D0"/>
    <w:rsid w:val="009B2C6C"/>
    <w:rsid w:val="009B368E"/>
    <w:rsid w:val="009B36D6"/>
    <w:rsid w:val="009B3EFD"/>
    <w:rsid w:val="009B4168"/>
    <w:rsid w:val="009B453B"/>
    <w:rsid w:val="009B4F45"/>
    <w:rsid w:val="009B517F"/>
    <w:rsid w:val="009B5539"/>
    <w:rsid w:val="009B5BCA"/>
    <w:rsid w:val="009B616B"/>
    <w:rsid w:val="009B6529"/>
    <w:rsid w:val="009B69EC"/>
    <w:rsid w:val="009B6A58"/>
    <w:rsid w:val="009B6B64"/>
    <w:rsid w:val="009B6C16"/>
    <w:rsid w:val="009B6D48"/>
    <w:rsid w:val="009B6E28"/>
    <w:rsid w:val="009B716F"/>
    <w:rsid w:val="009B7279"/>
    <w:rsid w:val="009B747B"/>
    <w:rsid w:val="009B7EC9"/>
    <w:rsid w:val="009C0BBE"/>
    <w:rsid w:val="009C101C"/>
    <w:rsid w:val="009C1837"/>
    <w:rsid w:val="009C187B"/>
    <w:rsid w:val="009C19DD"/>
    <w:rsid w:val="009C1B50"/>
    <w:rsid w:val="009C242E"/>
    <w:rsid w:val="009C25A8"/>
    <w:rsid w:val="009C2A6B"/>
    <w:rsid w:val="009C3050"/>
    <w:rsid w:val="009C3657"/>
    <w:rsid w:val="009C3659"/>
    <w:rsid w:val="009C3C04"/>
    <w:rsid w:val="009C3DE3"/>
    <w:rsid w:val="009C3E36"/>
    <w:rsid w:val="009C3F88"/>
    <w:rsid w:val="009C3FAB"/>
    <w:rsid w:val="009C4764"/>
    <w:rsid w:val="009C4B28"/>
    <w:rsid w:val="009C5176"/>
    <w:rsid w:val="009C5F7C"/>
    <w:rsid w:val="009C6324"/>
    <w:rsid w:val="009C6EB9"/>
    <w:rsid w:val="009C6F60"/>
    <w:rsid w:val="009C7195"/>
    <w:rsid w:val="009C795F"/>
    <w:rsid w:val="009C7C7B"/>
    <w:rsid w:val="009C7FC8"/>
    <w:rsid w:val="009D0264"/>
    <w:rsid w:val="009D0809"/>
    <w:rsid w:val="009D0F9B"/>
    <w:rsid w:val="009D10BF"/>
    <w:rsid w:val="009D114E"/>
    <w:rsid w:val="009D2C67"/>
    <w:rsid w:val="009D372B"/>
    <w:rsid w:val="009D3900"/>
    <w:rsid w:val="009D3E9C"/>
    <w:rsid w:val="009D3F55"/>
    <w:rsid w:val="009D4388"/>
    <w:rsid w:val="009D43CF"/>
    <w:rsid w:val="009D46A2"/>
    <w:rsid w:val="009D49AC"/>
    <w:rsid w:val="009D60D6"/>
    <w:rsid w:val="009D6832"/>
    <w:rsid w:val="009D6F87"/>
    <w:rsid w:val="009D7838"/>
    <w:rsid w:val="009D7889"/>
    <w:rsid w:val="009D79F0"/>
    <w:rsid w:val="009D79FF"/>
    <w:rsid w:val="009D7C22"/>
    <w:rsid w:val="009E07FA"/>
    <w:rsid w:val="009E0E8C"/>
    <w:rsid w:val="009E18BB"/>
    <w:rsid w:val="009E1CF8"/>
    <w:rsid w:val="009E2310"/>
    <w:rsid w:val="009E3059"/>
    <w:rsid w:val="009E30A0"/>
    <w:rsid w:val="009E3379"/>
    <w:rsid w:val="009E3721"/>
    <w:rsid w:val="009E3966"/>
    <w:rsid w:val="009E3A5B"/>
    <w:rsid w:val="009E47CB"/>
    <w:rsid w:val="009E48C8"/>
    <w:rsid w:val="009E48E0"/>
    <w:rsid w:val="009E4CB8"/>
    <w:rsid w:val="009E4DA1"/>
    <w:rsid w:val="009E4E9C"/>
    <w:rsid w:val="009E6016"/>
    <w:rsid w:val="009E66EB"/>
    <w:rsid w:val="009E6901"/>
    <w:rsid w:val="009E6A33"/>
    <w:rsid w:val="009E7282"/>
    <w:rsid w:val="009E7D3D"/>
    <w:rsid w:val="009E7FCF"/>
    <w:rsid w:val="009F08E7"/>
    <w:rsid w:val="009F1266"/>
    <w:rsid w:val="009F126D"/>
    <w:rsid w:val="009F1290"/>
    <w:rsid w:val="009F1C0D"/>
    <w:rsid w:val="009F21CA"/>
    <w:rsid w:val="009F260A"/>
    <w:rsid w:val="009F26EA"/>
    <w:rsid w:val="009F29A8"/>
    <w:rsid w:val="009F2E1C"/>
    <w:rsid w:val="009F32E7"/>
    <w:rsid w:val="009F35D1"/>
    <w:rsid w:val="009F3837"/>
    <w:rsid w:val="009F44E5"/>
    <w:rsid w:val="009F4795"/>
    <w:rsid w:val="009F49F3"/>
    <w:rsid w:val="009F53B3"/>
    <w:rsid w:val="009F5A70"/>
    <w:rsid w:val="009F5A93"/>
    <w:rsid w:val="009F5C54"/>
    <w:rsid w:val="009F6284"/>
    <w:rsid w:val="009F64BD"/>
    <w:rsid w:val="009F6D5A"/>
    <w:rsid w:val="009F7EEC"/>
    <w:rsid w:val="00A01437"/>
    <w:rsid w:val="00A01B1C"/>
    <w:rsid w:val="00A01E55"/>
    <w:rsid w:val="00A0224A"/>
    <w:rsid w:val="00A02CFE"/>
    <w:rsid w:val="00A02EF9"/>
    <w:rsid w:val="00A02F07"/>
    <w:rsid w:val="00A037C6"/>
    <w:rsid w:val="00A03875"/>
    <w:rsid w:val="00A0430B"/>
    <w:rsid w:val="00A044AF"/>
    <w:rsid w:val="00A0484A"/>
    <w:rsid w:val="00A049A8"/>
    <w:rsid w:val="00A04FE3"/>
    <w:rsid w:val="00A05330"/>
    <w:rsid w:val="00A05B65"/>
    <w:rsid w:val="00A06C41"/>
    <w:rsid w:val="00A07171"/>
    <w:rsid w:val="00A07868"/>
    <w:rsid w:val="00A10090"/>
    <w:rsid w:val="00A10948"/>
    <w:rsid w:val="00A10BA7"/>
    <w:rsid w:val="00A117B4"/>
    <w:rsid w:val="00A11D80"/>
    <w:rsid w:val="00A11E6F"/>
    <w:rsid w:val="00A11EE0"/>
    <w:rsid w:val="00A11FBC"/>
    <w:rsid w:val="00A12595"/>
    <w:rsid w:val="00A1288F"/>
    <w:rsid w:val="00A12937"/>
    <w:rsid w:val="00A12E44"/>
    <w:rsid w:val="00A1369F"/>
    <w:rsid w:val="00A141D2"/>
    <w:rsid w:val="00A144BE"/>
    <w:rsid w:val="00A1453B"/>
    <w:rsid w:val="00A146AB"/>
    <w:rsid w:val="00A14C99"/>
    <w:rsid w:val="00A15164"/>
    <w:rsid w:val="00A1523E"/>
    <w:rsid w:val="00A15251"/>
    <w:rsid w:val="00A159AE"/>
    <w:rsid w:val="00A15B88"/>
    <w:rsid w:val="00A1610B"/>
    <w:rsid w:val="00A16397"/>
    <w:rsid w:val="00A167C6"/>
    <w:rsid w:val="00A16FD1"/>
    <w:rsid w:val="00A1725E"/>
    <w:rsid w:val="00A17DF3"/>
    <w:rsid w:val="00A17F3B"/>
    <w:rsid w:val="00A203A6"/>
    <w:rsid w:val="00A21571"/>
    <w:rsid w:val="00A2197C"/>
    <w:rsid w:val="00A2250A"/>
    <w:rsid w:val="00A22962"/>
    <w:rsid w:val="00A22D13"/>
    <w:rsid w:val="00A231A2"/>
    <w:rsid w:val="00A2336C"/>
    <w:rsid w:val="00A23AC7"/>
    <w:rsid w:val="00A23BC4"/>
    <w:rsid w:val="00A244BC"/>
    <w:rsid w:val="00A24EC0"/>
    <w:rsid w:val="00A25ADC"/>
    <w:rsid w:val="00A26209"/>
    <w:rsid w:val="00A262D2"/>
    <w:rsid w:val="00A2670A"/>
    <w:rsid w:val="00A26F48"/>
    <w:rsid w:val="00A27C21"/>
    <w:rsid w:val="00A27E1D"/>
    <w:rsid w:val="00A27F5F"/>
    <w:rsid w:val="00A3051F"/>
    <w:rsid w:val="00A30840"/>
    <w:rsid w:val="00A30FD7"/>
    <w:rsid w:val="00A314EE"/>
    <w:rsid w:val="00A315DF"/>
    <w:rsid w:val="00A317DB"/>
    <w:rsid w:val="00A31FA5"/>
    <w:rsid w:val="00A32456"/>
    <w:rsid w:val="00A32C50"/>
    <w:rsid w:val="00A33A7F"/>
    <w:rsid w:val="00A33FAD"/>
    <w:rsid w:val="00A342E6"/>
    <w:rsid w:val="00A35922"/>
    <w:rsid w:val="00A3625C"/>
    <w:rsid w:val="00A365D0"/>
    <w:rsid w:val="00A36839"/>
    <w:rsid w:val="00A36C18"/>
    <w:rsid w:val="00A36E09"/>
    <w:rsid w:val="00A371AD"/>
    <w:rsid w:val="00A373F0"/>
    <w:rsid w:val="00A374D0"/>
    <w:rsid w:val="00A3764B"/>
    <w:rsid w:val="00A379C1"/>
    <w:rsid w:val="00A37A57"/>
    <w:rsid w:val="00A37CFC"/>
    <w:rsid w:val="00A37FE4"/>
    <w:rsid w:val="00A40F47"/>
    <w:rsid w:val="00A41160"/>
    <w:rsid w:val="00A411AE"/>
    <w:rsid w:val="00A4140C"/>
    <w:rsid w:val="00A41918"/>
    <w:rsid w:val="00A41AAF"/>
    <w:rsid w:val="00A41D28"/>
    <w:rsid w:val="00A4238E"/>
    <w:rsid w:val="00A42492"/>
    <w:rsid w:val="00A424B6"/>
    <w:rsid w:val="00A42ACA"/>
    <w:rsid w:val="00A437BC"/>
    <w:rsid w:val="00A437D9"/>
    <w:rsid w:val="00A438C3"/>
    <w:rsid w:val="00A44428"/>
    <w:rsid w:val="00A44675"/>
    <w:rsid w:val="00A448F0"/>
    <w:rsid w:val="00A449F4"/>
    <w:rsid w:val="00A45B38"/>
    <w:rsid w:val="00A4620E"/>
    <w:rsid w:val="00A464EE"/>
    <w:rsid w:val="00A4672B"/>
    <w:rsid w:val="00A469E3"/>
    <w:rsid w:val="00A469F8"/>
    <w:rsid w:val="00A47060"/>
    <w:rsid w:val="00A472D0"/>
    <w:rsid w:val="00A47320"/>
    <w:rsid w:val="00A47871"/>
    <w:rsid w:val="00A47A5B"/>
    <w:rsid w:val="00A47C56"/>
    <w:rsid w:val="00A501B2"/>
    <w:rsid w:val="00A5021A"/>
    <w:rsid w:val="00A508BA"/>
    <w:rsid w:val="00A509ED"/>
    <w:rsid w:val="00A50BAA"/>
    <w:rsid w:val="00A50F79"/>
    <w:rsid w:val="00A511D4"/>
    <w:rsid w:val="00A51232"/>
    <w:rsid w:val="00A5135C"/>
    <w:rsid w:val="00A51746"/>
    <w:rsid w:val="00A522DF"/>
    <w:rsid w:val="00A52D26"/>
    <w:rsid w:val="00A52DB3"/>
    <w:rsid w:val="00A540C8"/>
    <w:rsid w:val="00A54482"/>
    <w:rsid w:val="00A5468D"/>
    <w:rsid w:val="00A54738"/>
    <w:rsid w:val="00A54A57"/>
    <w:rsid w:val="00A54F76"/>
    <w:rsid w:val="00A55234"/>
    <w:rsid w:val="00A554DA"/>
    <w:rsid w:val="00A557CD"/>
    <w:rsid w:val="00A55AC3"/>
    <w:rsid w:val="00A56127"/>
    <w:rsid w:val="00A5737A"/>
    <w:rsid w:val="00A57A5E"/>
    <w:rsid w:val="00A603BC"/>
    <w:rsid w:val="00A60B7C"/>
    <w:rsid w:val="00A60C9C"/>
    <w:rsid w:val="00A60D78"/>
    <w:rsid w:val="00A618D0"/>
    <w:rsid w:val="00A61ABE"/>
    <w:rsid w:val="00A622A1"/>
    <w:rsid w:val="00A62591"/>
    <w:rsid w:val="00A626CA"/>
    <w:rsid w:val="00A628B4"/>
    <w:rsid w:val="00A62BB9"/>
    <w:rsid w:val="00A630C5"/>
    <w:rsid w:val="00A63EFD"/>
    <w:rsid w:val="00A6413E"/>
    <w:rsid w:val="00A64321"/>
    <w:rsid w:val="00A6479F"/>
    <w:rsid w:val="00A648D4"/>
    <w:rsid w:val="00A64B8E"/>
    <w:rsid w:val="00A64D61"/>
    <w:rsid w:val="00A64DCC"/>
    <w:rsid w:val="00A64EDA"/>
    <w:rsid w:val="00A650C5"/>
    <w:rsid w:val="00A655B4"/>
    <w:rsid w:val="00A6598F"/>
    <w:rsid w:val="00A65F5B"/>
    <w:rsid w:val="00A6685B"/>
    <w:rsid w:val="00A672F5"/>
    <w:rsid w:val="00A674A4"/>
    <w:rsid w:val="00A67ACA"/>
    <w:rsid w:val="00A67ACB"/>
    <w:rsid w:val="00A7016D"/>
    <w:rsid w:val="00A702C5"/>
    <w:rsid w:val="00A70874"/>
    <w:rsid w:val="00A70BF0"/>
    <w:rsid w:val="00A70C5B"/>
    <w:rsid w:val="00A710A2"/>
    <w:rsid w:val="00A713F9"/>
    <w:rsid w:val="00A717AD"/>
    <w:rsid w:val="00A7299C"/>
    <w:rsid w:val="00A72BB2"/>
    <w:rsid w:val="00A731A0"/>
    <w:rsid w:val="00A73289"/>
    <w:rsid w:val="00A7341F"/>
    <w:rsid w:val="00A739F7"/>
    <w:rsid w:val="00A73D37"/>
    <w:rsid w:val="00A73E20"/>
    <w:rsid w:val="00A74A86"/>
    <w:rsid w:val="00A75150"/>
    <w:rsid w:val="00A75265"/>
    <w:rsid w:val="00A75E2A"/>
    <w:rsid w:val="00A77119"/>
    <w:rsid w:val="00A805AD"/>
    <w:rsid w:val="00A80DF8"/>
    <w:rsid w:val="00A81DC9"/>
    <w:rsid w:val="00A82828"/>
    <w:rsid w:val="00A82D4D"/>
    <w:rsid w:val="00A8315F"/>
    <w:rsid w:val="00A83CEA"/>
    <w:rsid w:val="00A83D10"/>
    <w:rsid w:val="00A847D0"/>
    <w:rsid w:val="00A84806"/>
    <w:rsid w:val="00A84E74"/>
    <w:rsid w:val="00A85051"/>
    <w:rsid w:val="00A851C6"/>
    <w:rsid w:val="00A855CF"/>
    <w:rsid w:val="00A85922"/>
    <w:rsid w:val="00A8619F"/>
    <w:rsid w:val="00A86A7D"/>
    <w:rsid w:val="00A86BBB"/>
    <w:rsid w:val="00A86D42"/>
    <w:rsid w:val="00A90825"/>
    <w:rsid w:val="00A909C5"/>
    <w:rsid w:val="00A90AED"/>
    <w:rsid w:val="00A910D9"/>
    <w:rsid w:val="00A915CE"/>
    <w:rsid w:val="00A9164E"/>
    <w:rsid w:val="00A91731"/>
    <w:rsid w:val="00A9190F"/>
    <w:rsid w:val="00A91C2B"/>
    <w:rsid w:val="00A92322"/>
    <w:rsid w:val="00A92449"/>
    <w:rsid w:val="00A9252C"/>
    <w:rsid w:val="00A93AA8"/>
    <w:rsid w:val="00A94175"/>
    <w:rsid w:val="00A946F6"/>
    <w:rsid w:val="00A94A9A"/>
    <w:rsid w:val="00A95102"/>
    <w:rsid w:val="00A95A49"/>
    <w:rsid w:val="00A963ED"/>
    <w:rsid w:val="00A967A5"/>
    <w:rsid w:val="00A9763D"/>
    <w:rsid w:val="00A97DD9"/>
    <w:rsid w:val="00A97F6B"/>
    <w:rsid w:val="00AA0807"/>
    <w:rsid w:val="00AA0BE6"/>
    <w:rsid w:val="00AA137B"/>
    <w:rsid w:val="00AA17A7"/>
    <w:rsid w:val="00AA1D37"/>
    <w:rsid w:val="00AA246E"/>
    <w:rsid w:val="00AA2629"/>
    <w:rsid w:val="00AA3141"/>
    <w:rsid w:val="00AA36FA"/>
    <w:rsid w:val="00AA3B89"/>
    <w:rsid w:val="00AA47F0"/>
    <w:rsid w:val="00AA4936"/>
    <w:rsid w:val="00AA495A"/>
    <w:rsid w:val="00AA4B7D"/>
    <w:rsid w:val="00AA4BA4"/>
    <w:rsid w:val="00AA4E61"/>
    <w:rsid w:val="00AA4F26"/>
    <w:rsid w:val="00AA5815"/>
    <w:rsid w:val="00AA6896"/>
    <w:rsid w:val="00AA6FAA"/>
    <w:rsid w:val="00AA723A"/>
    <w:rsid w:val="00AA7B0A"/>
    <w:rsid w:val="00AA7C0B"/>
    <w:rsid w:val="00AA7C9F"/>
    <w:rsid w:val="00AA7CCF"/>
    <w:rsid w:val="00AB01A8"/>
    <w:rsid w:val="00AB036E"/>
    <w:rsid w:val="00AB0863"/>
    <w:rsid w:val="00AB0AC9"/>
    <w:rsid w:val="00AB0FF7"/>
    <w:rsid w:val="00AB1EF6"/>
    <w:rsid w:val="00AB1F60"/>
    <w:rsid w:val="00AB1F83"/>
    <w:rsid w:val="00AB27CB"/>
    <w:rsid w:val="00AB37AF"/>
    <w:rsid w:val="00AB3962"/>
    <w:rsid w:val="00AB3E32"/>
    <w:rsid w:val="00AB54EC"/>
    <w:rsid w:val="00AB55A3"/>
    <w:rsid w:val="00AB5CD9"/>
    <w:rsid w:val="00AB5ECE"/>
    <w:rsid w:val="00AB5F69"/>
    <w:rsid w:val="00AB67A0"/>
    <w:rsid w:val="00AB6BE0"/>
    <w:rsid w:val="00AB773C"/>
    <w:rsid w:val="00AB7847"/>
    <w:rsid w:val="00AB7E91"/>
    <w:rsid w:val="00AC0332"/>
    <w:rsid w:val="00AC068F"/>
    <w:rsid w:val="00AC119B"/>
    <w:rsid w:val="00AC121E"/>
    <w:rsid w:val="00AC1373"/>
    <w:rsid w:val="00AC1C1A"/>
    <w:rsid w:val="00AC1DF9"/>
    <w:rsid w:val="00AC2063"/>
    <w:rsid w:val="00AC233B"/>
    <w:rsid w:val="00AC24BC"/>
    <w:rsid w:val="00AC2AF5"/>
    <w:rsid w:val="00AC352B"/>
    <w:rsid w:val="00AC35A2"/>
    <w:rsid w:val="00AC3715"/>
    <w:rsid w:val="00AC3E54"/>
    <w:rsid w:val="00AC3FC8"/>
    <w:rsid w:val="00AC41B4"/>
    <w:rsid w:val="00AC4C01"/>
    <w:rsid w:val="00AC510C"/>
    <w:rsid w:val="00AC514A"/>
    <w:rsid w:val="00AC521C"/>
    <w:rsid w:val="00AC5D9F"/>
    <w:rsid w:val="00AC60AF"/>
    <w:rsid w:val="00AC6D48"/>
    <w:rsid w:val="00AC72CA"/>
    <w:rsid w:val="00AC785D"/>
    <w:rsid w:val="00AC79EB"/>
    <w:rsid w:val="00AD05EE"/>
    <w:rsid w:val="00AD0711"/>
    <w:rsid w:val="00AD076E"/>
    <w:rsid w:val="00AD0ABF"/>
    <w:rsid w:val="00AD0B09"/>
    <w:rsid w:val="00AD10AE"/>
    <w:rsid w:val="00AD15C0"/>
    <w:rsid w:val="00AD1BE0"/>
    <w:rsid w:val="00AD21AF"/>
    <w:rsid w:val="00AD27CD"/>
    <w:rsid w:val="00AD27E4"/>
    <w:rsid w:val="00AD291A"/>
    <w:rsid w:val="00AD2AFF"/>
    <w:rsid w:val="00AD2C72"/>
    <w:rsid w:val="00AD2D9A"/>
    <w:rsid w:val="00AD3401"/>
    <w:rsid w:val="00AD3843"/>
    <w:rsid w:val="00AD386D"/>
    <w:rsid w:val="00AD3886"/>
    <w:rsid w:val="00AD3B3C"/>
    <w:rsid w:val="00AD3CC1"/>
    <w:rsid w:val="00AD3E78"/>
    <w:rsid w:val="00AD3EEA"/>
    <w:rsid w:val="00AD45F4"/>
    <w:rsid w:val="00AD67D0"/>
    <w:rsid w:val="00AD68C8"/>
    <w:rsid w:val="00AD71B7"/>
    <w:rsid w:val="00AD7B2D"/>
    <w:rsid w:val="00AE0690"/>
    <w:rsid w:val="00AE09CE"/>
    <w:rsid w:val="00AE0BD5"/>
    <w:rsid w:val="00AE12F3"/>
    <w:rsid w:val="00AE136D"/>
    <w:rsid w:val="00AE1373"/>
    <w:rsid w:val="00AE27BB"/>
    <w:rsid w:val="00AE27CE"/>
    <w:rsid w:val="00AE287B"/>
    <w:rsid w:val="00AE2F56"/>
    <w:rsid w:val="00AE3115"/>
    <w:rsid w:val="00AE3212"/>
    <w:rsid w:val="00AE3331"/>
    <w:rsid w:val="00AE4041"/>
    <w:rsid w:val="00AE5845"/>
    <w:rsid w:val="00AE58CE"/>
    <w:rsid w:val="00AE5AB0"/>
    <w:rsid w:val="00AE5DA9"/>
    <w:rsid w:val="00AE5F6F"/>
    <w:rsid w:val="00AE611C"/>
    <w:rsid w:val="00AE6780"/>
    <w:rsid w:val="00AE6C3C"/>
    <w:rsid w:val="00AE72AE"/>
    <w:rsid w:val="00AE7345"/>
    <w:rsid w:val="00AE7441"/>
    <w:rsid w:val="00AE766E"/>
    <w:rsid w:val="00AF06EE"/>
    <w:rsid w:val="00AF0D52"/>
    <w:rsid w:val="00AF0D59"/>
    <w:rsid w:val="00AF16F2"/>
    <w:rsid w:val="00AF171C"/>
    <w:rsid w:val="00AF17B3"/>
    <w:rsid w:val="00AF210A"/>
    <w:rsid w:val="00AF2A0F"/>
    <w:rsid w:val="00AF3939"/>
    <w:rsid w:val="00AF39AF"/>
    <w:rsid w:val="00AF3B72"/>
    <w:rsid w:val="00AF425C"/>
    <w:rsid w:val="00AF4301"/>
    <w:rsid w:val="00AF4719"/>
    <w:rsid w:val="00AF4A77"/>
    <w:rsid w:val="00AF4D1B"/>
    <w:rsid w:val="00AF4F00"/>
    <w:rsid w:val="00AF4FB5"/>
    <w:rsid w:val="00AF56D4"/>
    <w:rsid w:val="00AF601A"/>
    <w:rsid w:val="00AF6546"/>
    <w:rsid w:val="00AF714F"/>
    <w:rsid w:val="00AF7C0C"/>
    <w:rsid w:val="00B00312"/>
    <w:rsid w:val="00B00478"/>
    <w:rsid w:val="00B02BE7"/>
    <w:rsid w:val="00B02FB9"/>
    <w:rsid w:val="00B03461"/>
    <w:rsid w:val="00B040E1"/>
    <w:rsid w:val="00B04223"/>
    <w:rsid w:val="00B04A80"/>
    <w:rsid w:val="00B050EC"/>
    <w:rsid w:val="00B0574F"/>
    <w:rsid w:val="00B0647A"/>
    <w:rsid w:val="00B064BA"/>
    <w:rsid w:val="00B06915"/>
    <w:rsid w:val="00B06999"/>
    <w:rsid w:val="00B070FE"/>
    <w:rsid w:val="00B0731F"/>
    <w:rsid w:val="00B073C9"/>
    <w:rsid w:val="00B076B2"/>
    <w:rsid w:val="00B07A0D"/>
    <w:rsid w:val="00B07B7A"/>
    <w:rsid w:val="00B07CDF"/>
    <w:rsid w:val="00B101D5"/>
    <w:rsid w:val="00B102C0"/>
    <w:rsid w:val="00B11ACA"/>
    <w:rsid w:val="00B121AE"/>
    <w:rsid w:val="00B12336"/>
    <w:rsid w:val="00B13626"/>
    <w:rsid w:val="00B1382E"/>
    <w:rsid w:val="00B13830"/>
    <w:rsid w:val="00B1387B"/>
    <w:rsid w:val="00B13C71"/>
    <w:rsid w:val="00B1471C"/>
    <w:rsid w:val="00B155F4"/>
    <w:rsid w:val="00B159B5"/>
    <w:rsid w:val="00B16558"/>
    <w:rsid w:val="00B16592"/>
    <w:rsid w:val="00B16816"/>
    <w:rsid w:val="00B16B97"/>
    <w:rsid w:val="00B16BC7"/>
    <w:rsid w:val="00B16BD8"/>
    <w:rsid w:val="00B16EB1"/>
    <w:rsid w:val="00B172CD"/>
    <w:rsid w:val="00B20273"/>
    <w:rsid w:val="00B2098A"/>
    <w:rsid w:val="00B20992"/>
    <w:rsid w:val="00B21809"/>
    <w:rsid w:val="00B218FD"/>
    <w:rsid w:val="00B21E49"/>
    <w:rsid w:val="00B223EF"/>
    <w:rsid w:val="00B22499"/>
    <w:rsid w:val="00B22776"/>
    <w:rsid w:val="00B229CE"/>
    <w:rsid w:val="00B22A06"/>
    <w:rsid w:val="00B22DF3"/>
    <w:rsid w:val="00B22E09"/>
    <w:rsid w:val="00B22E6E"/>
    <w:rsid w:val="00B23344"/>
    <w:rsid w:val="00B2337C"/>
    <w:rsid w:val="00B234F6"/>
    <w:rsid w:val="00B23AB7"/>
    <w:rsid w:val="00B2409A"/>
    <w:rsid w:val="00B24585"/>
    <w:rsid w:val="00B2472B"/>
    <w:rsid w:val="00B248B7"/>
    <w:rsid w:val="00B24DAD"/>
    <w:rsid w:val="00B24E58"/>
    <w:rsid w:val="00B25112"/>
    <w:rsid w:val="00B2516D"/>
    <w:rsid w:val="00B2579B"/>
    <w:rsid w:val="00B25CD1"/>
    <w:rsid w:val="00B25FE0"/>
    <w:rsid w:val="00B2620A"/>
    <w:rsid w:val="00B266E6"/>
    <w:rsid w:val="00B26BC4"/>
    <w:rsid w:val="00B27350"/>
    <w:rsid w:val="00B2750F"/>
    <w:rsid w:val="00B2756D"/>
    <w:rsid w:val="00B276BB"/>
    <w:rsid w:val="00B27708"/>
    <w:rsid w:val="00B2796F"/>
    <w:rsid w:val="00B27B38"/>
    <w:rsid w:val="00B27C8C"/>
    <w:rsid w:val="00B27ECD"/>
    <w:rsid w:val="00B3038A"/>
    <w:rsid w:val="00B30620"/>
    <w:rsid w:val="00B30A9F"/>
    <w:rsid w:val="00B30DE8"/>
    <w:rsid w:val="00B319E6"/>
    <w:rsid w:val="00B322C0"/>
    <w:rsid w:val="00B327A5"/>
    <w:rsid w:val="00B32C6C"/>
    <w:rsid w:val="00B32F62"/>
    <w:rsid w:val="00B339FA"/>
    <w:rsid w:val="00B33C7A"/>
    <w:rsid w:val="00B34057"/>
    <w:rsid w:val="00B34EFC"/>
    <w:rsid w:val="00B35AA7"/>
    <w:rsid w:val="00B35FC1"/>
    <w:rsid w:val="00B36C9A"/>
    <w:rsid w:val="00B37971"/>
    <w:rsid w:val="00B37ADF"/>
    <w:rsid w:val="00B37E0B"/>
    <w:rsid w:val="00B407BA"/>
    <w:rsid w:val="00B40CD9"/>
    <w:rsid w:val="00B41490"/>
    <w:rsid w:val="00B417BD"/>
    <w:rsid w:val="00B419B5"/>
    <w:rsid w:val="00B41D2C"/>
    <w:rsid w:val="00B41D8D"/>
    <w:rsid w:val="00B42008"/>
    <w:rsid w:val="00B4219C"/>
    <w:rsid w:val="00B424C0"/>
    <w:rsid w:val="00B4268D"/>
    <w:rsid w:val="00B42804"/>
    <w:rsid w:val="00B42B02"/>
    <w:rsid w:val="00B42D1A"/>
    <w:rsid w:val="00B43751"/>
    <w:rsid w:val="00B43C1D"/>
    <w:rsid w:val="00B43E3D"/>
    <w:rsid w:val="00B4451E"/>
    <w:rsid w:val="00B44610"/>
    <w:rsid w:val="00B4463D"/>
    <w:rsid w:val="00B449FA"/>
    <w:rsid w:val="00B44E76"/>
    <w:rsid w:val="00B45396"/>
    <w:rsid w:val="00B453AF"/>
    <w:rsid w:val="00B45FAA"/>
    <w:rsid w:val="00B462A0"/>
    <w:rsid w:val="00B464C1"/>
    <w:rsid w:val="00B4686F"/>
    <w:rsid w:val="00B46D75"/>
    <w:rsid w:val="00B46F06"/>
    <w:rsid w:val="00B473E4"/>
    <w:rsid w:val="00B47935"/>
    <w:rsid w:val="00B47D52"/>
    <w:rsid w:val="00B47DC1"/>
    <w:rsid w:val="00B5007E"/>
    <w:rsid w:val="00B501C3"/>
    <w:rsid w:val="00B50E59"/>
    <w:rsid w:val="00B51091"/>
    <w:rsid w:val="00B519DC"/>
    <w:rsid w:val="00B520F3"/>
    <w:rsid w:val="00B52B22"/>
    <w:rsid w:val="00B52BF0"/>
    <w:rsid w:val="00B52F13"/>
    <w:rsid w:val="00B536FB"/>
    <w:rsid w:val="00B53E47"/>
    <w:rsid w:val="00B53F92"/>
    <w:rsid w:val="00B5434D"/>
    <w:rsid w:val="00B54681"/>
    <w:rsid w:val="00B55398"/>
    <w:rsid w:val="00B555EC"/>
    <w:rsid w:val="00B55A6E"/>
    <w:rsid w:val="00B55ACE"/>
    <w:rsid w:val="00B55D6B"/>
    <w:rsid w:val="00B566C0"/>
    <w:rsid w:val="00B56737"/>
    <w:rsid w:val="00B56DD3"/>
    <w:rsid w:val="00B57488"/>
    <w:rsid w:val="00B5754E"/>
    <w:rsid w:val="00B57D4B"/>
    <w:rsid w:val="00B60054"/>
    <w:rsid w:val="00B60B11"/>
    <w:rsid w:val="00B60F2B"/>
    <w:rsid w:val="00B611CF"/>
    <w:rsid w:val="00B612B4"/>
    <w:rsid w:val="00B613DE"/>
    <w:rsid w:val="00B61412"/>
    <w:rsid w:val="00B618A1"/>
    <w:rsid w:val="00B61AB1"/>
    <w:rsid w:val="00B61C88"/>
    <w:rsid w:val="00B6303B"/>
    <w:rsid w:val="00B63246"/>
    <w:rsid w:val="00B6350A"/>
    <w:rsid w:val="00B63975"/>
    <w:rsid w:val="00B63C88"/>
    <w:rsid w:val="00B64DF3"/>
    <w:rsid w:val="00B654B9"/>
    <w:rsid w:val="00B656F2"/>
    <w:rsid w:val="00B65DAA"/>
    <w:rsid w:val="00B6761D"/>
    <w:rsid w:val="00B67989"/>
    <w:rsid w:val="00B67EF1"/>
    <w:rsid w:val="00B7017C"/>
    <w:rsid w:val="00B70537"/>
    <w:rsid w:val="00B70569"/>
    <w:rsid w:val="00B716DB"/>
    <w:rsid w:val="00B719E8"/>
    <w:rsid w:val="00B71BF0"/>
    <w:rsid w:val="00B71F38"/>
    <w:rsid w:val="00B72D4A"/>
    <w:rsid w:val="00B732BE"/>
    <w:rsid w:val="00B737D0"/>
    <w:rsid w:val="00B737EB"/>
    <w:rsid w:val="00B738AA"/>
    <w:rsid w:val="00B74132"/>
    <w:rsid w:val="00B7433C"/>
    <w:rsid w:val="00B74413"/>
    <w:rsid w:val="00B749E2"/>
    <w:rsid w:val="00B74C10"/>
    <w:rsid w:val="00B754DE"/>
    <w:rsid w:val="00B75573"/>
    <w:rsid w:val="00B7577A"/>
    <w:rsid w:val="00B75A69"/>
    <w:rsid w:val="00B75D21"/>
    <w:rsid w:val="00B7604D"/>
    <w:rsid w:val="00B76226"/>
    <w:rsid w:val="00B769D8"/>
    <w:rsid w:val="00B76F3D"/>
    <w:rsid w:val="00B77157"/>
    <w:rsid w:val="00B77367"/>
    <w:rsid w:val="00B77B2A"/>
    <w:rsid w:val="00B77FDC"/>
    <w:rsid w:val="00B800F8"/>
    <w:rsid w:val="00B80419"/>
    <w:rsid w:val="00B804CB"/>
    <w:rsid w:val="00B80B7D"/>
    <w:rsid w:val="00B80C56"/>
    <w:rsid w:val="00B80FF8"/>
    <w:rsid w:val="00B82087"/>
    <w:rsid w:val="00B8215C"/>
    <w:rsid w:val="00B82163"/>
    <w:rsid w:val="00B831A7"/>
    <w:rsid w:val="00B83517"/>
    <w:rsid w:val="00B838D8"/>
    <w:rsid w:val="00B83923"/>
    <w:rsid w:val="00B83EE0"/>
    <w:rsid w:val="00B83F47"/>
    <w:rsid w:val="00B8437C"/>
    <w:rsid w:val="00B84BF7"/>
    <w:rsid w:val="00B84E9C"/>
    <w:rsid w:val="00B854ED"/>
    <w:rsid w:val="00B85985"/>
    <w:rsid w:val="00B85DF9"/>
    <w:rsid w:val="00B85F04"/>
    <w:rsid w:val="00B8689B"/>
    <w:rsid w:val="00B86ABE"/>
    <w:rsid w:val="00B86E83"/>
    <w:rsid w:val="00B86F1F"/>
    <w:rsid w:val="00B8753D"/>
    <w:rsid w:val="00B8799C"/>
    <w:rsid w:val="00B87B60"/>
    <w:rsid w:val="00B87CEE"/>
    <w:rsid w:val="00B907EC"/>
    <w:rsid w:val="00B90D5E"/>
    <w:rsid w:val="00B910B4"/>
    <w:rsid w:val="00B91844"/>
    <w:rsid w:val="00B9190C"/>
    <w:rsid w:val="00B927C7"/>
    <w:rsid w:val="00B92980"/>
    <w:rsid w:val="00B92E25"/>
    <w:rsid w:val="00B932D5"/>
    <w:rsid w:val="00B9333F"/>
    <w:rsid w:val="00B93678"/>
    <w:rsid w:val="00B93F52"/>
    <w:rsid w:val="00B9417C"/>
    <w:rsid w:val="00B94361"/>
    <w:rsid w:val="00B9471C"/>
    <w:rsid w:val="00B94909"/>
    <w:rsid w:val="00B9510C"/>
    <w:rsid w:val="00B95B2A"/>
    <w:rsid w:val="00B962C7"/>
    <w:rsid w:val="00B962DF"/>
    <w:rsid w:val="00B96649"/>
    <w:rsid w:val="00B96D7D"/>
    <w:rsid w:val="00B9720C"/>
    <w:rsid w:val="00B97416"/>
    <w:rsid w:val="00B97589"/>
    <w:rsid w:val="00B97A8E"/>
    <w:rsid w:val="00BA094C"/>
    <w:rsid w:val="00BA0C4C"/>
    <w:rsid w:val="00BA0C5A"/>
    <w:rsid w:val="00BA0E49"/>
    <w:rsid w:val="00BA0E9E"/>
    <w:rsid w:val="00BA0F51"/>
    <w:rsid w:val="00BA1596"/>
    <w:rsid w:val="00BA1641"/>
    <w:rsid w:val="00BA1D59"/>
    <w:rsid w:val="00BA1FC6"/>
    <w:rsid w:val="00BA21D7"/>
    <w:rsid w:val="00BA263C"/>
    <w:rsid w:val="00BA2C75"/>
    <w:rsid w:val="00BA2E21"/>
    <w:rsid w:val="00BA326E"/>
    <w:rsid w:val="00BA336E"/>
    <w:rsid w:val="00BA358B"/>
    <w:rsid w:val="00BA37A6"/>
    <w:rsid w:val="00BA37CA"/>
    <w:rsid w:val="00BA3972"/>
    <w:rsid w:val="00BA3EAF"/>
    <w:rsid w:val="00BA412B"/>
    <w:rsid w:val="00BA451A"/>
    <w:rsid w:val="00BA4D12"/>
    <w:rsid w:val="00BA4E00"/>
    <w:rsid w:val="00BA4F96"/>
    <w:rsid w:val="00BA5931"/>
    <w:rsid w:val="00BA5DF0"/>
    <w:rsid w:val="00BA5FB6"/>
    <w:rsid w:val="00BA6754"/>
    <w:rsid w:val="00BA6770"/>
    <w:rsid w:val="00BA6905"/>
    <w:rsid w:val="00BA71FD"/>
    <w:rsid w:val="00BA7243"/>
    <w:rsid w:val="00BA73F2"/>
    <w:rsid w:val="00BA7E12"/>
    <w:rsid w:val="00BA7EDD"/>
    <w:rsid w:val="00BB022C"/>
    <w:rsid w:val="00BB04D4"/>
    <w:rsid w:val="00BB0B3D"/>
    <w:rsid w:val="00BB176A"/>
    <w:rsid w:val="00BB1D50"/>
    <w:rsid w:val="00BB1DD3"/>
    <w:rsid w:val="00BB2083"/>
    <w:rsid w:val="00BB20D0"/>
    <w:rsid w:val="00BB2495"/>
    <w:rsid w:val="00BB2935"/>
    <w:rsid w:val="00BB296E"/>
    <w:rsid w:val="00BB2F65"/>
    <w:rsid w:val="00BB2FD7"/>
    <w:rsid w:val="00BB3236"/>
    <w:rsid w:val="00BB365D"/>
    <w:rsid w:val="00BB36FD"/>
    <w:rsid w:val="00BB3818"/>
    <w:rsid w:val="00BB3F4E"/>
    <w:rsid w:val="00BB4584"/>
    <w:rsid w:val="00BB4DE5"/>
    <w:rsid w:val="00BB58BF"/>
    <w:rsid w:val="00BB5B60"/>
    <w:rsid w:val="00BB6484"/>
    <w:rsid w:val="00BB65FF"/>
    <w:rsid w:val="00BB6ACC"/>
    <w:rsid w:val="00BB6FD3"/>
    <w:rsid w:val="00BB7929"/>
    <w:rsid w:val="00BB7EEC"/>
    <w:rsid w:val="00BC023F"/>
    <w:rsid w:val="00BC0631"/>
    <w:rsid w:val="00BC0A7A"/>
    <w:rsid w:val="00BC1950"/>
    <w:rsid w:val="00BC1ABC"/>
    <w:rsid w:val="00BC1B55"/>
    <w:rsid w:val="00BC1B6C"/>
    <w:rsid w:val="00BC1BAD"/>
    <w:rsid w:val="00BC1BC6"/>
    <w:rsid w:val="00BC2210"/>
    <w:rsid w:val="00BC277F"/>
    <w:rsid w:val="00BC2A3D"/>
    <w:rsid w:val="00BC2CF3"/>
    <w:rsid w:val="00BC2E4B"/>
    <w:rsid w:val="00BC3322"/>
    <w:rsid w:val="00BC3671"/>
    <w:rsid w:val="00BC3883"/>
    <w:rsid w:val="00BC4098"/>
    <w:rsid w:val="00BC465E"/>
    <w:rsid w:val="00BC4898"/>
    <w:rsid w:val="00BC4BB6"/>
    <w:rsid w:val="00BC4F67"/>
    <w:rsid w:val="00BC5071"/>
    <w:rsid w:val="00BC5272"/>
    <w:rsid w:val="00BC5AB6"/>
    <w:rsid w:val="00BC75F3"/>
    <w:rsid w:val="00BD065C"/>
    <w:rsid w:val="00BD0889"/>
    <w:rsid w:val="00BD0A40"/>
    <w:rsid w:val="00BD1445"/>
    <w:rsid w:val="00BD15A4"/>
    <w:rsid w:val="00BD16BB"/>
    <w:rsid w:val="00BD1B13"/>
    <w:rsid w:val="00BD2935"/>
    <w:rsid w:val="00BD2F7C"/>
    <w:rsid w:val="00BD3621"/>
    <w:rsid w:val="00BD378B"/>
    <w:rsid w:val="00BD3ECC"/>
    <w:rsid w:val="00BD4126"/>
    <w:rsid w:val="00BD4865"/>
    <w:rsid w:val="00BD48AA"/>
    <w:rsid w:val="00BD48AE"/>
    <w:rsid w:val="00BD4CCF"/>
    <w:rsid w:val="00BD4D1F"/>
    <w:rsid w:val="00BD4D5F"/>
    <w:rsid w:val="00BD584B"/>
    <w:rsid w:val="00BD58BF"/>
    <w:rsid w:val="00BD58FC"/>
    <w:rsid w:val="00BD59CB"/>
    <w:rsid w:val="00BD6029"/>
    <w:rsid w:val="00BD657D"/>
    <w:rsid w:val="00BD65B9"/>
    <w:rsid w:val="00BD6985"/>
    <w:rsid w:val="00BD6A7F"/>
    <w:rsid w:val="00BD6BBC"/>
    <w:rsid w:val="00BD6CB2"/>
    <w:rsid w:val="00BD6F37"/>
    <w:rsid w:val="00BD728C"/>
    <w:rsid w:val="00BD7C04"/>
    <w:rsid w:val="00BE0619"/>
    <w:rsid w:val="00BE1054"/>
    <w:rsid w:val="00BE1334"/>
    <w:rsid w:val="00BE17AB"/>
    <w:rsid w:val="00BE1D98"/>
    <w:rsid w:val="00BE2717"/>
    <w:rsid w:val="00BE28F7"/>
    <w:rsid w:val="00BE2E74"/>
    <w:rsid w:val="00BE2F8D"/>
    <w:rsid w:val="00BE3B3E"/>
    <w:rsid w:val="00BE3D39"/>
    <w:rsid w:val="00BE4284"/>
    <w:rsid w:val="00BE42B4"/>
    <w:rsid w:val="00BE43A6"/>
    <w:rsid w:val="00BE46DC"/>
    <w:rsid w:val="00BE5045"/>
    <w:rsid w:val="00BE52EE"/>
    <w:rsid w:val="00BE56E9"/>
    <w:rsid w:val="00BE58E2"/>
    <w:rsid w:val="00BE5DF1"/>
    <w:rsid w:val="00BE6A2A"/>
    <w:rsid w:val="00BE6A67"/>
    <w:rsid w:val="00BE700D"/>
    <w:rsid w:val="00BE7DB1"/>
    <w:rsid w:val="00BE7EC9"/>
    <w:rsid w:val="00BF06A5"/>
    <w:rsid w:val="00BF08E6"/>
    <w:rsid w:val="00BF0CBF"/>
    <w:rsid w:val="00BF0EB7"/>
    <w:rsid w:val="00BF1521"/>
    <w:rsid w:val="00BF1955"/>
    <w:rsid w:val="00BF1AC6"/>
    <w:rsid w:val="00BF21D7"/>
    <w:rsid w:val="00BF27FA"/>
    <w:rsid w:val="00BF3415"/>
    <w:rsid w:val="00BF36C2"/>
    <w:rsid w:val="00BF39E4"/>
    <w:rsid w:val="00BF42C7"/>
    <w:rsid w:val="00BF44F8"/>
    <w:rsid w:val="00BF4942"/>
    <w:rsid w:val="00BF4DC0"/>
    <w:rsid w:val="00BF4F3B"/>
    <w:rsid w:val="00BF52CC"/>
    <w:rsid w:val="00BF591F"/>
    <w:rsid w:val="00BF5B2A"/>
    <w:rsid w:val="00BF646D"/>
    <w:rsid w:val="00BF6949"/>
    <w:rsid w:val="00BF6B83"/>
    <w:rsid w:val="00BF6E24"/>
    <w:rsid w:val="00BF7A2B"/>
    <w:rsid w:val="00BF7C1F"/>
    <w:rsid w:val="00C00732"/>
    <w:rsid w:val="00C0121C"/>
    <w:rsid w:val="00C01285"/>
    <w:rsid w:val="00C016B4"/>
    <w:rsid w:val="00C0187D"/>
    <w:rsid w:val="00C018BB"/>
    <w:rsid w:val="00C01AE0"/>
    <w:rsid w:val="00C01C08"/>
    <w:rsid w:val="00C02185"/>
    <w:rsid w:val="00C025D7"/>
    <w:rsid w:val="00C02A6C"/>
    <w:rsid w:val="00C030F2"/>
    <w:rsid w:val="00C033CA"/>
    <w:rsid w:val="00C03843"/>
    <w:rsid w:val="00C03B66"/>
    <w:rsid w:val="00C03C3D"/>
    <w:rsid w:val="00C03EE1"/>
    <w:rsid w:val="00C0453A"/>
    <w:rsid w:val="00C0485B"/>
    <w:rsid w:val="00C04E68"/>
    <w:rsid w:val="00C0500C"/>
    <w:rsid w:val="00C052B7"/>
    <w:rsid w:val="00C05521"/>
    <w:rsid w:val="00C05FE2"/>
    <w:rsid w:val="00C060A4"/>
    <w:rsid w:val="00C063E8"/>
    <w:rsid w:val="00C067EB"/>
    <w:rsid w:val="00C06889"/>
    <w:rsid w:val="00C06A89"/>
    <w:rsid w:val="00C06D59"/>
    <w:rsid w:val="00C078A5"/>
    <w:rsid w:val="00C0791F"/>
    <w:rsid w:val="00C07CC4"/>
    <w:rsid w:val="00C10204"/>
    <w:rsid w:val="00C1031D"/>
    <w:rsid w:val="00C1058E"/>
    <w:rsid w:val="00C105BE"/>
    <w:rsid w:val="00C1145A"/>
    <w:rsid w:val="00C114D3"/>
    <w:rsid w:val="00C12D7F"/>
    <w:rsid w:val="00C12E72"/>
    <w:rsid w:val="00C133F0"/>
    <w:rsid w:val="00C13544"/>
    <w:rsid w:val="00C13998"/>
    <w:rsid w:val="00C13B57"/>
    <w:rsid w:val="00C1444D"/>
    <w:rsid w:val="00C147C4"/>
    <w:rsid w:val="00C1526F"/>
    <w:rsid w:val="00C152A3"/>
    <w:rsid w:val="00C153EE"/>
    <w:rsid w:val="00C15A08"/>
    <w:rsid w:val="00C15F28"/>
    <w:rsid w:val="00C160F3"/>
    <w:rsid w:val="00C164F6"/>
    <w:rsid w:val="00C165A9"/>
    <w:rsid w:val="00C168E1"/>
    <w:rsid w:val="00C174EC"/>
    <w:rsid w:val="00C17DE8"/>
    <w:rsid w:val="00C203E2"/>
    <w:rsid w:val="00C20852"/>
    <w:rsid w:val="00C213D6"/>
    <w:rsid w:val="00C21A9B"/>
    <w:rsid w:val="00C21CA5"/>
    <w:rsid w:val="00C22455"/>
    <w:rsid w:val="00C2279C"/>
    <w:rsid w:val="00C22EB0"/>
    <w:rsid w:val="00C231C2"/>
    <w:rsid w:val="00C23539"/>
    <w:rsid w:val="00C24612"/>
    <w:rsid w:val="00C24C69"/>
    <w:rsid w:val="00C2503B"/>
    <w:rsid w:val="00C2509E"/>
    <w:rsid w:val="00C25253"/>
    <w:rsid w:val="00C254BE"/>
    <w:rsid w:val="00C25F87"/>
    <w:rsid w:val="00C264B8"/>
    <w:rsid w:val="00C26A57"/>
    <w:rsid w:val="00C272C0"/>
    <w:rsid w:val="00C27968"/>
    <w:rsid w:val="00C3031C"/>
    <w:rsid w:val="00C303FF"/>
    <w:rsid w:val="00C30820"/>
    <w:rsid w:val="00C31173"/>
    <w:rsid w:val="00C311A9"/>
    <w:rsid w:val="00C3133A"/>
    <w:rsid w:val="00C31625"/>
    <w:rsid w:val="00C32482"/>
    <w:rsid w:val="00C33660"/>
    <w:rsid w:val="00C33A44"/>
    <w:rsid w:val="00C33E8E"/>
    <w:rsid w:val="00C340CC"/>
    <w:rsid w:val="00C35290"/>
    <w:rsid w:val="00C3566F"/>
    <w:rsid w:val="00C35719"/>
    <w:rsid w:val="00C357B8"/>
    <w:rsid w:val="00C359FF"/>
    <w:rsid w:val="00C35AB3"/>
    <w:rsid w:val="00C364F7"/>
    <w:rsid w:val="00C36563"/>
    <w:rsid w:val="00C36627"/>
    <w:rsid w:val="00C36D64"/>
    <w:rsid w:val="00C37238"/>
    <w:rsid w:val="00C37DD6"/>
    <w:rsid w:val="00C403CB"/>
    <w:rsid w:val="00C403D1"/>
    <w:rsid w:val="00C4067C"/>
    <w:rsid w:val="00C40DE7"/>
    <w:rsid w:val="00C41111"/>
    <w:rsid w:val="00C41680"/>
    <w:rsid w:val="00C41BBF"/>
    <w:rsid w:val="00C42A19"/>
    <w:rsid w:val="00C42C79"/>
    <w:rsid w:val="00C430D8"/>
    <w:rsid w:val="00C43966"/>
    <w:rsid w:val="00C4424C"/>
    <w:rsid w:val="00C442A0"/>
    <w:rsid w:val="00C44688"/>
    <w:rsid w:val="00C44869"/>
    <w:rsid w:val="00C44870"/>
    <w:rsid w:val="00C448B2"/>
    <w:rsid w:val="00C44C94"/>
    <w:rsid w:val="00C45061"/>
    <w:rsid w:val="00C451EB"/>
    <w:rsid w:val="00C457E1"/>
    <w:rsid w:val="00C45813"/>
    <w:rsid w:val="00C45E12"/>
    <w:rsid w:val="00C46143"/>
    <w:rsid w:val="00C466C1"/>
    <w:rsid w:val="00C470D5"/>
    <w:rsid w:val="00C478F2"/>
    <w:rsid w:val="00C50585"/>
    <w:rsid w:val="00C50AED"/>
    <w:rsid w:val="00C50F6C"/>
    <w:rsid w:val="00C5147C"/>
    <w:rsid w:val="00C514E0"/>
    <w:rsid w:val="00C51B5A"/>
    <w:rsid w:val="00C51C5D"/>
    <w:rsid w:val="00C524B0"/>
    <w:rsid w:val="00C52512"/>
    <w:rsid w:val="00C539DE"/>
    <w:rsid w:val="00C53D37"/>
    <w:rsid w:val="00C53D53"/>
    <w:rsid w:val="00C546A3"/>
    <w:rsid w:val="00C546DA"/>
    <w:rsid w:val="00C54711"/>
    <w:rsid w:val="00C54D81"/>
    <w:rsid w:val="00C55E05"/>
    <w:rsid w:val="00C56017"/>
    <w:rsid w:val="00C5671E"/>
    <w:rsid w:val="00C56C2B"/>
    <w:rsid w:val="00C57247"/>
    <w:rsid w:val="00C57487"/>
    <w:rsid w:val="00C575F9"/>
    <w:rsid w:val="00C57EF1"/>
    <w:rsid w:val="00C60B50"/>
    <w:rsid w:val="00C61323"/>
    <w:rsid w:val="00C620BC"/>
    <w:rsid w:val="00C6234E"/>
    <w:rsid w:val="00C62458"/>
    <w:rsid w:val="00C628FF"/>
    <w:rsid w:val="00C62CA5"/>
    <w:rsid w:val="00C62F70"/>
    <w:rsid w:val="00C63B79"/>
    <w:rsid w:val="00C662F0"/>
    <w:rsid w:val="00C66EF4"/>
    <w:rsid w:val="00C66F3A"/>
    <w:rsid w:val="00C67354"/>
    <w:rsid w:val="00C6789D"/>
    <w:rsid w:val="00C67D80"/>
    <w:rsid w:val="00C67F55"/>
    <w:rsid w:val="00C70EE3"/>
    <w:rsid w:val="00C70F63"/>
    <w:rsid w:val="00C71FFF"/>
    <w:rsid w:val="00C721CC"/>
    <w:rsid w:val="00C72240"/>
    <w:rsid w:val="00C726F6"/>
    <w:rsid w:val="00C72B57"/>
    <w:rsid w:val="00C73093"/>
    <w:rsid w:val="00C73230"/>
    <w:rsid w:val="00C739A3"/>
    <w:rsid w:val="00C73B57"/>
    <w:rsid w:val="00C73E1C"/>
    <w:rsid w:val="00C741E7"/>
    <w:rsid w:val="00C74457"/>
    <w:rsid w:val="00C7482D"/>
    <w:rsid w:val="00C74C62"/>
    <w:rsid w:val="00C7552C"/>
    <w:rsid w:val="00C7573F"/>
    <w:rsid w:val="00C75ABC"/>
    <w:rsid w:val="00C76123"/>
    <w:rsid w:val="00C7649E"/>
    <w:rsid w:val="00C767F7"/>
    <w:rsid w:val="00C7719E"/>
    <w:rsid w:val="00C77285"/>
    <w:rsid w:val="00C77659"/>
    <w:rsid w:val="00C77DAE"/>
    <w:rsid w:val="00C77E81"/>
    <w:rsid w:val="00C80012"/>
    <w:rsid w:val="00C8088A"/>
    <w:rsid w:val="00C80992"/>
    <w:rsid w:val="00C811E3"/>
    <w:rsid w:val="00C81E25"/>
    <w:rsid w:val="00C81F64"/>
    <w:rsid w:val="00C821D6"/>
    <w:rsid w:val="00C822D1"/>
    <w:rsid w:val="00C825C4"/>
    <w:rsid w:val="00C82876"/>
    <w:rsid w:val="00C82C92"/>
    <w:rsid w:val="00C82D4D"/>
    <w:rsid w:val="00C837EB"/>
    <w:rsid w:val="00C83879"/>
    <w:rsid w:val="00C8397B"/>
    <w:rsid w:val="00C84043"/>
    <w:rsid w:val="00C84057"/>
    <w:rsid w:val="00C84241"/>
    <w:rsid w:val="00C84BCB"/>
    <w:rsid w:val="00C84E2B"/>
    <w:rsid w:val="00C85061"/>
    <w:rsid w:val="00C855BC"/>
    <w:rsid w:val="00C85C2A"/>
    <w:rsid w:val="00C8616E"/>
    <w:rsid w:val="00C86629"/>
    <w:rsid w:val="00C86899"/>
    <w:rsid w:val="00C8692B"/>
    <w:rsid w:val="00C87080"/>
    <w:rsid w:val="00C871C1"/>
    <w:rsid w:val="00C87450"/>
    <w:rsid w:val="00C87ABD"/>
    <w:rsid w:val="00C87E3D"/>
    <w:rsid w:val="00C9067E"/>
    <w:rsid w:val="00C9069D"/>
    <w:rsid w:val="00C91E83"/>
    <w:rsid w:val="00C924BB"/>
    <w:rsid w:val="00C9266F"/>
    <w:rsid w:val="00C92A07"/>
    <w:rsid w:val="00C92A8E"/>
    <w:rsid w:val="00C92ADA"/>
    <w:rsid w:val="00C92FDA"/>
    <w:rsid w:val="00C93185"/>
    <w:rsid w:val="00C9439C"/>
    <w:rsid w:val="00C95057"/>
    <w:rsid w:val="00C950BB"/>
    <w:rsid w:val="00C952EB"/>
    <w:rsid w:val="00C96923"/>
    <w:rsid w:val="00C96BA9"/>
    <w:rsid w:val="00C96C5A"/>
    <w:rsid w:val="00C96FBB"/>
    <w:rsid w:val="00CA0311"/>
    <w:rsid w:val="00CA095B"/>
    <w:rsid w:val="00CA1140"/>
    <w:rsid w:val="00CA123F"/>
    <w:rsid w:val="00CA1A10"/>
    <w:rsid w:val="00CA1D67"/>
    <w:rsid w:val="00CA1EBD"/>
    <w:rsid w:val="00CA2DE9"/>
    <w:rsid w:val="00CA2E11"/>
    <w:rsid w:val="00CA3078"/>
    <w:rsid w:val="00CA31DF"/>
    <w:rsid w:val="00CA354C"/>
    <w:rsid w:val="00CA37C0"/>
    <w:rsid w:val="00CA3DAE"/>
    <w:rsid w:val="00CA3FD9"/>
    <w:rsid w:val="00CA4276"/>
    <w:rsid w:val="00CA4CD8"/>
    <w:rsid w:val="00CA4DEC"/>
    <w:rsid w:val="00CA4E45"/>
    <w:rsid w:val="00CA546C"/>
    <w:rsid w:val="00CA54E7"/>
    <w:rsid w:val="00CA563F"/>
    <w:rsid w:val="00CA6101"/>
    <w:rsid w:val="00CA6895"/>
    <w:rsid w:val="00CA700C"/>
    <w:rsid w:val="00CA72C1"/>
    <w:rsid w:val="00CA7C07"/>
    <w:rsid w:val="00CA7ED3"/>
    <w:rsid w:val="00CB0034"/>
    <w:rsid w:val="00CB0291"/>
    <w:rsid w:val="00CB08BB"/>
    <w:rsid w:val="00CB08DF"/>
    <w:rsid w:val="00CB0F39"/>
    <w:rsid w:val="00CB151A"/>
    <w:rsid w:val="00CB1913"/>
    <w:rsid w:val="00CB217B"/>
    <w:rsid w:val="00CB226B"/>
    <w:rsid w:val="00CB2570"/>
    <w:rsid w:val="00CB257A"/>
    <w:rsid w:val="00CB26B9"/>
    <w:rsid w:val="00CB292D"/>
    <w:rsid w:val="00CB2ACC"/>
    <w:rsid w:val="00CB2D25"/>
    <w:rsid w:val="00CB3123"/>
    <w:rsid w:val="00CB337F"/>
    <w:rsid w:val="00CB373B"/>
    <w:rsid w:val="00CB3926"/>
    <w:rsid w:val="00CB393F"/>
    <w:rsid w:val="00CB3C95"/>
    <w:rsid w:val="00CB3ED9"/>
    <w:rsid w:val="00CB4143"/>
    <w:rsid w:val="00CB5262"/>
    <w:rsid w:val="00CB5797"/>
    <w:rsid w:val="00CB6241"/>
    <w:rsid w:val="00CB6785"/>
    <w:rsid w:val="00CB6858"/>
    <w:rsid w:val="00CB6E32"/>
    <w:rsid w:val="00CB7142"/>
    <w:rsid w:val="00CB7159"/>
    <w:rsid w:val="00CB72D9"/>
    <w:rsid w:val="00CB742F"/>
    <w:rsid w:val="00CB7C99"/>
    <w:rsid w:val="00CC02C5"/>
    <w:rsid w:val="00CC0829"/>
    <w:rsid w:val="00CC0B41"/>
    <w:rsid w:val="00CC0B5D"/>
    <w:rsid w:val="00CC0D80"/>
    <w:rsid w:val="00CC0F2D"/>
    <w:rsid w:val="00CC1569"/>
    <w:rsid w:val="00CC1597"/>
    <w:rsid w:val="00CC193E"/>
    <w:rsid w:val="00CC2529"/>
    <w:rsid w:val="00CC2856"/>
    <w:rsid w:val="00CC2973"/>
    <w:rsid w:val="00CC46BD"/>
    <w:rsid w:val="00CC470C"/>
    <w:rsid w:val="00CC4B6F"/>
    <w:rsid w:val="00CC4C35"/>
    <w:rsid w:val="00CC4E99"/>
    <w:rsid w:val="00CC4FA4"/>
    <w:rsid w:val="00CC522F"/>
    <w:rsid w:val="00CC5CC3"/>
    <w:rsid w:val="00CC5F24"/>
    <w:rsid w:val="00CC6658"/>
    <w:rsid w:val="00CC73BC"/>
    <w:rsid w:val="00CC7893"/>
    <w:rsid w:val="00CD08A1"/>
    <w:rsid w:val="00CD0991"/>
    <w:rsid w:val="00CD0C88"/>
    <w:rsid w:val="00CD0E06"/>
    <w:rsid w:val="00CD1568"/>
    <w:rsid w:val="00CD2198"/>
    <w:rsid w:val="00CD2D14"/>
    <w:rsid w:val="00CD337F"/>
    <w:rsid w:val="00CD33C0"/>
    <w:rsid w:val="00CD353A"/>
    <w:rsid w:val="00CD3688"/>
    <w:rsid w:val="00CD3FC1"/>
    <w:rsid w:val="00CD4960"/>
    <w:rsid w:val="00CD509D"/>
    <w:rsid w:val="00CD603C"/>
    <w:rsid w:val="00CD6370"/>
    <w:rsid w:val="00CD67C3"/>
    <w:rsid w:val="00CD686A"/>
    <w:rsid w:val="00CD6AB0"/>
    <w:rsid w:val="00CD70E0"/>
    <w:rsid w:val="00CD71E0"/>
    <w:rsid w:val="00CE06F0"/>
    <w:rsid w:val="00CE070F"/>
    <w:rsid w:val="00CE0725"/>
    <w:rsid w:val="00CE0978"/>
    <w:rsid w:val="00CE0E5C"/>
    <w:rsid w:val="00CE10BE"/>
    <w:rsid w:val="00CE179E"/>
    <w:rsid w:val="00CE1832"/>
    <w:rsid w:val="00CE1B34"/>
    <w:rsid w:val="00CE1F43"/>
    <w:rsid w:val="00CE2257"/>
    <w:rsid w:val="00CE24E5"/>
    <w:rsid w:val="00CE25D8"/>
    <w:rsid w:val="00CE2806"/>
    <w:rsid w:val="00CE2FBC"/>
    <w:rsid w:val="00CE31E0"/>
    <w:rsid w:val="00CE31F1"/>
    <w:rsid w:val="00CE3473"/>
    <w:rsid w:val="00CE3C24"/>
    <w:rsid w:val="00CE52B6"/>
    <w:rsid w:val="00CE5AB5"/>
    <w:rsid w:val="00CE603A"/>
    <w:rsid w:val="00CE6213"/>
    <w:rsid w:val="00CE63BB"/>
    <w:rsid w:val="00CE660B"/>
    <w:rsid w:val="00CE67CF"/>
    <w:rsid w:val="00CE6C01"/>
    <w:rsid w:val="00CE73ED"/>
    <w:rsid w:val="00CE7787"/>
    <w:rsid w:val="00CE785D"/>
    <w:rsid w:val="00CE7A28"/>
    <w:rsid w:val="00CE7B98"/>
    <w:rsid w:val="00CE7F71"/>
    <w:rsid w:val="00CE7F76"/>
    <w:rsid w:val="00CF018B"/>
    <w:rsid w:val="00CF1A05"/>
    <w:rsid w:val="00CF1FE7"/>
    <w:rsid w:val="00CF30FA"/>
    <w:rsid w:val="00CF3281"/>
    <w:rsid w:val="00CF3366"/>
    <w:rsid w:val="00CF3C1C"/>
    <w:rsid w:val="00CF3C64"/>
    <w:rsid w:val="00CF3F38"/>
    <w:rsid w:val="00CF418F"/>
    <w:rsid w:val="00CF43A2"/>
    <w:rsid w:val="00CF44FB"/>
    <w:rsid w:val="00CF55EA"/>
    <w:rsid w:val="00CF5E5A"/>
    <w:rsid w:val="00CF6A81"/>
    <w:rsid w:val="00CF6DF2"/>
    <w:rsid w:val="00CF72C4"/>
    <w:rsid w:val="00D002F3"/>
    <w:rsid w:val="00D00C17"/>
    <w:rsid w:val="00D00D01"/>
    <w:rsid w:val="00D00E76"/>
    <w:rsid w:val="00D01615"/>
    <w:rsid w:val="00D016DC"/>
    <w:rsid w:val="00D019A6"/>
    <w:rsid w:val="00D021A0"/>
    <w:rsid w:val="00D0236D"/>
    <w:rsid w:val="00D0249F"/>
    <w:rsid w:val="00D027BB"/>
    <w:rsid w:val="00D02F51"/>
    <w:rsid w:val="00D03442"/>
    <w:rsid w:val="00D04205"/>
    <w:rsid w:val="00D04A0F"/>
    <w:rsid w:val="00D04E6E"/>
    <w:rsid w:val="00D04F00"/>
    <w:rsid w:val="00D04F14"/>
    <w:rsid w:val="00D054B3"/>
    <w:rsid w:val="00D055CF"/>
    <w:rsid w:val="00D05938"/>
    <w:rsid w:val="00D05C07"/>
    <w:rsid w:val="00D05D47"/>
    <w:rsid w:val="00D06574"/>
    <w:rsid w:val="00D06AE9"/>
    <w:rsid w:val="00D06F14"/>
    <w:rsid w:val="00D07513"/>
    <w:rsid w:val="00D075D8"/>
    <w:rsid w:val="00D07891"/>
    <w:rsid w:val="00D07901"/>
    <w:rsid w:val="00D07A94"/>
    <w:rsid w:val="00D07EE4"/>
    <w:rsid w:val="00D07F7D"/>
    <w:rsid w:val="00D07FF1"/>
    <w:rsid w:val="00D10521"/>
    <w:rsid w:val="00D10BE6"/>
    <w:rsid w:val="00D113B3"/>
    <w:rsid w:val="00D11616"/>
    <w:rsid w:val="00D118B6"/>
    <w:rsid w:val="00D11AA1"/>
    <w:rsid w:val="00D11AF2"/>
    <w:rsid w:val="00D1243C"/>
    <w:rsid w:val="00D1255E"/>
    <w:rsid w:val="00D129E2"/>
    <w:rsid w:val="00D12C98"/>
    <w:rsid w:val="00D13541"/>
    <w:rsid w:val="00D136C4"/>
    <w:rsid w:val="00D1393C"/>
    <w:rsid w:val="00D13AC5"/>
    <w:rsid w:val="00D13E25"/>
    <w:rsid w:val="00D13FC4"/>
    <w:rsid w:val="00D140D7"/>
    <w:rsid w:val="00D146A7"/>
    <w:rsid w:val="00D14A2F"/>
    <w:rsid w:val="00D15034"/>
    <w:rsid w:val="00D15365"/>
    <w:rsid w:val="00D156EC"/>
    <w:rsid w:val="00D15AB8"/>
    <w:rsid w:val="00D15B63"/>
    <w:rsid w:val="00D15BDE"/>
    <w:rsid w:val="00D15C23"/>
    <w:rsid w:val="00D15EED"/>
    <w:rsid w:val="00D15F16"/>
    <w:rsid w:val="00D161AA"/>
    <w:rsid w:val="00D16FC8"/>
    <w:rsid w:val="00D175C8"/>
    <w:rsid w:val="00D17863"/>
    <w:rsid w:val="00D179AD"/>
    <w:rsid w:val="00D201D3"/>
    <w:rsid w:val="00D202F3"/>
    <w:rsid w:val="00D2058E"/>
    <w:rsid w:val="00D211A5"/>
    <w:rsid w:val="00D22BC5"/>
    <w:rsid w:val="00D22C90"/>
    <w:rsid w:val="00D23507"/>
    <w:rsid w:val="00D237F4"/>
    <w:rsid w:val="00D23E55"/>
    <w:rsid w:val="00D241BF"/>
    <w:rsid w:val="00D2435C"/>
    <w:rsid w:val="00D2477B"/>
    <w:rsid w:val="00D24CD3"/>
    <w:rsid w:val="00D25435"/>
    <w:rsid w:val="00D25597"/>
    <w:rsid w:val="00D25AB2"/>
    <w:rsid w:val="00D25ABD"/>
    <w:rsid w:val="00D26226"/>
    <w:rsid w:val="00D26626"/>
    <w:rsid w:val="00D27F62"/>
    <w:rsid w:val="00D306C6"/>
    <w:rsid w:val="00D306FF"/>
    <w:rsid w:val="00D30F18"/>
    <w:rsid w:val="00D3128C"/>
    <w:rsid w:val="00D31512"/>
    <w:rsid w:val="00D3154A"/>
    <w:rsid w:val="00D32C48"/>
    <w:rsid w:val="00D33175"/>
    <w:rsid w:val="00D33289"/>
    <w:rsid w:val="00D33824"/>
    <w:rsid w:val="00D33A6A"/>
    <w:rsid w:val="00D33CB8"/>
    <w:rsid w:val="00D341B1"/>
    <w:rsid w:val="00D3458F"/>
    <w:rsid w:val="00D3482D"/>
    <w:rsid w:val="00D349CB"/>
    <w:rsid w:val="00D35124"/>
    <w:rsid w:val="00D35310"/>
    <w:rsid w:val="00D35771"/>
    <w:rsid w:val="00D361B1"/>
    <w:rsid w:val="00D362AE"/>
    <w:rsid w:val="00D36B69"/>
    <w:rsid w:val="00D3705B"/>
    <w:rsid w:val="00D372BB"/>
    <w:rsid w:val="00D400E4"/>
    <w:rsid w:val="00D408A7"/>
    <w:rsid w:val="00D4110D"/>
    <w:rsid w:val="00D41158"/>
    <w:rsid w:val="00D4148B"/>
    <w:rsid w:val="00D414E8"/>
    <w:rsid w:val="00D4186E"/>
    <w:rsid w:val="00D423E4"/>
    <w:rsid w:val="00D42A0C"/>
    <w:rsid w:val="00D43636"/>
    <w:rsid w:val="00D4384B"/>
    <w:rsid w:val="00D43F0D"/>
    <w:rsid w:val="00D44232"/>
    <w:rsid w:val="00D44689"/>
    <w:rsid w:val="00D44EE5"/>
    <w:rsid w:val="00D45247"/>
    <w:rsid w:val="00D4597F"/>
    <w:rsid w:val="00D459A7"/>
    <w:rsid w:val="00D45AD0"/>
    <w:rsid w:val="00D460E2"/>
    <w:rsid w:val="00D463CD"/>
    <w:rsid w:val="00D46E74"/>
    <w:rsid w:val="00D472F5"/>
    <w:rsid w:val="00D4730A"/>
    <w:rsid w:val="00D47507"/>
    <w:rsid w:val="00D47B5C"/>
    <w:rsid w:val="00D47CC2"/>
    <w:rsid w:val="00D5034C"/>
    <w:rsid w:val="00D50586"/>
    <w:rsid w:val="00D509BB"/>
    <w:rsid w:val="00D51DED"/>
    <w:rsid w:val="00D5258E"/>
    <w:rsid w:val="00D525B6"/>
    <w:rsid w:val="00D52F4F"/>
    <w:rsid w:val="00D53462"/>
    <w:rsid w:val="00D54C14"/>
    <w:rsid w:val="00D550A2"/>
    <w:rsid w:val="00D551D7"/>
    <w:rsid w:val="00D55D3F"/>
    <w:rsid w:val="00D5641D"/>
    <w:rsid w:val="00D57211"/>
    <w:rsid w:val="00D57AD7"/>
    <w:rsid w:val="00D57D0A"/>
    <w:rsid w:val="00D57D91"/>
    <w:rsid w:val="00D57EC6"/>
    <w:rsid w:val="00D601C9"/>
    <w:rsid w:val="00D60333"/>
    <w:rsid w:val="00D6038F"/>
    <w:rsid w:val="00D604A3"/>
    <w:rsid w:val="00D6081D"/>
    <w:rsid w:val="00D615B5"/>
    <w:rsid w:val="00D616FA"/>
    <w:rsid w:val="00D61B18"/>
    <w:rsid w:val="00D61D1C"/>
    <w:rsid w:val="00D623D6"/>
    <w:rsid w:val="00D6289D"/>
    <w:rsid w:val="00D628E0"/>
    <w:rsid w:val="00D62D15"/>
    <w:rsid w:val="00D63158"/>
    <w:rsid w:val="00D63E14"/>
    <w:rsid w:val="00D64B2D"/>
    <w:rsid w:val="00D6532F"/>
    <w:rsid w:val="00D661C2"/>
    <w:rsid w:val="00D663EC"/>
    <w:rsid w:val="00D66EF9"/>
    <w:rsid w:val="00D676F4"/>
    <w:rsid w:val="00D70110"/>
    <w:rsid w:val="00D7051B"/>
    <w:rsid w:val="00D70629"/>
    <w:rsid w:val="00D709BF"/>
    <w:rsid w:val="00D71973"/>
    <w:rsid w:val="00D71B71"/>
    <w:rsid w:val="00D71EB4"/>
    <w:rsid w:val="00D721A9"/>
    <w:rsid w:val="00D7284B"/>
    <w:rsid w:val="00D72A94"/>
    <w:rsid w:val="00D72DE4"/>
    <w:rsid w:val="00D73577"/>
    <w:rsid w:val="00D737B1"/>
    <w:rsid w:val="00D739A8"/>
    <w:rsid w:val="00D73D71"/>
    <w:rsid w:val="00D74408"/>
    <w:rsid w:val="00D745AF"/>
    <w:rsid w:val="00D74A9B"/>
    <w:rsid w:val="00D74C1D"/>
    <w:rsid w:val="00D74F3C"/>
    <w:rsid w:val="00D75172"/>
    <w:rsid w:val="00D752F2"/>
    <w:rsid w:val="00D75483"/>
    <w:rsid w:val="00D75680"/>
    <w:rsid w:val="00D75749"/>
    <w:rsid w:val="00D75AED"/>
    <w:rsid w:val="00D75E8F"/>
    <w:rsid w:val="00D765FE"/>
    <w:rsid w:val="00D76840"/>
    <w:rsid w:val="00D76EED"/>
    <w:rsid w:val="00D77130"/>
    <w:rsid w:val="00D774DF"/>
    <w:rsid w:val="00D777E2"/>
    <w:rsid w:val="00D77BF4"/>
    <w:rsid w:val="00D77D1E"/>
    <w:rsid w:val="00D806D3"/>
    <w:rsid w:val="00D80727"/>
    <w:rsid w:val="00D80788"/>
    <w:rsid w:val="00D80B80"/>
    <w:rsid w:val="00D80DB0"/>
    <w:rsid w:val="00D81130"/>
    <w:rsid w:val="00D81266"/>
    <w:rsid w:val="00D8132E"/>
    <w:rsid w:val="00D813C9"/>
    <w:rsid w:val="00D81938"/>
    <w:rsid w:val="00D81C69"/>
    <w:rsid w:val="00D826C9"/>
    <w:rsid w:val="00D82E62"/>
    <w:rsid w:val="00D82E88"/>
    <w:rsid w:val="00D83251"/>
    <w:rsid w:val="00D83340"/>
    <w:rsid w:val="00D8337A"/>
    <w:rsid w:val="00D83455"/>
    <w:rsid w:val="00D84145"/>
    <w:rsid w:val="00D8435A"/>
    <w:rsid w:val="00D846C6"/>
    <w:rsid w:val="00D84FC1"/>
    <w:rsid w:val="00D851EE"/>
    <w:rsid w:val="00D857EA"/>
    <w:rsid w:val="00D85A7C"/>
    <w:rsid w:val="00D85A9E"/>
    <w:rsid w:val="00D85DF9"/>
    <w:rsid w:val="00D85EE4"/>
    <w:rsid w:val="00D863FF"/>
    <w:rsid w:val="00D86E50"/>
    <w:rsid w:val="00D87520"/>
    <w:rsid w:val="00D87D51"/>
    <w:rsid w:val="00D90200"/>
    <w:rsid w:val="00D904D9"/>
    <w:rsid w:val="00D90546"/>
    <w:rsid w:val="00D90B96"/>
    <w:rsid w:val="00D9112B"/>
    <w:rsid w:val="00D91198"/>
    <w:rsid w:val="00D91413"/>
    <w:rsid w:val="00D91555"/>
    <w:rsid w:val="00D91627"/>
    <w:rsid w:val="00D91706"/>
    <w:rsid w:val="00D927A6"/>
    <w:rsid w:val="00D92BB6"/>
    <w:rsid w:val="00D92CA1"/>
    <w:rsid w:val="00D94682"/>
    <w:rsid w:val="00D94BE6"/>
    <w:rsid w:val="00D94C78"/>
    <w:rsid w:val="00D94D1C"/>
    <w:rsid w:val="00D94DFA"/>
    <w:rsid w:val="00D94E30"/>
    <w:rsid w:val="00D955C7"/>
    <w:rsid w:val="00D956EE"/>
    <w:rsid w:val="00D9584B"/>
    <w:rsid w:val="00D959D0"/>
    <w:rsid w:val="00D95CD0"/>
    <w:rsid w:val="00D9663D"/>
    <w:rsid w:val="00D96B91"/>
    <w:rsid w:val="00D96DE5"/>
    <w:rsid w:val="00D97291"/>
    <w:rsid w:val="00D972F8"/>
    <w:rsid w:val="00D97346"/>
    <w:rsid w:val="00D973C1"/>
    <w:rsid w:val="00D97849"/>
    <w:rsid w:val="00DA019A"/>
    <w:rsid w:val="00DA01F8"/>
    <w:rsid w:val="00DA052F"/>
    <w:rsid w:val="00DA074E"/>
    <w:rsid w:val="00DA0D51"/>
    <w:rsid w:val="00DA11FC"/>
    <w:rsid w:val="00DA17DD"/>
    <w:rsid w:val="00DA2C51"/>
    <w:rsid w:val="00DA3429"/>
    <w:rsid w:val="00DA38CE"/>
    <w:rsid w:val="00DA49C0"/>
    <w:rsid w:val="00DA4AF9"/>
    <w:rsid w:val="00DA5C30"/>
    <w:rsid w:val="00DA665C"/>
    <w:rsid w:val="00DA6CF9"/>
    <w:rsid w:val="00DA72FB"/>
    <w:rsid w:val="00DA7845"/>
    <w:rsid w:val="00DA79DA"/>
    <w:rsid w:val="00DB0CCC"/>
    <w:rsid w:val="00DB0FB8"/>
    <w:rsid w:val="00DB13A9"/>
    <w:rsid w:val="00DB2213"/>
    <w:rsid w:val="00DB28A6"/>
    <w:rsid w:val="00DB290B"/>
    <w:rsid w:val="00DB2C48"/>
    <w:rsid w:val="00DB2F83"/>
    <w:rsid w:val="00DB3256"/>
    <w:rsid w:val="00DB3474"/>
    <w:rsid w:val="00DB36ED"/>
    <w:rsid w:val="00DB375E"/>
    <w:rsid w:val="00DB448D"/>
    <w:rsid w:val="00DB45C6"/>
    <w:rsid w:val="00DB4F5D"/>
    <w:rsid w:val="00DB51E1"/>
    <w:rsid w:val="00DB578A"/>
    <w:rsid w:val="00DB5DD1"/>
    <w:rsid w:val="00DB60A4"/>
    <w:rsid w:val="00DB6867"/>
    <w:rsid w:val="00DB6E9C"/>
    <w:rsid w:val="00DB6ED2"/>
    <w:rsid w:val="00DB6EE8"/>
    <w:rsid w:val="00DB72D6"/>
    <w:rsid w:val="00DB77E0"/>
    <w:rsid w:val="00DB7F39"/>
    <w:rsid w:val="00DC058D"/>
    <w:rsid w:val="00DC0833"/>
    <w:rsid w:val="00DC0A67"/>
    <w:rsid w:val="00DC0F36"/>
    <w:rsid w:val="00DC1214"/>
    <w:rsid w:val="00DC12E6"/>
    <w:rsid w:val="00DC176A"/>
    <w:rsid w:val="00DC1BB4"/>
    <w:rsid w:val="00DC1BC5"/>
    <w:rsid w:val="00DC2353"/>
    <w:rsid w:val="00DC265C"/>
    <w:rsid w:val="00DC2C61"/>
    <w:rsid w:val="00DC2EA1"/>
    <w:rsid w:val="00DC37D5"/>
    <w:rsid w:val="00DC3995"/>
    <w:rsid w:val="00DC3C4D"/>
    <w:rsid w:val="00DC4059"/>
    <w:rsid w:val="00DC413F"/>
    <w:rsid w:val="00DC4207"/>
    <w:rsid w:val="00DC44C6"/>
    <w:rsid w:val="00DC4703"/>
    <w:rsid w:val="00DC4F52"/>
    <w:rsid w:val="00DC5811"/>
    <w:rsid w:val="00DC655D"/>
    <w:rsid w:val="00DC6769"/>
    <w:rsid w:val="00DC6ABA"/>
    <w:rsid w:val="00DC7871"/>
    <w:rsid w:val="00DC7E1C"/>
    <w:rsid w:val="00DD0919"/>
    <w:rsid w:val="00DD1515"/>
    <w:rsid w:val="00DD19A6"/>
    <w:rsid w:val="00DD1A79"/>
    <w:rsid w:val="00DD1AB2"/>
    <w:rsid w:val="00DD25CC"/>
    <w:rsid w:val="00DD2F68"/>
    <w:rsid w:val="00DD3596"/>
    <w:rsid w:val="00DD3622"/>
    <w:rsid w:val="00DD421C"/>
    <w:rsid w:val="00DD4BD5"/>
    <w:rsid w:val="00DD5017"/>
    <w:rsid w:val="00DD57E7"/>
    <w:rsid w:val="00DD5913"/>
    <w:rsid w:val="00DD5DD2"/>
    <w:rsid w:val="00DD5E3E"/>
    <w:rsid w:val="00DD5E47"/>
    <w:rsid w:val="00DD680B"/>
    <w:rsid w:val="00DD68D3"/>
    <w:rsid w:val="00DD70A2"/>
    <w:rsid w:val="00DE0200"/>
    <w:rsid w:val="00DE028A"/>
    <w:rsid w:val="00DE0298"/>
    <w:rsid w:val="00DE046C"/>
    <w:rsid w:val="00DE09CB"/>
    <w:rsid w:val="00DE129B"/>
    <w:rsid w:val="00DE1978"/>
    <w:rsid w:val="00DE21DE"/>
    <w:rsid w:val="00DE268A"/>
    <w:rsid w:val="00DE2A7C"/>
    <w:rsid w:val="00DE2C24"/>
    <w:rsid w:val="00DE3329"/>
    <w:rsid w:val="00DE35D6"/>
    <w:rsid w:val="00DE3807"/>
    <w:rsid w:val="00DE405D"/>
    <w:rsid w:val="00DE4BBC"/>
    <w:rsid w:val="00DE4C28"/>
    <w:rsid w:val="00DE5C5C"/>
    <w:rsid w:val="00DE6402"/>
    <w:rsid w:val="00DE693C"/>
    <w:rsid w:val="00DE6C7D"/>
    <w:rsid w:val="00DE6F07"/>
    <w:rsid w:val="00DE743C"/>
    <w:rsid w:val="00DE76C2"/>
    <w:rsid w:val="00DE781B"/>
    <w:rsid w:val="00DE7D7E"/>
    <w:rsid w:val="00DF0A18"/>
    <w:rsid w:val="00DF0AD1"/>
    <w:rsid w:val="00DF0F58"/>
    <w:rsid w:val="00DF227B"/>
    <w:rsid w:val="00DF250A"/>
    <w:rsid w:val="00DF326A"/>
    <w:rsid w:val="00DF3817"/>
    <w:rsid w:val="00DF3826"/>
    <w:rsid w:val="00DF3A43"/>
    <w:rsid w:val="00DF3B5B"/>
    <w:rsid w:val="00DF3BCC"/>
    <w:rsid w:val="00DF464A"/>
    <w:rsid w:val="00DF4DB7"/>
    <w:rsid w:val="00DF5012"/>
    <w:rsid w:val="00DF5111"/>
    <w:rsid w:val="00DF5F7B"/>
    <w:rsid w:val="00DF6097"/>
    <w:rsid w:val="00DF6960"/>
    <w:rsid w:val="00DF6CB7"/>
    <w:rsid w:val="00DF6F86"/>
    <w:rsid w:val="00DF72D5"/>
    <w:rsid w:val="00DF7630"/>
    <w:rsid w:val="00DF7C9F"/>
    <w:rsid w:val="00E00780"/>
    <w:rsid w:val="00E0118F"/>
    <w:rsid w:val="00E0131F"/>
    <w:rsid w:val="00E01510"/>
    <w:rsid w:val="00E023BA"/>
    <w:rsid w:val="00E02445"/>
    <w:rsid w:val="00E0279D"/>
    <w:rsid w:val="00E03396"/>
    <w:rsid w:val="00E03414"/>
    <w:rsid w:val="00E044EE"/>
    <w:rsid w:val="00E0504B"/>
    <w:rsid w:val="00E05860"/>
    <w:rsid w:val="00E058DF"/>
    <w:rsid w:val="00E0595D"/>
    <w:rsid w:val="00E06A55"/>
    <w:rsid w:val="00E06B52"/>
    <w:rsid w:val="00E06F52"/>
    <w:rsid w:val="00E075BF"/>
    <w:rsid w:val="00E07813"/>
    <w:rsid w:val="00E07984"/>
    <w:rsid w:val="00E1041F"/>
    <w:rsid w:val="00E107BE"/>
    <w:rsid w:val="00E10984"/>
    <w:rsid w:val="00E110A9"/>
    <w:rsid w:val="00E11277"/>
    <w:rsid w:val="00E11D73"/>
    <w:rsid w:val="00E11E31"/>
    <w:rsid w:val="00E12283"/>
    <w:rsid w:val="00E136D1"/>
    <w:rsid w:val="00E139FA"/>
    <w:rsid w:val="00E148FB"/>
    <w:rsid w:val="00E14BEE"/>
    <w:rsid w:val="00E15359"/>
    <w:rsid w:val="00E1595F"/>
    <w:rsid w:val="00E15C2B"/>
    <w:rsid w:val="00E15F7D"/>
    <w:rsid w:val="00E1701A"/>
    <w:rsid w:val="00E1726B"/>
    <w:rsid w:val="00E174B1"/>
    <w:rsid w:val="00E1783C"/>
    <w:rsid w:val="00E17A15"/>
    <w:rsid w:val="00E17F20"/>
    <w:rsid w:val="00E20B28"/>
    <w:rsid w:val="00E20B96"/>
    <w:rsid w:val="00E20E4A"/>
    <w:rsid w:val="00E2146E"/>
    <w:rsid w:val="00E21743"/>
    <w:rsid w:val="00E21D43"/>
    <w:rsid w:val="00E21D8C"/>
    <w:rsid w:val="00E22BA2"/>
    <w:rsid w:val="00E23076"/>
    <w:rsid w:val="00E232D7"/>
    <w:rsid w:val="00E24809"/>
    <w:rsid w:val="00E249DB"/>
    <w:rsid w:val="00E24F48"/>
    <w:rsid w:val="00E24F5D"/>
    <w:rsid w:val="00E25157"/>
    <w:rsid w:val="00E2590D"/>
    <w:rsid w:val="00E25E9D"/>
    <w:rsid w:val="00E26115"/>
    <w:rsid w:val="00E263B1"/>
    <w:rsid w:val="00E26621"/>
    <w:rsid w:val="00E279FE"/>
    <w:rsid w:val="00E27F6F"/>
    <w:rsid w:val="00E301FF"/>
    <w:rsid w:val="00E30862"/>
    <w:rsid w:val="00E319F6"/>
    <w:rsid w:val="00E31B65"/>
    <w:rsid w:val="00E320C5"/>
    <w:rsid w:val="00E321DA"/>
    <w:rsid w:val="00E3260E"/>
    <w:rsid w:val="00E3276B"/>
    <w:rsid w:val="00E3284B"/>
    <w:rsid w:val="00E329B8"/>
    <w:rsid w:val="00E32E6C"/>
    <w:rsid w:val="00E32ED7"/>
    <w:rsid w:val="00E32F05"/>
    <w:rsid w:val="00E3370B"/>
    <w:rsid w:val="00E341E3"/>
    <w:rsid w:val="00E3514B"/>
    <w:rsid w:val="00E35A83"/>
    <w:rsid w:val="00E363EE"/>
    <w:rsid w:val="00E365A1"/>
    <w:rsid w:val="00E367F4"/>
    <w:rsid w:val="00E36918"/>
    <w:rsid w:val="00E36937"/>
    <w:rsid w:val="00E37173"/>
    <w:rsid w:val="00E37501"/>
    <w:rsid w:val="00E379B5"/>
    <w:rsid w:val="00E37ADE"/>
    <w:rsid w:val="00E37D00"/>
    <w:rsid w:val="00E40A09"/>
    <w:rsid w:val="00E40BBF"/>
    <w:rsid w:val="00E40D0C"/>
    <w:rsid w:val="00E40E28"/>
    <w:rsid w:val="00E40FBE"/>
    <w:rsid w:val="00E416A0"/>
    <w:rsid w:val="00E41865"/>
    <w:rsid w:val="00E42759"/>
    <w:rsid w:val="00E42784"/>
    <w:rsid w:val="00E4282C"/>
    <w:rsid w:val="00E43334"/>
    <w:rsid w:val="00E4387F"/>
    <w:rsid w:val="00E43C35"/>
    <w:rsid w:val="00E43DA6"/>
    <w:rsid w:val="00E43DC2"/>
    <w:rsid w:val="00E44609"/>
    <w:rsid w:val="00E44CCF"/>
    <w:rsid w:val="00E461EC"/>
    <w:rsid w:val="00E46731"/>
    <w:rsid w:val="00E4768B"/>
    <w:rsid w:val="00E476F8"/>
    <w:rsid w:val="00E47C07"/>
    <w:rsid w:val="00E47DCF"/>
    <w:rsid w:val="00E50410"/>
    <w:rsid w:val="00E50715"/>
    <w:rsid w:val="00E50825"/>
    <w:rsid w:val="00E50BB6"/>
    <w:rsid w:val="00E513C2"/>
    <w:rsid w:val="00E51637"/>
    <w:rsid w:val="00E51AE0"/>
    <w:rsid w:val="00E51F7B"/>
    <w:rsid w:val="00E520C5"/>
    <w:rsid w:val="00E527C5"/>
    <w:rsid w:val="00E5286C"/>
    <w:rsid w:val="00E52C63"/>
    <w:rsid w:val="00E52CC7"/>
    <w:rsid w:val="00E52E64"/>
    <w:rsid w:val="00E535DE"/>
    <w:rsid w:val="00E53CDA"/>
    <w:rsid w:val="00E55392"/>
    <w:rsid w:val="00E55462"/>
    <w:rsid w:val="00E55742"/>
    <w:rsid w:val="00E56B3C"/>
    <w:rsid w:val="00E56F19"/>
    <w:rsid w:val="00E57282"/>
    <w:rsid w:val="00E57679"/>
    <w:rsid w:val="00E57DFC"/>
    <w:rsid w:val="00E6048D"/>
    <w:rsid w:val="00E60522"/>
    <w:rsid w:val="00E60997"/>
    <w:rsid w:val="00E62846"/>
    <w:rsid w:val="00E62EC2"/>
    <w:rsid w:val="00E62EF9"/>
    <w:rsid w:val="00E62FEF"/>
    <w:rsid w:val="00E632D5"/>
    <w:rsid w:val="00E639FB"/>
    <w:rsid w:val="00E63FA6"/>
    <w:rsid w:val="00E6405B"/>
    <w:rsid w:val="00E644F2"/>
    <w:rsid w:val="00E6454A"/>
    <w:rsid w:val="00E64683"/>
    <w:rsid w:val="00E64870"/>
    <w:rsid w:val="00E661DF"/>
    <w:rsid w:val="00E6630C"/>
    <w:rsid w:val="00E665A1"/>
    <w:rsid w:val="00E66909"/>
    <w:rsid w:val="00E669E3"/>
    <w:rsid w:val="00E66EF7"/>
    <w:rsid w:val="00E67AA4"/>
    <w:rsid w:val="00E67D4C"/>
    <w:rsid w:val="00E67E45"/>
    <w:rsid w:val="00E67F28"/>
    <w:rsid w:val="00E7022C"/>
    <w:rsid w:val="00E7058B"/>
    <w:rsid w:val="00E711B8"/>
    <w:rsid w:val="00E7170C"/>
    <w:rsid w:val="00E719D8"/>
    <w:rsid w:val="00E71B3D"/>
    <w:rsid w:val="00E71BF5"/>
    <w:rsid w:val="00E71D33"/>
    <w:rsid w:val="00E71FB8"/>
    <w:rsid w:val="00E72213"/>
    <w:rsid w:val="00E72932"/>
    <w:rsid w:val="00E72BD2"/>
    <w:rsid w:val="00E7324F"/>
    <w:rsid w:val="00E7336D"/>
    <w:rsid w:val="00E73915"/>
    <w:rsid w:val="00E7394D"/>
    <w:rsid w:val="00E74458"/>
    <w:rsid w:val="00E74D27"/>
    <w:rsid w:val="00E74F9E"/>
    <w:rsid w:val="00E752AB"/>
    <w:rsid w:val="00E75FD2"/>
    <w:rsid w:val="00E7607F"/>
    <w:rsid w:val="00E76688"/>
    <w:rsid w:val="00E76844"/>
    <w:rsid w:val="00E76924"/>
    <w:rsid w:val="00E77563"/>
    <w:rsid w:val="00E776AD"/>
    <w:rsid w:val="00E77736"/>
    <w:rsid w:val="00E778E0"/>
    <w:rsid w:val="00E77976"/>
    <w:rsid w:val="00E77BB3"/>
    <w:rsid w:val="00E80C7F"/>
    <w:rsid w:val="00E81162"/>
    <w:rsid w:val="00E816C1"/>
    <w:rsid w:val="00E81732"/>
    <w:rsid w:val="00E81E78"/>
    <w:rsid w:val="00E8219F"/>
    <w:rsid w:val="00E82435"/>
    <w:rsid w:val="00E829C4"/>
    <w:rsid w:val="00E82A82"/>
    <w:rsid w:val="00E83084"/>
    <w:rsid w:val="00E839C4"/>
    <w:rsid w:val="00E844EF"/>
    <w:rsid w:val="00E84BEF"/>
    <w:rsid w:val="00E84CDC"/>
    <w:rsid w:val="00E84E03"/>
    <w:rsid w:val="00E85038"/>
    <w:rsid w:val="00E850DF"/>
    <w:rsid w:val="00E85B4B"/>
    <w:rsid w:val="00E85CE6"/>
    <w:rsid w:val="00E85DD3"/>
    <w:rsid w:val="00E860DB"/>
    <w:rsid w:val="00E86504"/>
    <w:rsid w:val="00E86FAB"/>
    <w:rsid w:val="00E87605"/>
    <w:rsid w:val="00E878B8"/>
    <w:rsid w:val="00E87AAF"/>
    <w:rsid w:val="00E87AEC"/>
    <w:rsid w:val="00E87B6D"/>
    <w:rsid w:val="00E91106"/>
    <w:rsid w:val="00E9110A"/>
    <w:rsid w:val="00E91F5F"/>
    <w:rsid w:val="00E9206A"/>
    <w:rsid w:val="00E92346"/>
    <w:rsid w:val="00E9261E"/>
    <w:rsid w:val="00E92D23"/>
    <w:rsid w:val="00E92DDC"/>
    <w:rsid w:val="00E9329B"/>
    <w:rsid w:val="00E940C8"/>
    <w:rsid w:val="00E94266"/>
    <w:rsid w:val="00E94317"/>
    <w:rsid w:val="00E94FB0"/>
    <w:rsid w:val="00E951A9"/>
    <w:rsid w:val="00E9533E"/>
    <w:rsid w:val="00E95565"/>
    <w:rsid w:val="00E958C0"/>
    <w:rsid w:val="00E958F8"/>
    <w:rsid w:val="00E95D8B"/>
    <w:rsid w:val="00E95EE4"/>
    <w:rsid w:val="00E95FCE"/>
    <w:rsid w:val="00E960AA"/>
    <w:rsid w:val="00E966F4"/>
    <w:rsid w:val="00E96707"/>
    <w:rsid w:val="00E975AF"/>
    <w:rsid w:val="00E97A3C"/>
    <w:rsid w:val="00E97D2B"/>
    <w:rsid w:val="00EA01E0"/>
    <w:rsid w:val="00EA0321"/>
    <w:rsid w:val="00EA03BC"/>
    <w:rsid w:val="00EA06B1"/>
    <w:rsid w:val="00EA0A26"/>
    <w:rsid w:val="00EA0BB5"/>
    <w:rsid w:val="00EA0C0F"/>
    <w:rsid w:val="00EA0E12"/>
    <w:rsid w:val="00EA11AF"/>
    <w:rsid w:val="00EA12C2"/>
    <w:rsid w:val="00EA12D1"/>
    <w:rsid w:val="00EA1511"/>
    <w:rsid w:val="00EA1A9B"/>
    <w:rsid w:val="00EA1BBE"/>
    <w:rsid w:val="00EA1D90"/>
    <w:rsid w:val="00EA219E"/>
    <w:rsid w:val="00EA25CA"/>
    <w:rsid w:val="00EA26E0"/>
    <w:rsid w:val="00EA2A67"/>
    <w:rsid w:val="00EA2B6F"/>
    <w:rsid w:val="00EA2C2A"/>
    <w:rsid w:val="00EA2DAA"/>
    <w:rsid w:val="00EA2E17"/>
    <w:rsid w:val="00EA316C"/>
    <w:rsid w:val="00EA3A1D"/>
    <w:rsid w:val="00EA3A56"/>
    <w:rsid w:val="00EA3A8D"/>
    <w:rsid w:val="00EA3AB9"/>
    <w:rsid w:val="00EA3F29"/>
    <w:rsid w:val="00EA468A"/>
    <w:rsid w:val="00EA46B1"/>
    <w:rsid w:val="00EA4809"/>
    <w:rsid w:val="00EA4901"/>
    <w:rsid w:val="00EA49E5"/>
    <w:rsid w:val="00EA50B0"/>
    <w:rsid w:val="00EA51E3"/>
    <w:rsid w:val="00EA6090"/>
    <w:rsid w:val="00EA7A7C"/>
    <w:rsid w:val="00EA7A87"/>
    <w:rsid w:val="00EA7BD5"/>
    <w:rsid w:val="00EA7CB5"/>
    <w:rsid w:val="00EB100D"/>
    <w:rsid w:val="00EB19EC"/>
    <w:rsid w:val="00EB20C7"/>
    <w:rsid w:val="00EB25CC"/>
    <w:rsid w:val="00EB26EE"/>
    <w:rsid w:val="00EB2AF7"/>
    <w:rsid w:val="00EB3527"/>
    <w:rsid w:val="00EB368F"/>
    <w:rsid w:val="00EB37A5"/>
    <w:rsid w:val="00EB3836"/>
    <w:rsid w:val="00EB3A04"/>
    <w:rsid w:val="00EB3F04"/>
    <w:rsid w:val="00EB4A78"/>
    <w:rsid w:val="00EB55B1"/>
    <w:rsid w:val="00EB5918"/>
    <w:rsid w:val="00EB5B98"/>
    <w:rsid w:val="00EB5C12"/>
    <w:rsid w:val="00EB628A"/>
    <w:rsid w:val="00EB6395"/>
    <w:rsid w:val="00EB6593"/>
    <w:rsid w:val="00EB6F0A"/>
    <w:rsid w:val="00EB7666"/>
    <w:rsid w:val="00EB78C0"/>
    <w:rsid w:val="00EB7E73"/>
    <w:rsid w:val="00EC11A1"/>
    <w:rsid w:val="00EC21A9"/>
    <w:rsid w:val="00EC2AE8"/>
    <w:rsid w:val="00EC2D0F"/>
    <w:rsid w:val="00EC3C52"/>
    <w:rsid w:val="00EC3F00"/>
    <w:rsid w:val="00EC4290"/>
    <w:rsid w:val="00EC568F"/>
    <w:rsid w:val="00EC5A3A"/>
    <w:rsid w:val="00EC6C91"/>
    <w:rsid w:val="00EC7244"/>
    <w:rsid w:val="00EC746A"/>
    <w:rsid w:val="00EC783C"/>
    <w:rsid w:val="00EC7F67"/>
    <w:rsid w:val="00ED08AC"/>
    <w:rsid w:val="00ED0B7B"/>
    <w:rsid w:val="00ED0B83"/>
    <w:rsid w:val="00ED0D23"/>
    <w:rsid w:val="00ED10C6"/>
    <w:rsid w:val="00ED1AC6"/>
    <w:rsid w:val="00ED229C"/>
    <w:rsid w:val="00ED2871"/>
    <w:rsid w:val="00ED2ADE"/>
    <w:rsid w:val="00ED2B53"/>
    <w:rsid w:val="00ED2B74"/>
    <w:rsid w:val="00ED3306"/>
    <w:rsid w:val="00ED33B7"/>
    <w:rsid w:val="00ED3786"/>
    <w:rsid w:val="00ED384C"/>
    <w:rsid w:val="00ED4962"/>
    <w:rsid w:val="00ED61CC"/>
    <w:rsid w:val="00ED682F"/>
    <w:rsid w:val="00ED6B24"/>
    <w:rsid w:val="00ED6D05"/>
    <w:rsid w:val="00ED7085"/>
    <w:rsid w:val="00ED71FF"/>
    <w:rsid w:val="00ED735E"/>
    <w:rsid w:val="00EE02EB"/>
    <w:rsid w:val="00EE069F"/>
    <w:rsid w:val="00EE07AE"/>
    <w:rsid w:val="00EE0879"/>
    <w:rsid w:val="00EE0981"/>
    <w:rsid w:val="00EE1275"/>
    <w:rsid w:val="00EE12B2"/>
    <w:rsid w:val="00EE12E4"/>
    <w:rsid w:val="00EE14D6"/>
    <w:rsid w:val="00EE1A91"/>
    <w:rsid w:val="00EE25D4"/>
    <w:rsid w:val="00EE29A2"/>
    <w:rsid w:val="00EE2BC9"/>
    <w:rsid w:val="00EE2EE7"/>
    <w:rsid w:val="00EE3D4D"/>
    <w:rsid w:val="00EE4050"/>
    <w:rsid w:val="00EE4249"/>
    <w:rsid w:val="00EE4BD1"/>
    <w:rsid w:val="00EE4BE9"/>
    <w:rsid w:val="00EE4FD7"/>
    <w:rsid w:val="00EE510D"/>
    <w:rsid w:val="00EE5693"/>
    <w:rsid w:val="00EE65C6"/>
    <w:rsid w:val="00EE6647"/>
    <w:rsid w:val="00EE67E8"/>
    <w:rsid w:val="00EE6BDA"/>
    <w:rsid w:val="00EE6D13"/>
    <w:rsid w:val="00EE6D9B"/>
    <w:rsid w:val="00EE7111"/>
    <w:rsid w:val="00EE71FC"/>
    <w:rsid w:val="00EE7B6A"/>
    <w:rsid w:val="00EE7C6D"/>
    <w:rsid w:val="00EF025F"/>
    <w:rsid w:val="00EF138B"/>
    <w:rsid w:val="00EF15E6"/>
    <w:rsid w:val="00EF216F"/>
    <w:rsid w:val="00EF2864"/>
    <w:rsid w:val="00EF2B56"/>
    <w:rsid w:val="00EF3178"/>
    <w:rsid w:val="00EF34F5"/>
    <w:rsid w:val="00EF3B74"/>
    <w:rsid w:val="00EF3D91"/>
    <w:rsid w:val="00EF457F"/>
    <w:rsid w:val="00EF6C0C"/>
    <w:rsid w:val="00EF715E"/>
    <w:rsid w:val="00EF7706"/>
    <w:rsid w:val="00EF7777"/>
    <w:rsid w:val="00EF7803"/>
    <w:rsid w:val="00EF789A"/>
    <w:rsid w:val="00F00363"/>
    <w:rsid w:val="00F00E37"/>
    <w:rsid w:val="00F012C0"/>
    <w:rsid w:val="00F02051"/>
    <w:rsid w:val="00F0248F"/>
    <w:rsid w:val="00F02826"/>
    <w:rsid w:val="00F0283C"/>
    <w:rsid w:val="00F028CF"/>
    <w:rsid w:val="00F02FF4"/>
    <w:rsid w:val="00F035D9"/>
    <w:rsid w:val="00F03628"/>
    <w:rsid w:val="00F03CEA"/>
    <w:rsid w:val="00F03CFB"/>
    <w:rsid w:val="00F043E0"/>
    <w:rsid w:val="00F04917"/>
    <w:rsid w:val="00F04DCF"/>
    <w:rsid w:val="00F04E0C"/>
    <w:rsid w:val="00F0534F"/>
    <w:rsid w:val="00F05E1C"/>
    <w:rsid w:val="00F0609A"/>
    <w:rsid w:val="00F06968"/>
    <w:rsid w:val="00F06ECB"/>
    <w:rsid w:val="00F07425"/>
    <w:rsid w:val="00F07D04"/>
    <w:rsid w:val="00F10074"/>
    <w:rsid w:val="00F10871"/>
    <w:rsid w:val="00F10C13"/>
    <w:rsid w:val="00F10CFB"/>
    <w:rsid w:val="00F1108E"/>
    <w:rsid w:val="00F111DD"/>
    <w:rsid w:val="00F11710"/>
    <w:rsid w:val="00F1217F"/>
    <w:rsid w:val="00F122CB"/>
    <w:rsid w:val="00F12803"/>
    <w:rsid w:val="00F12882"/>
    <w:rsid w:val="00F128C2"/>
    <w:rsid w:val="00F12B5A"/>
    <w:rsid w:val="00F12E89"/>
    <w:rsid w:val="00F13ABF"/>
    <w:rsid w:val="00F14386"/>
    <w:rsid w:val="00F143FA"/>
    <w:rsid w:val="00F14457"/>
    <w:rsid w:val="00F14756"/>
    <w:rsid w:val="00F14865"/>
    <w:rsid w:val="00F1659C"/>
    <w:rsid w:val="00F1672E"/>
    <w:rsid w:val="00F169D9"/>
    <w:rsid w:val="00F1727E"/>
    <w:rsid w:val="00F178F1"/>
    <w:rsid w:val="00F17B3C"/>
    <w:rsid w:val="00F17BEF"/>
    <w:rsid w:val="00F17CB1"/>
    <w:rsid w:val="00F17E31"/>
    <w:rsid w:val="00F204C2"/>
    <w:rsid w:val="00F20584"/>
    <w:rsid w:val="00F205A6"/>
    <w:rsid w:val="00F207FA"/>
    <w:rsid w:val="00F208D5"/>
    <w:rsid w:val="00F20AD1"/>
    <w:rsid w:val="00F20C15"/>
    <w:rsid w:val="00F20E19"/>
    <w:rsid w:val="00F20ED9"/>
    <w:rsid w:val="00F215E3"/>
    <w:rsid w:val="00F2165A"/>
    <w:rsid w:val="00F21BD5"/>
    <w:rsid w:val="00F222C9"/>
    <w:rsid w:val="00F22327"/>
    <w:rsid w:val="00F22603"/>
    <w:rsid w:val="00F22ADA"/>
    <w:rsid w:val="00F22E79"/>
    <w:rsid w:val="00F231A5"/>
    <w:rsid w:val="00F232BD"/>
    <w:rsid w:val="00F233FA"/>
    <w:rsid w:val="00F23986"/>
    <w:rsid w:val="00F23AC4"/>
    <w:rsid w:val="00F240DC"/>
    <w:rsid w:val="00F2410D"/>
    <w:rsid w:val="00F2455D"/>
    <w:rsid w:val="00F25292"/>
    <w:rsid w:val="00F25D51"/>
    <w:rsid w:val="00F25DE3"/>
    <w:rsid w:val="00F25E6B"/>
    <w:rsid w:val="00F26E93"/>
    <w:rsid w:val="00F26F83"/>
    <w:rsid w:val="00F270C7"/>
    <w:rsid w:val="00F272E4"/>
    <w:rsid w:val="00F275C3"/>
    <w:rsid w:val="00F3021A"/>
    <w:rsid w:val="00F30601"/>
    <w:rsid w:val="00F3064F"/>
    <w:rsid w:val="00F30737"/>
    <w:rsid w:val="00F3076F"/>
    <w:rsid w:val="00F30D8D"/>
    <w:rsid w:val="00F30F93"/>
    <w:rsid w:val="00F30FCE"/>
    <w:rsid w:val="00F31595"/>
    <w:rsid w:val="00F31B8E"/>
    <w:rsid w:val="00F31F43"/>
    <w:rsid w:val="00F32B5E"/>
    <w:rsid w:val="00F33010"/>
    <w:rsid w:val="00F331B6"/>
    <w:rsid w:val="00F33A36"/>
    <w:rsid w:val="00F340E8"/>
    <w:rsid w:val="00F34211"/>
    <w:rsid w:val="00F3452F"/>
    <w:rsid w:val="00F34BCB"/>
    <w:rsid w:val="00F34E27"/>
    <w:rsid w:val="00F3663F"/>
    <w:rsid w:val="00F36C45"/>
    <w:rsid w:val="00F3706F"/>
    <w:rsid w:val="00F37564"/>
    <w:rsid w:val="00F37DAD"/>
    <w:rsid w:val="00F40215"/>
    <w:rsid w:val="00F4036E"/>
    <w:rsid w:val="00F40AB5"/>
    <w:rsid w:val="00F41330"/>
    <w:rsid w:val="00F4180E"/>
    <w:rsid w:val="00F41999"/>
    <w:rsid w:val="00F41B05"/>
    <w:rsid w:val="00F42026"/>
    <w:rsid w:val="00F42307"/>
    <w:rsid w:val="00F425B5"/>
    <w:rsid w:val="00F42629"/>
    <w:rsid w:val="00F428DA"/>
    <w:rsid w:val="00F42B85"/>
    <w:rsid w:val="00F4312F"/>
    <w:rsid w:val="00F435D7"/>
    <w:rsid w:val="00F43841"/>
    <w:rsid w:val="00F441B8"/>
    <w:rsid w:val="00F44709"/>
    <w:rsid w:val="00F44972"/>
    <w:rsid w:val="00F44E07"/>
    <w:rsid w:val="00F461A9"/>
    <w:rsid w:val="00F46359"/>
    <w:rsid w:val="00F47B2E"/>
    <w:rsid w:val="00F50329"/>
    <w:rsid w:val="00F50C23"/>
    <w:rsid w:val="00F5123C"/>
    <w:rsid w:val="00F5138E"/>
    <w:rsid w:val="00F51509"/>
    <w:rsid w:val="00F51774"/>
    <w:rsid w:val="00F51A4B"/>
    <w:rsid w:val="00F51AE7"/>
    <w:rsid w:val="00F51B9B"/>
    <w:rsid w:val="00F51E68"/>
    <w:rsid w:val="00F5232E"/>
    <w:rsid w:val="00F523C7"/>
    <w:rsid w:val="00F5256F"/>
    <w:rsid w:val="00F52659"/>
    <w:rsid w:val="00F52BAF"/>
    <w:rsid w:val="00F52E34"/>
    <w:rsid w:val="00F52F3C"/>
    <w:rsid w:val="00F5339F"/>
    <w:rsid w:val="00F539C1"/>
    <w:rsid w:val="00F53A54"/>
    <w:rsid w:val="00F53F99"/>
    <w:rsid w:val="00F54BD1"/>
    <w:rsid w:val="00F5516A"/>
    <w:rsid w:val="00F5554A"/>
    <w:rsid w:val="00F55C8A"/>
    <w:rsid w:val="00F55D5E"/>
    <w:rsid w:val="00F56DB6"/>
    <w:rsid w:val="00F57384"/>
    <w:rsid w:val="00F57960"/>
    <w:rsid w:val="00F60AFD"/>
    <w:rsid w:val="00F60EBE"/>
    <w:rsid w:val="00F61354"/>
    <w:rsid w:val="00F61534"/>
    <w:rsid w:val="00F61779"/>
    <w:rsid w:val="00F61DD2"/>
    <w:rsid w:val="00F62A5A"/>
    <w:rsid w:val="00F637E8"/>
    <w:rsid w:val="00F63DD5"/>
    <w:rsid w:val="00F641AA"/>
    <w:rsid w:val="00F6420B"/>
    <w:rsid w:val="00F64763"/>
    <w:rsid w:val="00F64772"/>
    <w:rsid w:val="00F64D3E"/>
    <w:rsid w:val="00F64F65"/>
    <w:rsid w:val="00F64F70"/>
    <w:rsid w:val="00F65426"/>
    <w:rsid w:val="00F65733"/>
    <w:rsid w:val="00F65996"/>
    <w:rsid w:val="00F65D83"/>
    <w:rsid w:val="00F65DF0"/>
    <w:rsid w:val="00F66101"/>
    <w:rsid w:val="00F66421"/>
    <w:rsid w:val="00F66742"/>
    <w:rsid w:val="00F66804"/>
    <w:rsid w:val="00F67052"/>
    <w:rsid w:val="00F6744A"/>
    <w:rsid w:val="00F6744B"/>
    <w:rsid w:val="00F678B6"/>
    <w:rsid w:val="00F67BF9"/>
    <w:rsid w:val="00F67D6C"/>
    <w:rsid w:val="00F67E52"/>
    <w:rsid w:val="00F67EB6"/>
    <w:rsid w:val="00F702EF"/>
    <w:rsid w:val="00F70319"/>
    <w:rsid w:val="00F7100B"/>
    <w:rsid w:val="00F711B5"/>
    <w:rsid w:val="00F71318"/>
    <w:rsid w:val="00F7138B"/>
    <w:rsid w:val="00F71402"/>
    <w:rsid w:val="00F71F15"/>
    <w:rsid w:val="00F723DE"/>
    <w:rsid w:val="00F724D9"/>
    <w:rsid w:val="00F72736"/>
    <w:rsid w:val="00F72BB5"/>
    <w:rsid w:val="00F72D15"/>
    <w:rsid w:val="00F72F9B"/>
    <w:rsid w:val="00F730AF"/>
    <w:rsid w:val="00F737DE"/>
    <w:rsid w:val="00F73E54"/>
    <w:rsid w:val="00F74371"/>
    <w:rsid w:val="00F744C8"/>
    <w:rsid w:val="00F74516"/>
    <w:rsid w:val="00F758AC"/>
    <w:rsid w:val="00F76A3E"/>
    <w:rsid w:val="00F76AFA"/>
    <w:rsid w:val="00F76DB1"/>
    <w:rsid w:val="00F776BA"/>
    <w:rsid w:val="00F77BCE"/>
    <w:rsid w:val="00F77D5B"/>
    <w:rsid w:val="00F77E19"/>
    <w:rsid w:val="00F800E7"/>
    <w:rsid w:val="00F8071D"/>
    <w:rsid w:val="00F80812"/>
    <w:rsid w:val="00F80E5E"/>
    <w:rsid w:val="00F811C3"/>
    <w:rsid w:val="00F811D7"/>
    <w:rsid w:val="00F81311"/>
    <w:rsid w:val="00F81AF4"/>
    <w:rsid w:val="00F81AFE"/>
    <w:rsid w:val="00F81BAC"/>
    <w:rsid w:val="00F81D3F"/>
    <w:rsid w:val="00F81D66"/>
    <w:rsid w:val="00F81E73"/>
    <w:rsid w:val="00F831D5"/>
    <w:rsid w:val="00F831FD"/>
    <w:rsid w:val="00F834F6"/>
    <w:rsid w:val="00F835CE"/>
    <w:rsid w:val="00F835E8"/>
    <w:rsid w:val="00F83C47"/>
    <w:rsid w:val="00F840ED"/>
    <w:rsid w:val="00F84499"/>
    <w:rsid w:val="00F8453F"/>
    <w:rsid w:val="00F8476A"/>
    <w:rsid w:val="00F84E19"/>
    <w:rsid w:val="00F85FFC"/>
    <w:rsid w:val="00F861F5"/>
    <w:rsid w:val="00F8627D"/>
    <w:rsid w:val="00F86477"/>
    <w:rsid w:val="00F86E01"/>
    <w:rsid w:val="00F87023"/>
    <w:rsid w:val="00F87121"/>
    <w:rsid w:val="00F87157"/>
    <w:rsid w:val="00F87C06"/>
    <w:rsid w:val="00F90295"/>
    <w:rsid w:val="00F90386"/>
    <w:rsid w:val="00F903F0"/>
    <w:rsid w:val="00F908B7"/>
    <w:rsid w:val="00F90CDD"/>
    <w:rsid w:val="00F90CF6"/>
    <w:rsid w:val="00F90E3D"/>
    <w:rsid w:val="00F91399"/>
    <w:rsid w:val="00F91B1F"/>
    <w:rsid w:val="00F91BDA"/>
    <w:rsid w:val="00F9268A"/>
    <w:rsid w:val="00F93D6B"/>
    <w:rsid w:val="00F93FB0"/>
    <w:rsid w:val="00F94D6E"/>
    <w:rsid w:val="00F95DF0"/>
    <w:rsid w:val="00F96315"/>
    <w:rsid w:val="00F96D6B"/>
    <w:rsid w:val="00F972BF"/>
    <w:rsid w:val="00F97853"/>
    <w:rsid w:val="00F9796E"/>
    <w:rsid w:val="00FA006F"/>
    <w:rsid w:val="00FA027C"/>
    <w:rsid w:val="00FA0564"/>
    <w:rsid w:val="00FA06E3"/>
    <w:rsid w:val="00FA097F"/>
    <w:rsid w:val="00FA0C42"/>
    <w:rsid w:val="00FA1072"/>
    <w:rsid w:val="00FA20C4"/>
    <w:rsid w:val="00FA222F"/>
    <w:rsid w:val="00FA229D"/>
    <w:rsid w:val="00FA24B6"/>
    <w:rsid w:val="00FA25F7"/>
    <w:rsid w:val="00FA29C7"/>
    <w:rsid w:val="00FA2FAB"/>
    <w:rsid w:val="00FA31D7"/>
    <w:rsid w:val="00FA372A"/>
    <w:rsid w:val="00FA3F82"/>
    <w:rsid w:val="00FA43DF"/>
    <w:rsid w:val="00FA46CD"/>
    <w:rsid w:val="00FA4EB3"/>
    <w:rsid w:val="00FA5687"/>
    <w:rsid w:val="00FA5854"/>
    <w:rsid w:val="00FA60A3"/>
    <w:rsid w:val="00FA638D"/>
    <w:rsid w:val="00FA6DEA"/>
    <w:rsid w:val="00FA6E18"/>
    <w:rsid w:val="00FA725B"/>
    <w:rsid w:val="00FA7329"/>
    <w:rsid w:val="00FA7441"/>
    <w:rsid w:val="00FA76AB"/>
    <w:rsid w:val="00FA79D8"/>
    <w:rsid w:val="00FB05CB"/>
    <w:rsid w:val="00FB0B8C"/>
    <w:rsid w:val="00FB1329"/>
    <w:rsid w:val="00FB1530"/>
    <w:rsid w:val="00FB1F68"/>
    <w:rsid w:val="00FB20EF"/>
    <w:rsid w:val="00FB22E3"/>
    <w:rsid w:val="00FB24D6"/>
    <w:rsid w:val="00FB26D6"/>
    <w:rsid w:val="00FB2718"/>
    <w:rsid w:val="00FB3B2E"/>
    <w:rsid w:val="00FB3F20"/>
    <w:rsid w:val="00FB444B"/>
    <w:rsid w:val="00FB4802"/>
    <w:rsid w:val="00FB50F1"/>
    <w:rsid w:val="00FB570D"/>
    <w:rsid w:val="00FB5F29"/>
    <w:rsid w:val="00FB7080"/>
    <w:rsid w:val="00FB7528"/>
    <w:rsid w:val="00FB7B47"/>
    <w:rsid w:val="00FC0277"/>
    <w:rsid w:val="00FC061A"/>
    <w:rsid w:val="00FC084B"/>
    <w:rsid w:val="00FC08AD"/>
    <w:rsid w:val="00FC1277"/>
    <w:rsid w:val="00FC148B"/>
    <w:rsid w:val="00FC17C6"/>
    <w:rsid w:val="00FC1A72"/>
    <w:rsid w:val="00FC22ED"/>
    <w:rsid w:val="00FC24B4"/>
    <w:rsid w:val="00FC28C1"/>
    <w:rsid w:val="00FC2A50"/>
    <w:rsid w:val="00FC2DE1"/>
    <w:rsid w:val="00FC314F"/>
    <w:rsid w:val="00FC3337"/>
    <w:rsid w:val="00FC333F"/>
    <w:rsid w:val="00FC3AE9"/>
    <w:rsid w:val="00FC41F5"/>
    <w:rsid w:val="00FC449A"/>
    <w:rsid w:val="00FC4B34"/>
    <w:rsid w:val="00FC4C1F"/>
    <w:rsid w:val="00FC4CE9"/>
    <w:rsid w:val="00FC51A5"/>
    <w:rsid w:val="00FC5D57"/>
    <w:rsid w:val="00FC61EF"/>
    <w:rsid w:val="00FC6777"/>
    <w:rsid w:val="00FC7073"/>
    <w:rsid w:val="00FC7430"/>
    <w:rsid w:val="00FC7D5F"/>
    <w:rsid w:val="00FD0028"/>
    <w:rsid w:val="00FD0040"/>
    <w:rsid w:val="00FD010B"/>
    <w:rsid w:val="00FD0143"/>
    <w:rsid w:val="00FD0F02"/>
    <w:rsid w:val="00FD13E2"/>
    <w:rsid w:val="00FD14AC"/>
    <w:rsid w:val="00FD1E9C"/>
    <w:rsid w:val="00FD25A2"/>
    <w:rsid w:val="00FD2C90"/>
    <w:rsid w:val="00FD3332"/>
    <w:rsid w:val="00FD35CF"/>
    <w:rsid w:val="00FD367C"/>
    <w:rsid w:val="00FD3AF6"/>
    <w:rsid w:val="00FD3B23"/>
    <w:rsid w:val="00FD3F1A"/>
    <w:rsid w:val="00FD4A54"/>
    <w:rsid w:val="00FD538E"/>
    <w:rsid w:val="00FD5703"/>
    <w:rsid w:val="00FD5A24"/>
    <w:rsid w:val="00FD5B6D"/>
    <w:rsid w:val="00FD626F"/>
    <w:rsid w:val="00FD6866"/>
    <w:rsid w:val="00FD6E08"/>
    <w:rsid w:val="00FD6E76"/>
    <w:rsid w:val="00FD762E"/>
    <w:rsid w:val="00FD7CCD"/>
    <w:rsid w:val="00FD7FC1"/>
    <w:rsid w:val="00FE010B"/>
    <w:rsid w:val="00FE03B9"/>
    <w:rsid w:val="00FE0595"/>
    <w:rsid w:val="00FE0BCE"/>
    <w:rsid w:val="00FE0D1B"/>
    <w:rsid w:val="00FE11FA"/>
    <w:rsid w:val="00FE1322"/>
    <w:rsid w:val="00FE2D08"/>
    <w:rsid w:val="00FE3190"/>
    <w:rsid w:val="00FE37AD"/>
    <w:rsid w:val="00FE3ED6"/>
    <w:rsid w:val="00FE47B6"/>
    <w:rsid w:val="00FE47CE"/>
    <w:rsid w:val="00FE4DB1"/>
    <w:rsid w:val="00FE5346"/>
    <w:rsid w:val="00FE556F"/>
    <w:rsid w:val="00FE616F"/>
    <w:rsid w:val="00FE66A5"/>
    <w:rsid w:val="00FE6B67"/>
    <w:rsid w:val="00FE719E"/>
    <w:rsid w:val="00FE730D"/>
    <w:rsid w:val="00FE7330"/>
    <w:rsid w:val="00FE7DB2"/>
    <w:rsid w:val="00FF0F09"/>
    <w:rsid w:val="00FF1F21"/>
    <w:rsid w:val="00FF2542"/>
    <w:rsid w:val="00FF3352"/>
    <w:rsid w:val="00FF3394"/>
    <w:rsid w:val="00FF383D"/>
    <w:rsid w:val="00FF38A7"/>
    <w:rsid w:val="00FF3FB2"/>
    <w:rsid w:val="00FF50B6"/>
    <w:rsid w:val="00FF569E"/>
    <w:rsid w:val="00FF5AAD"/>
    <w:rsid w:val="00FF5C9C"/>
    <w:rsid w:val="00FF5DCA"/>
    <w:rsid w:val="00FF60EE"/>
    <w:rsid w:val="00FF6BC5"/>
    <w:rsid w:val="00FF73FB"/>
    <w:rsid w:val="00FF750B"/>
    <w:rsid w:val="00FF7744"/>
    <w:rsid w:val="00FF7CF9"/>
    <w:rsid w:val="00FF7E69"/>
    <w:rsid w:val="09AA49C1"/>
    <w:rsid w:val="0E073593"/>
    <w:rsid w:val="0EDE2AD9"/>
    <w:rsid w:val="11F65508"/>
    <w:rsid w:val="13B44B7A"/>
    <w:rsid w:val="13E259E9"/>
    <w:rsid w:val="163A6B1B"/>
    <w:rsid w:val="181B1DAD"/>
    <w:rsid w:val="18984BBD"/>
    <w:rsid w:val="1A4A10D5"/>
    <w:rsid w:val="1C6A4F55"/>
    <w:rsid w:val="1E3F610C"/>
    <w:rsid w:val="217719F9"/>
    <w:rsid w:val="227D2BB6"/>
    <w:rsid w:val="25BE0DE7"/>
    <w:rsid w:val="27277CC8"/>
    <w:rsid w:val="28612632"/>
    <w:rsid w:val="2AA008A2"/>
    <w:rsid w:val="2C2F4B5C"/>
    <w:rsid w:val="2D711641"/>
    <w:rsid w:val="31875C32"/>
    <w:rsid w:val="365E61D9"/>
    <w:rsid w:val="37A225FF"/>
    <w:rsid w:val="38F50D26"/>
    <w:rsid w:val="3964374C"/>
    <w:rsid w:val="3AEEE381"/>
    <w:rsid w:val="3DE0019B"/>
    <w:rsid w:val="4086796E"/>
    <w:rsid w:val="4233038E"/>
    <w:rsid w:val="439C205A"/>
    <w:rsid w:val="44D501D8"/>
    <w:rsid w:val="465D05F4"/>
    <w:rsid w:val="46772218"/>
    <w:rsid w:val="495F1CA3"/>
    <w:rsid w:val="4BBE4F35"/>
    <w:rsid w:val="4D87439F"/>
    <w:rsid w:val="4EF179BD"/>
    <w:rsid w:val="50623937"/>
    <w:rsid w:val="50993448"/>
    <w:rsid w:val="51E3A470"/>
    <w:rsid w:val="556E46AE"/>
    <w:rsid w:val="578D5C69"/>
    <w:rsid w:val="59A7459D"/>
    <w:rsid w:val="5E693AAA"/>
    <w:rsid w:val="5FCD3DF8"/>
    <w:rsid w:val="5FED48A4"/>
    <w:rsid w:val="60495E00"/>
    <w:rsid w:val="647A15E5"/>
    <w:rsid w:val="66DA785D"/>
    <w:rsid w:val="69DD6138"/>
    <w:rsid w:val="6A27351B"/>
    <w:rsid w:val="6BF345E5"/>
    <w:rsid w:val="6D1E7973"/>
    <w:rsid w:val="6E292231"/>
    <w:rsid w:val="6E7417EC"/>
    <w:rsid w:val="71916718"/>
    <w:rsid w:val="72CB438A"/>
    <w:rsid w:val="72E81FAC"/>
    <w:rsid w:val="72EB753F"/>
    <w:rsid w:val="74CC4D16"/>
    <w:rsid w:val="74D27F96"/>
    <w:rsid w:val="7C1E2269"/>
    <w:rsid w:val="7C2D02BF"/>
    <w:rsid w:val="7C9E5927"/>
    <w:rsid w:val="7CB05EE7"/>
    <w:rsid w:val="7CE11DA5"/>
    <w:rsid w:val="BF6A691E"/>
    <w:rsid w:val="EBFD2F96"/>
    <w:rsid w:val="FDFD85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nhideWhenUsed="0" w:uiPriority="9" w:semiHidden="0" w:name="heading 4"/>
    <w:lsdException w:qFormat="1" w:unhideWhenUsed="0" w:uiPriority="9"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iPriority="39" w:semiHidden="0"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iPriority="0" w:semiHidden="0" w:name="footnote reference"/>
    <w:lsdException w:qFormat="1" w:uiPriority="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qFormat="1" w:unhideWhenUsed="0" w:uiPriority="0" w:semiHidden="0"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99" w:semiHidden="0"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qFormat="1" w:unhideWhenUsed="0" w:uiPriority="59" w:semiHidden="0" w:name="Table Grid"/>
    <w:lsdException w:qFormat="1" w:uiPriority="0" w:name="Table Theme"/>
    <w:lsdException w:qFormat="1"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200" w:firstLineChars="200"/>
      <w:jc w:val="both"/>
    </w:pPr>
    <w:rPr>
      <w:rFonts w:eastAsia="仿宋_GB2312" w:asciiTheme="minorHAnsi" w:hAnsiTheme="minorHAnsi" w:cstheme="minorBidi"/>
      <w:kern w:val="2"/>
      <w:sz w:val="32"/>
      <w:szCs w:val="22"/>
      <w:lang w:val="en-US" w:eastAsia="zh-CN" w:bidi="ar-SA"/>
    </w:rPr>
  </w:style>
  <w:style w:type="paragraph" w:styleId="3">
    <w:name w:val="heading 1"/>
    <w:basedOn w:val="1"/>
    <w:next w:val="1"/>
    <w:link w:val="44"/>
    <w:qFormat/>
    <w:uiPriority w:val="0"/>
    <w:pPr>
      <w:keepNext/>
      <w:keepLines/>
      <w:outlineLvl w:val="0"/>
    </w:pPr>
    <w:rPr>
      <w:rFonts w:eastAsia="黑体"/>
      <w:bCs/>
      <w:kern w:val="44"/>
      <w:szCs w:val="44"/>
    </w:rPr>
  </w:style>
  <w:style w:type="paragraph" w:styleId="4">
    <w:name w:val="heading 2"/>
    <w:basedOn w:val="1"/>
    <w:next w:val="1"/>
    <w:link w:val="47"/>
    <w:unhideWhenUsed/>
    <w:qFormat/>
    <w:uiPriority w:val="0"/>
    <w:pPr>
      <w:keepNext/>
      <w:keepLines/>
      <w:ind w:firstLine="643"/>
      <w:outlineLvl w:val="1"/>
    </w:pPr>
    <w:rPr>
      <w:rFonts w:ascii="楷体_GB2312" w:hAnsi="楷体_GB2312" w:eastAsia="楷体_GB2312" w:cs="楷体_GB2312"/>
      <w:b/>
      <w:bCs/>
      <w:color w:val="000000" w:themeColor="text1"/>
      <w:szCs w:val="32"/>
      <w14:textFill>
        <w14:solidFill>
          <w14:schemeClr w14:val="tx1"/>
        </w14:solidFill>
      </w14:textFill>
    </w:rPr>
  </w:style>
  <w:style w:type="paragraph" w:styleId="5">
    <w:name w:val="heading 3"/>
    <w:basedOn w:val="1"/>
    <w:next w:val="1"/>
    <w:link w:val="48"/>
    <w:unhideWhenUsed/>
    <w:qFormat/>
    <w:uiPriority w:val="0"/>
    <w:pPr>
      <w:keepNext/>
      <w:keepLines/>
      <w:outlineLvl w:val="2"/>
    </w:pPr>
    <w:rPr>
      <w:rFonts w:ascii="仿宋_GB2312"/>
      <w:b/>
      <w:bCs/>
      <w:szCs w:val="32"/>
    </w:rPr>
  </w:style>
  <w:style w:type="paragraph" w:styleId="6">
    <w:name w:val="heading 4"/>
    <w:basedOn w:val="1"/>
    <w:next w:val="1"/>
    <w:link w:val="49"/>
    <w:qFormat/>
    <w:uiPriority w:val="9"/>
    <w:pPr>
      <w:keepNext/>
      <w:keepLines/>
      <w:outlineLvl w:val="3"/>
    </w:pPr>
    <w:rPr>
      <w:rFonts w:ascii="仿宋_GB2312" w:hAnsi="Arial" w:cs="Times New Roman"/>
      <w:bCs/>
      <w:szCs w:val="28"/>
    </w:rPr>
  </w:style>
  <w:style w:type="paragraph" w:styleId="7">
    <w:name w:val="heading 5"/>
    <w:basedOn w:val="1"/>
    <w:next w:val="1"/>
    <w:link w:val="50"/>
    <w:qFormat/>
    <w:uiPriority w:val="9"/>
    <w:pPr>
      <w:keepNext/>
      <w:keepLines/>
      <w:spacing w:before="280" w:after="290" w:line="376" w:lineRule="auto"/>
      <w:outlineLvl w:val="4"/>
    </w:pPr>
    <w:rPr>
      <w:rFonts w:ascii="仿宋_GB2312" w:hAnsi="Times New Roman" w:cs="Times New Roman"/>
      <w:b/>
      <w:bCs/>
      <w:sz w:val="28"/>
      <w:szCs w:val="28"/>
    </w:rPr>
  </w:style>
  <w:style w:type="paragraph" w:styleId="8">
    <w:name w:val="heading 6"/>
    <w:basedOn w:val="1"/>
    <w:next w:val="1"/>
    <w:link w:val="51"/>
    <w:qFormat/>
    <w:uiPriority w:val="0"/>
    <w:pPr>
      <w:keepNext/>
      <w:keepLines/>
      <w:spacing w:before="240" w:after="64" w:line="320" w:lineRule="auto"/>
      <w:outlineLvl w:val="5"/>
    </w:pPr>
    <w:rPr>
      <w:rFonts w:ascii="Cambria" w:hAnsi="Cambria" w:eastAsia="宋体" w:cs="Times New Roman"/>
      <w:b/>
      <w:bCs/>
      <w:sz w:val="24"/>
      <w:szCs w:val="24"/>
    </w:rPr>
  </w:style>
  <w:style w:type="character" w:default="1" w:styleId="36">
    <w:name w:val="Default Paragraph Font"/>
    <w:semiHidden/>
    <w:unhideWhenUsed/>
    <w:qFormat/>
    <w:uiPriority w:val="1"/>
  </w:style>
  <w:style w:type="table" w:default="1" w:styleId="33">
    <w:name w:val="Normal Table"/>
    <w:semiHidden/>
    <w:unhideWhenUsed/>
    <w:qFormat/>
    <w:uiPriority w:val="99"/>
    <w:tblPr>
      <w:tblCellMar>
        <w:top w:w="0" w:type="dxa"/>
        <w:left w:w="108" w:type="dxa"/>
        <w:bottom w:w="0" w:type="dxa"/>
        <w:right w:w="108" w:type="dxa"/>
      </w:tblCellMar>
    </w:tblPr>
  </w:style>
  <w:style w:type="paragraph" w:styleId="2">
    <w:name w:val="toc 2"/>
    <w:basedOn w:val="1"/>
    <w:next w:val="1"/>
    <w:qFormat/>
    <w:uiPriority w:val="39"/>
    <w:pPr>
      <w:tabs>
        <w:tab w:val="right" w:leader="dot" w:pos="8947"/>
      </w:tabs>
      <w:spacing w:line="240" w:lineRule="auto"/>
      <w:ind w:firstLine="560"/>
    </w:pPr>
    <w:rPr>
      <w:rFonts w:ascii="仿宋_GB2312" w:hAnsi="仿宋_GB2312" w:cs="Times New Roman"/>
      <w:sz w:val="24"/>
      <w:szCs w:val="28"/>
    </w:rPr>
  </w:style>
  <w:style w:type="paragraph" w:styleId="9">
    <w:name w:val="Normal Indent"/>
    <w:basedOn w:val="1"/>
    <w:link w:val="241"/>
    <w:qFormat/>
    <w:uiPriority w:val="0"/>
    <w:pPr>
      <w:spacing w:line="240" w:lineRule="auto"/>
      <w:ind w:firstLine="420"/>
    </w:pPr>
    <w:rPr>
      <w:rFonts w:ascii="Times New Roman" w:hAnsi="Times New Roman" w:eastAsia="宋体" w:cs="Times New Roman"/>
      <w:sz w:val="21"/>
      <w:szCs w:val="20"/>
    </w:rPr>
  </w:style>
  <w:style w:type="paragraph" w:styleId="10">
    <w:name w:val="caption"/>
    <w:basedOn w:val="1"/>
    <w:next w:val="1"/>
    <w:qFormat/>
    <w:uiPriority w:val="0"/>
    <w:pPr>
      <w:jc w:val="center"/>
    </w:pPr>
    <w:rPr>
      <w:rFonts w:ascii="Calibri" w:hAnsi="Calibri" w:eastAsia="宋体" w:cs="Times New Roman"/>
      <w:b/>
      <w:sz w:val="21"/>
      <w:szCs w:val="21"/>
    </w:rPr>
  </w:style>
  <w:style w:type="paragraph" w:styleId="11">
    <w:name w:val="Document Map"/>
    <w:basedOn w:val="1"/>
    <w:link w:val="52"/>
    <w:qFormat/>
    <w:uiPriority w:val="0"/>
    <w:pPr>
      <w:spacing w:line="240" w:lineRule="auto"/>
    </w:pPr>
    <w:rPr>
      <w:rFonts w:ascii="宋体" w:eastAsiaTheme="minorEastAsia"/>
      <w:sz w:val="18"/>
      <w:szCs w:val="18"/>
    </w:rPr>
  </w:style>
  <w:style w:type="paragraph" w:styleId="12">
    <w:name w:val="annotation text"/>
    <w:basedOn w:val="1"/>
    <w:link w:val="53"/>
    <w:unhideWhenUsed/>
    <w:qFormat/>
    <w:uiPriority w:val="0"/>
    <w:pPr>
      <w:jc w:val="left"/>
    </w:pPr>
  </w:style>
  <w:style w:type="paragraph" w:styleId="13">
    <w:name w:val="Body Text"/>
    <w:basedOn w:val="1"/>
    <w:link w:val="54"/>
    <w:qFormat/>
    <w:uiPriority w:val="0"/>
    <w:pPr>
      <w:spacing w:after="120" w:line="240" w:lineRule="auto"/>
    </w:pPr>
    <w:rPr>
      <w:rFonts w:ascii="仿宋_GB2312" w:hAnsi="Times New Roman" w:eastAsia="宋体" w:cs="Times New Roman"/>
      <w:sz w:val="24"/>
      <w:szCs w:val="28"/>
    </w:rPr>
  </w:style>
  <w:style w:type="paragraph" w:styleId="14">
    <w:name w:val="Body Text Indent"/>
    <w:basedOn w:val="1"/>
    <w:link w:val="55"/>
    <w:qFormat/>
    <w:uiPriority w:val="0"/>
    <w:pPr>
      <w:spacing w:line="240" w:lineRule="auto"/>
      <w:ind w:firstLine="554"/>
    </w:pPr>
    <w:rPr>
      <w:rFonts w:ascii="仿宋_GB2312"/>
      <w:sz w:val="28"/>
      <w:szCs w:val="28"/>
    </w:rPr>
  </w:style>
  <w:style w:type="paragraph" w:styleId="15">
    <w:name w:val="toc 5"/>
    <w:basedOn w:val="1"/>
    <w:next w:val="1"/>
    <w:qFormat/>
    <w:uiPriority w:val="0"/>
    <w:pPr>
      <w:spacing w:line="240" w:lineRule="auto"/>
      <w:ind w:left="840"/>
      <w:jc w:val="left"/>
    </w:pPr>
    <w:rPr>
      <w:rFonts w:ascii="Times New Roman" w:hAnsi="Times New Roman" w:eastAsia="宋体" w:cs="Times New Roman"/>
      <w:sz w:val="18"/>
      <w:szCs w:val="18"/>
    </w:rPr>
  </w:style>
  <w:style w:type="paragraph" w:styleId="16">
    <w:name w:val="toc 3"/>
    <w:basedOn w:val="1"/>
    <w:next w:val="1"/>
    <w:unhideWhenUsed/>
    <w:qFormat/>
    <w:uiPriority w:val="39"/>
    <w:pPr>
      <w:ind w:left="840" w:leftChars="400"/>
    </w:pPr>
  </w:style>
  <w:style w:type="paragraph" w:styleId="17">
    <w:name w:val="Plain Text"/>
    <w:basedOn w:val="1"/>
    <w:link w:val="56"/>
    <w:qFormat/>
    <w:uiPriority w:val="0"/>
    <w:pPr>
      <w:spacing w:line="240" w:lineRule="auto"/>
    </w:pPr>
    <w:rPr>
      <w:rFonts w:ascii="宋体" w:hAnsi="Courier New" w:cs="Times New Roman"/>
      <w:sz w:val="24"/>
      <w:szCs w:val="20"/>
    </w:rPr>
  </w:style>
  <w:style w:type="paragraph" w:styleId="18">
    <w:name w:val="Date"/>
    <w:basedOn w:val="1"/>
    <w:next w:val="1"/>
    <w:link w:val="57"/>
    <w:qFormat/>
    <w:uiPriority w:val="99"/>
    <w:pPr>
      <w:spacing w:line="240" w:lineRule="auto"/>
    </w:pPr>
    <w:rPr>
      <w:rFonts w:ascii="宋体" w:hAnsi="Times New Roman" w:eastAsia="宋体" w:cs="Times New Roman"/>
      <w:sz w:val="24"/>
      <w:szCs w:val="20"/>
    </w:rPr>
  </w:style>
  <w:style w:type="paragraph" w:styleId="19">
    <w:name w:val="Body Text Indent 2"/>
    <w:basedOn w:val="1"/>
    <w:link w:val="58"/>
    <w:qFormat/>
    <w:uiPriority w:val="0"/>
    <w:pPr>
      <w:spacing w:line="240" w:lineRule="auto"/>
      <w:ind w:right="23" w:rightChars="11" w:firstLine="560"/>
    </w:pPr>
    <w:rPr>
      <w:rFonts w:ascii="Times New Roman" w:hAnsi="Times New Roman" w:cs="Times New Roman"/>
      <w:sz w:val="24"/>
      <w:szCs w:val="28"/>
    </w:rPr>
  </w:style>
  <w:style w:type="paragraph" w:styleId="20">
    <w:name w:val="Balloon Text"/>
    <w:basedOn w:val="1"/>
    <w:link w:val="59"/>
    <w:unhideWhenUsed/>
    <w:qFormat/>
    <w:uiPriority w:val="0"/>
    <w:pPr>
      <w:spacing w:line="240" w:lineRule="auto"/>
    </w:pPr>
    <w:rPr>
      <w:sz w:val="18"/>
      <w:szCs w:val="18"/>
    </w:rPr>
  </w:style>
  <w:style w:type="paragraph" w:styleId="21">
    <w:name w:val="footer"/>
    <w:basedOn w:val="1"/>
    <w:link w:val="46"/>
    <w:unhideWhenUsed/>
    <w:qFormat/>
    <w:uiPriority w:val="99"/>
    <w:pPr>
      <w:tabs>
        <w:tab w:val="center" w:pos="4153"/>
        <w:tab w:val="right" w:pos="8306"/>
      </w:tabs>
      <w:spacing w:line="240" w:lineRule="auto"/>
      <w:jc w:val="left"/>
    </w:pPr>
    <w:rPr>
      <w:rFonts w:eastAsiaTheme="minorEastAsia"/>
      <w:sz w:val="18"/>
      <w:szCs w:val="18"/>
    </w:rPr>
  </w:style>
  <w:style w:type="paragraph" w:styleId="22">
    <w:name w:val="header"/>
    <w:basedOn w:val="1"/>
    <w:link w:val="45"/>
    <w:unhideWhenUsed/>
    <w:qFormat/>
    <w:uiPriority w:val="0"/>
    <w:pPr>
      <w:pBdr>
        <w:bottom w:val="single" w:color="auto" w:sz="6" w:space="1"/>
      </w:pBdr>
      <w:tabs>
        <w:tab w:val="center" w:pos="4153"/>
        <w:tab w:val="right" w:pos="8306"/>
      </w:tabs>
      <w:spacing w:line="240" w:lineRule="auto"/>
      <w:jc w:val="center"/>
    </w:pPr>
    <w:rPr>
      <w:rFonts w:eastAsiaTheme="minorEastAsia"/>
      <w:sz w:val="18"/>
      <w:szCs w:val="18"/>
    </w:rPr>
  </w:style>
  <w:style w:type="paragraph" w:styleId="23">
    <w:name w:val="toc 1"/>
    <w:basedOn w:val="1"/>
    <w:next w:val="1"/>
    <w:qFormat/>
    <w:uiPriority w:val="39"/>
    <w:pPr>
      <w:tabs>
        <w:tab w:val="right" w:leader="dot" w:pos="8931"/>
      </w:tabs>
      <w:spacing w:line="460" w:lineRule="exact"/>
      <w:ind w:firstLine="0" w:firstLineChars="0"/>
    </w:pPr>
    <w:rPr>
      <w:rFonts w:ascii="仿宋" w:hAnsi="仿宋" w:eastAsia="仿宋" w:cs="Times New Roman"/>
      <w:b/>
      <w:sz w:val="28"/>
      <w:szCs w:val="28"/>
    </w:rPr>
  </w:style>
  <w:style w:type="paragraph" w:styleId="24">
    <w:name w:val="Subtitle"/>
    <w:basedOn w:val="1"/>
    <w:next w:val="1"/>
    <w:link w:val="60"/>
    <w:qFormat/>
    <w:uiPriority w:val="0"/>
    <w:pPr>
      <w:spacing w:before="240" w:after="60" w:line="312" w:lineRule="auto"/>
      <w:jc w:val="center"/>
      <w:outlineLvl w:val="1"/>
    </w:pPr>
    <w:rPr>
      <w:rFonts w:ascii="Cambria" w:hAnsi="Cambria" w:cs="Times New Roman" w:eastAsiaTheme="minorEastAsia"/>
      <w:b/>
      <w:bCs/>
      <w:kern w:val="28"/>
      <w:szCs w:val="32"/>
    </w:rPr>
  </w:style>
  <w:style w:type="paragraph" w:styleId="25">
    <w:name w:val="footnote text"/>
    <w:basedOn w:val="1"/>
    <w:link w:val="61"/>
    <w:unhideWhenUsed/>
    <w:qFormat/>
    <w:uiPriority w:val="0"/>
    <w:pPr>
      <w:jc w:val="left"/>
    </w:pPr>
    <w:rPr>
      <w:sz w:val="18"/>
      <w:szCs w:val="18"/>
    </w:rPr>
  </w:style>
  <w:style w:type="paragraph" w:styleId="26">
    <w:name w:val="Body Text Indent 3"/>
    <w:basedOn w:val="1"/>
    <w:link w:val="62"/>
    <w:qFormat/>
    <w:uiPriority w:val="0"/>
    <w:pPr>
      <w:spacing w:after="120" w:line="240" w:lineRule="auto"/>
      <w:ind w:left="420" w:leftChars="200"/>
    </w:pPr>
    <w:rPr>
      <w:rFonts w:ascii="仿宋_GB2312" w:hAnsi="仿宋_GB2312"/>
      <w:sz w:val="16"/>
      <w:szCs w:val="16"/>
    </w:rPr>
  </w:style>
  <w:style w:type="paragraph" w:styleId="27">
    <w:name w:val="List Continue 2"/>
    <w:basedOn w:val="1"/>
    <w:qFormat/>
    <w:uiPriority w:val="0"/>
    <w:pPr>
      <w:widowControl/>
      <w:spacing w:after="120" w:line="240" w:lineRule="auto"/>
      <w:ind w:left="840" w:leftChars="400"/>
      <w:jc w:val="left"/>
    </w:pPr>
    <w:rPr>
      <w:rFonts w:ascii="Calibri" w:hAnsi="Calibri" w:eastAsia="宋体" w:cs="Times New Roman"/>
      <w:kern w:val="0"/>
      <w:sz w:val="24"/>
      <w:szCs w:val="24"/>
      <w:lang w:eastAsia="en-US" w:bidi="en-US"/>
    </w:rPr>
  </w:style>
  <w:style w:type="paragraph" w:styleId="28">
    <w:name w:val="HTML Preformatted"/>
    <w:basedOn w:val="1"/>
    <w:link w:val="63"/>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left"/>
    </w:pPr>
    <w:rPr>
      <w:rFonts w:ascii="宋体" w:hAnsi="宋体" w:cs="宋体" w:eastAsiaTheme="minorEastAsia"/>
      <w:sz w:val="24"/>
      <w:szCs w:val="24"/>
    </w:rPr>
  </w:style>
  <w:style w:type="paragraph" w:styleId="29">
    <w:name w:val="Normal (Web)"/>
    <w:basedOn w:val="1"/>
    <w:qFormat/>
    <w:uiPriority w:val="99"/>
    <w:pPr>
      <w:widowControl/>
      <w:spacing w:before="100" w:beforeAutospacing="1" w:after="100" w:afterAutospacing="1" w:line="240" w:lineRule="auto"/>
      <w:jc w:val="left"/>
    </w:pPr>
    <w:rPr>
      <w:rFonts w:ascii="宋体" w:hAnsi="宋体" w:eastAsia="宋体" w:cs="Times New Roman"/>
      <w:kern w:val="0"/>
      <w:sz w:val="24"/>
      <w:szCs w:val="24"/>
    </w:rPr>
  </w:style>
  <w:style w:type="paragraph" w:styleId="30">
    <w:name w:val="Title"/>
    <w:basedOn w:val="1"/>
    <w:next w:val="1"/>
    <w:link w:val="64"/>
    <w:qFormat/>
    <w:uiPriority w:val="10"/>
    <w:pPr>
      <w:spacing w:before="240" w:after="60"/>
      <w:jc w:val="center"/>
      <w:outlineLvl w:val="0"/>
    </w:pPr>
    <w:rPr>
      <w:rFonts w:asciiTheme="majorHAnsi" w:hAnsiTheme="majorHAnsi" w:eastAsiaTheme="majorEastAsia" w:cstheme="majorBidi"/>
      <w:b/>
      <w:bCs/>
      <w:szCs w:val="32"/>
    </w:rPr>
  </w:style>
  <w:style w:type="paragraph" w:styleId="31">
    <w:name w:val="annotation subject"/>
    <w:basedOn w:val="12"/>
    <w:next w:val="12"/>
    <w:link w:val="65"/>
    <w:semiHidden/>
    <w:unhideWhenUsed/>
    <w:qFormat/>
    <w:uiPriority w:val="99"/>
    <w:rPr>
      <w:b/>
      <w:bCs/>
    </w:rPr>
  </w:style>
  <w:style w:type="paragraph" w:styleId="32">
    <w:name w:val="Body Text First Indent 2"/>
    <w:basedOn w:val="14"/>
    <w:link w:val="203"/>
    <w:semiHidden/>
    <w:unhideWhenUsed/>
    <w:qFormat/>
    <w:uiPriority w:val="99"/>
    <w:pPr>
      <w:spacing w:after="120" w:line="360" w:lineRule="auto"/>
      <w:ind w:left="420" w:leftChars="200" w:firstLine="420"/>
    </w:pPr>
    <w:rPr>
      <w:rFonts w:asciiTheme="minorHAnsi"/>
      <w:sz w:val="32"/>
      <w:szCs w:val="22"/>
    </w:rPr>
  </w:style>
  <w:style w:type="table" w:styleId="34">
    <w:name w:val="Table Grid"/>
    <w:basedOn w:val="3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35">
    <w:name w:val="Table Theme"/>
    <w:basedOn w:val="33"/>
    <w:semiHidden/>
    <w:unhideWhenUsed/>
    <w:qFormat/>
    <w:uiPriority w:val="0"/>
    <w:pPr>
      <w:widowControl w:val="0"/>
      <w:adjustRightInd w:val="0"/>
      <w:snapToGrid w:val="0"/>
      <w:spacing w:line="560" w:lineRule="atLeast"/>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22"/>
    <w:rPr>
      <w:b/>
      <w:bCs/>
    </w:rPr>
  </w:style>
  <w:style w:type="character" w:styleId="38">
    <w:name w:val="page number"/>
    <w:basedOn w:val="36"/>
    <w:qFormat/>
    <w:uiPriority w:val="0"/>
  </w:style>
  <w:style w:type="character" w:styleId="39">
    <w:name w:val="FollowedHyperlink"/>
    <w:qFormat/>
    <w:uiPriority w:val="99"/>
    <w:rPr>
      <w:color w:val="800080"/>
      <w:u w:val="single"/>
    </w:rPr>
  </w:style>
  <w:style w:type="character" w:styleId="40">
    <w:name w:val="Emphasis"/>
    <w:qFormat/>
    <w:uiPriority w:val="20"/>
    <w:rPr>
      <w:i/>
      <w:iCs/>
    </w:rPr>
  </w:style>
  <w:style w:type="character" w:styleId="41">
    <w:name w:val="Hyperlink"/>
    <w:qFormat/>
    <w:uiPriority w:val="99"/>
    <w:rPr>
      <w:color w:val="0000FF"/>
      <w:u w:val="single"/>
    </w:rPr>
  </w:style>
  <w:style w:type="character" w:styleId="42">
    <w:name w:val="annotation reference"/>
    <w:basedOn w:val="36"/>
    <w:semiHidden/>
    <w:unhideWhenUsed/>
    <w:qFormat/>
    <w:uiPriority w:val="0"/>
    <w:rPr>
      <w:sz w:val="21"/>
      <w:szCs w:val="21"/>
    </w:rPr>
  </w:style>
  <w:style w:type="character" w:styleId="43">
    <w:name w:val="footnote reference"/>
    <w:basedOn w:val="36"/>
    <w:unhideWhenUsed/>
    <w:qFormat/>
    <w:uiPriority w:val="0"/>
    <w:rPr>
      <w:vertAlign w:val="superscript"/>
    </w:rPr>
  </w:style>
  <w:style w:type="character" w:customStyle="1" w:styleId="44">
    <w:name w:val="标题 1 Char1"/>
    <w:basedOn w:val="36"/>
    <w:link w:val="3"/>
    <w:qFormat/>
    <w:uiPriority w:val="0"/>
    <w:rPr>
      <w:rFonts w:eastAsia="黑体"/>
      <w:bCs/>
      <w:kern w:val="44"/>
      <w:sz w:val="32"/>
      <w:szCs w:val="44"/>
    </w:rPr>
  </w:style>
  <w:style w:type="character" w:customStyle="1" w:styleId="45">
    <w:name w:val="页眉 Char1"/>
    <w:basedOn w:val="36"/>
    <w:link w:val="22"/>
    <w:qFormat/>
    <w:uiPriority w:val="0"/>
    <w:rPr>
      <w:sz w:val="18"/>
      <w:szCs w:val="18"/>
    </w:rPr>
  </w:style>
  <w:style w:type="character" w:customStyle="1" w:styleId="46">
    <w:name w:val="页脚 Char1"/>
    <w:basedOn w:val="36"/>
    <w:link w:val="21"/>
    <w:qFormat/>
    <w:uiPriority w:val="99"/>
    <w:rPr>
      <w:sz w:val="18"/>
      <w:szCs w:val="18"/>
    </w:rPr>
  </w:style>
  <w:style w:type="character" w:customStyle="1" w:styleId="47">
    <w:name w:val="标题 2 Char1"/>
    <w:basedOn w:val="36"/>
    <w:link w:val="4"/>
    <w:qFormat/>
    <w:uiPriority w:val="0"/>
    <w:rPr>
      <w:rFonts w:ascii="楷体_GB2312" w:hAnsi="楷体_GB2312" w:eastAsia="楷体_GB2312" w:cs="楷体_GB2312"/>
      <w:b/>
      <w:bCs/>
      <w:color w:val="000000" w:themeColor="text1"/>
      <w:kern w:val="2"/>
      <w:sz w:val="32"/>
      <w:szCs w:val="32"/>
      <w14:textFill>
        <w14:solidFill>
          <w14:schemeClr w14:val="tx1"/>
        </w14:solidFill>
      </w14:textFill>
    </w:rPr>
  </w:style>
  <w:style w:type="character" w:customStyle="1" w:styleId="48">
    <w:name w:val="标题 3 Char1"/>
    <w:basedOn w:val="36"/>
    <w:link w:val="5"/>
    <w:qFormat/>
    <w:uiPriority w:val="0"/>
    <w:rPr>
      <w:rFonts w:ascii="仿宋_GB2312" w:eastAsia="仿宋_GB2312"/>
      <w:b/>
      <w:bCs/>
      <w:sz w:val="32"/>
      <w:szCs w:val="32"/>
    </w:rPr>
  </w:style>
  <w:style w:type="character" w:customStyle="1" w:styleId="49">
    <w:name w:val="标题 4 Char"/>
    <w:basedOn w:val="36"/>
    <w:link w:val="6"/>
    <w:qFormat/>
    <w:uiPriority w:val="9"/>
    <w:rPr>
      <w:rFonts w:ascii="仿宋_GB2312" w:hAnsi="Arial" w:eastAsia="仿宋_GB2312" w:cs="Times New Roman"/>
      <w:bCs/>
      <w:sz w:val="32"/>
      <w:szCs w:val="28"/>
    </w:rPr>
  </w:style>
  <w:style w:type="character" w:customStyle="1" w:styleId="50">
    <w:name w:val="标题 5 Char"/>
    <w:basedOn w:val="36"/>
    <w:link w:val="7"/>
    <w:qFormat/>
    <w:uiPriority w:val="9"/>
    <w:rPr>
      <w:rFonts w:ascii="仿宋_GB2312" w:hAnsi="Times New Roman" w:eastAsia="仿宋_GB2312" w:cs="Times New Roman"/>
      <w:b/>
      <w:bCs/>
      <w:sz w:val="28"/>
      <w:szCs w:val="28"/>
    </w:rPr>
  </w:style>
  <w:style w:type="character" w:customStyle="1" w:styleId="51">
    <w:name w:val="标题 6 Char"/>
    <w:basedOn w:val="36"/>
    <w:link w:val="8"/>
    <w:qFormat/>
    <w:uiPriority w:val="0"/>
    <w:rPr>
      <w:rFonts w:ascii="Cambria" w:hAnsi="Cambria" w:eastAsia="宋体" w:cs="Times New Roman"/>
      <w:b/>
      <w:bCs/>
      <w:sz w:val="24"/>
      <w:szCs w:val="24"/>
    </w:rPr>
  </w:style>
  <w:style w:type="character" w:customStyle="1" w:styleId="52">
    <w:name w:val="文档结构图 Char1"/>
    <w:basedOn w:val="36"/>
    <w:link w:val="11"/>
    <w:qFormat/>
    <w:uiPriority w:val="99"/>
    <w:rPr>
      <w:rFonts w:ascii="宋体"/>
      <w:sz w:val="18"/>
      <w:szCs w:val="18"/>
    </w:rPr>
  </w:style>
  <w:style w:type="character" w:customStyle="1" w:styleId="53">
    <w:name w:val="批注文字 Char1"/>
    <w:basedOn w:val="36"/>
    <w:link w:val="12"/>
    <w:qFormat/>
    <w:uiPriority w:val="0"/>
    <w:rPr>
      <w:rFonts w:eastAsia="仿宋_GB2312"/>
      <w:sz w:val="32"/>
    </w:rPr>
  </w:style>
  <w:style w:type="character" w:customStyle="1" w:styleId="54">
    <w:name w:val="正文文本 Char1"/>
    <w:basedOn w:val="36"/>
    <w:link w:val="13"/>
    <w:qFormat/>
    <w:uiPriority w:val="0"/>
    <w:rPr>
      <w:rFonts w:ascii="仿宋_GB2312" w:hAnsi="Times New Roman" w:eastAsia="宋体" w:cs="Times New Roman"/>
      <w:sz w:val="24"/>
      <w:szCs w:val="28"/>
    </w:rPr>
  </w:style>
  <w:style w:type="character" w:customStyle="1" w:styleId="55">
    <w:name w:val="正文文本缩进 Char1"/>
    <w:basedOn w:val="36"/>
    <w:link w:val="14"/>
    <w:qFormat/>
    <w:uiPriority w:val="0"/>
    <w:rPr>
      <w:rFonts w:ascii="仿宋_GB2312" w:eastAsia="仿宋_GB2312"/>
      <w:sz w:val="28"/>
      <w:szCs w:val="28"/>
    </w:rPr>
  </w:style>
  <w:style w:type="character" w:customStyle="1" w:styleId="56">
    <w:name w:val="纯文本 Char1"/>
    <w:basedOn w:val="36"/>
    <w:link w:val="17"/>
    <w:qFormat/>
    <w:uiPriority w:val="0"/>
    <w:rPr>
      <w:rFonts w:ascii="宋体" w:hAnsi="Courier New" w:eastAsia="仿宋_GB2312" w:cs="Times New Roman"/>
      <w:sz w:val="24"/>
      <w:szCs w:val="20"/>
    </w:rPr>
  </w:style>
  <w:style w:type="character" w:customStyle="1" w:styleId="57">
    <w:name w:val="日期 Char1"/>
    <w:basedOn w:val="36"/>
    <w:link w:val="18"/>
    <w:qFormat/>
    <w:uiPriority w:val="0"/>
    <w:rPr>
      <w:rFonts w:ascii="宋体" w:hAnsi="Times New Roman" w:eastAsia="宋体" w:cs="Times New Roman"/>
      <w:sz w:val="24"/>
      <w:szCs w:val="20"/>
    </w:rPr>
  </w:style>
  <w:style w:type="character" w:customStyle="1" w:styleId="58">
    <w:name w:val="正文文本缩进 2 Char1"/>
    <w:basedOn w:val="36"/>
    <w:link w:val="19"/>
    <w:qFormat/>
    <w:uiPriority w:val="0"/>
    <w:rPr>
      <w:rFonts w:ascii="Times New Roman" w:hAnsi="Times New Roman" w:eastAsia="仿宋_GB2312" w:cs="Times New Roman"/>
      <w:sz w:val="24"/>
      <w:szCs w:val="28"/>
    </w:rPr>
  </w:style>
  <w:style w:type="character" w:customStyle="1" w:styleId="59">
    <w:name w:val="批注框文本 Char2"/>
    <w:basedOn w:val="36"/>
    <w:link w:val="20"/>
    <w:qFormat/>
    <w:uiPriority w:val="0"/>
    <w:rPr>
      <w:rFonts w:eastAsia="仿宋_GB2312"/>
      <w:sz w:val="18"/>
      <w:szCs w:val="18"/>
    </w:rPr>
  </w:style>
  <w:style w:type="character" w:customStyle="1" w:styleId="60">
    <w:name w:val="副标题 Char1"/>
    <w:basedOn w:val="36"/>
    <w:link w:val="24"/>
    <w:qFormat/>
    <w:uiPriority w:val="0"/>
    <w:rPr>
      <w:rFonts w:ascii="Cambria" w:hAnsi="Cambria" w:cs="Times New Roman"/>
      <w:b/>
      <w:bCs/>
      <w:kern w:val="28"/>
      <w:sz w:val="32"/>
      <w:szCs w:val="32"/>
    </w:rPr>
  </w:style>
  <w:style w:type="character" w:customStyle="1" w:styleId="61">
    <w:name w:val="脚注文本 Char1"/>
    <w:basedOn w:val="36"/>
    <w:link w:val="25"/>
    <w:qFormat/>
    <w:uiPriority w:val="99"/>
    <w:rPr>
      <w:rFonts w:eastAsia="仿宋_GB2312"/>
      <w:sz w:val="18"/>
      <w:szCs w:val="18"/>
    </w:rPr>
  </w:style>
  <w:style w:type="character" w:customStyle="1" w:styleId="62">
    <w:name w:val="正文文本缩进 3 Char1"/>
    <w:basedOn w:val="36"/>
    <w:link w:val="26"/>
    <w:qFormat/>
    <w:uiPriority w:val="0"/>
    <w:rPr>
      <w:rFonts w:ascii="仿宋_GB2312" w:hAnsi="仿宋_GB2312" w:eastAsia="仿宋_GB2312"/>
      <w:sz w:val="16"/>
      <w:szCs w:val="16"/>
    </w:rPr>
  </w:style>
  <w:style w:type="character" w:customStyle="1" w:styleId="63">
    <w:name w:val="HTML 预设格式 Char"/>
    <w:basedOn w:val="36"/>
    <w:link w:val="28"/>
    <w:qFormat/>
    <w:uiPriority w:val="99"/>
    <w:rPr>
      <w:rFonts w:ascii="宋体" w:hAnsi="宋体" w:cs="宋体"/>
      <w:sz w:val="24"/>
      <w:szCs w:val="24"/>
    </w:rPr>
  </w:style>
  <w:style w:type="character" w:customStyle="1" w:styleId="64">
    <w:name w:val="标题 Char"/>
    <w:basedOn w:val="36"/>
    <w:link w:val="30"/>
    <w:qFormat/>
    <w:uiPriority w:val="10"/>
    <w:rPr>
      <w:rFonts w:asciiTheme="majorHAnsi" w:hAnsiTheme="majorHAnsi" w:eastAsiaTheme="majorEastAsia" w:cstheme="majorBidi"/>
      <w:b/>
      <w:bCs/>
      <w:sz w:val="32"/>
      <w:szCs w:val="32"/>
    </w:rPr>
  </w:style>
  <w:style w:type="character" w:customStyle="1" w:styleId="65">
    <w:name w:val="批注主题 Char"/>
    <w:basedOn w:val="53"/>
    <w:link w:val="31"/>
    <w:semiHidden/>
    <w:qFormat/>
    <w:uiPriority w:val="99"/>
    <w:rPr>
      <w:rFonts w:eastAsia="仿宋_GB2312"/>
      <w:b/>
      <w:bCs/>
      <w:sz w:val="32"/>
    </w:rPr>
  </w:style>
  <w:style w:type="paragraph" w:customStyle="1" w:styleId="66">
    <w:name w:val="Default"/>
    <w:qFormat/>
    <w:uiPriority w:val="0"/>
    <w:pPr>
      <w:widowControl w:val="0"/>
      <w:autoSpaceDE w:val="0"/>
      <w:autoSpaceDN w:val="0"/>
      <w:adjustRightInd w:val="0"/>
    </w:pPr>
    <w:rPr>
      <w:rFonts w:ascii="微软雅黑" w:eastAsia="微软雅黑" w:cs="微软雅黑" w:hAnsiTheme="minorHAnsi"/>
      <w:color w:val="000000"/>
      <w:sz w:val="24"/>
      <w:szCs w:val="24"/>
      <w:lang w:val="en-US" w:eastAsia="zh-CN" w:bidi="ar-SA"/>
    </w:rPr>
  </w:style>
  <w:style w:type="character" w:styleId="67">
    <w:name w:val="Placeholder Text"/>
    <w:basedOn w:val="36"/>
    <w:semiHidden/>
    <w:qFormat/>
    <w:uiPriority w:val="99"/>
    <w:rPr>
      <w:color w:val="808080"/>
    </w:rPr>
  </w:style>
  <w:style w:type="paragraph" w:customStyle="1" w:styleId="68">
    <w:name w:val="修订1"/>
    <w:hidden/>
    <w:semiHidden/>
    <w:qFormat/>
    <w:uiPriority w:val="99"/>
    <w:rPr>
      <w:rFonts w:eastAsia="仿宋_GB2312" w:asciiTheme="minorHAnsi" w:hAnsiTheme="minorHAnsi" w:cstheme="minorBidi"/>
      <w:kern w:val="2"/>
      <w:sz w:val="32"/>
      <w:szCs w:val="22"/>
      <w:lang w:val="en-US" w:eastAsia="zh-CN" w:bidi="ar-SA"/>
    </w:rPr>
  </w:style>
  <w:style w:type="character" w:customStyle="1" w:styleId="69">
    <w:name w:val="Char Char16"/>
    <w:qFormat/>
    <w:uiPriority w:val="0"/>
    <w:rPr>
      <w:kern w:val="2"/>
      <w:sz w:val="18"/>
      <w:szCs w:val="18"/>
    </w:rPr>
  </w:style>
  <w:style w:type="character" w:customStyle="1" w:styleId="70">
    <w:name w:val="text_edit editable-title"/>
    <w:basedOn w:val="36"/>
    <w:qFormat/>
    <w:uiPriority w:val="0"/>
  </w:style>
  <w:style w:type="character" w:customStyle="1" w:styleId="71">
    <w:name w:val="Char Char15"/>
    <w:qFormat/>
    <w:uiPriority w:val="0"/>
    <w:rPr>
      <w:kern w:val="2"/>
      <w:sz w:val="18"/>
      <w:szCs w:val="18"/>
    </w:rPr>
  </w:style>
  <w:style w:type="character" w:customStyle="1" w:styleId="72">
    <w:name w:val="style71"/>
    <w:qFormat/>
    <w:uiPriority w:val="0"/>
    <w:rPr>
      <w:color w:val="385F1D"/>
    </w:rPr>
  </w:style>
  <w:style w:type="character" w:customStyle="1" w:styleId="73">
    <w:name w:val="正文(仿)首缩 Char"/>
    <w:link w:val="74"/>
    <w:qFormat/>
    <w:uiPriority w:val="0"/>
    <w:rPr>
      <w:rFonts w:ascii="仿宋_GB2312" w:eastAsia="仿宋_GB2312"/>
      <w:sz w:val="28"/>
      <w:szCs w:val="28"/>
    </w:rPr>
  </w:style>
  <w:style w:type="paragraph" w:customStyle="1" w:styleId="74">
    <w:name w:val="正文(仿)首缩"/>
    <w:basedOn w:val="1"/>
    <w:link w:val="73"/>
    <w:qFormat/>
    <w:uiPriority w:val="0"/>
    <w:pPr>
      <w:spacing w:line="240" w:lineRule="auto"/>
    </w:pPr>
    <w:rPr>
      <w:rFonts w:ascii="仿宋_GB2312"/>
      <w:sz w:val="28"/>
      <w:szCs w:val="28"/>
    </w:rPr>
  </w:style>
  <w:style w:type="character" w:customStyle="1" w:styleId="75">
    <w:name w:val="20p1"/>
    <w:qFormat/>
    <w:uiPriority w:val="0"/>
    <w:rPr>
      <w:spacing w:val="48"/>
    </w:rPr>
  </w:style>
  <w:style w:type="character" w:customStyle="1" w:styleId="76">
    <w:name w:val="表头 Char"/>
    <w:link w:val="77"/>
    <w:qFormat/>
    <w:uiPriority w:val="0"/>
    <w:rPr>
      <w:rFonts w:ascii="仿宋_GB2312" w:eastAsia="黑体"/>
      <w:sz w:val="28"/>
    </w:rPr>
  </w:style>
  <w:style w:type="paragraph" w:customStyle="1" w:styleId="77">
    <w:name w:val="表头"/>
    <w:basedOn w:val="1"/>
    <w:next w:val="1"/>
    <w:link w:val="76"/>
    <w:qFormat/>
    <w:uiPriority w:val="0"/>
    <w:pPr>
      <w:spacing w:line="240" w:lineRule="auto"/>
      <w:jc w:val="center"/>
    </w:pPr>
    <w:rPr>
      <w:rFonts w:ascii="仿宋_GB2312" w:eastAsia="黑体"/>
      <w:sz w:val="28"/>
    </w:rPr>
  </w:style>
  <w:style w:type="character" w:customStyle="1" w:styleId="78">
    <w:name w:val="javascript"/>
    <w:basedOn w:val="36"/>
    <w:qFormat/>
    <w:uiPriority w:val="0"/>
  </w:style>
  <w:style w:type="character" w:customStyle="1" w:styleId="79">
    <w:name w:val="style41"/>
    <w:qFormat/>
    <w:uiPriority w:val="0"/>
    <w:rPr>
      <w:color w:val="8A3C0D"/>
    </w:rPr>
  </w:style>
  <w:style w:type="character" w:customStyle="1" w:styleId="80">
    <w:name w:val="表编号 Char"/>
    <w:link w:val="81"/>
    <w:qFormat/>
    <w:uiPriority w:val="0"/>
    <w:rPr>
      <w:rFonts w:ascii="仿宋_GB2312" w:hAnsi="Book Antiqua" w:eastAsia="仿宋_GB2312" w:cs="Book Antiqua"/>
      <w:sz w:val="28"/>
      <w:szCs w:val="28"/>
    </w:rPr>
  </w:style>
  <w:style w:type="paragraph" w:customStyle="1" w:styleId="81">
    <w:name w:val="表编号"/>
    <w:basedOn w:val="1"/>
    <w:link w:val="80"/>
    <w:qFormat/>
    <w:uiPriority w:val="0"/>
    <w:pPr>
      <w:spacing w:line="240" w:lineRule="auto"/>
      <w:jc w:val="left"/>
    </w:pPr>
    <w:rPr>
      <w:rFonts w:ascii="仿宋_GB2312" w:hAnsi="Book Antiqua" w:cs="Book Antiqua"/>
      <w:sz w:val="28"/>
      <w:szCs w:val="28"/>
    </w:rPr>
  </w:style>
  <w:style w:type="character" w:customStyle="1" w:styleId="82">
    <w:name w:val="headline-content2"/>
    <w:basedOn w:val="36"/>
    <w:qFormat/>
    <w:uiPriority w:val="0"/>
  </w:style>
  <w:style w:type="character" w:customStyle="1" w:styleId="83">
    <w:name w:val="表格号 Char"/>
    <w:link w:val="84"/>
    <w:qFormat/>
    <w:uiPriority w:val="0"/>
    <w:rPr>
      <w:rFonts w:ascii="仿宋_GB2312" w:eastAsia="仿宋_GB2312" w:cs="宋体"/>
    </w:rPr>
  </w:style>
  <w:style w:type="paragraph" w:customStyle="1" w:styleId="84">
    <w:name w:val="表格号"/>
    <w:basedOn w:val="1"/>
    <w:link w:val="83"/>
    <w:qFormat/>
    <w:uiPriority w:val="0"/>
    <w:pPr>
      <w:spacing w:line="0" w:lineRule="atLeast"/>
    </w:pPr>
    <w:rPr>
      <w:rFonts w:ascii="仿宋_GB2312" w:cs="宋体"/>
      <w:sz w:val="21"/>
    </w:rPr>
  </w:style>
  <w:style w:type="character" w:customStyle="1" w:styleId="85">
    <w:name w:val="style4"/>
    <w:basedOn w:val="36"/>
    <w:qFormat/>
    <w:uiPriority w:val="0"/>
  </w:style>
  <w:style w:type="character" w:customStyle="1" w:styleId="86">
    <w:name w:val="Char Char7"/>
    <w:qFormat/>
    <w:uiPriority w:val="0"/>
    <w:rPr>
      <w:rFonts w:ascii="宋体"/>
      <w:kern w:val="2"/>
      <w:sz w:val="18"/>
      <w:szCs w:val="18"/>
    </w:rPr>
  </w:style>
  <w:style w:type="character" w:customStyle="1" w:styleId="87">
    <w:name w:val="段落格式 Char"/>
    <w:link w:val="88"/>
    <w:qFormat/>
    <w:uiPriority w:val="0"/>
    <w:rPr>
      <w:rFonts w:ascii="仿宋_GB2312" w:eastAsia="仿宋_GB2312" w:cs="宋体"/>
      <w:sz w:val="24"/>
    </w:rPr>
  </w:style>
  <w:style w:type="paragraph" w:customStyle="1" w:styleId="88">
    <w:name w:val="段落格式"/>
    <w:basedOn w:val="1"/>
    <w:link w:val="87"/>
    <w:qFormat/>
    <w:uiPriority w:val="0"/>
    <w:pPr>
      <w:spacing w:line="240" w:lineRule="auto"/>
      <w:ind w:firstLine="546" w:firstLineChars="197"/>
    </w:pPr>
    <w:rPr>
      <w:rFonts w:ascii="仿宋_GB2312" w:cs="宋体"/>
      <w:sz w:val="24"/>
    </w:rPr>
  </w:style>
  <w:style w:type="character" w:customStyle="1" w:styleId="89">
    <w:name w:val="表 Char"/>
    <w:link w:val="90"/>
    <w:qFormat/>
    <w:uiPriority w:val="0"/>
    <w:rPr>
      <w:szCs w:val="21"/>
    </w:rPr>
  </w:style>
  <w:style w:type="paragraph" w:customStyle="1" w:styleId="90">
    <w:name w:val="表"/>
    <w:basedOn w:val="1"/>
    <w:link w:val="89"/>
    <w:qFormat/>
    <w:uiPriority w:val="0"/>
    <w:pPr>
      <w:widowControl/>
      <w:spacing w:line="240" w:lineRule="auto"/>
      <w:jc w:val="center"/>
    </w:pPr>
    <w:rPr>
      <w:rFonts w:eastAsiaTheme="minorEastAsia"/>
      <w:sz w:val="21"/>
      <w:szCs w:val="21"/>
    </w:rPr>
  </w:style>
  <w:style w:type="character" w:customStyle="1" w:styleId="91">
    <w:name w:val="title10"/>
    <w:basedOn w:val="36"/>
    <w:qFormat/>
    <w:uiPriority w:val="0"/>
  </w:style>
  <w:style w:type="character" w:customStyle="1" w:styleId="92">
    <w:name w:val="可研正文 Char"/>
    <w:link w:val="93"/>
    <w:qFormat/>
    <w:uiPriority w:val="0"/>
    <w:rPr>
      <w:rFonts w:ascii="Calibri" w:hAnsi="Calibri" w:cs="宋体"/>
      <w:sz w:val="28"/>
    </w:rPr>
  </w:style>
  <w:style w:type="paragraph" w:customStyle="1" w:styleId="93">
    <w:name w:val="可研正文"/>
    <w:basedOn w:val="1"/>
    <w:link w:val="92"/>
    <w:qFormat/>
    <w:uiPriority w:val="0"/>
    <w:pPr>
      <w:ind w:firstLine="560"/>
    </w:pPr>
    <w:rPr>
      <w:rFonts w:ascii="Calibri" w:hAnsi="Calibri" w:cs="宋体" w:eastAsiaTheme="minorEastAsia"/>
      <w:sz w:val="28"/>
    </w:rPr>
  </w:style>
  <w:style w:type="character" w:customStyle="1" w:styleId="94">
    <w:name w:val="节（3级） Char"/>
    <w:qFormat/>
    <w:uiPriority w:val="0"/>
    <w:rPr>
      <w:rFonts w:ascii="仿宋_GB2312" w:eastAsia="仿宋_GB2312"/>
      <w:bCs/>
      <w:kern w:val="2"/>
      <w:sz w:val="28"/>
      <w:szCs w:val="28"/>
      <w:lang w:val="en-US" w:eastAsia="zh-CN" w:bidi="ar-SA"/>
    </w:rPr>
  </w:style>
  <w:style w:type="character" w:customStyle="1" w:styleId="95">
    <w:name w:val="count4"/>
    <w:basedOn w:val="36"/>
    <w:qFormat/>
    <w:uiPriority w:val="0"/>
  </w:style>
  <w:style w:type="character" w:customStyle="1" w:styleId="96">
    <w:name w:val="表格正文 Char"/>
    <w:link w:val="97"/>
    <w:qFormat/>
    <w:uiPriority w:val="0"/>
    <w:rPr>
      <w:caps/>
      <w:szCs w:val="24"/>
    </w:rPr>
  </w:style>
  <w:style w:type="paragraph" w:customStyle="1" w:styleId="97">
    <w:name w:val="表格正文"/>
    <w:basedOn w:val="1"/>
    <w:link w:val="96"/>
    <w:qFormat/>
    <w:uiPriority w:val="0"/>
    <w:pPr>
      <w:spacing w:line="264" w:lineRule="auto"/>
      <w:jc w:val="center"/>
    </w:pPr>
    <w:rPr>
      <w:rFonts w:eastAsiaTheme="minorEastAsia"/>
      <w:caps/>
      <w:sz w:val="21"/>
      <w:szCs w:val="24"/>
    </w:rPr>
  </w:style>
  <w:style w:type="character" w:customStyle="1" w:styleId="98">
    <w:name w:val="表格 Char"/>
    <w:link w:val="99"/>
    <w:qFormat/>
    <w:uiPriority w:val="0"/>
    <w:rPr>
      <w:rFonts w:ascii="仿宋_GB2312" w:eastAsia="仿宋_GB2312"/>
      <w:sz w:val="28"/>
    </w:rPr>
  </w:style>
  <w:style w:type="paragraph" w:customStyle="1" w:styleId="99">
    <w:name w:val="表格"/>
    <w:basedOn w:val="1"/>
    <w:link w:val="98"/>
    <w:qFormat/>
    <w:uiPriority w:val="0"/>
    <w:pPr>
      <w:spacing w:line="240" w:lineRule="auto"/>
      <w:jc w:val="center"/>
    </w:pPr>
    <w:rPr>
      <w:rFonts w:ascii="仿宋_GB2312"/>
      <w:sz w:val="28"/>
    </w:rPr>
  </w:style>
  <w:style w:type="character" w:customStyle="1" w:styleId="100">
    <w:name w:val="表格 Char Char"/>
    <w:qFormat/>
    <w:uiPriority w:val="0"/>
    <w:rPr>
      <w:rFonts w:ascii="仿宋_GB2312" w:eastAsia="仿宋_GB2312"/>
      <w:kern w:val="2"/>
      <w:sz w:val="28"/>
      <w:lang w:val="en-US" w:eastAsia="zh-CN" w:bidi="ar-SA"/>
    </w:rPr>
  </w:style>
  <w:style w:type="character" w:customStyle="1" w:styleId="101">
    <w:name w:val="font21"/>
    <w:qFormat/>
    <w:uiPriority w:val="0"/>
    <w:rPr>
      <w:rFonts w:hint="default" w:ascii="Times New Roman" w:hAnsi="Times New Roman" w:cs="Times New Roman"/>
      <w:color w:val="000000"/>
      <w:sz w:val="24"/>
      <w:szCs w:val="24"/>
      <w:u w:val="none"/>
    </w:rPr>
  </w:style>
  <w:style w:type="character" w:customStyle="1" w:styleId="102">
    <w:name w:val="font11"/>
    <w:qFormat/>
    <w:uiPriority w:val="0"/>
    <w:rPr>
      <w:rFonts w:hint="eastAsia" w:ascii="宋体" w:hAnsi="宋体" w:eastAsia="宋体" w:cs="宋体"/>
      <w:color w:val="000000"/>
      <w:sz w:val="24"/>
      <w:szCs w:val="24"/>
      <w:u w:val="none"/>
    </w:rPr>
  </w:style>
  <w:style w:type="character" w:customStyle="1" w:styleId="103">
    <w:name w:val="font01"/>
    <w:qFormat/>
    <w:uiPriority w:val="0"/>
    <w:rPr>
      <w:rFonts w:hint="eastAsia" w:ascii="仿宋" w:hAnsi="仿宋" w:eastAsia="仿宋" w:cs="仿宋"/>
      <w:color w:val="000000"/>
      <w:sz w:val="20"/>
      <w:szCs w:val="20"/>
      <w:u w:val="none"/>
      <w:vertAlign w:val="superscript"/>
    </w:rPr>
  </w:style>
  <w:style w:type="character" w:customStyle="1" w:styleId="104">
    <w:name w:val="HTML 预设格式 字符1"/>
    <w:basedOn w:val="36"/>
    <w:semiHidden/>
    <w:qFormat/>
    <w:uiPriority w:val="99"/>
    <w:rPr>
      <w:rFonts w:ascii="Courier New" w:hAnsi="Courier New" w:eastAsia="仿宋_GB2312" w:cs="Courier New"/>
      <w:sz w:val="20"/>
      <w:szCs w:val="20"/>
    </w:rPr>
  </w:style>
  <w:style w:type="character" w:customStyle="1" w:styleId="105">
    <w:name w:val="副标题 字符1"/>
    <w:basedOn w:val="36"/>
    <w:qFormat/>
    <w:uiPriority w:val="11"/>
    <w:rPr>
      <w:b/>
      <w:bCs/>
      <w:kern w:val="28"/>
      <w:sz w:val="32"/>
      <w:szCs w:val="32"/>
    </w:rPr>
  </w:style>
  <w:style w:type="character" w:customStyle="1" w:styleId="106">
    <w:name w:val="正文文本缩进 字符1"/>
    <w:basedOn w:val="36"/>
    <w:semiHidden/>
    <w:qFormat/>
    <w:uiPriority w:val="99"/>
    <w:rPr>
      <w:rFonts w:eastAsia="仿宋_GB2312"/>
      <w:sz w:val="32"/>
    </w:rPr>
  </w:style>
  <w:style w:type="character" w:customStyle="1" w:styleId="107">
    <w:name w:val="正文文本缩进 3 字符1"/>
    <w:basedOn w:val="36"/>
    <w:semiHidden/>
    <w:qFormat/>
    <w:uiPriority w:val="99"/>
    <w:rPr>
      <w:rFonts w:eastAsia="仿宋_GB2312"/>
      <w:sz w:val="16"/>
      <w:szCs w:val="16"/>
    </w:rPr>
  </w:style>
  <w:style w:type="character" w:customStyle="1" w:styleId="108">
    <w:name w:val="文档结构图 字符1"/>
    <w:basedOn w:val="36"/>
    <w:semiHidden/>
    <w:qFormat/>
    <w:uiPriority w:val="99"/>
    <w:rPr>
      <w:rFonts w:ascii="Microsoft YaHei UI" w:eastAsia="Microsoft YaHei UI"/>
      <w:sz w:val="18"/>
      <w:szCs w:val="18"/>
    </w:rPr>
  </w:style>
  <w:style w:type="paragraph" w:customStyle="1" w:styleId="109">
    <w:name w:val="xl11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10">
    <w:name w:val="xl87"/>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11">
    <w:name w:val="简单回函地址"/>
    <w:basedOn w:val="1"/>
    <w:qFormat/>
    <w:uiPriority w:val="0"/>
    <w:pPr>
      <w:spacing w:line="240" w:lineRule="auto"/>
    </w:pPr>
    <w:rPr>
      <w:rFonts w:ascii="Times New Roman" w:hAnsi="Times New Roman" w:eastAsia="宋体" w:cs="Times New Roman"/>
      <w:sz w:val="21"/>
      <w:szCs w:val="24"/>
    </w:rPr>
  </w:style>
  <w:style w:type="paragraph" w:customStyle="1" w:styleId="112">
    <w:name w:val="xl11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13">
    <w:name w:val="xl79"/>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14">
    <w:name w:val="xl50"/>
    <w:basedOn w:val="1"/>
    <w:qFormat/>
    <w:uiPriority w:val="0"/>
    <w:pPr>
      <w:widowControl/>
      <w:spacing w:before="100" w:beforeAutospacing="1" w:after="100" w:afterAutospacing="1" w:line="240" w:lineRule="auto"/>
      <w:jc w:val="center"/>
    </w:pPr>
    <w:rPr>
      <w:rFonts w:hint="eastAsia" w:ascii="黑体" w:hAnsi="宋体" w:eastAsia="黑体" w:cs="Times New Roman"/>
      <w:kern w:val="0"/>
      <w:sz w:val="24"/>
      <w:szCs w:val="28"/>
    </w:rPr>
  </w:style>
  <w:style w:type="paragraph" w:customStyle="1" w:styleId="115">
    <w:name w:val="xl91"/>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16">
    <w:name w:val="iw_poi_title"/>
    <w:basedOn w:val="1"/>
    <w:qFormat/>
    <w:uiPriority w:val="0"/>
    <w:pPr>
      <w:widowControl/>
      <w:spacing w:line="240" w:lineRule="auto"/>
      <w:jc w:val="left"/>
    </w:pPr>
    <w:rPr>
      <w:rFonts w:ascii="宋体" w:hAnsi="宋体" w:eastAsia="宋体" w:cs="宋体"/>
      <w:b/>
      <w:bCs/>
      <w:color w:val="4D4D4D"/>
      <w:kern w:val="0"/>
      <w:sz w:val="21"/>
      <w:szCs w:val="21"/>
    </w:rPr>
  </w:style>
  <w:style w:type="paragraph" w:customStyle="1" w:styleId="117">
    <w:name w:val="表名称"/>
    <w:basedOn w:val="1"/>
    <w:qFormat/>
    <w:uiPriority w:val="0"/>
    <w:pPr>
      <w:spacing w:line="240" w:lineRule="auto"/>
      <w:jc w:val="center"/>
    </w:pPr>
    <w:rPr>
      <w:rFonts w:ascii="黑体" w:hAnsi="Times New Roman" w:eastAsia="黑体" w:cs="宋体"/>
      <w:sz w:val="24"/>
      <w:szCs w:val="20"/>
    </w:rPr>
  </w:style>
  <w:style w:type="paragraph" w:customStyle="1" w:styleId="118">
    <w:name w:val="Char Char Char Char Char Char2 Char"/>
    <w:basedOn w:val="1"/>
    <w:qFormat/>
    <w:uiPriority w:val="0"/>
    <w:rPr>
      <w:rFonts w:ascii="宋体" w:hAnsi="宋体" w:eastAsia="宋体" w:cs="宋体"/>
      <w:sz w:val="24"/>
      <w:szCs w:val="24"/>
    </w:rPr>
  </w:style>
  <w:style w:type="paragraph" w:customStyle="1" w:styleId="119">
    <w:name w:val="表格号及注解"/>
    <w:basedOn w:val="1"/>
    <w:qFormat/>
    <w:uiPriority w:val="0"/>
    <w:pPr>
      <w:spacing w:line="0" w:lineRule="atLeast"/>
    </w:pPr>
    <w:rPr>
      <w:rFonts w:ascii="仿宋_GB2312" w:hAnsi="Times New Roman" w:cs="宋体"/>
      <w:sz w:val="21"/>
      <w:szCs w:val="20"/>
    </w:rPr>
  </w:style>
  <w:style w:type="paragraph" w:customStyle="1" w:styleId="120">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21">
    <w:name w:val="xl81"/>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right"/>
    </w:pPr>
    <w:rPr>
      <w:rFonts w:ascii="仿宋" w:hAnsi="仿宋" w:eastAsia="仿宋" w:cs="宋体"/>
      <w:b/>
      <w:bCs/>
      <w:kern w:val="0"/>
      <w:sz w:val="20"/>
      <w:szCs w:val="20"/>
    </w:rPr>
  </w:style>
  <w:style w:type="paragraph" w:customStyle="1" w:styleId="122">
    <w:name w:val="样式 首行缩进"/>
    <w:basedOn w:val="1"/>
    <w:qFormat/>
    <w:uiPriority w:val="0"/>
    <w:pPr>
      <w:spacing w:line="240" w:lineRule="auto"/>
      <w:ind w:firstLine="551"/>
    </w:pPr>
    <w:rPr>
      <w:rFonts w:ascii="仿宋_GB2312" w:hAnsi="Times New Roman" w:cs="宋体"/>
      <w:sz w:val="24"/>
      <w:szCs w:val="20"/>
    </w:rPr>
  </w:style>
  <w:style w:type="paragraph" w:customStyle="1" w:styleId="123">
    <w:name w:val="xl11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24">
    <w:name w:val="xl8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right"/>
    </w:pPr>
    <w:rPr>
      <w:rFonts w:ascii="仿宋" w:hAnsi="仿宋" w:eastAsia="仿宋" w:cs="宋体"/>
      <w:kern w:val="0"/>
      <w:sz w:val="20"/>
      <w:szCs w:val="20"/>
    </w:rPr>
  </w:style>
  <w:style w:type="paragraph" w:customStyle="1" w:styleId="125">
    <w:name w:val="表格内容（左）"/>
    <w:basedOn w:val="1"/>
    <w:qFormat/>
    <w:uiPriority w:val="0"/>
    <w:pPr>
      <w:spacing w:line="0" w:lineRule="atLeast"/>
      <w:jc w:val="left"/>
    </w:pPr>
    <w:rPr>
      <w:rFonts w:ascii="仿宋_GB2312" w:hAnsi="Times New Roman" w:cs="宋体"/>
      <w:sz w:val="21"/>
      <w:szCs w:val="21"/>
    </w:rPr>
  </w:style>
  <w:style w:type="paragraph" w:customStyle="1" w:styleId="126">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pPr>
    <w:rPr>
      <w:rFonts w:ascii="仿宋" w:hAnsi="仿宋" w:eastAsia="仿宋" w:cs="宋体"/>
      <w:kern w:val="0"/>
      <w:sz w:val="20"/>
      <w:szCs w:val="20"/>
    </w:rPr>
  </w:style>
  <w:style w:type="paragraph" w:customStyle="1" w:styleId="127">
    <w:name w:val="xl65"/>
    <w:basedOn w:val="1"/>
    <w:qFormat/>
    <w:uiPriority w:val="0"/>
    <w:pPr>
      <w:widowControl/>
      <w:spacing w:before="100" w:beforeAutospacing="1" w:after="100" w:afterAutospacing="1" w:line="240" w:lineRule="auto"/>
      <w:jc w:val="left"/>
    </w:pPr>
    <w:rPr>
      <w:rFonts w:ascii="仿宋" w:hAnsi="仿宋" w:eastAsia="仿宋" w:cs="宋体"/>
      <w:kern w:val="0"/>
      <w:sz w:val="20"/>
      <w:szCs w:val="20"/>
    </w:rPr>
  </w:style>
  <w:style w:type="paragraph" w:customStyle="1" w:styleId="128">
    <w:name w:val="album-div"/>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129">
    <w:name w:val="xl8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left"/>
    </w:pPr>
    <w:rPr>
      <w:rFonts w:ascii="仿宋" w:hAnsi="仿宋" w:eastAsia="仿宋" w:cs="宋体"/>
      <w:kern w:val="0"/>
      <w:sz w:val="20"/>
      <w:szCs w:val="20"/>
    </w:rPr>
  </w:style>
  <w:style w:type="paragraph" w:customStyle="1" w:styleId="130">
    <w:name w:val="表格001"/>
    <w:basedOn w:val="1"/>
    <w:qFormat/>
    <w:uiPriority w:val="0"/>
    <w:pPr>
      <w:widowControl/>
      <w:tabs>
        <w:tab w:val="left" w:pos="2880"/>
        <w:tab w:val="left" w:pos="3120"/>
      </w:tabs>
      <w:spacing w:line="288" w:lineRule="auto"/>
      <w:ind w:firstLine="480"/>
      <w:jc w:val="left"/>
      <w:outlineLvl w:val="8"/>
    </w:pPr>
    <w:rPr>
      <w:rFonts w:ascii="宋体" w:hAnsi="宋体" w:eastAsia="宋体" w:cs="宋体"/>
      <w:kern w:val="0"/>
      <w:sz w:val="21"/>
      <w:szCs w:val="20"/>
    </w:rPr>
  </w:style>
  <w:style w:type="paragraph" w:customStyle="1" w:styleId="131">
    <w:name w:val="表格名"/>
    <w:basedOn w:val="1"/>
    <w:qFormat/>
    <w:uiPriority w:val="0"/>
    <w:pPr>
      <w:spacing w:line="240" w:lineRule="auto"/>
      <w:jc w:val="center"/>
    </w:pPr>
    <w:rPr>
      <w:rFonts w:ascii="仿宋_GB2312" w:hAnsi="Times New Roman" w:eastAsia="黑体" w:cs="宋体"/>
      <w:sz w:val="24"/>
      <w:szCs w:val="20"/>
    </w:rPr>
  </w:style>
  <w:style w:type="paragraph" w:customStyle="1" w:styleId="132">
    <w:name w:val="表格居中"/>
    <w:basedOn w:val="1"/>
    <w:qFormat/>
    <w:uiPriority w:val="0"/>
    <w:pPr>
      <w:spacing w:line="0" w:lineRule="atLeast"/>
      <w:jc w:val="center"/>
    </w:pPr>
    <w:rPr>
      <w:rFonts w:ascii="仿宋_GB2312" w:hAnsi="Times New Roman" w:cs="宋体"/>
      <w:sz w:val="21"/>
      <w:szCs w:val="20"/>
    </w:rPr>
  </w:style>
  <w:style w:type="paragraph" w:customStyle="1" w:styleId="133">
    <w:name w:val="Char Char Char Char Char Char2 Char1"/>
    <w:basedOn w:val="1"/>
    <w:qFormat/>
    <w:uiPriority w:val="0"/>
    <w:rPr>
      <w:rFonts w:ascii="宋体" w:hAnsi="宋体" w:eastAsia="宋体" w:cs="宋体"/>
      <w:sz w:val="24"/>
      <w:szCs w:val="24"/>
    </w:rPr>
  </w:style>
  <w:style w:type="paragraph" w:customStyle="1" w:styleId="134">
    <w:name w:val="xl11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right"/>
    </w:pPr>
    <w:rPr>
      <w:rFonts w:ascii="仿宋" w:hAnsi="仿宋" w:eastAsia="仿宋" w:cs="宋体"/>
      <w:kern w:val="0"/>
      <w:sz w:val="20"/>
      <w:szCs w:val="20"/>
    </w:rPr>
  </w:style>
  <w:style w:type="paragraph" w:customStyle="1" w:styleId="135">
    <w:name w:val="表内容（中）"/>
    <w:basedOn w:val="1"/>
    <w:qFormat/>
    <w:uiPriority w:val="0"/>
    <w:pPr>
      <w:spacing w:line="0" w:lineRule="atLeast"/>
      <w:jc w:val="center"/>
    </w:pPr>
    <w:rPr>
      <w:rFonts w:ascii="仿宋_GB2312" w:hAnsi="仿宋_GB2312" w:cs="宋体"/>
      <w:snapToGrid w:val="0"/>
      <w:sz w:val="21"/>
      <w:szCs w:val="20"/>
    </w:rPr>
  </w:style>
  <w:style w:type="paragraph" w:customStyle="1" w:styleId="136">
    <w:name w:val="样式 (中文) 仿宋_GB2312 四号"/>
    <w:basedOn w:val="1"/>
    <w:qFormat/>
    <w:uiPriority w:val="0"/>
    <w:rPr>
      <w:rFonts w:ascii="Times New Roman" w:hAnsi="Times New Roman" w:cs="宋体"/>
      <w:sz w:val="24"/>
      <w:szCs w:val="20"/>
    </w:rPr>
  </w:style>
  <w:style w:type="paragraph" w:customStyle="1" w:styleId="137">
    <w:name w:val="表内容（黑体）"/>
    <w:basedOn w:val="74"/>
    <w:qFormat/>
    <w:uiPriority w:val="0"/>
    <w:pPr>
      <w:spacing w:line="0" w:lineRule="atLeast"/>
      <w:ind w:firstLine="0" w:firstLineChars="0"/>
      <w:jc w:val="center"/>
    </w:pPr>
    <w:rPr>
      <w:rFonts w:hAnsi="仿宋_GB2312" w:eastAsia="黑体" w:cs="宋体"/>
      <w:snapToGrid w:val="0"/>
      <w:sz w:val="21"/>
      <w:szCs w:val="20"/>
    </w:rPr>
  </w:style>
  <w:style w:type="paragraph" w:customStyle="1" w:styleId="138">
    <w:name w:val="表格标题_报告"/>
    <w:basedOn w:val="1"/>
    <w:qFormat/>
    <w:uiPriority w:val="0"/>
    <w:pPr>
      <w:spacing w:before="558" w:beforeLines="100" w:line="240" w:lineRule="auto"/>
      <w:jc w:val="center"/>
    </w:pPr>
    <w:rPr>
      <w:rFonts w:ascii="黑体" w:hAnsi="Times New Roman" w:eastAsia="黑体" w:cs="Times New Roman"/>
      <w:sz w:val="24"/>
      <w:szCs w:val="20"/>
    </w:rPr>
  </w:style>
  <w:style w:type="paragraph" w:customStyle="1" w:styleId="139">
    <w:name w:val="xl11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40">
    <w:name w:val="表格左对齐"/>
    <w:basedOn w:val="1"/>
    <w:qFormat/>
    <w:uiPriority w:val="0"/>
    <w:pPr>
      <w:spacing w:line="0" w:lineRule="atLeast"/>
    </w:pPr>
    <w:rPr>
      <w:rFonts w:ascii="仿宋_GB2312" w:hAnsi="Times New Roman" w:cs="宋体"/>
      <w:sz w:val="21"/>
      <w:szCs w:val="20"/>
    </w:rPr>
  </w:style>
  <w:style w:type="paragraph" w:customStyle="1" w:styleId="141">
    <w:name w:val="xl88"/>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b/>
      <w:bCs/>
      <w:kern w:val="0"/>
      <w:sz w:val="20"/>
      <w:szCs w:val="20"/>
    </w:rPr>
  </w:style>
  <w:style w:type="paragraph" w:customStyle="1" w:styleId="142">
    <w:name w:val="表格第一行（黑体）"/>
    <w:basedOn w:val="1"/>
    <w:qFormat/>
    <w:uiPriority w:val="0"/>
    <w:pPr>
      <w:spacing w:line="0" w:lineRule="atLeast"/>
      <w:jc w:val="center"/>
    </w:pPr>
    <w:rPr>
      <w:rFonts w:ascii="黑体" w:hAnsi="Times New Roman" w:eastAsia="黑体" w:cs="宋体"/>
      <w:sz w:val="21"/>
      <w:szCs w:val="20"/>
    </w:rPr>
  </w:style>
  <w:style w:type="paragraph" w:customStyle="1" w:styleId="143">
    <w:name w:val="xl108"/>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44">
    <w:name w:val="xl76"/>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45">
    <w:name w:val="Char1 Char Char Char Char Char Char Char Char Char"/>
    <w:basedOn w:val="1"/>
    <w:qFormat/>
    <w:uiPriority w:val="0"/>
    <w:pPr>
      <w:widowControl/>
      <w:spacing w:line="400" w:lineRule="exact"/>
      <w:jc w:val="center"/>
    </w:pPr>
    <w:rPr>
      <w:rFonts w:ascii="Verdana" w:hAnsi="Verdana" w:eastAsia="宋体" w:cs="Times New Roman"/>
      <w:kern w:val="0"/>
      <w:sz w:val="21"/>
      <w:szCs w:val="20"/>
      <w:lang w:eastAsia="en-US"/>
    </w:rPr>
  </w:style>
  <w:style w:type="paragraph" w:customStyle="1" w:styleId="146">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47">
    <w:name w:val="xl80"/>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left"/>
    </w:pPr>
    <w:rPr>
      <w:rFonts w:ascii="仿宋" w:hAnsi="仿宋" w:eastAsia="仿宋" w:cs="宋体"/>
      <w:b/>
      <w:bCs/>
      <w:kern w:val="0"/>
      <w:sz w:val="20"/>
      <w:szCs w:val="20"/>
    </w:rPr>
  </w:style>
  <w:style w:type="paragraph" w:customStyle="1" w:styleId="148">
    <w:name w:val="xl11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49">
    <w:name w:val="xl82"/>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50">
    <w:name w:val="p0"/>
    <w:basedOn w:val="1"/>
    <w:qFormat/>
    <w:uiPriority w:val="0"/>
    <w:pPr>
      <w:widowControl/>
      <w:spacing w:line="240" w:lineRule="auto"/>
    </w:pPr>
    <w:rPr>
      <w:rFonts w:ascii="仿宋_GB2312" w:hAnsi="宋体" w:cs="宋体"/>
      <w:kern w:val="0"/>
      <w:sz w:val="24"/>
      <w:szCs w:val="28"/>
    </w:rPr>
  </w:style>
  <w:style w:type="paragraph" w:customStyle="1" w:styleId="151">
    <w:name w:val="xl11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52">
    <w:name w:val="xl8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53">
    <w:name w:val="表格内容"/>
    <w:basedOn w:val="1"/>
    <w:qFormat/>
    <w:uiPriority w:val="0"/>
    <w:pPr>
      <w:spacing w:line="0" w:lineRule="atLeast"/>
      <w:jc w:val="center"/>
    </w:pPr>
    <w:rPr>
      <w:rFonts w:ascii="仿宋_GB2312" w:hAnsi="Times New Roman" w:eastAsia="黑体" w:cs="宋体"/>
      <w:sz w:val="21"/>
      <w:szCs w:val="20"/>
    </w:rPr>
  </w:style>
  <w:style w:type="paragraph" w:customStyle="1" w:styleId="154">
    <w:name w:val="表文"/>
    <w:basedOn w:val="1"/>
    <w:qFormat/>
    <w:uiPriority w:val="0"/>
    <w:pPr>
      <w:spacing w:line="240" w:lineRule="auto"/>
      <w:jc w:val="center"/>
    </w:pPr>
    <w:rPr>
      <w:rFonts w:ascii="宋体" w:hAnsi="Times New Roman" w:eastAsia="宋体" w:cs="Times New Roman"/>
      <w:sz w:val="24"/>
      <w:szCs w:val="20"/>
    </w:rPr>
  </w:style>
  <w:style w:type="paragraph" w:customStyle="1" w:styleId="155">
    <w:name w:val="xl90"/>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56">
    <w:name w:val="xl110"/>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57">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58">
    <w:name w:val="表格右对齐"/>
    <w:basedOn w:val="1"/>
    <w:qFormat/>
    <w:uiPriority w:val="0"/>
    <w:pPr>
      <w:spacing w:line="0" w:lineRule="atLeast"/>
      <w:jc w:val="right"/>
    </w:pPr>
    <w:rPr>
      <w:rFonts w:ascii="仿宋_GB2312" w:hAnsi="Times New Roman" w:cs="宋体"/>
      <w:sz w:val="21"/>
      <w:szCs w:val="20"/>
    </w:rPr>
  </w:style>
  <w:style w:type="paragraph" w:styleId="159">
    <w:name w:val="List Paragraph"/>
    <w:basedOn w:val="1"/>
    <w:qFormat/>
    <w:uiPriority w:val="34"/>
    <w:pPr>
      <w:ind w:firstLine="420"/>
    </w:pPr>
    <w:rPr>
      <w:rFonts w:ascii="Calibri" w:hAnsi="Calibri" w:eastAsia="宋体" w:cs="Times New Roman"/>
      <w:sz w:val="24"/>
    </w:rPr>
  </w:style>
  <w:style w:type="paragraph" w:customStyle="1" w:styleId="160">
    <w:name w:val="xl10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61">
    <w:name w:val="xl74"/>
    <w:basedOn w:val="1"/>
    <w:qFormat/>
    <w:uiPriority w:val="0"/>
    <w:pPr>
      <w:widowControl/>
      <w:spacing w:before="100" w:beforeAutospacing="1" w:after="100" w:afterAutospacing="1" w:line="240" w:lineRule="auto"/>
      <w:jc w:val="right"/>
    </w:pPr>
    <w:rPr>
      <w:rFonts w:ascii="仿宋" w:hAnsi="仿宋" w:eastAsia="仿宋" w:cs="宋体"/>
      <w:kern w:val="0"/>
      <w:sz w:val="20"/>
      <w:szCs w:val="20"/>
    </w:rPr>
  </w:style>
  <w:style w:type="paragraph" w:customStyle="1" w:styleId="162">
    <w:name w:val="样式1"/>
    <w:basedOn w:val="6"/>
    <w:qFormat/>
    <w:uiPriority w:val="0"/>
    <w:rPr>
      <w:b/>
    </w:rPr>
  </w:style>
  <w:style w:type="paragraph" w:customStyle="1" w:styleId="163">
    <w:name w:val="xl99"/>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64">
    <w:name w:val="xl67"/>
    <w:basedOn w:val="1"/>
    <w:qFormat/>
    <w:uiPriority w:val="0"/>
    <w:pPr>
      <w:widowControl/>
      <w:spacing w:before="100" w:beforeAutospacing="1" w:after="100" w:afterAutospacing="1" w:line="240" w:lineRule="auto"/>
      <w:jc w:val="center"/>
    </w:pPr>
    <w:rPr>
      <w:rFonts w:ascii="黑体" w:hAnsi="黑体" w:eastAsia="黑体" w:cs="宋体"/>
      <w:b/>
      <w:bCs/>
      <w:kern w:val="0"/>
      <w:sz w:val="20"/>
      <w:szCs w:val="20"/>
    </w:rPr>
  </w:style>
  <w:style w:type="paragraph" w:customStyle="1" w:styleId="165">
    <w:name w:val="首行缩进"/>
    <w:basedOn w:val="1"/>
    <w:qFormat/>
    <w:uiPriority w:val="0"/>
    <w:pPr>
      <w:spacing w:line="240" w:lineRule="auto"/>
      <w:ind w:firstLine="560"/>
    </w:pPr>
    <w:rPr>
      <w:rFonts w:ascii="仿宋_GB2312" w:hAnsi="Times New Roman" w:cs="宋体"/>
      <w:sz w:val="24"/>
      <w:szCs w:val="20"/>
    </w:rPr>
  </w:style>
  <w:style w:type="paragraph" w:customStyle="1" w:styleId="166">
    <w:name w:val="样式2"/>
    <w:basedOn w:val="6"/>
    <w:qFormat/>
    <w:uiPriority w:val="0"/>
    <w:pPr>
      <w:spacing w:before="280" w:after="290" w:line="376" w:lineRule="atLeast"/>
      <w:textAlignment w:val="baseline"/>
    </w:pPr>
    <w:rPr>
      <w:rFonts w:ascii="Arial"/>
      <w:b/>
      <w:bCs w:val="0"/>
      <w:kern w:val="0"/>
      <w:szCs w:val="20"/>
    </w:rPr>
  </w:style>
  <w:style w:type="paragraph" w:customStyle="1" w:styleId="167">
    <w:name w:val="xl100"/>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68">
    <w:name w:val="xl68"/>
    <w:basedOn w:val="1"/>
    <w:qFormat/>
    <w:uiPriority w:val="0"/>
    <w:pPr>
      <w:widowControl/>
      <w:shd w:val="clear" w:color="000000" w:fill="FFC000"/>
      <w:spacing w:before="100" w:beforeAutospacing="1" w:after="100" w:afterAutospacing="1" w:line="240" w:lineRule="auto"/>
      <w:jc w:val="left"/>
    </w:pPr>
    <w:rPr>
      <w:rFonts w:ascii="仿宋" w:hAnsi="仿宋" w:eastAsia="仿宋" w:cs="宋体"/>
      <w:b/>
      <w:bCs/>
      <w:kern w:val="0"/>
      <w:sz w:val="20"/>
      <w:szCs w:val="20"/>
    </w:rPr>
  </w:style>
  <w:style w:type="paragraph" w:customStyle="1" w:styleId="169">
    <w:name w:val="表格内容（中）"/>
    <w:basedOn w:val="1"/>
    <w:qFormat/>
    <w:uiPriority w:val="0"/>
    <w:pPr>
      <w:spacing w:line="0" w:lineRule="atLeast"/>
      <w:jc w:val="center"/>
    </w:pPr>
    <w:rPr>
      <w:rFonts w:ascii="仿宋_GB2312" w:hAnsi="Times New Roman" w:cs="宋体"/>
      <w:sz w:val="21"/>
      <w:szCs w:val="21"/>
    </w:rPr>
  </w:style>
  <w:style w:type="paragraph" w:customStyle="1" w:styleId="170">
    <w:name w:val="表格内容（右）"/>
    <w:basedOn w:val="1"/>
    <w:qFormat/>
    <w:uiPriority w:val="0"/>
    <w:pPr>
      <w:spacing w:line="0" w:lineRule="atLeast"/>
      <w:jc w:val="right"/>
    </w:pPr>
    <w:rPr>
      <w:rFonts w:ascii="仿宋_GB2312" w:hAnsi="Times New Roman" w:cs="宋体"/>
      <w:sz w:val="21"/>
      <w:szCs w:val="21"/>
    </w:rPr>
  </w:style>
  <w:style w:type="paragraph" w:customStyle="1" w:styleId="171">
    <w:name w:val="pic-info"/>
    <w:basedOn w:val="1"/>
    <w:qFormat/>
    <w:uiPriority w:val="0"/>
    <w:pPr>
      <w:widowControl/>
      <w:spacing w:before="100" w:beforeAutospacing="1" w:after="100" w:afterAutospacing="1" w:line="240" w:lineRule="auto"/>
      <w:jc w:val="left"/>
    </w:pPr>
    <w:rPr>
      <w:rFonts w:ascii="宋体" w:hAnsi="宋体" w:eastAsia="宋体" w:cs="宋体"/>
      <w:kern w:val="0"/>
      <w:sz w:val="24"/>
      <w:szCs w:val="24"/>
    </w:rPr>
  </w:style>
  <w:style w:type="paragraph" w:customStyle="1" w:styleId="172">
    <w:name w:val="xl93"/>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right"/>
    </w:pPr>
    <w:rPr>
      <w:rFonts w:ascii="仿宋" w:hAnsi="仿宋" w:eastAsia="仿宋" w:cs="宋体"/>
      <w:kern w:val="0"/>
      <w:sz w:val="20"/>
      <w:szCs w:val="20"/>
    </w:rPr>
  </w:style>
  <w:style w:type="paragraph" w:customStyle="1" w:styleId="173">
    <w:name w:val="样式 标题 2 + 宋体 四号 左侧:  0 厘米 行距: 1.5 倍行距"/>
    <w:basedOn w:val="4"/>
    <w:qFormat/>
    <w:uiPriority w:val="0"/>
    <w:pPr>
      <w:widowControl/>
      <w:overflowPunct w:val="0"/>
      <w:autoSpaceDE w:val="0"/>
      <w:autoSpaceDN w:val="0"/>
      <w:spacing w:beforeLines="50"/>
      <w:ind w:right="-206" w:rightChars="-98"/>
      <w:textAlignment w:val="baseline"/>
    </w:pPr>
    <w:rPr>
      <w:rFonts w:ascii="黑体" w:hAnsi="宋体" w:eastAsia="黑体" w:cs="宋体"/>
      <w:b w:val="0"/>
      <w:color w:val="000000"/>
      <w:spacing w:val="-10"/>
      <w:kern w:val="0"/>
      <w:sz w:val="28"/>
      <w:szCs w:val="28"/>
      <w:lang w:val="sq-AL"/>
    </w:rPr>
  </w:style>
  <w:style w:type="paragraph" w:customStyle="1" w:styleId="174">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75">
    <w:name w:val="Char1"/>
    <w:basedOn w:val="1"/>
    <w:qFormat/>
    <w:uiPriority w:val="0"/>
    <w:pPr>
      <w:tabs>
        <w:tab w:val="left" w:pos="425"/>
      </w:tabs>
      <w:spacing w:line="240" w:lineRule="auto"/>
      <w:ind w:left="425" w:hanging="425"/>
    </w:pPr>
    <w:rPr>
      <w:rFonts w:ascii="Times New Roman" w:hAnsi="Times New Roman" w:cs="Times New Roman"/>
      <w:kern w:val="24"/>
      <w:sz w:val="24"/>
      <w:szCs w:val="24"/>
    </w:rPr>
  </w:style>
  <w:style w:type="paragraph" w:customStyle="1" w:styleId="176">
    <w:name w:val="正文1"/>
    <w:basedOn w:val="1"/>
    <w:qFormat/>
    <w:uiPriority w:val="0"/>
    <w:rPr>
      <w:rFonts w:ascii="宋体" w:hAnsi="宋体" w:eastAsia="宋体" w:cs="Times New Roman"/>
      <w:kern w:val="0"/>
      <w:sz w:val="24"/>
      <w:szCs w:val="24"/>
    </w:rPr>
  </w:style>
  <w:style w:type="paragraph" w:customStyle="1" w:styleId="177">
    <w:name w:val="xl109"/>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center"/>
    </w:pPr>
    <w:rPr>
      <w:rFonts w:ascii="仿宋" w:hAnsi="仿宋" w:eastAsia="仿宋" w:cs="宋体"/>
      <w:kern w:val="0"/>
      <w:sz w:val="20"/>
      <w:szCs w:val="20"/>
    </w:rPr>
  </w:style>
  <w:style w:type="paragraph" w:customStyle="1" w:styleId="178">
    <w:name w:val="xl7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黑体" w:hAnsi="黑体" w:eastAsia="黑体" w:cs="宋体"/>
      <w:b/>
      <w:bCs/>
      <w:kern w:val="0"/>
      <w:sz w:val="20"/>
      <w:szCs w:val="20"/>
    </w:rPr>
  </w:style>
  <w:style w:type="paragraph" w:customStyle="1" w:styleId="179">
    <w:name w:val="font5"/>
    <w:basedOn w:val="1"/>
    <w:qFormat/>
    <w:uiPriority w:val="0"/>
    <w:pPr>
      <w:widowControl/>
      <w:spacing w:before="100" w:beforeAutospacing="1" w:after="100" w:afterAutospacing="1" w:line="240" w:lineRule="auto"/>
      <w:jc w:val="left"/>
    </w:pPr>
    <w:rPr>
      <w:rFonts w:ascii="宋体" w:hAnsi="宋体" w:eastAsia="宋体" w:cs="宋体"/>
      <w:kern w:val="0"/>
      <w:sz w:val="18"/>
      <w:szCs w:val="18"/>
    </w:rPr>
  </w:style>
  <w:style w:type="paragraph" w:customStyle="1" w:styleId="180">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81">
    <w:name w:val="xl66"/>
    <w:basedOn w:val="1"/>
    <w:qFormat/>
    <w:uiPriority w:val="0"/>
    <w:pPr>
      <w:widowControl/>
      <w:spacing w:before="100" w:beforeAutospacing="1" w:after="100" w:afterAutospacing="1" w:line="240" w:lineRule="auto"/>
      <w:jc w:val="left"/>
    </w:pPr>
    <w:rPr>
      <w:rFonts w:ascii="黑体" w:hAnsi="黑体" w:eastAsia="黑体" w:cs="宋体"/>
      <w:b/>
      <w:bCs/>
      <w:kern w:val="0"/>
      <w:sz w:val="20"/>
      <w:szCs w:val="20"/>
    </w:rPr>
  </w:style>
  <w:style w:type="paragraph" w:customStyle="1" w:styleId="182">
    <w:name w:val="xl101"/>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83">
    <w:name w:val="xl69"/>
    <w:basedOn w:val="1"/>
    <w:qFormat/>
    <w:uiPriority w:val="0"/>
    <w:pPr>
      <w:widowControl/>
      <w:shd w:val="clear" w:color="000000" w:fill="FFFF00"/>
      <w:spacing w:before="100" w:beforeAutospacing="1" w:after="100" w:afterAutospacing="1" w:line="240" w:lineRule="auto"/>
      <w:jc w:val="left"/>
    </w:pPr>
    <w:rPr>
      <w:rFonts w:ascii="仿宋" w:hAnsi="仿宋" w:eastAsia="仿宋" w:cs="宋体"/>
      <w:kern w:val="0"/>
      <w:sz w:val="20"/>
      <w:szCs w:val="20"/>
    </w:rPr>
  </w:style>
  <w:style w:type="paragraph" w:customStyle="1" w:styleId="184">
    <w:name w:val="xl102"/>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85">
    <w:name w:val="xl70"/>
    <w:basedOn w:val="1"/>
    <w:qFormat/>
    <w:uiPriority w:val="0"/>
    <w:pPr>
      <w:widowControl/>
      <w:shd w:val="clear" w:color="000000" w:fill="00B050"/>
      <w:spacing w:before="100" w:beforeAutospacing="1" w:after="100" w:afterAutospacing="1" w:line="240" w:lineRule="auto"/>
      <w:jc w:val="left"/>
    </w:pPr>
    <w:rPr>
      <w:rFonts w:ascii="仿宋" w:hAnsi="仿宋" w:eastAsia="仿宋" w:cs="宋体"/>
      <w:kern w:val="0"/>
      <w:sz w:val="20"/>
      <w:szCs w:val="20"/>
    </w:rPr>
  </w:style>
  <w:style w:type="paragraph" w:customStyle="1" w:styleId="186">
    <w:name w:val="xl10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87">
    <w:name w:val="xl71"/>
    <w:basedOn w:val="1"/>
    <w:qFormat/>
    <w:uiPriority w:val="0"/>
    <w:pPr>
      <w:widowControl/>
      <w:shd w:val="clear" w:color="000000" w:fill="92D050"/>
      <w:spacing w:before="100" w:beforeAutospacing="1" w:after="100" w:afterAutospacing="1" w:line="240" w:lineRule="auto"/>
      <w:jc w:val="left"/>
    </w:pPr>
    <w:rPr>
      <w:rFonts w:ascii="仿宋" w:hAnsi="仿宋" w:eastAsia="仿宋" w:cs="宋体"/>
      <w:kern w:val="0"/>
      <w:sz w:val="20"/>
      <w:szCs w:val="20"/>
    </w:rPr>
  </w:style>
  <w:style w:type="paragraph" w:customStyle="1" w:styleId="188">
    <w:name w:val="xl104"/>
    <w:basedOn w:val="1"/>
    <w:qFormat/>
    <w:uiPriority w:val="0"/>
    <w:pPr>
      <w:widowControl/>
      <w:pBdr>
        <w:top w:val="single" w:color="auto" w:sz="4" w:space="0"/>
        <w:left w:val="single" w:color="auto" w:sz="4" w:space="0"/>
        <w:bottom w:val="single" w:color="auto" w:sz="4" w:space="0"/>
        <w:right w:val="single" w:color="auto" w:sz="4" w:space="0"/>
      </w:pBdr>
      <w:shd w:val="clear" w:color="000000" w:fill="FFC000"/>
      <w:spacing w:before="100" w:beforeAutospacing="1" w:after="100" w:afterAutospacing="1" w:line="240" w:lineRule="auto"/>
      <w:jc w:val="center"/>
    </w:pPr>
    <w:rPr>
      <w:rFonts w:ascii="仿宋" w:hAnsi="仿宋" w:eastAsia="仿宋" w:cs="宋体"/>
      <w:b/>
      <w:bCs/>
      <w:kern w:val="0"/>
      <w:sz w:val="20"/>
      <w:szCs w:val="20"/>
    </w:rPr>
  </w:style>
  <w:style w:type="paragraph" w:customStyle="1" w:styleId="189">
    <w:name w:val="xl72"/>
    <w:basedOn w:val="1"/>
    <w:qFormat/>
    <w:uiPriority w:val="0"/>
    <w:pPr>
      <w:widowControl/>
      <w:spacing w:before="100" w:beforeAutospacing="1" w:after="100" w:afterAutospacing="1" w:line="240" w:lineRule="auto"/>
      <w:jc w:val="left"/>
    </w:pPr>
    <w:rPr>
      <w:rFonts w:ascii="仿宋" w:hAnsi="仿宋" w:eastAsia="仿宋" w:cs="宋体"/>
      <w:kern w:val="0"/>
      <w:sz w:val="20"/>
      <w:szCs w:val="20"/>
    </w:rPr>
  </w:style>
  <w:style w:type="paragraph" w:customStyle="1" w:styleId="190">
    <w:name w:val="xl10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91">
    <w:name w:val="xl73"/>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92">
    <w:name w:val="xl107"/>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center"/>
    </w:pPr>
    <w:rPr>
      <w:rFonts w:ascii="仿宋" w:hAnsi="仿宋" w:eastAsia="仿宋" w:cs="宋体"/>
      <w:kern w:val="0"/>
      <w:sz w:val="20"/>
      <w:szCs w:val="20"/>
    </w:rPr>
  </w:style>
  <w:style w:type="paragraph" w:customStyle="1" w:styleId="193">
    <w:name w:val="xl75"/>
    <w:basedOn w:val="1"/>
    <w:qFormat/>
    <w:uiPriority w:val="0"/>
    <w:pPr>
      <w:widowControl/>
      <w:spacing w:before="100" w:beforeAutospacing="1" w:after="100" w:afterAutospacing="1" w:line="240" w:lineRule="auto"/>
      <w:jc w:val="center"/>
    </w:pPr>
    <w:rPr>
      <w:rFonts w:ascii="仿宋" w:hAnsi="仿宋" w:eastAsia="仿宋" w:cs="宋体"/>
      <w:kern w:val="0"/>
      <w:sz w:val="20"/>
      <w:szCs w:val="20"/>
    </w:rPr>
  </w:style>
  <w:style w:type="paragraph" w:customStyle="1" w:styleId="194">
    <w:name w:val="xl83"/>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ascii="仿宋" w:hAnsi="仿宋" w:eastAsia="仿宋" w:cs="宋体"/>
      <w:kern w:val="0"/>
      <w:sz w:val="20"/>
      <w:szCs w:val="20"/>
    </w:rPr>
  </w:style>
  <w:style w:type="paragraph" w:customStyle="1" w:styleId="195">
    <w:name w:val="xl89"/>
    <w:basedOn w:val="1"/>
    <w:qFormat/>
    <w:uiPriority w:val="0"/>
    <w:pPr>
      <w:widowControl/>
      <w:pBdr>
        <w:top w:val="single" w:color="auto" w:sz="4" w:space="0"/>
        <w:left w:val="single" w:color="auto" w:sz="4" w:space="0"/>
        <w:bottom w:val="single" w:color="auto" w:sz="4" w:space="0"/>
        <w:right w:val="single" w:color="auto" w:sz="4" w:space="0"/>
      </w:pBdr>
      <w:shd w:val="clear" w:color="000000" w:fill="00B050"/>
      <w:spacing w:before="100" w:beforeAutospacing="1" w:after="100" w:afterAutospacing="1" w:line="240" w:lineRule="auto"/>
      <w:jc w:val="right"/>
    </w:pPr>
    <w:rPr>
      <w:rFonts w:ascii="仿宋" w:hAnsi="仿宋" w:eastAsia="仿宋" w:cs="宋体"/>
      <w:kern w:val="0"/>
      <w:sz w:val="20"/>
      <w:szCs w:val="20"/>
    </w:rPr>
  </w:style>
  <w:style w:type="paragraph" w:customStyle="1" w:styleId="196">
    <w:name w:val="xl92"/>
    <w:basedOn w:val="1"/>
    <w:qFormat/>
    <w:uiPriority w:val="0"/>
    <w:pPr>
      <w:widowControl/>
      <w:pBdr>
        <w:top w:val="single" w:color="auto" w:sz="4" w:space="0"/>
        <w:left w:val="single" w:color="auto" w:sz="4" w:space="0"/>
        <w:bottom w:val="single" w:color="auto" w:sz="4" w:space="0"/>
        <w:right w:val="single" w:color="auto" w:sz="4" w:space="0"/>
      </w:pBdr>
      <w:shd w:val="clear" w:color="000000" w:fill="92D050"/>
      <w:spacing w:before="100" w:beforeAutospacing="1" w:after="100" w:afterAutospacing="1" w:line="240" w:lineRule="auto"/>
      <w:jc w:val="left"/>
    </w:pPr>
    <w:rPr>
      <w:rFonts w:ascii="仿宋" w:hAnsi="仿宋" w:eastAsia="仿宋" w:cs="宋体"/>
      <w:kern w:val="0"/>
      <w:sz w:val="20"/>
      <w:szCs w:val="20"/>
    </w:rPr>
  </w:style>
  <w:style w:type="paragraph" w:customStyle="1" w:styleId="197">
    <w:name w:val="xl9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 w:hAnsi="仿宋" w:eastAsia="仿宋" w:cs="宋体"/>
      <w:kern w:val="0"/>
      <w:sz w:val="20"/>
      <w:szCs w:val="20"/>
    </w:rPr>
  </w:style>
  <w:style w:type="paragraph" w:customStyle="1" w:styleId="198">
    <w:name w:val="xl9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ascii="仿宋" w:hAnsi="仿宋" w:eastAsia="仿宋" w:cs="宋体"/>
      <w:kern w:val="0"/>
      <w:sz w:val="20"/>
      <w:szCs w:val="20"/>
    </w:rPr>
  </w:style>
  <w:style w:type="paragraph" w:customStyle="1" w:styleId="199">
    <w:name w:val="TOC 标题1"/>
    <w:basedOn w:val="3"/>
    <w:next w:val="1"/>
    <w:unhideWhenUsed/>
    <w:qFormat/>
    <w:uiPriority w:val="39"/>
    <w:pPr>
      <w:widowControl/>
      <w:adjustRightInd/>
      <w:snapToGrid/>
      <w:spacing w:before="240" w:line="259" w:lineRule="auto"/>
      <w:ind w:firstLine="0" w:firstLineChars="0"/>
      <w:jc w:val="left"/>
      <w:outlineLvl w:val="9"/>
    </w:pPr>
    <w:rPr>
      <w:rFonts w:asciiTheme="majorHAnsi" w:hAnsiTheme="majorHAnsi" w:eastAsiaTheme="majorEastAsia" w:cstheme="majorBidi"/>
      <w:bCs w:val="0"/>
      <w:color w:val="2E75B6" w:themeColor="accent1" w:themeShade="BF"/>
      <w:kern w:val="0"/>
      <w:szCs w:val="32"/>
    </w:rPr>
  </w:style>
  <w:style w:type="paragraph" w:customStyle="1" w:styleId="200">
    <w:name w:val="修订2"/>
    <w:hidden/>
    <w:semiHidden/>
    <w:qFormat/>
    <w:uiPriority w:val="99"/>
    <w:rPr>
      <w:rFonts w:eastAsia="仿宋_GB2312" w:asciiTheme="minorHAnsi" w:hAnsiTheme="minorHAnsi" w:cstheme="minorBidi"/>
      <w:kern w:val="2"/>
      <w:sz w:val="32"/>
      <w:szCs w:val="22"/>
      <w:lang w:val="en-US" w:eastAsia="zh-CN" w:bidi="ar-SA"/>
    </w:rPr>
  </w:style>
  <w:style w:type="character" w:customStyle="1" w:styleId="201">
    <w:name w:val="脚注文本 Char"/>
    <w:qFormat/>
    <w:uiPriority w:val="0"/>
    <w:rPr>
      <w:rFonts w:ascii="Times New Roman" w:hAnsi="Times New Roman" w:eastAsia="宋体" w:cs="Times New Roman"/>
      <w:sz w:val="18"/>
      <w:szCs w:val="20"/>
    </w:rPr>
  </w:style>
  <w:style w:type="character" w:customStyle="1" w:styleId="202">
    <w:name w:val="未处理的提及1"/>
    <w:basedOn w:val="36"/>
    <w:semiHidden/>
    <w:unhideWhenUsed/>
    <w:qFormat/>
    <w:uiPriority w:val="99"/>
    <w:rPr>
      <w:color w:val="605E5C"/>
      <w:shd w:val="clear" w:color="auto" w:fill="E1DFDD"/>
    </w:rPr>
  </w:style>
  <w:style w:type="character" w:customStyle="1" w:styleId="203">
    <w:name w:val="正文首行缩进 2 Char"/>
    <w:basedOn w:val="55"/>
    <w:link w:val="32"/>
    <w:semiHidden/>
    <w:qFormat/>
    <w:uiPriority w:val="99"/>
    <w:rPr>
      <w:rFonts w:eastAsia="仿宋_GB2312" w:asciiTheme="minorHAnsi" w:hAnsiTheme="minorHAnsi" w:cstheme="minorBidi"/>
      <w:kern w:val="2"/>
      <w:sz w:val="32"/>
      <w:szCs w:val="22"/>
    </w:rPr>
  </w:style>
  <w:style w:type="character" w:customStyle="1" w:styleId="204">
    <w:name w:val="标题 1 Char"/>
    <w:qFormat/>
    <w:uiPriority w:val="0"/>
    <w:rPr>
      <w:rFonts w:ascii="仿宋_GB2312" w:hAnsi="Times New Roman" w:eastAsia="黑体"/>
      <w:kern w:val="44"/>
      <w:sz w:val="32"/>
      <w:szCs w:val="32"/>
    </w:rPr>
  </w:style>
  <w:style w:type="character" w:customStyle="1" w:styleId="205">
    <w:name w:val="标题 2 Char"/>
    <w:qFormat/>
    <w:uiPriority w:val="0"/>
    <w:rPr>
      <w:rFonts w:ascii="Times New Roman" w:hAnsi="Times New Roman" w:eastAsia="楷体"/>
      <w:b/>
      <w:kern w:val="2"/>
      <w:sz w:val="32"/>
      <w:szCs w:val="32"/>
    </w:rPr>
  </w:style>
  <w:style w:type="character" w:customStyle="1" w:styleId="206">
    <w:name w:val="标题 3 Char"/>
    <w:qFormat/>
    <w:uiPriority w:val="0"/>
    <w:rPr>
      <w:rFonts w:ascii="Times New Roman" w:hAnsi="Times New Roman" w:eastAsia="仿宋_GB2312"/>
      <w:b/>
      <w:kern w:val="2"/>
      <w:sz w:val="32"/>
      <w:szCs w:val="32"/>
    </w:rPr>
  </w:style>
  <w:style w:type="character" w:customStyle="1" w:styleId="207">
    <w:name w:val="font81"/>
    <w:qFormat/>
    <w:uiPriority w:val="0"/>
    <w:rPr>
      <w:rFonts w:hint="default" w:ascii="Times New Roman" w:hAnsi="Times New Roman" w:cs="Times New Roman"/>
      <w:b/>
      <w:color w:val="auto"/>
      <w:kern w:val="0"/>
      <w:sz w:val="21"/>
      <w:szCs w:val="21"/>
      <w:u w:val="none"/>
      <w:lang w:eastAsia="en-US"/>
    </w:rPr>
  </w:style>
  <w:style w:type="character" w:customStyle="1" w:styleId="208">
    <w:name w:val="font61"/>
    <w:qFormat/>
    <w:uiPriority w:val="0"/>
    <w:rPr>
      <w:rFonts w:hint="eastAsia" w:ascii="仿宋_GB2312" w:hAnsi="Verdana" w:eastAsia="仿宋_GB2312" w:cs="仿宋_GB2312"/>
      <w:color w:val="auto"/>
      <w:kern w:val="0"/>
      <w:sz w:val="18"/>
      <w:szCs w:val="18"/>
      <w:u w:val="none"/>
      <w:lang w:eastAsia="en-US"/>
    </w:rPr>
  </w:style>
  <w:style w:type="character" w:customStyle="1" w:styleId="209">
    <w:name w:val="font71"/>
    <w:qFormat/>
    <w:uiPriority w:val="0"/>
    <w:rPr>
      <w:rFonts w:hint="eastAsia" w:ascii="宋体" w:hAnsi="宋体" w:eastAsia="宋体" w:cs="宋体"/>
      <w:color w:val="auto"/>
      <w:sz w:val="20"/>
      <w:szCs w:val="20"/>
    </w:rPr>
  </w:style>
  <w:style w:type="paragraph" w:customStyle="1" w:styleId="210">
    <w:name w:val="Char Char Char Char"/>
    <w:basedOn w:val="1"/>
    <w:qFormat/>
    <w:uiPriority w:val="0"/>
    <w:pPr>
      <w:widowControl/>
      <w:spacing w:line="400" w:lineRule="exact"/>
      <w:ind w:firstLine="640"/>
      <w:jc w:val="center"/>
    </w:pPr>
    <w:rPr>
      <w:rFonts w:ascii="Verdana" w:hAnsi="Verdana" w:cs="Times New Roman"/>
      <w:kern w:val="0"/>
      <w:szCs w:val="32"/>
      <w:lang w:eastAsia="en-US"/>
    </w:rPr>
  </w:style>
  <w:style w:type="paragraph" w:customStyle="1" w:styleId="211">
    <w:name w:val="_Style 208"/>
    <w:basedOn w:val="1"/>
    <w:next w:val="159"/>
    <w:qFormat/>
    <w:uiPriority w:val="0"/>
    <w:pPr>
      <w:spacing w:line="240" w:lineRule="auto"/>
      <w:ind w:firstLine="420"/>
    </w:pPr>
    <w:rPr>
      <w:rFonts w:ascii="Calibri" w:hAnsi="Calibri" w:cs="Times New Roman"/>
    </w:rPr>
  </w:style>
  <w:style w:type="character" w:customStyle="1" w:styleId="212">
    <w:name w:val="正文文本缩进 Char"/>
    <w:qFormat/>
    <w:uiPriority w:val="0"/>
    <w:rPr>
      <w:rFonts w:ascii="Times New Roman" w:hAnsi="Times New Roman" w:eastAsia="楷体_GB2312" w:cs="Times New Roman"/>
      <w:sz w:val="28"/>
      <w:szCs w:val="20"/>
    </w:rPr>
  </w:style>
  <w:style w:type="character" w:customStyle="1" w:styleId="213">
    <w:name w:val="正文文本缩进 2 Char"/>
    <w:qFormat/>
    <w:uiPriority w:val="0"/>
    <w:rPr>
      <w:rFonts w:ascii="Times New Roman" w:hAnsi="Times New Roman" w:eastAsia="宋体" w:cs="Times New Roman"/>
      <w:szCs w:val="20"/>
    </w:rPr>
  </w:style>
  <w:style w:type="character" w:customStyle="1" w:styleId="214">
    <w:name w:val="页脚 Char"/>
    <w:qFormat/>
    <w:uiPriority w:val="99"/>
    <w:rPr>
      <w:rFonts w:ascii="Times New Roman" w:hAnsi="Times New Roman" w:eastAsia="宋体" w:cs="Times New Roman"/>
      <w:sz w:val="18"/>
      <w:szCs w:val="20"/>
    </w:rPr>
  </w:style>
  <w:style w:type="character" w:customStyle="1" w:styleId="215">
    <w:name w:val="页眉 Char"/>
    <w:qFormat/>
    <w:uiPriority w:val="99"/>
    <w:rPr>
      <w:rFonts w:ascii="Times New Roman" w:hAnsi="Times New Roman" w:eastAsia="宋体" w:cs="Times New Roman"/>
      <w:sz w:val="18"/>
      <w:szCs w:val="20"/>
    </w:rPr>
  </w:style>
  <w:style w:type="paragraph" w:customStyle="1" w:styleId="216">
    <w:name w:val="TOC 标题2"/>
    <w:basedOn w:val="3"/>
    <w:next w:val="1"/>
    <w:unhideWhenUsed/>
    <w:qFormat/>
    <w:uiPriority w:val="39"/>
    <w:pPr>
      <w:widowControl/>
      <w:spacing w:before="480" w:line="276" w:lineRule="auto"/>
      <w:jc w:val="left"/>
      <w:outlineLvl w:val="9"/>
    </w:pPr>
    <w:rPr>
      <w:rFonts w:ascii="Cambria" w:hAnsi="Cambria" w:cs="Times New Roman"/>
      <w:color w:val="365F91"/>
      <w:kern w:val="0"/>
      <w:sz w:val="28"/>
      <w:szCs w:val="28"/>
    </w:rPr>
  </w:style>
  <w:style w:type="character" w:customStyle="1" w:styleId="217">
    <w:name w:val="副标题 Char"/>
    <w:qFormat/>
    <w:uiPriority w:val="0"/>
    <w:rPr>
      <w:rFonts w:ascii="Cambria" w:hAnsi="Cambria" w:eastAsia="宋体" w:cs="Times New Roman"/>
      <w:b/>
      <w:bCs/>
      <w:kern w:val="28"/>
      <w:sz w:val="32"/>
      <w:szCs w:val="32"/>
    </w:rPr>
  </w:style>
  <w:style w:type="paragraph" w:customStyle="1" w:styleId="218">
    <w:name w:val="列出段落1"/>
    <w:basedOn w:val="1"/>
    <w:qFormat/>
    <w:uiPriority w:val="0"/>
    <w:pPr>
      <w:spacing w:line="240" w:lineRule="auto"/>
      <w:ind w:firstLine="420"/>
    </w:pPr>
    <w:rPr>
      <w:rFonts w:ascii="仿宋_GB2312" w:hAnsi="Times New Roman" w:cs="Times New Roman"/>
      <w:szCs w:val="24"/>
    </w:rPr>
  </w:style>
  <w:style w:type="character" w:customStyle="1" w:styleId="219">
    <w:name w:val="批注框文本 Char"/>
    <w:qFormat/>
    <w:locked/>
    <w:uiPriority w:val="0"/>
    <w:rPr>
      <w:sz w:val="18"/>
      <w:szCs w:val="18"/>
    </w:rPr>
  </w:style>
  <w:style w:type="character" w:customStyle="1" w:styleId="220">
    <w:name w:val="批注框文本 Char1"/>
    <w:qFormat/>
    <w:uiPriority w:val="0"/>
    <w:rPr>
      <w:rFonts w:ascii="Times New Roman" w:hAnsi="Times New Roman" w:eastAsia="宋体" w:cs="Times New Roman"/>
      <w:sz w:val="18"/>
      <w:szCs w:val="18"/>
    </w:rPr>
  </w:style>
  <w:style w:type="paragraph" w:customStyle="1" w:styleId="221">
    <w:name w:val="修订3"/>
    <w:hidden/>
    <w:semiHidden/>
    <w:qFormat/>
    <w:uiPriority w:val="99"/>
    <w:rPr>
      <w:rFonts w:ascii="Times New Roman" w:hAnsi="Times New Roman" w:eastAsia="宋体" w:cs="Times New Roman"/>
      <w:kern w:val="2"/>
      <w:sz w:val="21"/>
      <w:lang w:val="en-US" w:eastAsia="zh-CN" w:bidi="ar-SA"/>
    </w:rPr>
  </w:style>
  <w:style w:type="character" w:customStyle="1" w:styleId="222">
    <w:name w:val="日期 Char"/>
    <w:semiHidden/>
    <w:qFormat/>
    <w:uiPriority w:val="99"/>
    <w:rPr>
      <w:rFonts w:ascii="Times New Roman" w:hAnsi="Times New Roman" w:eastAsia="宋体" w:cs="Times New Roman"/>
      <w:szCs w:val="20"/>
    </w:rPr>
  </w:style>
  <w:style w:type="character" w:customStyle="1" w:styleId="223">
    <w:name w:val="正文文本 Char"/>
    <w:semiHidden/>
    <w:qFormat/>
    <w:uiPriority w:val="99"/>
    <w:rPr>
      <w:rFonts w:ascii="Times New Roman" w:hAnsi="Times New Roman" w:eastAsia="宋体" w:cs="Times New Roman"/>
      <w:szCs w:val="20"/>
    </w:rPr>
  </w:style>
  <w:style w:type="character" w:customStyle="1" w:styleId="224">
    <w:name w:val="引用 Char"/>
    <w:link w:val="225"/>
    <w:qFormat/>
    <w:uiPriority w:val="29"/>
    <w:rPr>
      <w:rFonts w:cs="仿宋_GB2312" w:asciiTheme="minorEastAsia" w:hAnsiTheme="minorEastAsia" w:eastAsiaTheme="minorEastAsia"/>
      <w:kern w:val="2"/>
      <w:sz w:val="18"/>
      <w:szCs w:val="18"/>
    </w:rPr>
  </w:style>
  <w:style w:type="paragraph" w:styleId="225">
    <w:name w:val="Quote"/>
    <w:basedOn w:val="1"/>
    <w:next w:val="1"/>
    <w:link w:val="224"/>
    <w:qFormat/>
    <w:uiPriority w:val="29"/>
    <w:pPr>
      <w:adjustRightInd/>
      <w:snapToGrid/>
      <w:spacing w:line="240" w:lineRule="auto"/>
      <w:ind w:firstLine="0" w:firstLineChars="0"/>
      <w:jc w:val="center"/>
    </w:pPr>
    <w:rPr>
      <w:rFonts w:cs="仿宋_GB2312" w:asciiTheme="minorEastAsia" w:hAnsiTheme="minorEastAsia" w:eastAsiaTheme="minorEastAsia"/>
      <w:sz w:val="18"/>
      <w:szCs w:val="18"/>
    </w:rPr>
  </w:style>
  <w:style w:type="character" w:customStyle="1" w:styleId="226">
    <w:name w:val="引用 字符"/>
    <w:basedOn w:val="36"/>
    <w:qFormat/>
    <w:uiPriority w:val="29"/>
    <w:rPr>
      <w:rFonts w:eastAsia="仿宋_GB2312" w:asciiTheme="minorHAnsi" w:hAnsiTheme="minorHAnsi" w:cstheme="minorBidi"/>
      <w:i/>
      <w:iCs/>
      <w:color w:val="404040" w:themeColor="text1" w:themeTint="BF"/>
      <w:kern w:val="2"/>
      <w:sz w:val="32"/>
      <w:szCs w:val="22"/>
      <w14:textFill>
        <w14:solidFill>
          <w14:schemeClr w14:val="tx1">
            <w14:lumMod w14:val="75000"/>
            <w14:lumOff w14:val="25000"/>
          </w14:schemeClr>
        </w14:solidFill>
      </w14:textFill>
    </w:rPr>
  </w:style>
  <w:style w:type="character" w:customStyle="1" w:styleId="227">
    <w:name w:val="引用 Char1"/>
    <w:qFormat/>
    <w:uiPriority w:val="29"/>
    <w:rPr>
      <w:rFonts w:ascii="Times New Roman" w:hAnsi="Times New Roman"/>
      <w:i/>
      <w:iCs/>
      <w:color w:val="000000"/>
      <w:kern w:val="2"/>
      <w:sz w:val="21"/>
    </w:rPr>
  </w:style>
  <w:style w:type="table" w:customStyle="1" w:styleId="228">
    <w:name w:val="网格型1"/>
    <w:basedOn w:val="3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229">
    <w:name w:val="网格型2"/>
    <w:basedOn w:val="33"/>
    <w:qFormat/>
    <w:uiPriority w:val="59"/>
    <w:rPr>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30">
    <w:name w:val="纯文本 Char"/>
    <w:qFormat/>
    <w:uiPriority w:val="0"/>
    <w:rPr>
      <w:rFonts w:ascii="宋体" w:hAnsi="Courier New" w:eastAsia="仿宋_GB2312" w:cs="Courier New"/>
      <w:kern w:val="2"/>
      <w:sz w:val="30"/>
      <w:szCs w:val="21"/>
    </w:rPr>
  </w:style>
  <w:style w:type="character" w:customStyle="1" w:styleId="231">
    <w:name w:val="正文文本缩进 3 Char"/>
    <w:qFormat/>
    <w:uiPriority w:val="0"/>
    <w:rPr>
      <w:rFonts w:ascii="仿宋_GB2312" w:hAnsi="Times New Roman" w:eastAsia="仿宋_GB2312"/>
      <w:kern w:val="2"/>
      <w:sz w:val="32"/>
      <w:szCs w:val="32"/>
    </w:rPr>
  </w:style>
  <w:style w:type="paragraph" w:customStyle="1" w:styleId="232">
    <w:name w:val="指标正文"/>
    <w:basedOn w:val="1"/>
    <w:qFormat/>
    <w:uiPriority w:val="0"/>
    <w:pPr>
      <w:autoSpaceDE w:val="0"/>
      <w:autoSpaceDN w:val="0"/>
      <w:spacing w:line="280" w:lineRule="atLeast"/>
      <w:ind w:firstLine="340"/>
    </w:pPr>
    <w:rPr>
      <w:rFonts w:hint="eastAsia" w:ascii="方正书宋简体" w:hAnsi="宋体" w:eastAsia="方正书宋简体" w:cs="Times New Roman"/>
      <w:kern w:val="0"/>
      <w:sz w:val="18"/>
      <w:szCs w:val="18"/>
    </w:rPr>
  </w:style>
  <w:style w:type="paragraph" w:customStyle="1" w:styleId="233">
    <w:name w:val="Char Char Char Char Char Char Char Char Char Char Char Char Char Char Char Char"/>
    <w:basedOn w:val="1"/>
    <w:qFormat/>
    <w:uiPriority w:val="0"/>
    <w:pPr>
      <w:widowControl/>
      <w:spacing w:after="160" w:line="240" w:lineRule="exact"/>
      <w:ind w:firstLine="640"/>
      <w:jc w:val="left"/>
    </w:pPr>
    <w:rPr>
      <w:rFonts w:ascii="Verdana" w:hAnsi="Verdana" w:eastAsia="宋体" w:cs="Times New Roman"/>
      <w:kern w:val="0"/>
      <w:sz w:val="20"/>
      <w:szCs w:val="32"/>
      <w:lang w:eastAsia="en-US"/>
    </w:rPr>
  </w:style>
  <w:style w:type="paragraph" w:customStyle="1" w:styleId="234">
    <w:name w:val="Char Char Char Char Char Char Char Char Char1 Char Char Char Char"/>
    <w:basedOn w:val="1"/>
    <w:qFormat/>
    <w:uiPriority w:val="0"/>
    <w:pPr>
      <w:widowControl/>
      <w:spacing w:after="160" w:line="240" w:lineRule="exact"/>
      <w:ind w:firstLine="640"/>
      <w:jc w:val="left"/>
    </w:pPr>
    <w:rPr>
      <w:rFonts w:ascii="仿宋_GB2312" w:hAnsi="Times New Roman" w:eastAsia="宋体" w:cs="Times New Roman"/>
      <w:sz w:val="21"/>
      <w:szCs w:val="32"/>
    </w:rPr>
  </w:style>
  <w:style w:type="character" w:customStyle="1" w:styleId="235">
    <w:name w:val="文档结构图 Char"/>
    <w:qFormat/>
    <w:uiPriority w:val="0"/>
    <w:rPr>
      <w:rFonts w:ascii="Heiti SC Light" w:hAnsi="Times New Roman" w:eastAsia="Heiti SC Light"/>
      <w:kern w:val="2"/>
      <w:sz w:val="24"/>
      <w:szCs w:val="24"/>
    </w:rPr>
  </w:style>
  <w:style w:type="character" w:customStyle="1" w:styleId="236">
    <w:name w:val="批注文字 Char"/>
    <w:semiHidden/>
    <w:qFormat/>
    <w:uiPriority w:val="0"/>
    <w:rPr>
      <w:rFonts w:ascii="Times New Roman" w:hAnsi="Times New Roman" w:eastAsia="仿宋_GB2312"/>
      <w:kern w:val="2"/>
      <w:sz w:val="30"/>
    </w:rPr>
  </w:style>
  <w:style w:type="paragraph" w:customStyle="1" w:styleId="237">
    <w:name w:val="Char"/>
    <w:basedOn w:val="1"/>
    <w:qFormat/>
    <w:uiPriority w:val="0"/>
    <w:pPr>
      <w:spacing w:line="240" w:lineRule="auto"/>
      <w:ind w:firstLine="640"/>
    </w:pPr>
    <w:rPr>
      <w:rFonts w:ascii="仿宋_GB2312" w:hAnsi="Times New Roman" w:cs="Times New Roman"/>
      <w:szCs w:val="32"/>
    </w:rPr>
  </w:style>
  <w:style w:type="paragraph" w:styleId="238">
    <w:name w:val="No Spacing"/>
    <w:qFormat/>
    <w:uiPriority w:val="1"/>
    <w:pPr>
      <w:widowControl w:val="0"/>
      <w:adjustRightInd w:val="0"/>
      <w:snapToGrid w:val="0"/>
      <w:ind w:firstLine="640" w:firstLineChars="200"/>
      <w:jc w:val="both"/>
    </w:pPr>
    <w:rPr>
      <w:rFonts w:ascii="仿宋_GB2312" w:hAnsi="Times New Roman" w:eastAsia="仿宋_GB2312" w:cs="Times New Roman"/>
      <w:kern w:val="2"/>
      <w:sz w:val="32"/>
      <w:szCs w:val="32"/>
      <w:lang w:val="en-US" w:eastAsia="zh-CN" w:bidi="ar-SA"/>
    </w:rPr>
  </w:style>
  <w:style w:type="paragraph" w:customStyle="1" w:styleId="239">
    <w:name w:val="正文内容"/>
    <w:basedOn w:val="1"/>
    <w:link w:val="240"/>
    <w:qFormat/>
    <w:uiPriority w:val="0"/>
    <w:pPr>
      <w:adjustRightInd/>
      <w:snapToGrid/>
    </w:pPr>
    <w:rPr>
      <w:rFonts w:ascii="Times New Roman" w:hAnsi="Times New Roman" w:cs="Times New Roman"/>
      <w:szCs w:val="21"/>
    </w:rPr>
  </w:style>
  <w:style w:type="character" w:customStyle="1" w:styleId="240">
    <w:name w:val="正文内容 字符"/>
    <w:link w:val="239"/>
    <w:qFormat/>
    <w:uiPriority w:val="0"/>
    <w:rPr>
      <w:rFonts w:ascii="Times New Roman" w:hAnsi="Times New Roman" w:eastAsia="仿宋_GB2312"/>
      <w:kern w:val="2"/>
      <w:sz w:val="32"/>
      <w:szCs w:val="21"/>
    </w:rPr>
  </w:style>
  <w:style w:type="character" w:customStyle="1" w:styleId="241">
    <w:name w:val="正文缩进 Char"/>
    <w:link w:val="9"/>
    <w:qFormat/>
    <w:uiPriority w:val="0"/>
    <w:rPr>
      <w:rFonts w:ascii="Times New Roman" w:hAnsi="Times New Roman"/>
      <w:kern w:val="2"/>
      <w:sz w:val="21"/>
    </w:rPr>
  </w:style>
  <w:style w:type="paragraph" w:customStyle="1" w:styleId="242">
    <w:name w:val="3级标题"/>
    <w:basedOn w:val="239"/>
    <w:link w:val="243"/>
    <w:qFormat/>
    <w:uiPriority w:val="8"/>
    <w:pPr>
      <w:jc w:val="left"/>
      <w:outlineLvl w:val="3"/>
    </w:pPr>
    <w:rPr>
      <w:b/>
    </w:rPr>
  </w:style>
  <w:style w:type="character" w:customStyle="1" w:styleId="243">
    <w:name w:val="3级标题 字符"/>
    <w:link w:val="242"/>
    <w:qFormat/>
    <w:uiPriority w:val="8"/>
    <w:rPr>
      <w:rFonts w:ascii="Times New Roman" w:hAnsi="Times New Roman" w:eastAsia="仿宋_GB2312"/>
      <w:b/>
      <w:kern w:val="2"/>
      <w:sz w:val="32"/>
      <w:szCs w:val="21"/>
    </w:rPr>
  </w:style>
  <w:style w:type="paragraph" w:customStyle="1" w:styleId="244">
    <w:name w:val="中大正文"/>
    <w:basedOn w:val="1"/>
    <w:link w:val="245"/>
    <w:qFormat/>
    <w:uiPriority w:val="0"/>
    <w:pPr>
      <w:adjustRightInd/>
      <w:snapToGrid/>
      <w:contextualSpacing/>
    </w:pPr>
    <w:rPr>
      <w:rFonts w:ascii="仿宋" w:hAnsi="仿宋" w:eastAsia="宋体" w:cs="Times New Roman"/>
      <w:sz w:val="24"/>
      <w:szCs w:val="20"/>
    </w:rPr>
  </w:style>
  <w:style w:type="character" w:customStyle="1" w:styleId="245">
    <w:name w:val="中大正文 字符"/>
    <w:link w:val="244"/>
    <w:qFormat/>
    <w:uiPriority w:val="0"/>
    <w:rPr>
      <w:rFonts w:ascii="仿宋" w:hAnsi="仿宋"/>
      <w:kern w:val="2"/>
      <w:sz w:val="24"/>
    </w:rPr>
  </w:style>
  <w:style w:type="paragraph" w:customStyle="1" w:styleId="246">
    <w:name w:val="图例"/>
    <w:basedOn w:val="1"/>
    <w:next w:val="1"/>
    <w:link w:val="247"/>
    <w:qFormat/>
    <w:uiPriority w:val="0"/>
    <w:pPr>
      <w:adjustRightInd/>
      <w:snapToGrid/>
      <w:ind w:firstLine="0" w:firstLineChars="0"/>
      <w:jc w:val="center"/>
    </w:pPr>
    <w:rPr>
      <w:rFonts w:ascii="仿宋_GB2312" w:hAnsi="宋体" w:eastAsia="黑体" w:cs="Times New Roman"/>
      <w:sz w:val="24"/>
      <w:szCs w:val="32"/>
    </w:rPr>
  </w:style>
  <w:style w:type="character" w:customStyle="1" w:styleId="247">
    <w:name w:val="图例 字符"/>
    <w:link w:val="246"/>
    <w:qFormat/>
    <w:uiPriority w:val="0"/>
    <w:rPr>
      <w:rFonts w:ascii="仿宋_GB2312" w:hAnsi="宋体" w:eastAsia="黑体"/>
      <w:kern w:val="2"/>
      <w:sz w:val="24"/>
      <w:szCs w:val="32"/>
    </w:rPr>
  </w:style>
  <w:style w:type="paragraph" w:customStyle="1" w:styleId="248">
    <w:name w:val="图片"/>
    <w:next w:val="1"/>
    <w:qFormat/>
    <w:uiPriority w:val="0"/>
    <w:pPr>
      <w:jc w:val="center"/>
    </w:pPr>
    <w:rPr>
      <w:rFonts w:ascii="仿宋_GB2312" w:hAnsi="等线" w:eastAsia="仿宋_GB2312" w:cs="Times New Roman"/>
      <w:kern w:val="2"/>
      <w:sz w:val="32"/>
      <w:szCs w:val="32"/>
      <w:lang w:val="en-US" w:eastAsia="zh-CN" w:bidi="ar-SA"/>
    </w:rPr>
  </w:style>
  <w:style w:type="paragraph" w:customStyle="1" w:styleId="249">
    <w:name w:val="msonormal"/>
    <w:basedOn w:val="1"/>
    <w:qFormat/>
    <w:uiPriority w:val="0"/>
    <w:pPr>
      <w:widowControl/>
      <w:adjustRightInd/>
      <w:snapToGrid/>
      <w:spacing w:before="100" w:beforeAutospacing="1" w:after="100" w:afterAutospacing="1" w:line="240" w:lineRule="auto"/>
      <w:ind w:firstLine="0" w:firstLineChars="0"/>
      <w:jc w:val="left"/>
    </w:pPr>
    <w:rPr>
      <w:rFonts w:ascii="宋体" w:hAnsi="宋体" w:eastAsia="宋体" w:cs="宋体"/>
      <w:kern w:val="0"/>
      <w:sz w:val="24"/>
      <w:szCs w:val="24"/>
    </w:rPr>
  </w:style>
  <w:style w:type="paragraph" w:customStyle="1" w:styleId="250">
    <w:name w:val="xl63"/>
    <w:basedOn w:val="1"/>
    <w:qFormat/>
    <w:uiPriority w:val="0"/>
    <w:pPr>
      <w:widowControl/>
      <w:adjustRightInd/>
      <w:snapToGrid/>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251">
    <w:name w:val="font6"/>
    <w:basedOn w:val="1"/>
    <w:qFormat/>
    <w:uiPriority w:val="0"/>
    <w:pPr>
      <w:widowControl/>
      <w:adjustRightInd/>
      <w:snapToGrid/>
      <w:spacing w:before="100" w:beforeAutospacing="1" w:after="100" w:afterAutospacing="1" w:line="240" w:lineRule="auto"/>
      <w:ind w:firstLine="0" w:firstLineChars="0"/>
      <w:jc w:val="left"/>
    </w:pPr>
    <w:rPr>
      <w:rFonts w:ascii="等线" w:hAnsi="等线" w:eastAsia="等线" w:cs="宋体"/>
      <w:kern w:val="0"/>
      <w:sz w:val="18"/>
      <w:szCs w:val="18"/>
    </w:rPr>
  </w:style>
  <w:style w:type="paragraph" w:customStyle="1" w:styleId="252">
    <w:name w:val="xl12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left"/>
    </w:pPr>
    <w:rPr>
      <w:rFonts w:ascii="仿宋_GB2312" w:hAnsi="宋体" w:cs="宋体"/>
      <w:kern w:val="0"/>
      <w:sz w:val="24"/>
      <w:szCs w:val="24"/>
    </w:rPr>
  </w:style>
  <w:style w:type="paragraph" w:customStyle="1" w:styleId="253">
    <w:name w:val="xl121"/>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4">
    <w:name w:val="xl122"/>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5">
    <w:name w:val="xl12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6">
    <w:name w:val="xl124"/>
    <w:basedOn w:val="1"/>
    <w:qFormat/>
    <w:uiPriority w:val="0"/>
    <w:pPr>
      <w:widowControl/>
      <w:pBdr>
        <w:top w:val="single" w:color="auto" w:sz="4" w:space="0"/>
        <w:left w:val="single" w:color="auto" w:sz="4" w:space="0"/>
        <w:bottom w:val="single" w:color="auto" w:sz="4" w:space="0"/>
        <w:right w:val="single" w:color="auto" w:sz="4" w:space="0"/>
      </w:pBdr>
      <w:shd w:val="clear" w:color="000000" w:fill="FFFFFF"/>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7">
    <w:name w:val="xl12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8">
    <w:name w:val="xl12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59">
    <w:name w:val="xl12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pPr>
    <w:rPr>
      <w:rFonts w:ascii="仿宋_GB2312" w:hAnsi="宋体" w:cs="宋体"/>
      <w:color w:val="000000"/>
      <w:kern w:val="0"/>
      <w:sz w:val="24"/>
      <w:szCs w:val="24"/>
    </w:rPr>
  </w:style>
  <w:style w:type="paragraph" w:customStyle="1" w:styleId="260">
    <w:name w:val="xl12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000000"/>
      <w:kern w:val="0"/>
      <w:sz w:val="24"/>
      <w:szCs w:val="24"/>
    </w:rPr>
  </w:style>
  <w:style w:type="paragraph" w:customStyle="1" w:styleId="261">
    <w:name w:val="xl129"/>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62">
    <w:name w:val="xl13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63">
    <w:name w:val="xl131"/>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4">
    <w:name w:val="xl132"/>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5">
    <w:name w:val="xl133"/>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6">
    <w:name w:val="xl13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left"/>
    </w:pPr>
    <w:rPr>
      <w:rFonts w:ascii="仿宋_GB2312" w:hAnsi="宋体" w:cs="宋体"/>
      <w:kern w:val="0"/>
      <w:sz w:val="24"/>
      <w:szCs w:val="24"/>
    </w:rPr>
  </w:style>
  <w:style w:type="paragraph" w:customStyle="1" w:styleId="267">
    <w:name w:val="xl135"/>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68">
    <w:name w:val="xl136"/>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69">
    <w:name w:val="xl137"/>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0">
    <w:name w:val="xl138"/>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1">
    <w:name w:val="xl139"/>
    <w:basedOn w:val="1"/>
    <w:qFormat/>
    <w:uiPriority w:val="0"/>
    <w:pPr>
      <w:widowControl/>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2">
    <w:name w:val="xl140"/>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pPr>
    <w:rPr>
      <w:rFonts w:ascii="仿宋_GB2312" w:hAnsi="宋体" w:cs="宋体"/>
      <w:color w:val="000000"/>
      <w:kern w:val="0"/>
      <w:sz w:val="24"/>
      <w:szCs w:val="24"/>
    </w:rPr>
  </w:style>
  <w:style w:type="paragraph" w:customStyle="1" w:styleId="273">
    <w:name w:val="xl141"/>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000000"/>
      <w:kern w:val="0"/>
      <w:sz w:val="24"/>
      <w:szCs w:val="24"/>
    </w:rPr>
  </w:style>
  <w:style w:type="paragraph" w:customStyle="1" w:styleId="274">
    <w:name w:val="xl142"/>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75">
    <w:name w:val="xl143"/>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76">
    <w:name w:val="xl144"/>
    <w:basedOn w:val="1"/>
    <w:qFormat/>
    <w:uiPriority w:val="0"/>
    <w:pPr>
      <w:widowControl/>
      <w:pBdr>
        <w:top w:val="single" w:color="auto" w:sz="4" w:space="0"/>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color w:val="FF0000"/>
      <w:kern w:val="0"/>
      <w:sz w:val="24"/>
      <w:szCs w:val="24"/>
    </w:rPr>
  </w:style>
  <w:style w:type="paragraph" w:customStyle="1" w:styleId="277">
    <w:name w:val="xl145"/>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78">
    <w:name w:val="xl146"/>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79">
    <w:name w:val="xl147"/>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80">
    <w:name w:val="xl148"/>
    <w:basedOn w:val="1"/>
    <w:qFormat/>
    <w:uiPriority w:val="0"/>
    <w:pPr>
      <w:widowControl/>
      <w:pBdr>
        <w:top w:val="single" w:color="auto" w:sz="4" w:space="0"/>
        <w:left w:val="single" w:color="auto" w:sz="4" w:space="0"/>
        <w:bottom w:val="single" w:color="auto" w:sz="4" w:space="0"/>
        <w:right w:val="single" w:color="auto" w:sz="4" w:space="0"/>
      </w:pBdr>
      <w:shd w:val="clear" w:color="000000" w:fill="BDD7EE"/>
      <w:adjustRightInd/>
      <w:snapToGrid/>
      <w:spacing w:before="100" w:beforeAutospacing="1" w:after="100" w:afterAutospacing="1" w:line="240" w:lineRule="auto"/>
      <w:ind w:firstLine="0" w:firstLineChars="0"/>
      <w:jc w:val="center"/>
    </w:pPr>
    <w:rPr>
      <w:rFonts w:ascii="仿宋_GB2312" w:hAnsi="宋体" w:cs="宋体"/>
      <w:b/>
      <w:bCs/>
      <w:kern w:val="0"/>
      <w:sz w:val="24"/>
      <w:szCs w:val="24"/>
    </w:rPr>
  </w:style>
  <w:style w:type="paragraph" w:customStyle="1" w:styleId="281">
    <w:name w:val="xl149"/>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2">
    <w:name w:val="xl150"/>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3">
    <w:name w:val="xl151"/>
    <w:basedOn w:val="1"/>
    <w:qFormat/>
    <w:uiPriority w:val="0"/>
    <w:pPr>
      <w:widowControl/>
      <w:pBdr>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4">
    <w:name w:val="xl152"/>
    <w:basedOn w:val="1"/>
    <w:qFormat/>
    <w:uiPriority w:val="0"/>
    <w:pPr>
      <w:widowControl/>
      <w:pBdr>
        <w:top w:val="single" w:color="auto" w:sz="4" w:space="0"/>
        <w:left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5">
    <w:name w:val="xl153"/>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6">
    <w:name w:val="xl154"/>
    <w:basedOn w:val="1"/>
    <w:qFormat/>
    <w:uiPriority w:val="0"/>
    <w:pPr>
      <w:widowControl/>
      <w:pBdr>
        <w:left w:val="single" w:color="auto" w:sz="4" w:space="0"/>
        <w:bottom w:val="single" w:color="auto" w:sz="4" w:space="0"/>
        <w:right w:val="single" w:color="auto" w:sz="4" w:space="0"/>
      </w:pBdr>
      <w:adjustRightInd/>
      <w:snapToGrid/>
      <w:spacing w:before="100" w:beforeAutospacing="1" w:after="100" w:afterAutospacing="1" w:line="240" w:lineRule="auto"/>
      <w:ind w:firstLine="0" w:firstLineChars="0"/>
      <w:jc w:val="center"/>
    </w:pPr>
    <w:rPr>
      <w:rFonts w:ascii="仿宋_GB2312" w:hAnsi="宋体" w:cs="宋体"/>
      <w:kern w:val="0"/>
      <w:sz w:val="24"/>
      <w:szCs w:val="24"/>
    </w:rPr>
  </w:style>
  <w:style w:type="paragraph" w:customStyle="1" w:styleId="287">
    <w:name w:val="xl64"/>
    <w:basedOn w:val="1"/>
    <w:qFormat/>
    <w:uiPriority w:val="0"/>
    <w:pPr>
      <w:widowControl/>
      <w:adjustRightInd/>
      <w:snapToGrid/>
      <w:spacing w:before="100" w:beforeAutospacing="1" w:after="100" w:afterAutospacing="1" w:line="240" w:lineRule="auto"/>
      <w:ind w:firstLine="0" w:firstLineChars="0"/>
      <w:jc w:val="center"/>
    </w:pPr>
    <w:rPr>
      <w:rFonts w:ascii="宋体" w:hAnsi="宋体" w:eastAsia="宋体" w:cs="宋体"/>
      <w:kern w:val="0"/>
      <w:sz w:val="24"/>
      <w:szCs w:val="24"/>
    </w:rPr>
  </w:style>
  <w:style w:type="paragraph" w:customStyle="1" w:styleId="288">
    <w:name w:val="修订4"/>
    <w:hidden/>
    <w:semiHidden/>
    <w:qFormat/>
    <w:uiPriority w:val="99"/>
    <w:rPr>
      <w:rFonts w:eastAsia="仿宋_GB2312" w:asciiTheme="minorHAnsi" w:hAnsiTheme="minorHAnsi" w:cstheme="minorBidi"/>
      <w:kern w:val="2"/>
      <w:sz w:val="32"/>
      <w:szCs w:val="22"/>
      <w:lang w:val="en-US" w:eastAsia="zh-CN" w:bidi="ar-SA"/>
    </w:rPr>
  </w:style>
  <w:style w:type="character" w:customStyle="1" w:styleId="289">
    <w:name w:val="标题 2 字符1"/>
    <w:qFormat/>
    <w:uiPriority w:val="0"/>
    <w:rPr>
      <w:rFonts w:ascii="Arial" w:hAnsi="Arial" w:eastAsia="楷体_GB2312" w:cs="Times New Roman"/>
      <w:kern w:val="2"/>
      <w:sz w:val="32"/>
    </w:rPr>
  </w:style>
  <w:style w:type="paragraph" w:customStyle="1" w:styleId="290">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291">
    <w:name w:val="正文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92">
    <w:name w:val="正文 New New New New New New New New New"/>
    <w:qFormat/>
    <w:uiPriority w:val="0"/>
    <w:pPr>
      <w:widowControl w:val="0"/>
      <w:jc w:val="both"/>
    </w:pPr>
    <w:rPr>
      <w:rFonts w:ascii="Times New Roman" w:hAnsi="Times New Roman" w:eastAsia="仿宋_GB2312" w:cs="Times New Roman"/>
      <w:kern w:val="2"/>
      <w:sz w:val="32"/>
      <w:szCs w:val="24"/>
      <w:lang w:val="en-US" w:eastAsia="zh-CN" w:bidi="ar-SA"/>
    </w:rPr>
  </w:style>
  <w:style w:type="paragraph" w:customStyle="1" w:styleId="293">
    <w:name w:val="TOC Heading"/>
    <w:basedOn w:val="3"/>
    <w:next w:val="1"/>
    <w:semiHidden/>
    <w:unhideWhenUsed/>
    <w:qFormat/>
    <w:uiPriority w:val="39"/>
    <w:pPr>
      <w:widowControl/>
      <w:adjustRightInd/>
      <w:snapToGrid/>
      <w:spacing w:before="480" w:line="276" w:lineRule="auto"/>
      <w:ind w:firstLine="0" w:firstLineChars="0"/>
      <w:jc w:val="left"/>
      <w:outlineLvl w:val="9"/>
    </w:pPr>
    <w:rPr>
      <w:rFonts w:asciiTheme="majorHAnsi" w:hAnsiTheme="majorHAnsi" w:eastAsiaTheme="majorEastAsia" w:cstheme="majorBidi"/>
      <w:b/>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6" Type="http://schemas.openxmlformats.org/officeDocument/2006/relationships/fontTable" Target="fontTable.xml"/><Relationship Id="rId25" Type="http://schemas.openxmlformats.org/officeDocument/2006/relationships/customXml" Target="../customXml/item1.xml"/><Relationship Id="rId24" Type="http://schemas.openxmlformats.org/officeDocument/2006/relationships/chart" Target="charts/chart5.xml"/><Relationship Id="rId23" Type="http://schemas.openxmlformats.org/officeDocument/2006/relationships/chart" Target="charts/chart4.xml"/><Relationship Id="rId22" Type="http://schemas.openxmlformats.org/officeDocument/2006/relationships/chart" Target="charts/chart3.xml"/><Relationship Id="rId21" Type="http://schemas.openxmlformats.org/officeDocument/2006/relationships/chart" Target="charts/chart2.xml"/><Relationship Id="rId20" Type="http://schemas.openxmlformats.org/officeDocument/2006/relationships/chart" Target="charts/chart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9.xml"/><Relationship Id="rId17" Type="http://schemas.openxmlformats.org/officeDocument/2006/relationships/footer" Target="footer8.xml"/><Relationship Id="rId16" Type="http://schemas.openxmlformats.org/officeDocument/2006/relationships/footer" Target="footer7.xml"/><Relationship Id="rId15" Type="http://schemas.openxmlformats.org/officeDocument/2006/relationships/footer" Target="footer6.xml"/><Relationship Id="rId14" Type="http://schemas.openxmlformats.org/officeDocument/2006/relationships/header" Target="header5.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lenovo\Desktop\&#35745;&#31639;&#221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lenovo\Desktop\&#35745;&#31639;&#221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lenovo\Desktop\&#35745;&#31639;&#221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lenovo\Desktop\&#35745;&#31639;&#221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lenovo\Desktop\&#35745;&#31639;&#221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strRef>
              <c:f>Sheet2!$A$24:$A$27</c:f>
              <c:strCache>
                <c:ptCount val="4"/>
                <c:pt idx="0">
                  <c:v>项目决策</c:v>
                </c:pt>
                <c:pt idx="1">
                  <c:v>项目过程</c:v>
                </c:pt>
                <c:pt idx="2">
                  <c:v>项目产出</c:v>
                </c:pt>
                <c:pt idx="3">
                  <c:v>项目效益</c:v>
                </c:pt>
              </c:strCache>
            </c:strRef>
          </c:cat>
          <c:val>
            <c:numRef>
              <c:f>Sheet2!$B$24:$B$27</c:f>
              <c:numCache>
                <c:formatCode>0.00%</c:formatCode>
                <c:ptCount val="4"/>
                <c:pt idx="0">
                  <c:v>0.85</c:v>
                </c:pt>
                <c:pt idx="1">
                  <c:v>0.95</c:v>
                </c:pt>
                <c:pt idx="2">
                  <c:v>0.732666666666667</c:v>
                </c:pt>
                <c:pt idx="3">
                  <c:v>0.586444444444444</c:v>
                </c:pt>
              </c:numCache>
            </c:numRef>
          </c:val>
        </c:ser>
        <c:dLbls>
          <c:showLegendKey val="false"/>
          <c:showVal val="true"/>
          <c:showCatName val="false"/>
          <c:showSerName val="false"/>
          <c:showPercent val="false"/>
          <c:showBubbleSize val="false"/>
        </c:dLbls>
        <c:gapWidth val="75"/>
        <c:axId val="396471680"/>
        <c:axId val="258609920"/>
      </c:barChart>
      <c:catAx>
        <c:axId val="396471680"/>
        <c:scaling>
          <c:orientation val="minMax"/>
        </c:scaling>
        <c:delete val="false"/>
        <c:axPos val="l"/>
        <c:numFmt formatCode="General"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58609920"/>
        <c:crosses val="autoZero"/>
        <c:auto val="true"/>
        <c:lblAlgn val="ctr"/>
        <c:lblOffset val="100"/>
        <c:noMultiLvlLbl val="false"/>
      </c:catAx>
      <c:valAx>
        <c:axId val="258609920"/>
        <c:scaling>
          <c:orientation val="minMax"/>
        </c:scaling>
        <c:delete val="false"/>
        <c:axPos val="b"/>
        <c:numFmt formatCode="0%"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396471680"/>
        <c:crosses val="autoZero"/>
        <c:crossBetween val="between"/>
      </c:valAx>
    </c:plotArea>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Sheet2!$A$1:$E$5</c:f>
              <c:multiLvlStrCache>
                <c:ptCount val="5"/>
                <c:lvl>
                  <c:pt idx="0">
                    <c:v>论证决策</c:v>
                  </c:pt>
                  <c:pt idx="1">
                    <c:v>目标设置</c:v>
                  </c:pt>
                  <c:pt idx="2">
                    <c:v>保障措施</c:v>
                  </c:pt>
                  <c:pt idx="3">
                    <c:v>资金到位</c:v>
                  </c:pt>
                  <c:pt idx="4">
                    <c:v>资金分配</c:v>
                  </c:pt>
                </c:lvl>
                <c:lvl>
                  <c:pt idx="0">
                    <c:v>75.00%</c:v>
                  </c:pt>
                  <c:pt idx="3">
                    <c:v>100.00%</c:v>
                  </c:pt>
                </c:lvl>
                <c:lvl>
                  <c:pt idx="0">
                    <c:v>项目立项</c:v>
                  </c:pt>
                  <c:pt idx="3">
                    <c:v>资金落实</c:v>
                  </c:pt>
                </c:lvl>
                <c:lvl>
                  <c:pt idx="0">
                    <c:v>85.00%</c:v>
                  </c:pt>
                </c:lvl>
                <c:lvl>
                  <c:pt idx="0">
                    <c:v>决策</c:v>
                  </c:pt>
                </c:lvl>
              </c:multiLvlStrCache>
            </c:multiLvlStrRef>
          </c:cat>
          <c:val>
            <c:numRef>
              <c:f>Sheet2!$F$1:$F$5</c:f>
              <c:numCache>
                <c:formatCode>0.00%</c:formatCode>
                <c:ptCount val="5"/>
                <c:pt idx="0">
                  <c:v>1</c:v>
                </c:pt>
                <c:pt idx="1">
                  <c:v>0.5</c:v>
                </c:pt>
                <c:pt idx="2">
                  <c:v>1</c:v>
                </c:pt>
                <c:pt idx="3">
                  <c:v>1</c:v>
                </c:pt>
                <c:pt idx="4">
                  <c:v>1</c:v>
                </c:pt>
              </c:numCache>
            </c:numRef>
          </c:val>
        </c:ser>
        <c:dLbls>
          <c:showLegendKey val="false"/>
          <c:showVal val="true"/>
          <c:showCatName val="false"/>
          <c:showSerName val="false"/>
          <c:showPercent val="false"/>
          <c:showBubbleSize val="false"/>
        </c:dLbls>
        <c:gapWidth val="75"/>
        <c:axId val="258628992"/>
        <c:axId val="258636032"/>
      </c:barChart>
      <c:catAx>
        <c:axId val="258628992"/>
        <c:scaling>
          <c:orientation val="minMax"/>
        </c:scaling>
        <c:delete val="false"/>
        <c:axPos val="l"/>
        <c:numFmt formatCode="General"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58636032"/>
        <c:crosses val="autoZero"/>
        <c:auto val="true"/>
        <c:lblAlgn val="ctr"/>
        <c:lblOffset val="100"/>
        <c:noMultiLvlLbl val="false"/>
      </c:catAx>
      <c:valAx>
        <c:axId val="258636032"/>
        <c:scaling>
          <c:orientation val="minMax"/>
          <c:max val="1"/>
        </c:scaling>
        <c:delete val="false"/>
        <c:axPos val="b"/>
        <c:numFmt formatCode="0%"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58628992"/>
        <c:crosses val="autoZero"/>
        <c:crossBetween val="between"/>
      </c:valAx>
    </c:plotArea>
    <c:plotVisOnly val="true"/>
    <c:dispBlanksAs val="gap"/>
    <c:showDLblsOverMax val="false"/>
  </c:chart>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Sheet2!$A$8:$E$12</c:f>
              <c:multiLvlStrCache>
                <c:ptCount val="5"/>
                <c:lvl>
                  <c:pt idx="0">
                    <c:v>资金支付</c:v>
                  </c:pt>
                  <c:pt idx="1">
                    <c:v>支出规范性</c:v>
                  </c:pt>
                  <c:pt idx="2">
                    <c:v>实施程序</c:v>
                  </c:pt>
                  <c:pt idx="3">
                    <c:v>管理情况</c:v>
                  </c:pt>
                  <c:pt idx="4">
                    <c:v>自评组织工作情况</c:v>
                  </c:pt>
                </c:lvl>
                <c:lvl>
                  <c:pt idx="0">
                    <c:v>100.00%</c:v>
                  </c:pt>
                  <c:pt idx="2">
                    <c:v>87.50%</c:v>
                  </c:pt>
                  <c:pt idx="4">
                    <c:v>100.00%</c:v>
                  </c:pt>
                </c:lvl>
                <c:lvl>
                  <c:pt idx="0">
                    <c:v>资金管理</c:v>
                  </c:pt>
                  <c:pt idx="2">
                    <c:v>项目管理</c:v>
                  </c:pt>
                  <c:pt idx="4">
                    <c:v>绩效管理</c:v>
                  </c:pt>
                </c:lvl>
                <c:lvl>
                  <c:pt idx="0">
                    <c:v>95.00%</c:v>
                  </c:pt>
                </c:lvl>
                <c:lvl>
                  <c:pt idx="0">
                    <c:v>过程</c:v>
                  </c:pt>
                </c:lvl>
              </c:multiLvlStrCache>
            </c:multiLvlStrRef>
          </c:cat>
          <c:val>
            <c:numRef>
              <c:f>Sheet2!$F$8:$F$12</c:f>
              <c:numCache>
                <c:formatCode>0.00%</c:formatCode>
                <c:ptCount val="5"/>
                <c:pt idx="0">
                  <c:v>1</c:v>
                </c:pt>
                <c:pt idx="1">
                  <c:v>1</c:v>
                </c:pt>
                <c:pt idx="2">
                  <c:v>1</c:v>
                </c:pt>
                <c:pt idx="3">
                  <c:v>0.75</c:v>
                </c:pt>
                <c:pt idx="4">
                  <c:v>1</c:v>
                </c:pt>
              </c:numCache>
            </c:numRef>
          </c:val>
        </c:ser>
        <c:dLbls>
          <c:showLegendKey val="false"/>
          <c:showVal val="true"/>
          <c:showCatName val="false"/>
          <c:showSerName val="false"/>
          <c:showPercent val="false"/>
          <c:showBubbleSize val="false"/>
        </c:dLbls>
        <c:gapWidth val="75"/>
        <c:axId val="258642688"/>
        <c:axId val="258645376"/>
      </c:barChart>
      <c:catAx>
        <c:axId val="258642688"/>
        <c:scaling>
          <c:orientation val="minMax"/>
        </c:scaling>
        <c:delete val="false"/>
        <c:axPos val="l"/>
        <c:numFmt formatCode="General"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58645376"/>
        <c:crosses val="autoZero"/>
        <c:auto val="true"/>
        <c:lblAlgn val="ctr"/>
        <c:lblOffset val="100"/>
        <c:noMultiLvlLbl val="false"/>
      </c:catAx>
      <c:valAx>
        <c:axId val="258645376"/>
        <c:scaling>
          <c:orientation val="minMax"/>
          <c:max val="1"/>
        </c:scaling>
        <c:delete val="false"/>
        <c:axPos val="b"/>
        <c:numFmt formatCode="0%"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58642688"/>
        <c:crosses val="autoZero"/>
        <c:crossBetween val="between"/>
      </c:valAx>
    </c:plotArea>
    <c:plotVisOnly val="true"/>
    <c:dispBlanksAs val="gap"/>
    <c:showDLblsOverMax val="false"/>
  </c:chart>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Sheet2!$A$14:$E$17</c:f>
              <c:multiLvlStrCache>
                <c:ptCount val="4"/>
                <c:lvl>
                  <c:pt idx="0">
                    <c:v>预算控制</c:v>
                  </c:pt>
                  <c:pt idx="1">
                    <c:v>成本控制</c:v>
                  </c:pt>
                  <c:pt idx="2">
                    <c:v>完成进度</c:v>
                  </c:pt>
                  <c:pt idx="3">
                    <c:v>完成质量</c:v>
                  </c:pt>
                </c:lvl>
                <c:lvl>
                  <c:pt idx="0">
                    <c:v>100.00%</c:v>
                  </c:pt>
                  <c:pt idx="2">
                    <c:v>59.90%</c:v>
                  </c:pt>
                </c:lvl>
                <c:lvl>
                  <c:pt idx="0">
                    <c:v>经济性</c:v>
                  </c:pt>
                  <c:pt idx="2">
                    <c:v>效率性</c:v>
                  </c:pt>
                </c:lvl>
                <c:lvl>
                  <c:pt idx="0">
                    <c:v>73.27%</c:v>
                  </c:pt>
                </c:lvl>
                <c:lvl>
                  <c:pt idx="0">
                    <c:v>产出</c:v>
                  </c:pt>
                </c:lvl>
              </c:multiLvlStrCache>
            </c:multiLvlStrRef>
          </c:cat>
          <c:val>
            <c:numRef>
              <c:f>Sheet2!$F$14:$F$17</c:f>
              <c:numCache>
                <c:formatCode>0.00%</c:formatCode>
                <c:ptCount val="4"/>
                <c:pt idx="0">
                  <c:v>1</c:v>
                </c:pt>
                <c:pt idx="1">
                  <c:v>1</c:v>
                </c:pt>
                <c:pt idx="2">
                  <c:v>0.665</c:v>
                </c:pt>
                <c:pt idx="3">
                  <c:v>0.5</c:v>
                </c:pt>
              </c:numCache>
            </c:numRef>
          </c:val>
        </c:ser>
        <c:dLbls>
          <c:showLegendKey val="false"/>
          <c:showVal val="true"/>
          <c:showCatName val="false"/>
          <c:showSerName val="false"/>
          <c:showPercent val="false"/>
          <c:showBubbleSize val="false"/>
        </c:dLbls>
        <c:gapWidth val="75"/>
        <c:axId val="288631040"/>
        <c:axId val="288633984"/>
      </c:barChart>
      <c:catAx>
        <c:axId val="288631040"/>
        <c:scaling>
          <c:orientation val="minMax"/>
        </c:scaling>
        <c:delete val="false"/>
        <c:axPos val="l"/>
        <c:numFmt formatCode="General"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88633984"/>
        <c:crosses val="autoZero"/>
        <c:auto val="true"/>
        <c:lblAlgn val="ctr"/>
        <c:lblOffset val="100"/>
        <c:noMultiLvlLbl val="false"/>
      </c:catAx>
      <c:valAx>
        <c:axId val="288633984"/>
        <c:scaling>
          <c:orientation val="minMax"/>
          <c:max val="1"/>
        </c:scaling>
        <c:delete val="false"/>
        <c:axPos val="b"/>
        <c:numFmt formatCode="0%"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88631040"/>
        <c:crosses val="autoZero"/>
        <c:crossBetween val="between"/>
      </c:valAx>
    </c:plotArea>
    <c:plotVisOnly val="true"/>
    <c:dispBlanksAs val="gap"/>
    <c:showDLblsOverMax val="false"/>
  </c:chart>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autoTitleDeleted val="true"/>
    <c:plotArea>
      <c:layout/>
      <c:barChart>
        <c:barDir val="bar"/>
        <c:grouping val="clustered"/>
        <c:varyColors val="false"/>
        <c:ser>
          <c:idx val="0"/>
          <c:order val="0"/>
          <c:invertIfNegative val="false"/>
          <c:dLbls>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out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false"/>
                <c15:leaderLines/>
              </c:ext>
            </c:extLst>
          </c:dLbls>
          <c:cat>
            <c:multiLvlStrRef>
              <c:f>Sheet2!$A$19:$E$21</c:f>
              <c:multiLvlStrCache>
                <c:ptCount val="3"/>
                <c:lvl>
                  <c:pt idx="0">
                    <c:v>社会效益</c:v>
                  </c:pt>
                  <c:pt idx="1">
                    <c:v>可持续发展</c:v>
                  </c:pt>
                  <c:pt idx="2">
                    <c:v>满意度</c:v>
                  </c:pt>
                </c:lvl>
                <c:lvl>
                  <c:pt idx="0">
                    <c:v>53.53%</c:v>
                  </c:pt>
                  <c:pt idx="2">
                    <c:v>99.58%</c:v>
                  </c:pt>
                </c:lvl>
                <c:lvl>
                  <c:pt idx="0">
                    <c:v>效果性</c:v>
                  </c:pt>
                  <c:pt idx="2">
                    <c:v>公平性</c:v>
                  </c:pt>
                </c:lvl>
                <c:lvl>
                  <c:pt idx="0">
                    <c:v>58.64%</c:v>
                  </c:pt>
                </c:lvl>
                <c:lvl>
                  <c:pt idx="0">
                    <c:v>效益</c:v>
                  </c:pt>
                </c:lvl>
              </c:multiLvlStrCache>
            </c:multiLvlStrRef>
          </c:cat>
          <c:val>
            <c:numRef>
              <c:f>Sheet2!$F$19:$F$21</c:f>
              <c:numCache>
                <c:formatCode>0.00%</c:formatCode>
                <c:ptCount val="3"/>
                <c:pt idx="0">
                  <c:v>0.841</c:v>
                </c:pt>
                <c:pt idx="1">
                  <c:v>0.433333333333333</c:v>
                </c:pt>
                <c:pt idx="2">
                  <c:v>0.9958</c:v>
                </c:pt>
              </c:numCache>
            </c:numRef>
          </c:val>
        </c:ser>
        <c:dLbls>
          <c:showLegendKey val="false"/>
          <c:showVal val="true"/>
          <c:showCatName val="false"/>
          <c:showSerName val="false"/>
          <c:showPercent val="false"/>
          <c:showBubbleSize val="false"/>
        </c:dLbls>
        <c:gapWidth val="75"/>
        <c:axId val="288669696"/>
        <c:axId val="288672384"/>
      </c:barChart>
      <c:catAx>
        <c:axId val="288669696"/>
        <c:scaling>
          <c:orientation val="minMax"/>
        </c:scaling>
        <c:delete val="false"/>
        <c:axPos val="l"/>
        <c:numFmt formatCode="General"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88672384"/>
        <c:crosses val="autoZero"/>
        <c:auto val="true"/>
        <c:lblAlgn val="ctr"/>
        <c:lblOffset val="100"/>
        <c:noMultiLvlLbl val="false"/>
      </c:catAx>
      <c:valAx>
        <c:axId val="288672384"/>
        <c:scaling>
          <c:orientation val="minMax"/>
          <c:max val="1"/>
        </c:scaling>
        <c:delete val="false"/>
        <c:axPos val="b"/>
        <c:numFmt formatCode="0%" sourceLinked="false"/>
        <c:majorTickMark val="none"/>
        <c:minorTickMark val="none"/>
        <c:tickLblPos val="nextTo"/>
        <c:txPr>
          <a:bodyPr rot="-6000000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crossAx val="288669696"/>
        <c:crosses val="autoZero"/>
        <c:crossBetween val="between"/>
      </c:valAx>
    </c:plotArea>
    <c:plotVisOnly val="true"/>
    <c:dispBlanksAs val="gap"/>
    <c:showDLblsOverMax val="false"/>
  </c:chart>
  <c:txPr>
    <a:bodyPr/>
    <a:lstStyle/>
    <a:p>
      <a:pPr>
        <a:defRPr lang="zh-CN"/>
      </a:pPr>
    </a:p>
  </c:txPr>
  <c:externalData r:id="rId1">
    <c:autoUpdate val="false"/>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MPGROUP</Company>
  <Pages>35</Pages>
  <Words>3212</Words>
  <Characters>18312</Characters>
  <Lines>152</Lines>
  <Paragraphs>42</Paragraphs>
  <TotalTime>2075</TotalTime>
  <ScaleCrop>false</ScaleCrop>
  <LinksUpToDate>false</LinksUpToDate>
  <CharactersWithSpaces>21482</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2022-11-02T10:41:00Z</dcterms:created>
  <dc:creator>周胜</dc:creator>
  <cp:lastModifiedBy>user</cp:lastModifiedBy>
  <cp:lastPrinted>2022-11-24T16:23:00Z</cp:lastPrinted>
  <dcterms:modified xsi:type="dcterms:W3CDTF">2024-11-07T16:55:13Z</dcterms:modified>
  <cp:revision>218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064BD0C9AF9645ABA77CE9574B01D25B</vt:lpwstr>
  </property>
  <property fmtid="{D5CDD505-2E9C-101B-9397-08002B2CF9AE}" pid="4" name="ribbonExt">
    <vt:lpwstr>{"WPSExtOfficeTab":{"OnGetEnabled":false,"OnGetVisible":false}}</vt:lpwstr>
  </property>
</Properties>
</file>