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10.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olors1.xml" ContentType="application/vnd.ms-office.chartcolorstyle+xml"/>
  <Override PartName="/word/charts/colors10.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colors7.xml" ContentType="application/vnd.ms-office.chartcolorstyle+xml"/>
  <Override PartName="/word/charts/colors8.xml" ContentType="application/vnd.ms-office.chartcolorstyle+xml"/>
  <Override PartName="/word/charts/colors9.xml" ContentType="application/vnd.ms-office.chartcolorstyle+xml"/>
  <Override PartName="/word/charts/style1.xml" ContentType="application/vnd.ms-office.chartstyle+xml"/>
  <Override PartName="/word/charts/style10.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charts/style7.xml" ContentType="application/vnd.ms-office.chartstyle+xml"/>
  <Override PartName="/word/charts/style8.xml" ContentType="application/vnd.ms-office.chartstyle+xml"/>
  <Override PartName="/word/charts/style9.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b/>
          <w:bCs/>
          <w:sz w:val="32"/>
          <w:lang w:val="zh-CN"/>
        </w:rPr>
        <w:id w:val="1065686842"/>
        <w:docPartObj>
          <w:docPartGallery w:val="Table of Contents"/>
          <w:docPartUnique/>
        </w:docPartObj>
      </w:sdtPr>
      <w:sdtEndPr>
        <w:rPr>
          <w:b/>
          <w:bCs/>
          <w:sz w:val="32"/>
          <w:lang w:val="zh-CN"/>
        </w:rPr>
      </w:sdtEndPr>
      <w:sdtContent>
        <w:p>
          <w:pPr>
            <w:spacing w:line="540" w:lineRule="exact"/>
            <w:ind w:left="0" w:leftChars="0" w:firstLine="0" w:firstLineChars="0"/>
            <w:jc w:val="left"/>
            <w:rPr>
              <w:rFonts w:eastAsia="方正大标宋简体"/>
              <w:spacing w:val="10"/>
              <w:sz w:val="44"/>
            </w:rPr>
          </w:pPr>
          <w:r>
            <w:rPr>
              <w:rFonts w:hint="eastAsia" w:ascii="方正黑体_GBK" w:hAnsi="方正黑体_GBK" w:eastAsia="方正黑体_GBK" w:cs="方正黑体_GBK"/>
              <w:b w:val="0"/>
              <w:bCs w:val="0"/>
              <w:sz w:val="32"/>
              <w:lang w:val="zh-CN"/>
            </w:rPr>
            <w:t>附件</w:t>
          </w: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jc w:val="center"/>
            <w:rPr>
              <w:rFonts w:eastAsia="方正大标宋简体"/>
              <w:spacing w:val="10"/>
              <w:sz w:val="44"/>
            </w:rPr>
          </w:pPr>
        </w:p>
        <w:p>
          <w:pPr>
            <w:spacing w:line="54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2023年矿产资源勘察项目</w:t>
          </w:r>
        </w:p>
        <w:p>
          <w:pPr>
            <w:spacing w:line="54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绩效评价报告</w:t>
          </w:r>
        </w:p>
        <w:p>
          <w:pPr>
            <w:spacing w:line="540" w:lineRule="exact"/>
            <w:rPr>
              <w:rFonts w:eastAsia="黑体"/>
            </w:rPr>
          </w:pPr>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bookmarkStart w:id="29" w:name="_GoBack"/>
          <w:bookmarkEnd w:id="29"/>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p>
        <w:p>
          <w:pPr>
            <w:jc w:val="center"/>
            <w:rPr>
              <w:rFonts w:eastAsia="黑体"/>
              <w:sz w:val="44"/>
              <w:szCs w:val="44"/>
            </w:rPr>
          </w:pPr>
        </w:p>
        <w:p>
          <w:pPr>
            <w:pStyle w:val="34"/>
            <w:ind w:firstLine="640"/>
            <w:jc w:val="center"/>
          </w:pPr>
          <w:r>
            <w:t>委托单位：韶关市财政局</w:t>
          </w:r>
        </w:p>
        <w:p>
          <w:pPr>
            <w:pStyle w:val="34"/>
            <w:ind w:firstLine="640"/>
            <w:jc w:val="center"/>
          </w:pPr>
          <w:r>
            <w:t>评价机构：广东中大管理咨询集团股份有限公司</w:t>
          </w:r>
        </w:p>
        <w:p>
          <w:pPr>
            <w:pStyle w:val="34"/>
            <w:ind w:firstLine="640"/>
            <w:jc w:val="center"/>
          </w:pPr>
          <w:r>
            <w:t>二</w:t>
          </w:r>
          <w:r>
            <w:rPr>
              <w:rFonts w:eastAsia="微软雅黑"/>
            </w:rPr>
            <w:t>〇</w:t>
          </w:r>
          <w:r>
            <w:t>二四年</w:t>
          </w:r>
          <w:r>
            <w:rPr>
              <w:rFonts w:hint="eastAsia"/>
              <w:lang w:eastAsia="zh-CN"/>
            </w:rPr>
            <w:t>十二</w:t>
          </w:r>
          <w:r>
            <w:t>月</w:t>
          </w:r>
        </w:p>
        <w:p>
          <w:pPr>
            <w:spacing w:after="200" w:line="276" w:lineRule="auto"/>
            <w:rPr>
              <w:szCs w:val="32"/>
            </w:rPr>
          </w:pPr>
          <w:r>
            <w:rPr>
              <w:szCs w:val="32"/>
            </w:rPr>
            <w:br w:type="page"/>
          </w:r>
        </w:p>
        <w:p>
          <w:pPr>
            <w:pStyle w:val="48"/>
            <w:jc w:val="center"/>
            <w:rPr>
              <w:rStyle w:val="38"/>
              <w:b/>
              <w:bCs w:val="0"/>
              <w:color w:val="000000" w:themeColor="text1"/>
              <w:sz w:val="36"/>
              <w:szCs w:val="36"/>
              <w14:textFill>
                <w14:solidFill>
                  <w14:schemeClr w14:val="tx1"/>
                </w14:solidFill>
              </w14:textFill>
            </w:rPr>
          </w:pPr>
          <w:bookmarkStart w:id="0" w:name="_Toc179560378"/>
          <w:bookmarkStart w:id="1" w:name="_Toc181571188"/>
          <w:r>
            <w:rPr>
              <w:rStyle w:val="38"/>
              <w:b/>
              <w:bCs w:val="0"/>
              <w:color w:val="000000" w:themeColor="text1"/>
              <w:sz w:val="36"/>
              <w:szCs w:val="36"/>
              <w14:textFill>
                <w14:solidFill>
                  <w14:schemeClr w14:val="tx1"/>
                </w14:solidFill>
              </w14:textFill>
            </w:rPr>
            <w:t>目 录</w:t>
          </w:r>
          <w:bookmarkEnd w:id="0"/>
          <w:bookmarkEnd w:id="1"/>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TOC \o "1-3" \h \z \u </w:instrText>
          </w:r>
          <w:r>
            <w:rPr>
              <w:sz w:val="28"/>
              <w:szCs w:val="28"/>
            </w:rPr>
            <w:fldChar w:fldCharType="separate"/>
          </w:r>
          <w:r>
            <w:rPr>
              <w:sz w:val="28"/>
              <w:szCs w:val="28"/>
            </w:rPr>
            <w:fldChar w:fldCharType="begin"/>
          </w:r>
          <w:r>
            <w:rPr>
              <w:sz w:val="28"/>
              <w:szCs w:val="28"/>
            </w:rPr>
            <w:instrText xml:space="preserve"> HYPERLINK \l "_Toc181571189" </w:instrText>
          </w:r>
          <w:r>
            <w:rPr>
              <w:sz w:val="28"/>
              <w:szCs w:val="28"/>
            </w:rPr>
            <w:fldChar w:fldCharType="separate"/>
          </w:r>
          <w:r>
            <w:rPr>
              <w:rStyle w:val="19"/>
              <w:sz w:val="28"/>
              <w:szCs w:val="28"/>
            </w:rPr>
            <w:t>一、基本情况</w:t>
          </w:r>
          <w:r>
            <w:rPr>
              <w:sz w:val="28"/>
              <w:szCs w:val="28"/>
            </w:rPr>
            <w:tab/>
          </w:r>
          <w:r>
            <w:rPr>
              <w:sz w:val="28"/>
              <w:szCs w:val="28"/>
            </w:rPr>
            <w:fldChar w:fldCharType="begin"/>
          </w:r>
          <w:r>
            <w:rPr>
              <w:sz w:val="28"/>
              <w:szCs w:val="28"/>
            </w:rPr>
            <w:instrText xml:space="preserve"> PAGEREF _Toc181571189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"_Toc181571190" </w:instrText>
          </w:r>
          <w:r>
            <w:rPr>
              <w:sz w:val="28"/>
              <w:szCs w:val="28"/>
            </w:rPr>
            <w:fldChar w:fldCharType="separate"/>
          </w:r>
          <w:r>
            <w:rPr>
              <w:rStyle w:val="19"/>
              <w:sz w:val="28"/>
              <w:szCs w:val="28"/>
            </w:rPr>
            <w:t>（一）项目背景</w:t>
          </w:r>
          <w:r>
            <w:rPr>
              <w:sz w:val="28"/>
              <w:szCs w:val="28"/>
            </w:rPr>
            <w:tab/>
          </w:r>
          <w:r>
            <w:rPr>
              <w:sz w:val="28"/>
              <w:szCs w:val="28"/>
            </w:rPr>
            <w:fldChar w:fldCharType="begin"/>
          </w:r>
          <w:r>
            <w:rPr>
              <w:sz w:val="28"/>
              <w:szCs w:val="28"/>
            </w:rPr>
            <w:instrText xml:space="preserve"> PAGEREF _Toc181571190 \h </w:instrText>
          </w:r>
          <w:r>
            <w:rPr>
              <w:sz w:val="28"/>
              <w:szCs w:val="28"/>
            </w:rPr>
            <w:fldChar w:fldCharType="separate"/>
          </w:r>
          <w:r>
            <w:rPr>
              <w:sz w:val="28"/>
              <w:szCs w:val="28"/>
            </w:rPr>
            <w:t>1</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"_Toc181571191" </w:instrText>
          </w:r>
          <w:r>
            <w:rPr>
              <w:sz w:val="28"/>
              <w:szCs w:val="28"/>
            </w:rPr>
            <w:fldChar w:fldCharType="separate"/>
          </w:r>
          <w:r>
            <w:rPr>
              <w:rStyle w:val="19"/>
              <w:sz w:val="28"/>
              <w:szCs w:val="28"/>
            </w:rPr>
            <w:t>（二）项目实施情况</w:t>
          </w:r>
          <w:r>
            <w:rPr>
              <w:sz w:val="28"/>
              <w:szCs w:val="28"/>
            </w:rPr>
            <w:tab/>
          </w:r>
          <w:r>
            <w:rPr>
              <w:sz w:val="28"/>
              <w:szCs w:val="28"/>
            </w:rPr>
            <w:fldChar w:fldCharType="begin"/>
          </w:r>
          <w:r>
            <w:rPr>
              <w:sz w:val="28"/>
              <w:szCs w:val="28"/>
            </w:rPr>
            <w:instrText xml:space="preserve"> PAGEREF _Toc181571191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"_Toc181571192" </w:instrText>
          </w:r>
          <w:r>
            <w:rPr>
              <w:sz w:val="28"/>
              <w:szCs w:val="28"/>
            </w:rPr>
            <w:fldChar w:fldCharType="separate"/>
          </w:r>
          <w:r>
            <w:rPr>
              <w:rStyle w:val="19"/>
              <w:sz w:val="28"/>
              <w:szCs w:val="28"/>
            </w:rPr>
            <w:t>（三）资金到位及使用情况</w:t>
          </w:r>
          <w:r>
            <w:rPr>
              <w:sz w:val="28"/>
              <w:szCs w:val="28"/>
            </w:rPr>
            <w:tab/>
          </w:r>
          <w:r>
            <w:rPr>
              <w:sz w:val="28"/>
              <w:szCs w:val="28"/>
            </w:rPr>
            <w:fldChar w:fldCharType="begin"/>
          </w:r>
          <w:r>
            <w:rPr>
              <w:sz w:val="28"/>
              <w:szCs w:val="28"/>
            </w:rPr>
            <w:instrText xml:space="preserve"> PAGEREF _Toc181571192 \h </w:instrText>
          </w:r>
          <w:r>
            <w:rPr>
              <w:sz w:val="28"/>
              <w:szCs w:val="28"/>
            </w:rPr>
            <w:fldChar w:fldCharType="separate"/>
          </w:r>
          <w:r>
            <w:rPr>
              <w:sz w:val="28"/>
              <w:szCs w:val="28"/>
            </w:rPr>
            <w:t>2</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"_Toc181571193" </w:instrText>
          </w:r>
          <w:r>
            <w:rPr>
              <w:sz w:val="28"/>
              <w:szCs w:val="28"/>
            </w:rPr>
            <w:fldChar w:fldCharType="separate"/>
          </w:r>
          <w:r>
            <w:rPr>
              <w:rStyle w:val="19"/>
              <w:sz w:val="28"/>
              <w:szCs w:val="28"/>
            </w:rPr>
            <w:t>（四）项目目标及实现情况</w:t>
          </w:r>
          <w:r>
            <w:rPr>
              <w:sz w:val="28"/>
              <w:szCs w:val="28"/>
            </w:rPr>
            <w:tab/>
          </w:r>
          <w:r>
            <w:rPr>
              <w:sz w:val="28"/>
              <w:szCs w:val="28"/>
            </w:rPr>
            <w:fldChar w:fldCharType="begin"/>
          </w:r>
          <w:r>
            <w:rPr>
              <w:sz w:val="28"/>
              <w:szCs w:val="28"/>
            </w:rPr>
            <w:instrText xml:space="preserve"> PAGEREF _Toc181571193 \h </w:instrText>
          </w:r>
          <w:r>
            <w:rPr>
              <w:sz w:val="28"/>
              <w:szCs w:val="28"/>
            </w:rPr>
            <w:fldChar w:fldCharType="separate"/>
          </w:r>
          <w:r>
            <w:rPr>
              <w:sz w:val="28"/>
              <w:szCs w:val="28"/>
            </w:rPr>
            <w:t>3</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HYPERLINK \l "_Toc181571194" </w:instrText>
          </w:r>
          <w:r>
            <w:rPr>
              <w:sz w:val="28"/>
              <w:szCs w:val="28"/>
            </w:rPr>
            <w:fldChar w:fldCharType="separate"/>
          </w:r>
          <w:r>
            <w:rPr>
              <w:rStyle w:val="19"/>
              <w:sz w:val="28"/>
              <w:szCs w:val="28"/>
            </w:rPr>
            <w:t>二、绩效分析</w:t>
          </w:r>
          <w:r>
            <w:rPr>
              <w:sz w:val="28"/>
              <w:szCs w:val="28"/>
            </w:rPr>
            <w:tab/>
          </w:r>
          <w:r>
            <w:rPr>
              <w:sz w:val="28"/>
              <w:szCs w:val="28"/>
            </w:rPr>
            <w:fldChar w:fldCharType="begin"/>
          </w:r>
          <w:r>
            <w:rPr>
              <w:sz w:val="28"/>
              <w:szCs w:val="28"/>
            </w:rPr>
            <w:instrText xml:space="preserve"> PAGEREF _Toc181571194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"_Toc181571195" </w:instrText>
          </w:r>
          <w:r>
            <w:rPr>
              <w:sz w:val="28"/>
              <w:szCs w:val="28"/>
            </w:rPr>
            <w:fldChar w:fldCharType="separate"/>
          </w:r>
          <w:r>
            <w:rPr>
              <w:rStyle w:val="19"/>
              <w:sz w:val="28"/>
              <w:szCs w:val="28"/>
            </w:rPr>
            <w:t>（一）投入</w:t>
          </w:r>
          <w:r>
            <w:rPr>
              <w:sz w:val="28"/>
              <w:szCs w:val="28"/>
            </w:rPr>
            <w:tab/>
          </w:r>
          <w:r>
            <w:rPr>
              <w:sz w:val="28"/>
              <w:szCs w:val="28"/>
            </w:rPr>
            <w:fldChar w:fldCharType="begin"/>
          </w:r>
          <w:r>
            <w:rPr>
              <w:sz w:val="28"/>
              <w:szCs w:val="28"/>
            </w:rPr>
            <w:instrText xml:space="preserve"> PAGEREF _Toc181571195 \h </w:instrText>
          </w:r>
          <w:r>
            <w:rPr>
              <w:sz w:val="28"/>
              <w:szCs w:val="28"/>
            </w:rPr>
            <w:fldChar w:fldCharType="separate"/>
          </w:r>
          <w:r>
            <w:rPr>
              <w:sz w:val="28"/>
              <w:szCs w:val="28"/>
            </w:rPr>
            <w:t>4</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"_Toc181571196" </w:instrText>
          </w:r>
          <w:r>
            <w:rPr>
              <w:sz w:val="28"/>
              <w:szCs w:val="28"/>
            </w:rPr>
            <w:fldChar w:fldCharType="separate"/>
          </w:r>
          <w:r>
            <w:rPr>
              <w:rStyle w:val="19"/>
              <w:sz w:val="28"/>
              <w:szCs w:val="28"/>
            </w:rPr>
            <w:t>（二）过程</w:t>
          </w:r>
          <w:r>
            <w:rPr>
              <w:sz w:val="28"/>
              <w:szCs w:val="28"/>
            </w:rPr>
            <w:tab/>
          </w:r>
          <w:r>
            <w:rPr>
              <w:sz w:val="28"/>
              <w:szCs w:val="28"/>
            </w:rPr>
            <w:fldChar w:fldCharType="begin"/>
          </w:r>
          <w:r>
            <w:rPr>
              <w:sz w:val="28"/>
              <w:szCs w:val="28"/>
            </w:rPr>
            <w:instrText xml:space="preserve"> PAGEREF _Toc181571196 \h </w:instrText>
          </w:r>
          <w:r>
            <w:rPr>
              <w:sz w:val="28"/>
              <w:szCs w:val="28"/>
            </w:rPr>
            <w:fldChar w:fldCharType="separate"/>
          </w:r>
          <w:r>
            <w:rPr>
              <w:sz w:val="28"/>
              <w:szCs w:val="28"/>
            </w:rPr>
            <w:t>8</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"_Toc181571197" </w:instrText>
          </w:r>
          <w:r>
            <w:rPr>
              <w:sz w:val="28"/>
              <w:szCs w:val="28"/>
            </w:rPr>
            <w:fldChar w:fldCharType="separate"/>
          </w:r>
          <w:r>
            <w:rPr>
              <w:rStyle w:val="19"/>
              <w:sz w:val="28"/>
              <w:szCs w:val="28"/>
            </w:rPr>
            <w:t>（三）产出</w:t>
          </w:r>
          <w:r>
            <w:rPr>
              <w:sz w:val="28"/>
              <w:szCs w:val="28"/>
            </w:rPr>
            <w:tab/>
          </w:r>
          <w:r>
            <w:rPr>
              <w:sz w:val="28"/>
              <w:szCs w:val="28"/>
            </w:rPr>
            <w:fldChar w:fldCharType="begin"/>
          </w:r>
          <w:r>
            <w:rPr>
              <w:sz w:val="28"/>
              <w:szCs w:val="28"/>
            </w:rPr>
            <w:instrText xml:space="preserve"> PAGEREF _Toc181571197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"_Toc181571198" </w:instrText>
          </w:r>
          <w:r>
            <w:rPr>
              <w:sz w:val="28"/>
              <w:szCs w:val="28"/>
            </w:rPr>
            <w:fldChar w:fldCharType="separate"/>
          </w:r>
          <w:r>
            <w:rPr>
              <w:rStyle w:val="19"/>
              <w:sz w:val="28"/>
              <w:szCs w:val="28"/>
            </w:rPr>
            <w:t>（四）效益</w:t>
          </w:r>
          <w:r>
            <w:rPr>
              <w:sz w:val="28"/>
              <w:szCs w:val="28"/>
            </w:rPr>
            <w:tab/>
          </w:r>
          <w:r>
            <w:rPr>
              <w:sz w:val="28"/>
              <w:szCs w:val="28"/>
            </w:rPr>
            <w:fldChar w:fldCharType="begin"/>
          </w:r>
          <w:r>
            <w:rPr>
              <w:sz w:val="28"/>
              <w:szCs w:val="28"/>
            </w:rPr>
            <w:instrText xml:space="preserve"> PAGEREF _Toc181571198 \h </w:instrText>
          </w:r>
          <w:r>
            <w:rPr>
              <w:sz w:val="28"/>
              <w:szCs w:val="28"/>
            </w:rPr>
            <w:fldChar w:fldCharType="separate"/>
          </w:r>
          <w:r>
            <w:rPr>
              <w:sz w:val="28"/>
              <w:szCs w:val="28"/>
            </w:rPr>
            <w:t>16</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HYPERLINK \l "_Toc181571199" </w:instrText>
          </w:r>
          <w:r>
            <w:rPr>
              <w:sz w:val="28"/>
              <w:szCs w:val="28"/>
            </w:rPr>
            <w:fldChar w:fldCharType="separate"/>
          </w:r>
          <w:r>
            <w:rPr>
              <w:rStyle w:val="19"/>
              <w:sz w:val="28"/>
              <w:szCs w:val="28"/>
            </w:rPr>
            <w:t>三、评价结论</w:t>
          </w:r>
          <w:r>
            <w:rPr>
              <w:sz w:val="28"/>
              <w:szCs w:val="28"/>
            </w:rPr>
            <w:tab/>
          </w:r>
          <w:r>
            <w:rPr>
              <w:sz w:val="28"/>
              <w:szCs w:val="28"/>
            </w:rPr>
            <w:fldChar w:fldCharType="begin"/>
          </w:r>
          <w:r>
            <w:rPr>
              <w:sz w:val="28"/>
              <w:szCs w:val="28"/>
            </w:rPr>
            <w:instrText xml:space="preserve"> PAGEREF _Toc181571199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HYPERLINK \l "_Toc181571200" </w:instrText>
          </w:r>
          <w:r>
            <w:rPr>
              <w:sz w:val="28"/>
              <w:szCs w:val="28"/>
            </w:rPr>
            <w:fldChar w:fldCharType="separate"/>
          </w:r>
          <w:r>
            <w:rPr>
              <w:rStyle w:val="19"/>
              <w:sz w:val="28"/>
              <w:szCs w:val="28"/>
            </w:rPr>
            <w:t>四、主要绩效</w:t>
          </w:r>
          <w:r>
            <w:rPr>
              <w:sz w:val="28"/>
              <w:szCs w:val="28"/>
            </w:rPr>
            <w:tab/>
          </w:r>
          <w:r>
            <w:rPr>
              <w:sz w:val="28"/>
              <w:szCs w:val="28"/>
            </w:rPr>
            <w:fldChar w:fldCharType="begin"/>
          </w:r>
          <w:r>
            <w:rPr>
              <w:sz w:val="28"/>
              <w:szCs w:val="28"/>
            </w:rPr>
            <w:instrText xml:space="preserve"> PAGEREF _Toc181571200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"_Toc181571201" </w:instrText>
          </w:r>
          <w:r>
            <w:rPr>
              <w:sz w:val="28"/>
              <w:szCs w:val="28"/>
            </w:rPr>
            <w:fldChar w:fldCharType="separate"/>
          </w:r>
          <w:r>
            <w:rPr>
              <w:rStyle w:val="19"/>
              <w:sz w:val="28"/>
              <w:szCs w:val="28"/>
            </w:rPr>
            <w:t>（一）创新项目实施方式，为项目后续优化提供参考</w:t>
          </w:r>
          <w:r>
            <w:rPr>
              <w:sz w:val="28"/>
              <w:szCs w:val="28"/>
            </w:rPr>
            <w:tab/>
          </w:r>
          <w:r>
            <w:rPr>
              <w:sz w:val="28"/>
              <w:szCs w:val="28"/>
            </w:rPr>
            <w:fldChar w:fldCharType="begin"/>
          </w:r>
          <w:r>
            <w:rPr>
              <w:sz w:val="28"/>
              <w:szCs w:val="28"/>
            </w:rPr>
            <w:instrText xml:space="preserve"> PAGEREF _Toc181571201 \h </w:instrText>
          </w:r>
          <w:r>
            <w:rPr>
              <w:sz w:val="28"/>
              <w:szCs w:val="28"/>
            </w:rPr>
            <w:fldChar w:fldCharType="separate"/>
          </w:r>
          <w:r>
            <w:rPr>
              <w:sz w:val="28"/>
              <w:szCs w:val="28"/>
            </w:rPr>
            <w:t>18</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"_Toc181571202" </w:instrText>
          </w:r>
          <w:r>
            <w:rPr>
              <w:sz w:val="28"/>
              <w:szCs w:val="28"/>
            </w:rPr>
            <w:fldChar w:fldCharType="separate"/>
          </w:r>
          <w:r>
            <w:rPr>
              <w:rStyle w:val="19"/>
              <w:sz w:val="28"/>
              <w:szCs w:val="28"/>
            </w:rPr>
            <w:t>（二）完成资源勘查计划，不断摸清区域的资源家底</w:t>
          </w:r>
          <w:r>
            <w:rPr>
              <w:sz w:val="28"/>
              <w:szCs w:val="28"/>
            </w:rPr>
            <w:tab/>
          </w:r>
          <w:r>
            <w:rPr>
              <w:sz w:val="28"/>
              <w:szCs w:val="28"/>
            </w:rPr>
            <w:fldChar w:fldCharType="begin"/>
          </w:r>
          <w:r>
            <w:rPr>
              <w:sz w:val="28"/>
              <w:szCs w:val="28"/>
            </w:rPr>
            <w:instrText xml:space="preserve"> PAGEREF _Toc181571202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"_Toc181571203" </w:instrText>
          </w:r>
          <w:r>
            <w:rPr>
              <w:sz w:val="28"/>
              <w:szCs w:val="28"/>
            </w:rPr>
            <w:fldChar w:fldCharType="separate"/>
          </w:r>
          <w:r>
            <w:rPr>
              <w:rStyle w:val="19"/>
              <w:sz w:val="28"/>
              <w:szCs w:val="28"/>
            </w:rPr>
            <w:t>（三）矿产资源效益良好，为社会发展提供经济贡献</w:t>
          </w:r>
          <w:r>
            <w:rPr>
              <w:sz w:val="28"/>
              <w:szCs w:val="28"/>
            </w:rPr>
            <w:tab/>
          </w:r>
          <w:r>
            <w:rPr>
              <w:sz w:val="28"/>
              <w:szCs w:val="28"/>
            </w:rPr>
            <w:fldChar w:fldCharType="begin"/>
          </w:r>
          <w:r>
            <w:rPr>
              <w:sz w:val="28"/>
              <w:szCs w:val="28"/>
            </w:rPr>
            <w:instrText xml:space="preserve"> PAGEREF _Toc181571203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HYPERLINK \l "_Toc181571204" </w:instrText>
          </w:r>
          <w:r>
            <w:rPr>
              <w:sz w:val="28"/>
              <w:szCs w:val="28"/>
            </w:rPr>
            <w:fldChar w:fldCharType="separate"/>
          </w:r>
          <w:r>
            <w:rPr>
              <w:rStyle w:val="19"/>
              <w:sz w:val="28"/>
              <w:szCs w:val="28"/>
            </w:rPr>
            <w:t>五、存在问题</w:t>
          </w:r>
          <w:r>
            <w:rPr>
              <w:sz w:val="28"/>
              <w:szCs w:val="28"/>
            </w:rPr>
            <w:tab/>
          </w:r>
          <w:r>
            <w:rPr>
              <w:sz w:val="28"/>
              <w:szCs w:val="28"/>
            </w:rPr>
            <w:fldChar w:fldCharType="begin"/>
          </w:r>
          <w:r>
            <w:rPr>
              <w:sz w:val="28"/>
              <w:szCs w:val="28"/>
            </w:rPr>
            <w:instrText xml:space="preserve"> PAGEREF _Toc181571204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"_Toc181571205" </w:instrText>
          </w:r>
          <w:r>
            <w:rPr>
              <w:sz w:val="28"/>
              <w:szCs w:val="28"/>
            </w:rPr>
            <w:fldChar w:fldCharType="separate"/>
          </w:r>
          <w:r>
            <w:rPr>
              <w:rStyle w:val="19"/>
              <w:sz w:val="28"/>
              <w:szCs w:val="28"/>
            </w:rPr>
            <w:t>（一）招标实施不合规，招标管理有待完善</w:t>
          </w:r>
          <w:r>
            <w:rPr>
              <w:sz w:val="28"/>
              <w:szCs w:val="28"/>
            </w:rPr>
            <w:tab/>
          </w:r>
          <w:r>
            <w:rPr>
              <w:sz w:val="28"/>
              <w:szCs w:val="28"/>
            </w:rPr>
            <w:fldChar w:fldCharType="begin"/>
          </w:r>
          <w:r>
            <w:rPr>
              <w:sz w:val="28"/>
              <w:szCs w:val="28"/>
            </w:rPr>
            <w:instrText xml:space="preserve"> PAGEREF _Toc181571205 \h </w:instrText>
          </w:r>
          <w:r>
            <w:rPr>
              <w:sz w:val="28"/>
              <w:szCs w:val="28"/>
            </w:rPr>
            <w:fldChar w:fldCharType="separate"/>
          </w:r>
          <w:r>
            <w:rPr>
              <w:sz w:val="28"/>
              <w:szCs w:val="28"/>
            </w:rPr>
            <w:t>19</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"_Toc181571206" </w:instrText>
          </w:r>
          <w:r>
            <w:rPr>
              <w:sz w:val="28"/>
              <w:szCs w:val="28"/>
            </w:rPr>
            <w:fldChar w:fldCharType="separate"/>
          </w:r>
          <w:r>
            <w:rPr>
              <w:rStyle w:val="19"/>
              <w:sz w:val="28"/>
              <w:szCs w:val="28"/>
            </w:rPr>
            <w:t>（二）预算审核不到位，资金使用欠缺规范</w:t>
          </w:r>
          <w:r>
            <w:rPr>
              <w:sz w:val="28"/>
              <w:szCs w:val="28"/>
            </w:rPr>
            <w:tab/>
          </w:r>
          <w:r>
            <w:rPr>
              <w:sz w:val="28"/>
              <w:szCs w:val="28"/>
            </w:rPr>
            <w:fldChar w:fldCharType="begin"/>
          </w:r>
          <w:r>
            <w:rPr>
              <w:sz w:val="28"/>
              <w:szCs w:val="28"/>
            </w:rPr>
            <w:instrText xml:space="preserve"> PAGEREF _Toc181571206 \h </w:instrText>
          </w:r>
          <w:r>
            <w:rPr>
              <w:sz w:val="28"/>
              <w:szCs w:val="28"/>
            </w:rPr>
            <w:fldChar w:fldCharType="separate"/>
          </w:r>
          <w:r>
            <w:rPr>
              <w:sz w:val="28"/>
              <w:szCs w:val="28"/>
            </w:rPr>
            <w:t>22</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"_Toc181571207" </w:instrText>
          </w:r>
          <w:r>
            <w:rPr>
              <w:sz w:val="28"/>
              <w:szCs w:val="28"/>
            </w:rPr>
            <w:fldChar w:fldCharType="separate"/>
          </w:r>
          <w:r>
            <w:rPr>
              <w:rStyle w:val="19"/>
              <w:sz w:val="28"/>
              <w:szCs w:val="28"/>
            </w:rPr>
            <w:t>（三）项目管理难落实，项目效能未能体现</w:t>
          </w:r>
          <w:r>
            <w:rPr>
              <w:sz w:val="28"/>
              <w:szCs w:val="28"/>
            </w:rPr>
            <w:tab/>
          </w:r>
          <w:r>
            <w:rPr>
              <w:sz w:val="28"/>
              <w:szCs w:val="28"/>
            </w:rPr>
            <w:fldChar w:fldCharType="begin"/>
          </w:r>
          <w:r>
            <w:rPr>
              <w:sz w:val="28"/>
              <w:szCs w:val="28"/>
            </w:rPr>
            <w:instrText xml:space="preserve"> PAGEREF _Toc181571207 \h </w:instrText>
          </w:r>
          <w:r>
            <w:rPr>
              <w:sz w:val="28"/>
              <w:szCs w:val="28"/>
            </w:rPr>
            <w:fldChar w:fldCharType="separate"/>
          </w:r>
          <w:r>
            <w:rPr>
              <w:sz w:val="28"/>
              <w:szCs w:val="28"/>
            </w:rPr>
            <w:t>25</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540" w:lineRule="exact"/>
            <w:textAlignment w:val="auto"/>
            <w:rPr>
              <w:rFonts w:asciiTheme="minorHAnsi" w:hAnsiTheme="minorHAnsi" w:eastAsiaTheme="minorEastAsia" w:cstheme="minorBidi"/>
              <w:b w:val="0"/>
              <w:bCs w:val="0"/>
              <w:sz w:val="28"/>
              <w:szCs w:val="28"/>
              <w14:ligatures w14:val="standardContextual"/>
            </w:rPr>
          </w:pPr>
          <w:r>
            <w:rPr>
              <w:sz w:val="28"/>
              <w:szCs w:val="28"/>
            </w:rPr>
            <w:fldChar w:fldCharType="begin"/>
          </w:r>
          <w:r>
            <w:rPr>
              <w:sz w:val="28"/>
              <w:szCs w:val="28"/>
            </w:rPr>
            <w:instrText xml:space="preserve"> HYPERLINK \l "_Toc181571208" </w:instrText>
          </w:r>
          <w:r>
            <w:rPr>
              <w:sz w:val="28"/>
              <w:szCs w:val="28"/>
            </w:rPr>
            <w:fldChar w:fldCharType="separate"/>
          </w:r>
          <w:r>
            <w:rPr>
              <w:rStyle w:val="19"/>
              <w:sz w:val="28"/>
              <w:szCs w:val="28"/>
            </w:rPr>
            <w:t>六、改进建议</w:t>
          </w:r>
          <w:r>
            <w:rPr>
              <w:sz w:val="28"/>
              <w:szCs w:val="28"/>
            </w:rPr>
            <w:tab/>
          </w:r>
          <w:r>
            <w:rPr>
              <w:sz w:val="28"/>
              <w:szCs w:val="28"/>
            </w:rPr>
            <w:fldChar w:fldCharType="begin"/>
          </w:r>
          <w:r>
            <w:rPr>
              <w:sz w:val="28"/>
              <w:szCs w:val="28"/>
            </w:rPr>
            <w:instrText xml:space="preserve"> PAGEREF _Toc181571208 \h </w:instrText>
          </w:r>
          <w:r>
            <w:rPr>
              <w:sz w:val="28"/>
              <w:szCs w:val="28"/>
            </w:rPr>
            <w:fldChar w:fldCharType="separate"/>
          </w:r>
          <w:r>
            <w:rPr>
              <w:sz w:val="28"/>
              <w:szCs w:val="28"/>
            </w:rPr>
            <w:t>27</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"_Toc181571209" </w:instrText>
          </w:r>
          <w:r>
            <w:rPr>
              <w:sz w:val="28"/>
              <w:szCs w:val="28"/>
            </w:rPr>
            <w:fldChar w:fldCharType="separate"/>
          </w:r>
          <w:r>
            <w:rPr>
              <w:rStyle w:val="19"/>
              <w:sz w:val="28"/>
              <w:szCs w:val="28"/>
            </w:rPr>
            <w:t>（一）完善项目招标方式，规范项目招标管理</w:t>
          </w:r>
          <w:r>
            <w:rPr>
              <w:sz w:val="28"/>
              <w:szCs w:val="28"/>
            </w:rPr>
            <w:tab/>
          </w:r>
          <w:r>
            <w:rPr>
              <w:sz w:val="28"/>
              <w:szCs w:val="28"/>
            </w:rPr>
            <w:fldChar w:fldCharType="begin"/>
          </w:r>
          <w:r>
            <w:rPr>
              <w:sz w:val="28"/>
              <w:szCs w:val="28"/>
            </w:rPr>
            <w:instrText xml:space="preserve"> PAGEREF _Toc181571209 \h </w:instrText>
          </w:r>
          <w:r>
            <w:rPr>
              <w:sz w:val="28"/>
              <w:szCs w:val="28"/>
            </w:rPr>
            <w:fldChar w:fldCharType="separate"/>
          </w:r>
          <w:r>
            <w:rPr>
              <w:sz w:val="28"/>
              <w:szCs w:val="28"/>
            </w:rPr>
            <w:t>27</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"_Toc181571210" </w:instrText>
          </w:r>
          <w:r>
            <w:rPr>
              <w:sz w:val="28"/>
              <w:szCs w:val="28"/>
            </w:rPr>
            <w:fldChar w:fldCharType="separate"/>
          </w:r>
          <w:r>
            <w:rPr>
              <w:rStyle w:val="19"/>
              <w:sz w:val="28"/>
              <w:szCs w:val="28"/>
            </w:rPr>
            <w:t>（二）落实资金管理制度，规范项目资金使用</w:t>
          </w:r>
          <w:r>
            <w:rPr>
              <w:sz w:val="28"/>
              <w:szCs w:val="28"/>
            </w:rPr>
            <w:tab/>
          </w:r>
          <w:r>
            <w:rPr>
              <w:sz w:val="28"/>
              <w:szCs w:val="28"/>
            </w:rPr>
            <w:fldChar w:fldCharType="begin"/>
          </w:r>
          <w:r>
            <w:rPr>
              <w:sz w:val="28"/>
              <w:szCs w:val="28"/>
            </w:rPr>
            <w:instrText xml:space="preserve"> PAGEREF _Toc181571210 \h </w:instrText>
          </w:r>
          <w:r>
            <w:rPr>
              <w:sz w:val="28"/>
              <w:szCs w:val="28"/>
            </w:rPr>
            <w:fldChar w:fldCharType="separate"/>
          </w:r>
          <w:r>
            <w:rPr>
              <w:sz w:val="28"/>
              <w:szCs w:val="28"/>
            </w:rPr>
            <w:t>28</w:t>
          </w:r>
          <w:r>
            <w:rPr>
              <w:sz w:val="28"/>
              <w:szCs w:val="28"/>
            </w:rPr>
            <w:fldChar w:fldCharType="end"/>
          </w:r>
          <w:r>
            <w:rPr>
              <w:sz w:val="28"/>
              <w:szCs w:val="28"/>
            </w:rPr>
            <w:fldChar w:fldCharType="end"/>
          </w:r>
        </w:p>
        <w:p>
          <w:pPr>
            <w:pStyle w:val="12"/>
            <w:keepNext w:val="0"/>
            <w:keepLines w:val="0"/>
            <w:pageBreakBefore w:val="0"/>
            <w:widowControl w:val="0"/>
            <w:tabs>
              <w:tab w:val="right" w:leader="dot" w:pos="8296"/>
            </w:tabs>
            <w:kinsoku/>
            <w:wordWrap/>
            <w:overflowPunct/>
            <w:topLinePunct w:val="0"/>
            <w:autoSpaceDE/>
            <w:autoSpaceDN/>
            <w:bidi w:val="0"/>
            <w:adjustRightInd/>
            <w:snapToGrid/>
            <w:spacing w:line="54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"_Toc181571211" </w:instrText>
          </w:r>
          <w:r>
            <w:rPr>
              <w:sz w:val="28"/>
              <w:szCs w:val="28"/>
            </w:rPr>
            <w:fldChar w:fldCharType="separate"/>
          </w:r>
          <w:r>
            <w:rPr>
              <w:rStyle w:val="19"/>
              <w:sz w:val="28"/>
              <w:szCs w:val="28"/>
            </w:rPr>
            <w:t>（三）落实项目指导方案，优化过程管理机制</w:t>
          </w:r>
          <w:r>
            <w:rPr>
              <w:sz w:val="28"/>
              <w:szCs w:val="28"/>
            </w:rPr>
            <w:tab/>
          </w:r>
          <w:r>
            <w:rPr>
              <w:sz w:val="28"/>
              <w:szCs w:val="28"/>
            </w:rPr>
            <w:fldChar w:fldCharType="begin"/>
          </w:r>
          <w:r>
            <w:rPr>
              <w:sz w:val="28"/>
              <w:szCs w:val="28"/>
            </w:rPr>
            <w:instrText xml:space="preserve"> PAGEREF _Toc181571211 \h </w:instrText>
          </w:r>
          <w:r>
            <w:rPr>
              <w:sz w:val="28"/>
              <w:szCs w:val="28"/>
            </w:rPr>
            <w:fldChar w:fldCharType="separate"/>
          </w:r>
          <w:r>
            <w:rPr>
              <w:sz w:val="28"/>
              <w:szCs w:val="28"/>
            </w:rPr>
            <w:t>30</w:t>
          </w:r>
          <w:r>
            <w:rPr>
              <w:sz w:val="28"/>
              <w:szCs w:val="28"/>
            </w:rPr>
            <w:fldChar w:fldCharType="end"/>
          </w:r>
          <w:r>
            <w:rPr>
              <w:sz w:val="28"/>
              <w:szCs w:val="28"/>
            </w:rPr>
            <w:fldChar w:fldCharType="end"/>
          </w:r>
        </w:p>
        <w:p>
          <w:pPr>
            <w:pStyle w:val="10"/>
            <w:keepNext w:val="0"/>
            <w:keepLines w:val="0"/>
            <w:pageBreakBefore w:val="0"/>
            <w:widowControl w:val="0"/>
            <w:kinsoku/>
            <w:wordWrap/>
            <w:overflowPunct/>
            <w:topLinePunct w:val="0"/>
            <w:autoSpaceDE/>
            <w:autoSpaceDN/>
            <w:bidi w:val="0"/>
            <w:adjustRightInd/>
            <w:snapToGrid/>
            <w:spacing w:line="480" w:lineRule="exact"/>
            <w:textAlignment w:val="auto"/>
          </w:pPr>
          <w:r>
            <w:rPr>
              <w:sz w:val="28"/>
              <w:szCs w:val="28"/>
            </w:rPr>
            <w:fldChar w:fldCharType="end"/>
          </w:r>
        </w:p>
      </w:sdtContent>
    </w:sdt>
    <w:p>
      <w:pPr>
        <w:pStyle w:val="36"/>
        <w:ind w:firstLine="643"/>
        <w:jc w:val="center"/>
        <w:sectPr>
          <w:footerReference r:id="rId5" w:type="default"/>
          <w:pgSz w:w="11906" w:h="16838"/>
          <w:pgMar w:top="1440" w:right="1800" w:bottom="1440" w:left="1800" w:header="851" w:footer="992" w:gutter="0"/>
          <w:pgNumType w:fmt="upperRoman" w:start="1"/>
          <w:cols w:space="425" w:num="1"/>
          <w:docGrid w:type="lines" w:linePitch="312" w:charSpace="0"/>
        </w:sectPr>
      </w:pPr>
    </w:p>
    <w:p>
      <w:pPr>
        <w:pStyle w:val="34"/>
        <w:ind w:left="0" w:leftChars="0" w:firstLine="0" w:firstLineChars="0"/>
        <w:jc w:val="center"/>
        <w:rPr>
          <w:rFonts w:ascii="黑体" w:hAnsi="黑体" w:eastAsia="黑体"/>
          <w:sz w:val="32"/>
          <w:szCs w:val="32"/>
        </w:rPr>
      </w:pPr>
      <w:bookmarkStart w:id="2" w:name="_Toc174548806"/>
      <w:r>
        <w:rPr>
          <w:rFonts w:ascii="黑体" w:hAnsi="黑体" w:eastAsia="黑体"/>
          <w:sz w:val="32"/>
          <w:szCs w:val="32"/>
        </w:rPr>
        <w:t>摘</w:t>
      </w:r>
      <w:r>
        <w:rPr>
          <w:rFonts w:hint="eastAsia" w:ascii="黑体" w:hAnsi="黑体" w:eastAsia="黑体"/>
          <w:sz w:val="32"/>
          <w:szCs w:val="32"/>
          <w:lang w:val="en-US" w:eastAsia="zh-CN"/>
        </w:rPr>
        <w:t xml:space="preserve"> </w:t>
      </w:r>
      <w:r>
        <w:rPr>
          <w:rFonts w:ascii="黑体" w:hAnsi="黑体" w:eastAsia="黑体"/>
          <w:sz w:val="32"/>
          <w:szCs w:val="32"/>
        </w:rPr>
        <w:t xml:space="preserve"> 要</w:t>
      </w:r>
      <w:bookmarkEnd w:id="2"/>
    </w:p>
    <w:p>
      <w:pPr>
        <w:pStyle w:val="34"/>
        <w:ind w:firstLine="640"/>
      </w:pPr>
      <w:r>
        <w:t>为深入了解</w:t>
      </w:r>
      <w:r>
        <w:rPr>
          <w:rFonts w:hint="eastAsia"/>
        </w:rPr>
        <w:t>“</w:t>
      </w:r>
      <w:r>
        <w:t>2023年矿产资源勘察项目</w:t>
      </w:r>
      <w:r>
        <w:rPr>
          <w:rFonts w:hint="eastAsia"/>
        </w:rPr>
        <w:t>”</w:t>
      </w:r>
      <w:r>
        <w:t>（以下简称</w:t>
      </w:r>
      <w:r>
        <w:rPr>
          <w:rFonts w:hint="eastAsia"/>
        </w:rPr>
        <w:t>“</w:t>
      </w:r>
      <w:r>
        <w:t>项目”）的资金使用效益，分析当前总体目标的完成情况与项目执行情况，受韶关市财政局委托，广东中大管理咨询集团股份有限公司组织绩效评价工作组，对项目开展绩效评价，评价基准日为2023年12月31日。</w:t>
      </w:r>
    </w:p>
    <w:p>
      <w:pPr>
        <w:pStyle w:val="34"/>
        <w:ind w:firstLine="640"/>
      </w:pPr>
      <w:r>
        <w:t>项目根据《韶关市人民政府办公室关于印发韶关市矿产资源</w:t>
      </w:r>
      <w:r>
        <w:rPr>
          <w:rFonts w:hint="eastAsia"/>
        </w:rPr>
        <w:t>“</w:t>
      </w:r>
      <w:r>
        <w:t>净矿</w:t>
      </w:r>
      <w:r>
        <w:rPr>
          <w:rFonts w:hint="eastAsia"/>
        </w:rPr>
        <w:t>”</w:t>
      </w:r>
      <w:r>
        <w:t>出让和绿色高效开发利用实施方案的通知》《十四届市政府第159次常务会议会议纪要》等文件精神指导开展，采取</w:t>
      </w:r>
      <w:r>
        <w:rPr>
          <w:rFonts w:hint="eastAsia"/>
        </w:rPr>
        <w:t>“</w:t>
      </w:r>
      <w:r>
        <w:t>试点先行，总结完善</w:t>
      </w:r>
      <w:r>
        <w:rPr>
          <w:rFonts w:hint="eastAsia"/>
        </w:rPr>
        <w:t>”</w:t>
      </w:r>
      <w:r>
        <w:t>的方式，选取黄龙岗矿区、大旺山矿区、三棵松矿区和红尾坑矿区为矿产资源</w:t>
      </w:r>
      <w:r>
        <w:rPr>
          <w:rFonts w:hint="eastAsia"/>
        </w:rPr>
        <w:t>“</w:t>
      </w:r>
      <w:r>
        <w:t>净矿</w:t>
      </w:r>
      <w:r>
        <w:rPr>
          <w:rFonts w:hint="eastAsia"/>
        </w:rPr>
        <w:t>”</w:t>
      </w:r>
      <w:r>
        <w:t>出让突破口和试点，力争实现矿产资源</w:t>
      </w:r>
      <w:r>
        <w:rPr>
          <w:rFonts w:hint="eastAsia"/>
        </w:rPr>
        <w:t>“</w:t>
      </w:r>
      <w:r>
        <w:t>净矿</w:t>
      </w:r>
      <w:r>
        <w:rPr>
          <w:rFonts w:hint="eastAsia"/>
        </w:rPr>
        <w:t>”</w:t>
      </w:r>
      <w:r>
        <w:t>出让的突破，形成示范效应。2023年项目预算资金2,000万元，实际下达资金指标1,574.03万元，实际支付资金1,016.24万元，资金到位率为78.70%、支付率为64.56%。</w:t>
      </w:r>
    </w:p>
    <w:p>
      <w:pPr>
        <w:pStyle w:val="34"/>
        <w:ind w:firstLine="640"/>
      </w:pPr>
      <w:r>
        <w:rPr>
          <w:szCs w:val="22"/>
        </w:rPr>
        <w:t>综合评价表明，项目总体得分</w:t>
      </w:r>
      <w:r>
        <w:t>74.15</w:t>
      </w:r>
      <w:r>
        <w:rPr>
          <w:szCs w:val="22"/>
        </w:rPr>
        <w:t>分，绩效评价等级为</w:t>
      </w:r>
      <w:r>
        <w:rPr>
          <w:rFonts w:hint="eastAsia"/>
        </w:rPr>
        <w:t>“</w:t>
      </w:r>
      <w:r>
        <w:t>中</w:t>
      </w:r>
      <w:r>
        <w:rPr>
          <w:rFonts w:hint="eastAsia"/>
        </w:rPr>
        <w:t>”</w:t>
      </w:r>
      <w:r>
        <w:t>。该项目立项依据充分，基本完成了2023年市级矿产资源地勘工作计划，摸清了26,529.56万立方米矿产资源可采储量和96.8万吨硅质岩矿储量，实现了大旺山矿区、三棵松矿区、红尾坑矿区三个矿区22.7324亿元的采矿权出让收益，项目整体经济效益良好。</w:t>
      </w:r>
    </w:p>
    <w:p>
      <w:pPr>
        <w:pStyle w:val="34"/>
        <w:ind w:firstLine="640"/>
      </w:pPr>
      <w:r>
        <w:t>但项目整体还存在一些不足：</w:t>
      </w:r>
      <w:r>
        <w:rPr>
          <w:b/>
          <w:bCs/>
        </w:rPr>
        <w:t>一是</w:t>
      </w:r>
      <w:r>
        <w:t>项目招标实施不合规，如个别矿区投标代理单位不符合资质要求，部分矿区的招标实施方式不合规，各矿区的中标主体不符合公平性要求。</w:t>
      </w:r>
      <w:r>
        <w:rPr>
          <w:b/>
          <w:bCs/>
        </w:rPr>
        <w:t>二是</w:t>
      </w:r>
      <w:r>
        <w:t>项目预算审核不到位，如个别矿区的招标代理费用的计价依据不合理，缺少预算及支出规模审核；部分经费支出方式不合规，</w:t>
      </w:r>
      <w:r>
        <w:rPr>
          <w:rFonts w:hint="eastAsia"/>
        </w:rPr>
        <w:t>个别矿区的勘查经费收款人在不同合同中约定不一致</w:t>
      </w:r>
      <w:r>
        <w:t>，部分经费支付依据不充分。</w:t>
      </w:r>
      <w:r>
        <w:rPr>
          <w:b/>
          <w:bCs/>
        </w:rPr>
        <w:t>三是</w:t>
      </w:r>
      <w:r>
        <w:t>项目管理难到位，如部分矿区的进度把控不严谨，区局未采纳落实市局发布的个别矿区工作指导文件，项目验收质量的影响因素考虑不足。</w:t>
      </w:r>
    </w:p>
    <w:p>
      <w:pPr>
        <w:pStyle w:val="34"/>
        <w:ind w:firstLine="640"/>
        <w:sectPr>
          <w:pgSz w:w="11906" w:h="16838"/>
          <w:pgMar w:top="1440" w:right="1800" w:bottom="1440" w:left="1800" w:header="851" w:footer="992" w:gutter="0"/>
          <w:pgNumType w:start="1"/>
          <w:cols w:space="425" w:num="1"/>
          <w:docGrid w:type="lines" w:linePitch="312" w:charSpace="0"/>
        </w:sectPr>
      </w:pPr>
      <w:r>
        <w:t>针对以上问题，建议为：</w:t>
      </w:r>
      <w:r>
        <w:rPr>
          <w:b/>
          <w:bCs/>
        </w:rPr>
        <w:t>第一，</w:t>
      </w:r>
      <w:r>
        <w:t>完善项目招标方式，如抓好采购代理项目的合规性检查、与财政部门沟通探讨项目适用的采购方式、完善项目招投标后管理机制。</w:t>
      </w:r>
      <w:r>
        <w:rPr>
          <w:b/>
          <w:bCs/>
        </w:rPr>
        <w:t>第二</w:t>
      </w:r>
      <w:r>
        <w:t>，落实资金管理制度，如加强采购人员的业务能力培训，遵循</w:t>
      </w:r>
      <w:r>
        <w:rPr>
          <w:rFonts w:hint="eastAsia"/>
        </w:rPr>
        <w:t>“</w:t>
      </w:r>
      <w:r>
        <w:t>按财政预算、按用款计划、按项目进度、按规定程序</w:t>
      </w:r>
      <w:r>
        <w:rPr>
          <w:rFonts w:hint="eastAsia"/>
        </w:rPr>
        <w:t>”</w:t>
      </w:r>
      <w:r>
        <w:t>的原则使用财政资金，制作项目资金支付计划台账，加强支出管理的规范性和和合理性复核。</w:t>
      </w:r>
      <w:r>
        <w:rPr>
          <w:b/>
          <w:bCs/>
        </w:rPr>
        <w:t>第三，</w:t>
      </w:r>
      <w:r>
        <w:t>落实项目指导方案，如制定并执行项目实施计划，补充</w:t>
      </w:r>
      <w:r>
        <w:rPr>
          <w:rFonts w:hint="eastAsia"/>
        </w:rPr>
        <w:t>“</w:t>
      </w:r>
      <w:r>
        <w:t>工作指导</w:t>
      </w:r>
      <w:r>
        <w:rPr>
          <w:rFonts w:hint="eastAsia"/>
        </w:rPr>
        <w:t>”</w:t>
      </w:r>
      <w:r>
        <w:t>相关的实施机制，引进外地专家进入参与项目验收等。</w:t>
      </w:r>
    </w:p>
    <w:p>
      <w:pPr>
        <w:pStyle w:val="36"/>
        <w:ind w:firstLine="643"/>
        <w:rPr>
          <w:b w:val="0"/>
        </w:rPr>
      </w:pPr>
      <w:bookmarkStart w:id="3" w:name="_Toc181571189"/>
      <w:r>
        <w:t>一、基本情况</w:t>
      </w:r>
      <w:bookmarkEnd w:id="3"/>
    </w:p>
    <w:p>
      <w:pPr>
        <w:pStyle w:val="37"/>
        <w:ind w:firstLine="640"/>
        <w:rPr>
          <w:b/>
        </w:rPr>
      </w:pPr>
      <w:bookmarkStart w:id="4" w:name="_Toc181571190"/>
      <w:r>
        <w:t>（一）项目背景</w:t>
      </w:r>
      <w:bookmarkEnd w:id="4"/>
    </w:p>
    <w:p>
      <w:pPr>
        <w:pStyle w:val="34"/>
        <w:ind w:firstLine="640"/>
      </w:pPr>
      <w:r>
        <w:t>为推进全省矿产资源绿色勘查开发、推动矿业高质量发展，广东省人民政府办公厅印发实施《广东省绿色矿业发展五年行动方案（2021—2025年）》，提出</w:t>
      </w:r>
      <w:r>
        <w:rPr>
          <w:rFonts w:hint="eastAsia"/>
        </w:rPr>
        <w:t>“</w:t>
      </w:r>
      <w:r>
        <w:t>开展矿产资源国情调查</w:t>
      </w:r>
      <w:r>
        <w:rPr>
          <w:rFonts w:hint="eastAsia"/>
        </w:rPr>
        <w:t>”</w:t>
      </w:r>
      <w:r>
        <w:t>的工作任务。根据省委省政府的工作指导，韶关市研究并印发实施《韶关市矿产资源开发监督管理规定》《韶关市人民政府办公室关于印发韶关市矿产资源</w:t>
      </w:r>
      <w:r>
        <w:rPr>
          <w:rFonts w:hint="eastAsia"/>
        </w:rPr>
        <w:t>“</w:t>
      </w:r>
      <w:r>
        <w:t>净矿</w:t>
      </w:r>
      <w:r>
        <w:rPr>
          <w:rFonts w:hint="eastAsia"/>
        </w:rPr>
        <w:t>”</w:t>
      </w:r>
      <w:r>
        <w:t>出让和绿色高效开发利用实施方案的通知》（以下简称《净矿方案》）《关于进一步加强净矿出让收益资金管理的通知》《关于规范市级矿产资源勘查项目经费使用管理的通知》（以下简称《</w:t>
      </w:r>
      <w:r>
        <w:rPr>
          <w:rFonts w:hint="eastAsia"/>
        </w:rPr>
        <w:t>经费使用通知</w:t>
      </w:r>
      <w:r>
        <w:t>》）等规范性文件，为查明本市矿产资源家底工作、实现矿产资源资产价值化、</w:t>
      </w:r>
      <w:r>
        <w:rPr>
          <w:color w:val="191919"/>
          <w:shd w:val="clear" w:color="auto" w:fill="FFFFFF"/>
        </w:rPr>
        <w:t>将矿产资源资产优势转化为经济优势以及</w:t>
      </w:r>
      <w:r>
        <w:t>加强矿产资源开发利用管理等工作提供明确的指引。</w:t>
      </w:r>
    </w:p>
    <w:p>
      <w:pPr>
        <w:pStyle w:val="34"/>
        <w:ind w:firstLine="640"/>
      </w:pPr>
      <w:r>
        <w:t>根据《净矿方案》工作指导，韶关市成立韶关市矿产资源开发工作领导小组，并在领导小组下设绿色矿业发展推进工作协调办公室（以下简称</w:t>
      </w:r>
      <w:r>
        <w:rPr>
          <w:rFonts w:hint="eastAsia"/>
        </w:rPr>
        <w:t>“</w:t>
      </w:r>
      <w:r>
        <w:t>绿矿办</w:t>
      </w:r>
      <w:r>
        <w:rPr>
          <w:rFonts w:hint="eastAsia"/>
        </w:rPr>
        <w:t>”</w:t>
      </w:r>
      <w:r>
        <w:t>），负责汇总整理采矿权设置出让及</w:t>
      </w:r>
      <w:r>
        <w:rPr>
          <w:rFonts w:hint="eastAsia"/>
        </w:rPr>
        <w:t>“</w:t>
      </w:r>
      <w:r>
        <w:t>净矿</w:t>
      </w:r>
      <w:r>
        <w:rPr>
          <w:rFonts w:hint="eastAsia"/>
        </w:rPr>
        <w:t>”</w:t>
      </w:r>
      <w:r>
        <w:t>出让过程中需集体研究解决的问题，绿矿办设在韶关市自然资源局（以下简称</w:t>
      </w:r>
      <w:r>
        <w:rPr>
          <w:rFonts w:hint="eastAsia"/>
        </w:rPr>
        <w:t>“市局”</w:t>
      </w:r>
      <w:r>
        <w:t>）。市局为项目责任部门，区自然资源局（以下简称</w:t>
      </w:r>
      <w:r>
        <w:rPr>
          <w:rFonts w:hint="eastAsia"/>
        </w:rPr>
        <w:t>“区局”</w:t>
      </w:r>
      <w:r>
        <w:t>）</w:t>
      </w:r>
      <w:r>
        <w:rPr>
          <w:rFonts w:hint="eastAsia"/>
        </w:rPr>
        <w:t>根据工作指导，遴选地勘单位，</w:t>
      </w:r>
      <w:r>
        <w:t>跟进</w:t>
      </w:r>
      <w:r>
        <w:rPr>
          <w:rFonts w:hint="eastAsia"/>
        </w:rPr>
        <w:t>矿区</w:t>
      </w:r>
      <w:r>
        <w:t>地质勘查</w:t>
      </w:r>
      <w:r>
        <w:rPr>
          <w:rFonts w:hint="eastAsia"/>
        </w:rPr>
        <w:t>工作并</w:t>
      </w:r>
      <w:r>
        <w:t>定期向市局汇报。项目采取</w:t>
      </w:r>
      <w:r>
        <w:rPr>
          <w:rFonts w:hint="eastAsia"/>
        </w:rPr>
        <w:t>“</w:t>
      </w:r>
      <w:r>
        <w:t>试点先行，总结完善</w:t>
      </w:r>
      <w:r>
        <w:rPr>
          <w:rFonts w:hint="eastAsia"/>
        </w:rPr>
        <w:t>”</w:t>
      </w:r>
      <w:r>
        <w:t>的方式，选取曲江区黄龙岗矿区、曲江区大旺山矿区、武江区三棵松矿区为矿产资源</w:t>
      </w:r>
      <w:r>
        <w:rPr>
          <w:rFonts w:hint="eastAsia"/>
        </w:rPr>
        <w:t>“</w:t>
      </w:r>
      <w:r>
        <w:t>净矿</w:t>
      </w:r>
      <w:r>
        <w:rPr>
          <w:rFonts w:hint="eastAsia"/>
        </w:rPr>
        <w:t>”</w:t>
      </w:r>
      <w:r>
        <w:t>出让突破口和试点。</w:t>
      </w:r>
    </w:p>
    <w:p>
      <w:pPr>
        <w:pStyle w:val="37"/>
        <w:ind w:firstLine="640"/>
      </w:pPr>
      <w:bookmarkStart w:id="5" w:name="_Toc181571191"/>
      <w:r>
        <w:t>（二）项目实施情况</w:t>
      </w:r>
      <w:bookmarkEnd w:id="5"/>
    </w:p>
    <w:p>
      <w:pPr>
        <w:pStyle w:val="34"/>
        <w:ind w:firstLine="640"/>
      </w:pPr>
      <w:r>
        <w:rPr>
          <w:rFonts w:hint="eastAsia"/>
        </w:rPr>
        <w:t>项目预算</w:t>
      </w:r>
      <w:r>
        <w:t>纳入市局部门预算</w:t>
      </w:r>
      <w:r>
        <w:rPr>
          <w:rFonts w:hint="eastAsia"/>
        </w:rPr>
        <w:t>，专项用于市级地质勘查找矿。预算使用原则为“</w:t>
      </w:r>
      <w:r>
        <w:t>支持</w:t>
      </w:r>
      <w:r>
        <w:rPr>
          <w:rFonts w:hint="eastAsia"/>
        </w:rPr>
        <w:t>地勘方案确认的5</w:t>
      </w:r>
      <w:r>
        <w:t>0%</w:t>
      </w:r>
      <w:r>
        <w:rPr>
          <w:rFonts w:hint="eastAsia"/>
        </w:rPr>
        <w:t>勘查费用”，使用方式为：市局“待项目完成审核后”提交资金分配申请至市财政局，市财政局下达50%勘查预算至项目所在区县财政部门，区县财政部门“待储量核实报告评审备案后”拨付50%勘查预算至地勘单位。</w:t>
      </w:r>
    </w:p>
    <w:p>
      <w:pPr>
        <w:pStyle w:val="34"/>
        <w:ind w:firstLine="640"/>
      </w:pPr>
      <w:r>
        <w:t>项目</w:t>
      </w:r>
      <w:r>
        <w:rPr>
          <w:rFonts w:hint="eastAsia"/>
        </w:rPr>
        <w:t>资金共</w:t>
      </w:r>
      <w:r>
        <w:t>支持</w:t>
      </w:r>
      <w:r>
        <w:rPr>
          <w:rFonts w:hint="eastAsia"/>
        </w:rPr>
        <w:t>了4</w:t>
      </w:r>
      <w:r>
        <w:t>个矿区开展矿产资源勘查工作</w:t>
      </w:r>
      <w:r>
        <w:rPr>
          <w:rFonts w:hint="eastAsia"/>
        </w:rPr>
        <w:t>（如下表所示），其中：</w:t>
      </w:r>
      <w:r>
        <w:fldChar w:fldCharType="begin"/>
      </w:r>
      <w:r>
        <w:instrText xml:space="preserve"> </w:instrText>
      </w:r>
      <w:r>
        <w:rPr>
          <w:rFonts w:hint="eastAsia"/>
        </w:rPr>
        <w:instrText xml:space="preserve">= 1 \* GB3</w:instrText>
      </w:r>
      <w:r>
        <w:instrText xml:space="preserve"> </w:instrText>
      </w:r>
      <w:r>
        <w:fldChar w:fldCharType="separate"/>
      </w:r>
      <w:r>
        <w:rPr>
          <w:rFonts w:hint="eastAsia"/>
        </w:rPr>
        <w:t>①</w:t>
      </w:r>
      <w:r>
        <w:fldChar w:fldCharType="end"/>
      </w:r>
      <w:r>
        <w:t>三棵松矿区</w:t>
      </w:r>
      <w:r>
        <w:rPr>
          <w:rFonts w:hint="eastAsia"/>
        </w:rPr>
        <w:t>，为建设超大矿区，2</w:t>
      </w:r>
      <w:r>
        <w:t>022</w:t>
      </w:r>
      <w:r>
        <w:rPr>
          <w:rFonts w:hint="eastAsia"/>
        </w:rPr>
        <w:t>年和2</w:t>
      </w:r>
      <w:r>
        <w:t>023</w:t>
      </w:r>
      <w:r>
        <w:rPr>
          <w:rFonts w:hint="eastAsia"/>
        </w:rPr>
        <w:t>年各开展了一次</w:t>
      </w:r>
      <w:r>
        <w:t>资源勘查工作</w:t>
      </w:r>
      <w:r>
        <w:rPr>
          <w:rFonts w:hint="eastAsia"/>
        </w:rPr>
        <w:t>，20</w:t>
      </w:r>
      <w:r>
        <w:t>24</w:t>
      </w:r>
      <w:r>
        <w:rPr>
          <w:rFonts w:hint="eastAsia"/>
        </w:rPr>
        <w:t>年完成挂牌出让。</w:t>
      </w:r>
      <w:r>
        <w:fldChar w:fldCharType="begin"/>
      </w:r>
      <w:r>
        <w:instrText xml:space="preserve"> </w:instrText>
      </w:r>
      <w:r>
        <w:rPr>
          <w:rFonts w:hint="eastAsia"/>
        </w:rPr>
        <w:instrText xml:space="preserve">= 2 \* GB3</w:instrText>
      </w:r>
      <w:r>
        <w:instrText xml:space="preserve"> </w:instrText>
      </w:r>
      <w:r>
        <w:fldChar w:fldCharType="separate"/>
      </w:r>
      <w:r>
        <w:rPr>
          <w:rFonts w:hint="eastAsia"/>
        </w:rPr>
        <w:t>②</w:t>
      </w:r>
      <w:r>
        <w:fldChar w:fldCharType="end"/>
      </w:r>
      <w:r>
        <w:rPr>
          <w:rFonts w:hint="eastAsia"/>
        </w:rPr>
        <w:t>红尾坑矿区，开展了一次资源勘查工作，20</w:t>
      </w:r>
      <w:r>
        <w:t>23</w:t>
      </w:r>
      <w:r>
        <w:rPr>
          <w:rFonts w:hint="eastAsia"/>
        </w:rPr>
        <w:t>年完成挂牌出让。</w:t>
      </w:r>
      <w:r>
        <w:fldChar w:fldCharType="begin"/>
      </w:r>
      <w:r>
        <w:instrText xml:space="preserve"> </w:instrText>
      </w:r>
      <w:r>
        <w:rPr>
          <w:rFonts w:hint="eastAsia"/>
        </w:rPr>
        <w:instrText xml:space="preserve">= 3 \* GB3</w:instrText>
      </w:r>
      <w:r>
        <w:instrText xml:space="preserve"> </w:instrText>
      </w:r>
      <w:r>
        <w:fldChar w:fldCharType="separate"/>
      </w:r>
      <w:r>
        <w:rPr>
          <w:rFonts w:hint="eastAsia"/>
        </w:rPr>
        <w:t>③</w:t>
      </w:r>
      <w:r>
        <w:fldChar w:fldCharType="end"/>
      </w:r>
      <w:r>
        <w:rPr>
          <w:rFonts w:hint="eastAsia"/>
        </w:rPr>
        <w:t>大旺山矿区，开展了一次资源勘查工作，20</w:t>
      </w:r>
      <w:r>
        <w:t>24</w:t>
      </w:r>
      <w:r>
        <w:rPr>
          <w:rFonts w:hint="eastAsia"/>
        </w:rPr>
        <w:t>年完成挂牌出让。</w:t>
      </w:r>
      <w:r>
        <w:fldChar w:fldCharType="begin"/>
      </w:r>
      <w:r>
        <w:instrText xml:space="preserve"> </w:instrText>
      </w:r>
      <w:r>
        <w:rPr>
          <w:rFonts w:hint="eastAsia"/>
        </w:rPr>
        <w:instrText xml:space="preserve">= 4 \* GB3</w:instrText>
      </w:r>
      <w:r>
        <w:instrText xml:space="preserve"> </w:instrText>
      </w:r>
      <w:r>
        <w:fldChar w:fldCharType="separate"/>
      </w:r>
      <w:r>
        <w:rPr>
          <w:rFonts w:hint="eastAsia"/>
        </w:rPr>
        <w:t>④</w:t>
      </w:r>
      <w:r>
        <w:fldChar w:fldCharType="end"/>
      </w:r>
      <w:r>
        <w:t>黄龙岗矿区</w:t>
      </w:r>
      <w:r>
        <w:rPr>
          <w:rFonts w:hint="eastAsia"/>
        </w:rPr>
        <w:t>，</w:t>
      </w:r>
      <w:r>
        <w:t>因勘查不</w:t>
      </w:r>
      <w:r>
        <w:rPr>
          <w:rFonts w:hint="eastAsia"/>
        </w:rPr>
        <w:t>符合</w:t>
      </w:r>
      <w:r>
        <w:t>预期，</w:t>
      </w:r>
      <w:r>
        <w:rPr>
          <w:rFonts w:hint="eastAsia"/>
        </w:rPr>
        <w:t>2</w:t>
      </w:r>
      <w:r>
        <w:t>022</w:t>
      </w:r>
      <w:r>
        <w:rPr>
          <w:rFonts w:hint="eastAsia"/>
        </w:rPr>
        <w:t>年</w:t>
      </w:r>
      <w:r>
        <w:t>暂停</w:t>
      </w:r>
      <w:r>
        <w:rPr>
          <w:rFonts w:hint="eastAsia"/>
        </w:rPr>
        <w:t>原</w:t>
      </w:r>
      <w:r>
        <w:t>勘查计划</w:t>
      </w:r>
      <w:r>
        <w:rPr>
          <w:rFonts w:hint="eastAsia"/>
        </w:rPr>
        <w:t>，未挂牌出让。</w:t>
      </w:r>
    </w:p>
    <w:p>
      <w:pPr>
        <w:pStyle w:val="51"/>
      </w:pPr>
      <w:r>
        <w:t xml:space="preserve">表1-1 </w:t>
      </w:r>
      <w:r>
        <w:rPr>
          <w:rFonts w:hint="eastAsia"/>
        </w:rPr>
        <w:t>各矿区实施</w:t>
      </w:r>
      <w:r>
        <w:t>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92"/>
        <w:gridCol w:w="3052"/>
        <w:gridCol w:w="1799"/>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108" w:type="pct"/>
            <w:shd w:val="clear" w:color="auto" w:fill="FEF2CC" w:themeFill="accent4" w:themeFillTint="33"/>
            <w:vAlign w:val="center"/>
          </w:tcPr>
          <w:p>
            <w:pPr>
              <w:widowControl/>
              <w:spacing w:line="240" w:lineRule="auto"/>
              <w:jc w:val="center"/>
              <w:rPr>
                <w:b/>
                <w:bCs/>
                <w:kern w:val="0"/>
                <w:szCs w:val="24"/>
              </w:rPr>
            </w:pPr>
            <w:r>
              <w:rPr>
                <w:b/>
                <w:bCs/>
                <w:kern w:val="0"/>
                <w:szCs w:val="24"/>
              </w:rPr>
              <w:t>矿区</w:t>
            </w:r>
          </w:p>
        </w:tc>
        <w:tc>
          <w:tcPr>
            <w:tcW w:w="1623"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地勘时间</w:t>
            </w:r>
          </w:p>
        </w:tc>
        <w:tc>
          <w:tcPr>
            <w:tcW w:w="1111"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储量评审时间</w:t>
            </w:r>
          </w:p>
        </w:tc>
        <w:tc>
          <w:tcPr>
            <w:tcW w:w="1158"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采矿权出让时间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pct"/>
            <w:vAlign w:val="center"/>
          </w:tcPr>
          <w:p>
            <w:pPr>
              <w:widowControl/>
              <w:spacing w:line="240" w:lineRule="auto"/>
              <w:jc w:val="center"/>
              <w:rPr>
                <w:kern w:val="0"/>
                <w:szCs w:val="24"/>
              </w:rPr>
            </w:pPr>
            <w:r>
              <w:rPr>
                <w:kern w:val="0"/>
                <w:szCs w:val="24"/>
              </w:rPr>
              <w:t>三棵松矿区</w:t>
            </w:r>
            <w:r>
              <w:rPr>
                <w:rFonts w:hint="eastAsia"/>
                <w:kern w:val="0"/>
                <w:szCs w:val="24"/>
              </w:rPr>
              <w:t>第一阶段</w:t>
            </w:r>
          </w:p>
        </w:tc>
        <w:tc>
          <w:tcPr>
            <w:tcW w:w="1623" w:type="pct"/>
            <w:vAlign w:val="center"/>
          </w:tcPr>
          <w:p>
            <w:pPr>
              <w:widowControl/>
              <w:spacing w:line="240" w:lineRule="auto"/>
              <w:jc w:val="center"/>
              <w:rPr>
                <w:kern w:val="0"/>
                <w:szCs w:val="24"/>
              </w:rPr>
            </w:pPr>
            <w:r>
              <w:rPr>
                <w:rFonts w:hint="eastAsia"/>
                <w:kern w:val="0"/>
                <w:szCs w:val="24"/>
              </w:rPr>
              <w:t>2</w:t>
            </w:r>
            <w:r>
              <w:rPr>
                <w:kern w:val="0"/>
                <w:szCs w:val="24"/>
              </w:rPr>
              <w:t>022.8.30</w:t>
            </w:r>
            <w:r>
              <w:rPr>
                <w:rFonts w:hint="eastAsia"/>
                <w:kern w:val="0"/>
                <w:szCs w:val="24"/>
              </w:rPr>
              <w:t>—2</w:t>
            </w:r>
            <w:r>
              <w:rPr>
                <w:kern w:val="0"/>
                <w:szCs w:val="24"/>
              </w:rPr>
              <w:t>022.10.30</w:t>
            </w:r>
          </w:p>
        </w:tc>
        <w:tc>
          <w:tcPr>
            <w:tcW w:w="1111" w:type="pct"/>
            <w:vMerge w:val="restart"/>
            <w:vAlign w:val="center"/>
          </w:tcPr>
          <w:p>
            <w:pPr>
              <w:widowControl/>
              <w:spacing w:line="240" w:lineRule="auto"/>
              <w:jc w:val="center"/>
              <w:rPr>
                <w:kern w:val="0"/>
                <w:szCs w:val="24"/>
              </w:rPr>
            </w:pPr>
            <w:r>
              <w:rPr>
                <w:kern w:val="0"/>
                <w:szCs w:val="24"/>
              </w:rPr>
              <w:t>2023</w:t>
            </w:r>
            <w:r>
              <w:rPr>
                <w:rFonts w:hint="eastAsia"/>
                <w:kern w:val="0"/>
                <w:szCs w:val="24"/>
              </w:rPr>
              <w:t>.</w:t>
            </w:r>
            <w:r>
              <w:rPr>
                <w:kern w:val="0"/>
                <w:szCs w:val="24"/>
              </w:rPr>
              <w:t>10.10</w:t>
            </w:r>
          </w:p>
        </w:tc>
        <w:tc>
          <w:tcPr>
            <w:tcW w:w="1158" w:type="pct"/>
            <w:vMerge w:val="restart"/>
            <w:vAlign w:val="center"/>
          </w:tcPr>
          <w:p>
            <w:pPr>
              <w:widowControl/>
              <w:spacing w:line="240" w:lineRule="auto"/>
              <w:jc w:val="center"/>
              <w:rPr>
                <w:kern w:val="0"/>
                <w:szCs w:val="24"/>
              </w:rPr>
            </w:pPr>
            <w:r>
              <w:rPr>
                <w:rFonts w:hint="eastAsia"/>
                <w:kern w:val="0"/>
                <w:szCs w:val="24"/>
              </w:rPr>
              <w:t>2</w:t>
            </w:r>
            <w:r>
              <w:rPr>
                <w:kern w:val="0"/>
                <w:szCs w:val="24"/>
              </w:rPr>
              <w:t>024.2.22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pct"/>
            <w:vAlign w:val="center"/>
          </w:tcPr>
          <w:p>
            <w:pPr>
              <w:widowControl/>
              <w:spacing w:line="240" w:lineRule="auto"/>
              <w:jc w:val="center"/>
              <w:rPr>
                <w:kern w:val="0"/>
                <w:szCs w:val="24"/>
              </w:rPr>
            </w:pPr>
            <w:r>
              <w:rPr>
                <w:kern w:val="0"/>
                <w:szCs w:val="24"/>
              </w:rPr>
              <w:t>三棵松矿区</w:t>
            </w:r>
            <w:r>
              <w:rPr>
                <w:rFonts w:hint="eastAsia"/>
                <w:kern w:val="0"/>
                <w:szCs w:val="24"/>
              </w:rPr>
              <w:t>补充详查阶段</w:t>
            </w:r>
          </w:p>
        </w:tc>
        <w:tc>
          <w:tcPr>
            <w:tcW w:w="1623" w:type="pct"/>
            <w:vAlign w:val="center"/>
          </w:tcPr>
          <w:p>
            <w:pPr>
              <w:widowControl/>
              <w:spacing w:line="240" w:lineRule="auto"/>
              <w:jc w:val="center"/>
              <w:rPr>
                <w:kern w:val="0"/>
                <w:szCs w:val="24"/>
              </w:rPr>
            </w:pPr>
            <w:r>
              <w:rPr>
                <w:rFonts w:hint="eastAsia"/>
                <w:kern w:val="0"/>
                <w:szCs w:val="24"/>
              </w:rPr>
              <w:t>2</w:t>
            </w:r>
            <w:r>
              <w:rPr>
                <w:kern w:val="0"/>
                <w:szCs w:val="24"/>
              </w:rPr>
              <w:t>023.5.10</w:t>
            </w:r>
            <w:r>
              <w:rPr>
                <w:rFonts w:hint="eastAsia"/>
                <w:kern w:val="0"/>
                <w:szCs w:val="24"/>
              </w:rPr>
              <w:t>—2</w:t>
            </w:r>
            <w:r>
              <w:rPr>
                <w:kern w:val="0"/>
                <w:szCs w:val="24"/>
              </w:rPr>
              <w:t>023.6.20</w:t>
            </w:r>
          </w:p>
        </w:tc>
        <w:tc>
          <w:tcPr>
            <w:tcW w:w="1111" w:type="pct"/>
            <w:vMerge w:val="continue"/>
            <w:vAlign w:val="center"/>
          </w:tcPr>
          <w:p>
            <w:pPr>
              <w:widowControl/>
              <w:spacing w:line="240" w:lineRule="auto"/>
              <w:jc w:val="center"/>
              <w:rPr>
                <w:kern w:val="0"/>
                <w:szCs w:val="24"/>
              </w:rPr>
            </w:pPr>
          </w:p>
        </w:tc>
        <w:tc>
          <w:tcPr>
            <w:tcW w:w="1158" w:type="pct"/>
            <w:vMerge w:val="continue"/>
            <w:vAlign w:val="center"/>
          </w:tcPr>
          <w:p>
            <w:pPr>
              <w:widowControl/>
              <w:spacing w:line="240" w:lineRule="auto"/>
              <w:jc w:val="center"/>
              <w:rPr>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pct"/>
            <w:vAlign w:val="center"/>
          </w:tcPr>
          <w:p>
            <w:pPr>
              <w:widowControl/>
              <w:spacing w:line="240" w:lineRule="auto"/>
              <w:jc w:val="center"/>
              <w:rPr>
                <w:kern w:val="0"/>
                <w:szCs w:val="24"/>
              </w:rPr>
            </w:pPr>
            <w:r>
              <w:rPr>
                <w:kern w:val="0"/>
                <w:szCs w:val="24"/>
              </w:rPr>
              <w:t>红尾坑矿区</w:t>
            </w:r>
          </w:p>
        </w:tc>
        <w:tc>
          <w:tcPr>
            <w:tcW w:w="1623" w:type="pct"/>
            <w:vAlign w:val="center"/>
          </w:tcPr>
          <w:p>
            <w:pPr>
              <w:widowControl/>
              <w:spacing w:line="240" w:lineRule="auto"/>
              <w:jc w:val="center"/>
              <w:rPr>
                <w:kern w:val="0"/>
                <w:szCs w:val="24"/>
              </w:rPr>
            </w:pPr>
            <w:r>
              <w:rPr>
                <w:rFonts w:hint="eastAsia"/>
                <w:kern w:val="0"/>
                <w:szCs w:val="24"/>
              </w:rPr>
              <w:t>2</w:t>
            </w:r>
            <w:r>
              <w:rPr>
                <w:kern w:val="0"/>
                <w:szCs w:val="24"/>
              </w:rPr>
              <w:t>019.10</w:t>
            </w:r>
            <w:r>
              <w:rPr>
                <w:rFonts w:hint="eastAsia"/>
                <w:kern w:val="0"/>
                <w:szCs w:val="24"/>
              </w:rPr>
              <w:t>—2</w:t>
            </w:r>
            <w:r>
              <w:rPr>
                <w:kern w:val="0"/>
                <w:szCs w:val="24"/>
              </w:rPr>
              <w:t>020.9</w:t>
            </w:r>
          </w:p>
        </w:tc>
        <w:tc>
          <w:tcPr>
            <w:tcW w:w="1111" w:type="pct"/>
            <w:vAlign w:val="center"/>
          </w:tcPr>
          <w:p>
            <w:pPr>
              <w:widowControl/>
              <w:spacing w:line="240" w:lineRule="auto"/>
              <w:jc w:val="center"/>
              <w:rPr>
                <w:kern w:val="0"/>
                <w:szCs w:val="24"/>
              </w:rPr>
            </w:pPr>
            <w:r>
              <w:rPr>
                <w:kern w:val="0"/>
                <w:szCs w:val="24"/>
              </w:rPr>
              <w:t>2021.12.3</w:t>
            </w:r>
          </w:p>
        </w:tc>
        <w:tc>
          <w:tcPr>
            <w:tcW w:w="1158" w:type="pct"/>
            <w:vAlign w:val="center"/>
          </w:tcPr>
          <w:p>
            <w:pPr>
              <w:widowControl/>
              <w:spacing w:line="240" w:lineRule="auto"/>
              <w:jc w:val="center"/>
              <w:rPr>
                <w:kern w:val="0"/>
                <w:szCs w:val="24"/>
              </w:rPr>
            </w:pPr>
            <w:r>
              <w:rPr>
                <w:kern w:val="0"/>
                <w:szCs w:val="24"/>
              </w:rPr>
              <w:t>2023.6.27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pct"/>
            <w:vAlign w:val="center"/>
          </w:tcPr>
          <w:p>
            <w:pPr>
              <w:widowControl/>
              <w:spacing w:line="240" w:lineRule="auto"/>
              <w:jc w:val="center"/>
              <w:rPr>
                <w:kern w:val="0"/>
                <w:szCs w:val="24"/>
              </w:rPr>
            </w:pPr>
            <w:r>
              <w:rPr>
                <w:kern w:val="0"/>
                <w:szCs w:val="24"/>
              </w:rPr>
              <w:t>大旺山矿区</w:t>
            </w:r>
          </w:p>
        </w:tc>
        <w:tc>
          <w:tcPr>
            <w:tcW w:w="1623" w:type="pct"/>
            <w:vAlign w:val="center"/>
          </w:tcPr>
          <w:p>
            <w:pPr>
              <w:widowControl/>
              <w:spacing w:line="240" w:lineRule="auto"/>
              <w:jc w:val="center"/>
              <w:rPr>
                <w:kern w:val="0"/>
                <w:szCs w:val="24"/>
              </w:rPr>
            </w:pPr>
            <w:r>
              <w:rPr>
                <w:rFonts w:hint="eastAsia"/>
                <w:kern w:val="0"/>
                <w:szCs w:val="24"/>
              </w:rPr>
              <w:t>2</w:t>
            </w:r>
            <w:r>
              <w:rPr>
                <w:kern w:val="0"/>
                <w:szCs w:val="24"/>
              </w:rPr>
              <w:t>022.3.15</w:t>
            </w:r>
            <w:r>
              <w:rPr>
                <w:rFonts w:hint="eastAsia"/>
                <w:kern w:val="0"/>
                <w:szCs w:val="24"/>
              </w:rPr>
              <w:t>—2</w:t>
            </w:r>
            <w:r>
              <w:rPr>
                <w:kern w:val="0"/>
                <w:szCs w:val="24"/>
              </w:rPr>
              <w:t>022.5.30</w:t>
            </w:r>
          </w:p>
        </w:tc>
        <w:tc>
          <w:tcPr>
            <w:tcW w:w="1111" w:type="pct"/>
            <w:vAlign w:val="center"/>
          </w:tcPr>
          <w:p>
            <w:pPr>
              <w:widowControl/>
              <w:spacing w:line="240" w:lineRule="auto"/>
              <w:jc w:val="center"/>
              <w:rPr>
                <w:kern w:val="0"/>
                <w:szCs w:val="24"/>
              </w:rPr>
            </w:pPr>
            <w:r>
              <w:rPr>
                <w:kern w:val="0"/>
                <w:szCs w:val="24"/>
              </w:rPr>
              <w:t>2023.2.13</w:t>
            </w:r>
          </w:p>
        </w:tc>
        <w:tc>
          <w:tcPr>
            <w:tcW w:w="1158" w:type="pct"/>
            <w:vAlign w:val="center"/>
          </w:tcPr>
          <w:p>
            <w:pPr>
              <w:widowControl/>
              <w:spacing w:line="240" w:lineRule="auto"/>
              <w:jc w:val="center"/>
              <w:rPr>
                <w:kern w:val="0"/>
                <w:szCs w:val="24"/>
              </w:rPr>
            </w:pPr>
            <w:r>
              <w:rPr>
                <w:kern w:val="0"/>
                <w:szCs w:val="24"/>
              </w:rPr>
              <w:t>2024.3.20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108" w:type="pct"/>
            <w:vAlign w:val="center"/>
          </w:tcPr>
          <w:p>
            <w:pPr>
              <w:widowControl/>
              <w:spacing w:line="240" w:lineRule="auto"/>
              <w:jc w:val="center"/>
              <w:rPr>
                <w:kern w:val="0"/>
                <w:szCs w:val="24"/>
              </w:rPr>
            </w:pPr>
            <w:r>
              <w:rPr>
                <w:kern w:val="0"/>
                <w:szCs w:val="24"/>
              </w:rPr>
              <w:t>黄龙岗矿区</w:t>
            </w:r>
          </w:p>
        </w:tc>
        <w:tc>
          <w:tcPr>
            <w:tcW w:w="1623" w:type="pct"/>
            <w:vAlign w:val="center"/>
          </w:tcPr>
          <w:p>
            <w:pPr>
              <w:widowControl/>
              <w:spacing w:line="240" w:lineRule="auto"/>
              <w:jc w:val="center"/>
              <w:rPr>
                <w:kern w:val="0"/>
                <w:szCs w:val="24"/>
              </w:rPr>
            </w:pPr>
            <w:r>
              <w:rPr>
                <w:rFonts w:hint="eastAsia"/>
                <w:kern w:val="0"/>
                <w:szCs w:val="24"/>
              </w:rPr>
              <w:t>2</w:t>
            </w:r>
            <w:r>
              <w:rPr>
                <w:kern w:val="0"/>
                <w:szCs w:val="24"/>
              </w:rPr>
              <w:t>022.6.27</w:t>
            </w:r>
            <w:r>
              <w:rPr>
                <w:rFonts w:hint="eastAsia"/>
                <w:kern w:val="0"/>
                <w:szCs w:val="24"/>
              </w:rPr>
              <w:t>—2</w:t>
            </w:r>
            <w:r>
              <w:rPr>
                <w:kern w:val="0"/>
                <w:szCs w:val="24"/>
              </w:rPr>
              <w:t>022.9.12</w:t>
            </w:r>
          </w:p>
        </w:tc>
        <w:tc>
          <w:tcPr>
            <w:tcW w:w="1111" w:type="pct"/>
            <w:vAlign w:val="center"/>
          </w:tcPr>
          <w:p>
            <w:pPr>
              <w:widowControl/>
              <w:spacing w:line="240" w:lineRule="auto"/>
              <w:jc w:val="center"/>
              <w:rPr>
                <w:kern w:val="0"/>
                <w:szCs w:val="24"/>
              </w:rPr>
            </w:pPr>
            <w:r>
              <w:rPr>
                <w:rFonts w:hint="eastAsia"/>
                <w:kern w:val="0"/>
                <w:szCs w:val="24"/>
              </w:rPr>
              <w:t>暂停勘查</w:t>
            </w:r>
          </w:p>
        </w:tc>
        <w:tc>
          <w:tcPr>
            <w:tcW w:w="1158" w:type="pct"/>
            <w:vAlign w:val="center"/>
          </w:tcPr>
          <w:p>
            <w:pPr>
              <w:widowControl/>
              <w:spacing w:line="240" w:lineRule="auto"/>
              <w:jc w:val="center"/>
              <w:rPr>
                <w:kern w:val="0"/>
                <w:szCs w:val="24"/>
              </w:rPr>
            </w:pPr>
            <w:r>
              <w:rPr>
                <w:rFonts w:hint="eastAsia"/>
                <w:kern w:val="0"/>
                <w:szCs w:val="24"/>
              </w:rPr>
              <w:t>不出让</w:t>
            </w:r>
          </w:p>
        </w:tc>
      </w:tr>
    </w:tbl>
    <w:p>
      <w:pPr>
        <w:pStyle w:val="37"/>
        <w:ind w:left="0" w:leftChars="0" w:firstLine="640" w:firstLineChars="200"/>
      </w:pPr>
      <w:bookmarkStart w:id="6" w:name="_Toc181571192"/>
      <w:r>
        <w:t>（三）资金到位及使用情况</w:t>
      </w:r>
      <w:bookmarkEnd w:id="6"/>
    </w:p>
    <w:p>
      <w:pPr>
        <w:pStyle w:val="34"/>
        <w:ind w:firstLine="640"/>
      </w:pPr>
      <w:r>
        <w:t>2023年项目预算资金2,000万元，实际下达资金1,574.03万元，实际支出资金1,016.24万元，资金到位率为78.70%、支出率为64.56%。</w:t>
      </w:r>
      <w:r>
        <w:rPr>
          <w:rFonts w:hint="eastAsia"/>
        </w:rPr>
        <w:t>具体</w:t>
      </w:r>
      <w:r>
        <w:t>资金使用情况如下表所示</w:t>
      </w:r>
      <w:r>
        <w:rPr>
          <w:rFonts w:hint="eastAsia"/>
        </w:rPr>
        <w:t>。</w:t>
      </w:r>
    </w:p>
    <w:p>
      <w:pPr>
        <w:pStyle w:val="51"/>
      </w:pPr>
      <w:r>
        <w:t>表1-2 项目资金使用情况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2"/>
        <w:gridCol w:w="2183"/>
        <w:gridCol w:w="2185"/>
        <w:gridCol w:w="19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80" w:type="pct"/>
            <w:shd w:val="clear" w:color="auto" w:fill="FEF2CC" w:themeFill="accent4" w:themeFillTint="33"/>
            <w:vAlign w:val="center"/>
          </w:tcPr>
          <w:p>
            <w:pPr>
              <w:widowControl/>
              <w:spacing w:line="240" w:lineRule="auto"/>
              <w:jc w:val="center"/>
              <w:rPr>
                <w:b/>
                <w:bCs/>
                <w:kern w:val="0"/>
                <w:szCs w:val="24"/>
              </w:rPr>
            </w:pPr>
            <w:r>
              <w:rPr>
                <w:b/>
                <w:bCs/>
                <w:kern w:val="0"/>
                <w:szCs w:val="24"/>
              </w:rPr>
              <w:t>矿区</w:t>
            </w:r>
          </w:p>
        </w:tc>
        <w:tc>
          <w:tcPr>
            <w:tcW w:w="1281" w:type="pct"/>
            <w:shd w:val="clear" w:color="auto" w:fill="FEF2CC" w:themeFill="accent4" w:themeFillTint="33"/>
            <w:vAlign w:val="center"/>
          </w:tcPr>
          <w:p>
            <w:pPr>
              <w:widowControl/>
              <w:spacing w:line="240" w:lineRule="auto"/>
              <w:jc w:val="center"/>
              <w:rPr>
                <w:b/>
                <w:bCs/>
                <w:kern w:val="0"/>
                <w:szCs w:val="24"/>
              </w:rPr>
            </w:pPr>
            <w:r>
              <w:rPr>
                <w:b/>
                <w:bCs/>
                <w:kern w:val="0"/>
                <w:szCs w:val="24"/>
              </w:rPr>
              <w:t>下达资金</w:t>
            </w:r>
          </w:p>
        </w:tc>
        <w:tc>
          <w:tcPr>
            <w:tcW w:w="1282" w:type="pct"/>
            <w:shd w:val="clear" w:color="auto" w:fill="FEF2CC" w:themeFill="accent4" w:themeFillTint="33"/>
            <w:vAlign w:val="center"/>
          </w:tcPr>
          <w:p>
            <w:pPr>
              <w:widowControl/>
              <w:spacing w:line="240" w:lineRule="auto"/>
              <w:jc w:val="center"/>
              <w:rPr>
                <w:b/>
                <w:bCs/>
                <w:kern w:val="0"/>
                <w:szCs w:val="24"/>
              </w:rPr>
            </w:pPr>
            <w:r>
              <w:rPr>
                <w:b/>
                <w:bCs/>
                <w:kern w:val="0"/>
                <w:szCs w:val="24"/>
              </w:rPr>
              <w:t>支出资金</w:t>
            </w:r>
          </w:p>
        </w:tc>
        <w:tc>
          <w:tcPr>
            <w:tcW w:w="1157" w:type="pct"/>
            <w:shd w:val="clear" w:color="auto" w:fill="FEF2CC" w:themeFill="accent4" w:themeFillTint="33"/>
            <w:vAlign w:val="center"/>
          </w:tcPr>
          <w:p>
            <w:pPr>
              <w:widowControl/>
              <w:spacing w:line="240" w:lineRule="auto"/>
              <w:jc w:val="center"/>
              <w:rPr>
                <w:b/>
                <w:bCs/>
                <w:kern w:val="0"/>
                <w:szCs w:val="24"/>
              </w:rPr>
            </w:pPr>
            <w:r>
              <w:rPr>
                <w:b/>
                <w:bCs/>
                <w:kern w:val="0"/>
                <w:szCs w:val="24"/>
              </w:rPr>
              <w:t>支付率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0" w:type="pct"/>
            <w:vAlign w:val="center"/>
          </w:tcPr>
          <w:p>
            <w:pPr>
              <w:widowControl/>
              <w:spacing w:line="240" w:lineRule="auto"/>
              <w:jc w:val="center"/>
              <w:rPr>
                <w:kern w:val="0"/>
                <w:szCs w:val="24"/>
              </w:rPr>
            </w:pPr>
            <w:r>
              <w:rPr>
                <w:kern w:val="0"/>
                <w:szCs w:val="24"/>
              </w:rPr>
              <w:t>三棵松矿区</w:t>
            </w:r>
          </w:p>
        </w:tc>
        <w:tc>
          <w:tcPr>
            <w:tcW w:w="1281" w:type="pct"/>
            <w:vAlign w:val="center"/>
          </w:tcPr>
          <w:p>
            <w:pPr>
              <w:widowControl/>
              <w:spacing w:line="240" w:lineRule="auto"/>
              <w:jc w:val="center"/>
              <w:rPr>
                <w:kern w:val="0"/>
                <w:szCs w:val="24"/>
              </w:rPr>
            </w:pPr>
            <w:r>
              <w:rPr>
                <w:kern w:val="0"/>
                <w:szCs w:val="24"/>
              </w:rPr>
              <w:t>482.18</w:t>
            </w:r>
          </w:p>
        </w:tc>
        <w:tc>
          <w:tcPr>
            <w:tcW w:w="1282" w:type="pct"/>
            <w:vAlign w:val="center"/>
          </w:tcPr>
          <w:p>
            <w:pPr>
              <w:widowControl/>
              <w:spacing w:line="240" w:lineRule="auto"/>
              <w:jc w:val="center"/>
              <w:rPr>
                <w:kern w:val="0"/>
                <w:szCs w:val="24"/>
              </w:rPr>
            </w:pPr>
            <w:r>
              <w:rPr>
                <w:kern w:val="0"/>
                <w:szCs w:val="24"/>
              </w:rPr>
              <w:t>0.00</w:t>
            </w:r>
          </w:p>
        </w:tc>
        <w:tc>
          <w:tcPr>
            <w:tcW w:w="1157" w:type="pct"/>
            <w:vAlign w:val="center"/>
          </w:tcPr>
          <w:p>
            <w:pPr>
              <w:widowControl/>
              <w:spacing w:line="240" w:lineRule="auto"/>
              <w:jc w:val="center"/>
              <w:rPr>
                <w:kern w:val="0"/>
                <w:szCs w:val="24"/>
              </w:rPr>
            </w:pPr>
            <w:r>
              <w:rPr>
                <w:kern w:val="0"/>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0" w:type="pct"/>
            <w:vAlign w:val="center"/>
          </w:tcPr>
          <w:p>
            <w:pPr>
              <w:widowControl/>
              <w:spacing w:line="240" w:lineRule="auto"/>
              <w:jc w:val="center"/>
              <w:rPr>
                <w:kern w:val="0"/>
                <w:szCs w:val="24"/>
              </w:rPr>
            </w:pPr>
            <w:r>
              <w:rPr>
                <w:kern w:val="0"/>
                <w:szCs w:val="24"/>
              </w:rPr>
              <w:t>红尾坑矿区</w:t>
            </w:r>
          </w:p>
        </w:tc>
        <w:tc>
          <w:tcPr>
            <w:tcW w:w="1281" w:type="pct"/>
            <w:vAlign w:val="center"/>
          </w:tcPr>
          <w:p>
            <w:pPr>
              <w:widowControl/>
              <w:spacing w:line="240" w:lineRule="auto"/>
              <w:jc w:val="center"/>
              <w:rPr>
                <w:kern w:val="0"/>
                <w:szCs w:val="24"/>
              </w:rPr>
            </w:pPr>
            <w:r>
              <w:rPr>
                <w:kern w:val="0"/>
                <w:szCs w:val="24"/>
              </w:rPr>
              <w:t>796.34</w:t>
            </w:r>
          </w:p>
        </w:tc>
        <w:tc>
          <w:tcPr>
            <w:tcW w:w="1282" w:type="pct"/>
            <w:vAlign w:val="center"/>
          </w:tcPr>
          <w:p>
            <w:pPr>
              <w:widowControl/>
              <w:spacing w:line="240" w:lineRule="auto"/>
              <w:jc w:val="center"/>
              <w:rPr>
                <w:kern w:val="0"/>
                <w:szCs w:val="24"/>
              </w:rPr>
            </w:pPr>
            <w:r>
              <w:rPr>
                <w:kern w:val="0"/>
                <w:szCs w:val="24"/>
              </w:rPr>
              <w:t>796.34</w:t>
            </w:r>
          </w:p>
        </w:tc>
        <w:tc>
          <w:tcPr>
            <w:tcW w:w="1157" w:type="pct"/>
            <w:vAlign w:val="center"/>
          </w:tcPr>
          <w:p>
            <w:pPr>
              <w:widowControl/>
              <w:spacing w:line="240" w:lineRule="auto"/>
              <w:jc w:val="center"/>
              <w:rPr>
                <w:kern w:val="0"/>
                <w:szCs w:val="24"/>
              </w:rPr>
            </w:pPr>
            <w:r>
              <w:rPr>
                <w:kern w:val="0"/>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0" w:type="pct"/>
            <w:vAlign w:val="center"/>
          </w:tcPr>
          <w:p>
            <w:pPr>
              <w:widowControl/>
              <w:spacing w:line="240" w:lineRule="auto"/>
              <w:jc w:val="center"/>
              <w:rPr>
                <w:kern w:val="0"/>
                <w:szCs w:val="24"/>
              </w:rPr>
            </w:pPr>
            <w:r>
              <w:rPr>
                <w:kern w:val="0"/>
                <w:szCs w:val="24"/>
              </w:rPr>
              <w:t>大旺山矿区</w:t>
            </w:r>
          </w:p>
        </w:tc>
        <w:tc>
          <w:tcPr>
            <w:tcW w:w="1281" w:type="pct"/>
            <w:vAlign w:val="center"/>
          </w:tcPr>
          <w:p>
            <w:pPr>
              <w:widowControl/>
              <w:spacing w:line="240" w:lineRule="auto"/>
              <w:jc w:val="center"/>
              <w:rPr>
                <w:kern w:val="0"/>
                <w:szCs w:val="24"/>
              </w:rPr>
            </w:pPr>
            <w:r>
              <w:rPr>
                <w:kern w:val="0"/>
                <w:szCs w:val="24"/>
              </w:rPr>
              <w:t>149.90</w:t>
            </w:r>
          </w:p>
        </w:tc>
        <w:tc>
          <w:tcPr>
            <w:tcW w:w="1282" w:type="pct"/>
            <w:vAlign w:val="center"/>
          </w:tcPr>
          <w:p>
            <w:pPr>
              <w:widowControl/>
              <w:spacing w:line="240" w:lineRule="auto"/>
              <w:jc w:val="center"/>
              <w:rPr>
                <w:kern w:val="0"/>
                <w:szCs w:val="24"/>
              </w:rPr>
            </w:pPr>
            <w:r>
              <w:rPr>
                <w:kern w:val="0"/>
                <w:szCs w:val="24"/>
              </w:rPr>
              <w:t>149.90</w:t>
            </w:r>
          </w:p>
        </w:tc>
        <w:tc>
          <w:tcPr>
            <w:tcW w:w="1157" w:type="pct"/>
            <w:vAlign w:val="center"/>
          </w:tcPr>
          <w:p>
            <w:pPr>
              <w:widowControl/>
              <w:spacing w:line="240" w:lineRule="auto"/>
              <w:jc w:val="center"/>
              <w:rPr>
                <w:kern w:val="0"/>
                <w:szCs w:val="24"/>
              </w:rPr>
            </w:pPr>
            <w:r>
              <w:rPr>
                <w:kern w:val="0"/>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0" w:type="pct"/>
            <w:vAlign w:val="center"/>
          </w:tcPr>
          <w:p>
            <w:pPr>
              <w:widowControl/>
              <w:spacing w:line="240" w:lineRule="auto"/>
              <w:jc w:val="center"/>
              <w:rPr>
                <w:kern w:val="0"/>
                <w:szCs w:val="24"/>
              </w:rPr>
            </w:pPr>
            <w:r>
              <w:rPr>
                <w:kern w:val="0"/>
                <w:szCs w:val="24"/>
              </w:rPr>
              <w:t>黄龙岗矿区</w:t>
            </w:r>
          </w:p>
        </w:tc>
        <w:tc>
          <w:tcPr>
            <w:tcW w:w="1281" w:type="pct"/>
            <w:vAlign w:val="center"/>
          </w:tcPr>
          <w:p>
            <w:pPr>
              <w:widowControl/>
              <w:spacing w:line="240" w:lineRule="auto"/>
              <w:jc w:val="center"/>
              <w:rPr>
                <w:kern w:val="0"/>
                <w:szCs w:val="24"/>
              </w:rPr>
            </w:pPr>
            <w:r>
              <w:rPr>
                <w:kern w:val="0"/>
                <w:szCs w:val="24"/>
              </w:rPr>
              <w:t>145.61</w:t>
            </w:r>
          </w:p>
        </w:tc>
        <w:tc>
          <w:tcPr>
            <w:tcW w:w="1282" w:type="pct"/>
            <w:vAlign w:val="center"/>
          </w:tcPr>
          <w:p>
            <w:pPr>
              <w:widowControl/>
              <w:spacing w:line="240" w:lineRule="auto"/>
              <w:jc w:val="center"/>
              <w:rPr>
                <w:kern w:val="0"/>
                <w:szCs w:val="24"/>
              </w:rPr>
            </w:pPr>
            <w:r>
              <w:rPr>
                <w:kern w:val="0"/>
                <w:szCs w:val="24"/>
              </w:rPr>
              <w:t>70.00</w:t>
            </w:r>
          </w:p>
        </w:tc>
        <w:tc>
          <w:tcPr>
            <w:tcW w:w="1157" w:type="pct"/>
            <w:vAlign w:val="center"/>
          </w:tcPr>
          <w:p>
            <w:pPr>
              <w:widowControl/>
              <w:spacing w:line="240" w:lineRule="auto"/>
              <w:jc w:val="center"/>
              <w:rPr>
                <w:kern w:val="0"/>
                <w:szCs w:val="24"/>
              </w:rPr>
            </w:pPr>
            <w:r>
              <w:rPr>
                <w:kern w:val="0"/>
                <w:szCs w:val="24"/>
              </w:rPr>
              <w:t>48.07%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80" w:type="pct"/>
            <w:vAlign w:val="center"/>
          </w:tcPr>
          <w:p>
            <w:pPr>
              <w:widowControl/>
              <w:spacing w:line="240" w:lineRule="auto"/>
              <w:jc w:val="center"/>
              <w:rPr>
                <w:kern w:val="0"/>
                <w:szCs w:val="24"/>
              </w:rPr>
            </w:pPr>
            <w:r>
              <w:rPr>
                <w:kern w:val="0"/>
                <w:szCs w:val="24"/>
              </w:rPr>
              <w:t>合计</w:t>
            </w:r>
          </w:p>
        </w:tc>
        <w:tc>
          <w:tcPr>
            <w:tcW w:w="1281" w:type="pct"/>
            <w:vAlign w:val="center"/>
          </w:tcPr>
          <w:p>
            <w:pPr>
              <w:widowControl/>
              <w:spacing w:line="240" w:lineRule="auto"/>
              <w:jc w:val="center"/>
              <w:rPr>
                <w:kern w:val="0"/>
                <w:szCs w:val="24"/>
              </w:rPr>
            </w:pPr>
            <w:r>
              <w:rPr>
                <w:kern w:val="0"/>
                <w:szCs w:val="24"/>
              </w:rPr>
              <w:t>1,574.03</w:t>
            </w:r>
          </w:p>
        </w:tc>
        <w:tc>
          <w:tcPr>
            <w:tcW w:w="1282" w:type="pct"/>
            <w:vAlign w:val="center"/>
          </w:tcPr>
          <w:p>
            <w:pPr>
              <w:widowControl/>
              <w:spacing w:line="240" w:lineRule="auto"/>
              <w:jc w:val="center"/>
              <w:rPr>
                <w:kern w:val="0"/>
                <w:szCs w:val="24"/>
              </w:rPr>
            </w:pPr>
            <w:r>
              <w:rPr>
                <w:kern w:val="0"/>
                <w:szCs w:val="24"/>
              </w:rPr>
              <w:t>1,016.24</w:t>
            </w:r>
          </w:p>
        </w:tc>
        <w:tc>
          <w:tcPr>
            <w:tcW w:w="1157" w:type="pct"/>
            <w:vAlign w:val="center"/>
          </w:tcPr>
          <w:p>
            <w:pPr>
              <w:widowControl/>
              <w:spacing w:line="240" w:lineRule="auto"/>
              <w:jc w:val="center"/>
              <w:rPr>
                <w:kern w:val="0"/>
                <w:szCs w:val="24"/>
              </w:rPr>
            </w:pPr>
            <w:r>
              <w:rPr>
                <w:kern w:val="0"/>
                <w:szCs w:val="24"/>
              </w:rPr>
              <w:t>64.56%</w:t>
            </w:r>
          </w:p>
        </w:tc>
      </w:tr>
    </w:tbl>
    <w:p>
      <w:pPr>
        <w:pStyle w:val="37"/>
        <w:ind w:left="0" w:leftChars="0" w:firstLine="640" w:firstLineChars="200"/>
      </w:pPr>
      <w:bookmarkStart w:id="7" w:name="_Toc181571193"/>
      <w:r>
        <w:t>（四）项目目标及实现情况</w:t>
      </w:r>
      <w:bookmarkEnd w:id="7"/>
    </w:p>
    <w:p>
      <w:pPr>
        <w:pStyle w:val="34"/>
        <w:ind w:firstLine="640"/>
      </w:pPr>
      <w:r>
        <w:t>结合项目目标申报表和项目材料整理，项目绩效目标完成情况如下表所示。</w:t>
      </w:r>
    </w:p>
    <w:p>
      <w:pPr>
        <w:pStyle w:val="51"/>
      </w:pPr>
      <w:r>
        <w:t>表1-3 项目绩效目标完成情况</w:t>
      </w:r>
    </w:p>
    <w:tbl>
      <w:tblPr>
        <w:tblStyle w:val="15"/>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3"/>
        <w:gridCol w:w="1457"/>
        <w:gridCol w:w="1456"/>
        <w:gridCol w:w="1165"/>
        <w:gridCol w:w="2912"/>
        <w:gridCol w:w="8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blHeader/>
          <w:jc w:val="center"/>
        </w:trPr>
        <w:tc>
          <w:tcPr>
            <w:tcW w:w="704" w:type="dxa"/>
            <w:shd w:val="clear" w:color="auto" w:fill="FEF2CC" w:themeFill="accent4" w:themeFillTint="33"/>
            <w:vAlign w:val="center"/>
          </w:tcPr>
          <w:p>
            <w:pPr>
              <w:widowControl/>
              <w:spacing w:line="240" w:lineRule="auto"/>
              <w:jc w:val="center"/>
              <w:rPr>
                <w:b/>
                <w:bCs/>
                <w:kern w:val="0"/>
                <w:szCs w:val="24"/>
              </w:rPr>
            </w:pPr>
            <w:r>
              <w:rPr>
                <w:b/>
                <w:bCs/>
                <w:kern w:val="0"/>
                <w:szCs w:val="24"/>
              </w:rPr>
              <w:t>一级指标</w:t>
            </w:r>
          </w:p>
        </w:tc>
        <w:tc>
          <w:tcPr>
            <w:tcW w:w="1418" w:type="dxa"/>
            <w:shd w:val="clear" w:color="auto" w:fill="FEF2CC" w:themeFill="accent4" w:themeFillTint="33"/>
            <w:vAlign w:val="center"/>
          </w:tcPr>
          <w:p>
            <w:pPr>
              <w:widowControl/>
              <w:spacing w:line="240" w:lineRule="auto"/>
              <w:jc w:val="center"/>
              <w:rPr>
                <w:b/>
                <w:bCs/>
                <w:kern w:val="0"/>
                <w:szCs w:val="24"/>
              </w:rPr>
            </w:pPr>
            <w:r>
              <w:rPr>
                <w:b/>
                <w:bCs/>
                <w:kern w:val="0"/>
                <w:szCs w:val="24"/>
              </w:rPr>
              <w:t>二级指标</w:t>
            </w:r>
          </w:p>
        </w:tc>
        <w:tc>
          <w:tcPr>
            <w:tcW w:w="1417" w:type="dxa"/>
            <w:shd w:val="clear" w:color="auto" w:fill="FEF2CC" w:themeFill="accent4" w:themeFillTint="33"/>
            <w:vAlign w:val="center"/>
          </w:tcPr>
          <w:p>
            <w:pPr>
              <w:widowControl/>
              <w:spacing w:line="240" w:lineRule="auto"/>
              <w:jc w:val="center"/>
              <w:rPr>
                <w:b/>
                <w:bCs/>
                <w:kern w:val="0"/>
                <w:szCs w:val="24"/>
              </w:rPr>
            </w:pPr>
            <w:r>
              <w:rPr>
                <w:b/>
                <w:bCs/>
                <w:kern w:val="0"/>
                <w:szCs w:val="24"/>
              </w:rPr>
              <w:t>三级指标</w:t>
            </w:r>
          </w:p>
        </w:tc>
        <w:tc>
          <w:tcPr>
            <w:tcW w:w="1134" w:type="dxa"/>
            <w:shd w:val="clear" w:color="auto" w:fill="FEF2CC" w:themeFill="accent4" w:themeFillTint="33"/>
            <w:vAlign w:val="center"/>
          </w:tcPr>
          <w:p>
            <w:pPr>
              <w:widowControl/>
              <w:spacing w:line="240" w:lineRule="auto"/>
              <w:jc w:val="center"/>
              <w:rPr>
                <w:b/>
                <w:bCs/>
                <w:kern w:val="0"/>
                <w:szCs w:val="24"/>
              </w:rPr>
            </w:pPr>
            <w:r>
              <w:rPr>
                <w:b/>
                <w:bCs/>
                <w:kern w:val="0"/>
                <w:szCs w:val="24"/>
              </w:rPr>
              <w:t>预期值</w:t>
            </w:r>
          </w:p>
        </w:tc>
        <w:tc>
          <w:tcPr>
            <w:tcW w:w="2835" w:type="dxa"/>
            <w:shd w:val="clear" w:color="auto" w:fill="FEF2CC" w:themeFill="accent4" w:themeFillTint="33"/>
            <w:vAlign w:val="center"/>
          </w:tcPr>
          <w:p>
            <w:pPr>
              <w:widowControl/>
              <w:spacing w:line="240" w:lineRule="auto"/>
              <w:jc w:val="center"/>
              <w:rPr>
                <w:b/>
                <w:bCs/>
                <w:kern w:val="0"/>
                <w:szCs w:val="24"/>
              </w:rPr>
            </w:pPr>
            <w:r>
              <w:rPr>
                <w:b/>
                <w:bCs/>
                <w:kern w:val="0"/>
                <w:szCs w:val="24"/>
              </w:rPr>
              <w:t>完成</w:t>
            </w:r>
            <w:r>
              <w:rPr>
                <w:rFonts w:hint="eastAsia"/>
                <w:b/>
                <w:bCs/>
                <w:kern w:val="0"/>
                <w:szCs w:val="24"/>
              </w:rPr>
              <w:t>情况</w:t>
            </w:r>
          </w:p>
        </w:tc>
        <w:tc>
          <w:tcPr>
            <w:tcW w:w="788" w:type="dxa"/>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是否完成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4" w:type="dxa"/>
            <w:vMerge w:val="restart"/>
            <w:shd w:val="clear" w:color="auto" w:fill="auto"/>
            <w:vAlign w:val="center"/>
          </w:tcPr>
          <w:p>
            <w:pPr>
              <w:widowControl/>
              <w:spacing w:line="240" w:lineRule="auto"/>
              <w:jc w:val="center"/>
              <w:rPr>
                <w:kern w:val="0"/>
                <w:szCs w:val="24"/>
              </w:rPr>
            </w:pPr>
            <w:r>
              <w:rPr>
                <w:kern w:val="0"/>
                <w:szCs w:val="24"/>
              </w:rPr>
              <w:t>产出指标</w:t>
            </w:r>
          </w:p>
        </w:tc>
        <w:tc>
          <w:tcPr>
            <w:tcW w:w="1418" w:type="dxa"/>
            <w:shd w:val="clear" w:color="auto" w:fill="auto"/>
            <w:vAlign w:val="center"/>
          </w:tcPr>
          <w:p>
            <w:pPr>
              <w:widowControl/>
              <w:spacing w:line="240" w:lineRule="auto"/>
              <w:jc w:val="center"/>
              <w:rPr>
                <w:kern w:val="0"/>
                <w:szCs w:val="24"/>
              </w:rPr>
            </w:pPr>
            <w:r>
              <w:rPr>
                <w:kern w:val="0"/>
                <w:szCs w:val="24"/>
              </w:rPr>
              <w:t>数量指标</w:t>
            </w:r>
          </w:p>
        </w:tc>
        <w:tc>
          <w:tcPr>
            <w:tcW w:w="1417" w:type="dxa"/>
            <w:shd w:val="clear" w:color="auto" w:fill="auto"/>
            <w:vAlign w:val="center"/>
          </w:tcPr>
          <w:p>
            <w:pPr>
              <w:widowControl/>
              <w:spacing w:line="240" w:lineRule="auto"/>
              <w:jc w:val="center"/>
              <w:rPr>
                <w:kern w:val="0"/>
                <w:szCs w:val="24"/>
              </w:rPr>
            </w:pPr>
            <w:r>
              <w:rPr>
                <w:kern w:val="0"/>
                <w:szCs w:val="24"/>
              </w:rPr>
              <w:t>机械岩心钻探</w:t>
            </w:r>
          </w:p>
        </w:tc>
        <w:tc>
          <w:tcPr>
            <w:tcW w:w="1134" w:type="dxa"/>
            <w:shd w:val="clear" w:color="auto" w:fill="auto"/>
            <w:vAlign w:val="center"/>
          </w:tcPr>
          <w:p>
            <w:pPr>
              <w:widowControl/>
              <w:spacing w:line="240" w:lineRule="auto"/>
              <w:jc w:val="center"/>
              <w:rPr>
                <w:kern w:val="0"/>
                <w:szCs w:val="24"/>
              </w:rPr>
            </w:pPr>
            <w:r>
              <w:rPr>
                <w:kern w:val="0"/>
                <w:szCs w:val="24"/>
              </w:rPr>
              <w:t>完成岩心钻探</w:t>
            </w:r>
          </w:p>
        </w:tc>
        <w:tc>
          <w:tcPr>
            <w:tcW w:w="2835" w:type="dxa"/>
            <w:shd w:val="clear" w:color="auto" w:fill="auto"/>
            <w:vAlign w:val="center"/>
          </w:tcPr>
          <w:p>
            <w:pPr>
              <w:widowControl/>
              <w:spacing w:line="240" w:lineRule="auto"/>
              <w:rPr>
                <w:kern w:val="0"/>
                <w:szCs w:val="24"/>
              </w:rPr>
            </w:pPr>
            <w:r>
              <w:rPr>
                <w:kern w:val="0"/>
                <w:szCs w:val="24"/>
              </w:rPr>
              <w:t>黄龙岗矿区因储量不符预期暂停机械岩心钻探计划、大旺山矿区和三棵松矿区均完成机械岩心钻探计划工作量</w:t>
            </w:r>
          </w:p>
        </w:tc>
        <w:tc>
          <w:tcPr>
            <w:tcW w:w="788" w:type="dxa"/>
            <w:vAlign w:val="center"/>
          </w:tcPr>
          <w:p>
            <w:pPr>
              <w:widowControl/>
              <w:spacing w:line="240" w:lineRule="auto"/>
              <w:jc w:val="center"/>
              <w:rPr>
                <w:kern w:val="0"/>
                <w:szCs w:val="24"/>
              </w:rPr>
            </w:pPr>
            <w:r>
              <w:rPr>
                <w:rFonts w:hint="eastAsia"/>
                <w:kern w:val="0"/>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4" w:type="dxa"/>
            <w:vMerge w:val="continue"/>
            <w:vAlign w:val="center"/>
          </w:tcPr>
          <w:p>
            <w:pPr>
              <w:widowControl/>
              <w:spacing w:line="240" w:lineRule="auto"/>
              <w:jc w:val="center"/>
              <w:rPr>
                <w:kern w:val="0"/>
                <w:szCs w:val="24"/>
              </w:rPr>
            </w:pPr>
          </w:p>
        </w:tc>
        <w:tc>
          <w:tcPr>
            <w:tcW w:w="1418" w:type="dxa"/>
            <w:shd w:val="clear" w:color="auto" w:fill="auto"/>
            <w:vAlign w:val="center"/>
          </w:tcPr>
          <w:p>
            <w:pPr>
              <w:widowControl/>
              <w:spacing w:line="240" w:lineRule="auto"/>
              <w:jc w:val="center"/>
              <w:rPr>
                <w:kern w:val="0"/>
                <w:szCs w:val="24"/>
              </w:rPr>
            </w:pPr>
            <w:r>
              <w:rPr>
                <w:kern w:val="0"/>
                <w:szCs w:val="24"/>
              </w:rPr>
              <w:t>质量指标</w:t>
            </w:r>
          </w:p>
        </w:tc>
        <w:tc>
          <w:tcPr>
            <w:tcW w:w="1417" w:type="dxa"/>
            <w:shd w:val="clear" w:color="auto" w:fill="auto"/>
            <w:vAlign w:val="center"/>
          </w:tcPr>
          <w:p>
            <w:pPr>
              <w:widowControl/>
              <w:spacing w:line="240" w:lineRule="auto"/>
              <w:jc w:val="center"/>
              <w:rPr>
                <w:kern w:val="0"/>
                <w:szCs w:val="24"/>
              </w:rPr>
            </w:pPr>
            <w:r>
              <w:rPr>
                <w:kern w:val="0"/>
                <w:szCs w:val="24"/>
              </w:rPr>
              <w:t>完成年度收储</w:t>
            </w:r>
          </w:p>
        </w:tc>
        <w:tc>
          <w:tcPr>
            <w:tcW w:w="1134" w:type="dxa"/>
            <w:shd w:val="clear" w:color="auto" w:fill="auto"/>
            <w:vAlign w:val="center"/>
          </w:tcPr>
          <w:p>
            <w:pPr>
              <w:widowControl/>
              <w:spacing w:line="240" w:lineRule="auto"/>
              <w:jc w:val="center"/>
              <w:rPr>
                <w:kern w:val="0"/>
                <w:szCs w:val="24"/>
              </w:rPr>
            </w:pPr>
            <w:r>
              <w:rPr>
                <w:kern w:val="0"/>
                <w:szCs w:val="24"/>
              </w:rPr>
              <w:t>完成年度收储</w:t>
            </w:r>
          </w:p>
        </w:tc>
        <w:tc>
          <w:tcPr>
            <w:tcW w:w="2835" w:type="dxa"/>
            <w:shd w:val="clear" w:color="auto" w:fill="auto"/>
            <w:vAlign w:val="center"/>
          </w:tcPr>
          <w:p>
            <w:pPr>
              <w:widowControl/>
              <w:spacing w:line="240" w:lineRule="auto"/>
              <w:rPr>
                <w:kern w:val="0"/>
                <w:szCs w:val="24"/>
              </w:rPr>
            </w:pPr>
            <w:r>
              <w:rPr>
                <w:kern w:val="0"/>
                <w:szCs w:val="24"/>
              </w:rPr>
              <w:t>三棵松矿区、红尾坑矿区、大旺山矿区完成年度收储，黄龙岗矿区因储量不符预期暂停收储</w:t>
            </w:r>
          </w:p>
        </w:tc>
        <w:tc>
          <w:tcPr>
            <w:tcW w:w="788" w:type="dxa"/>
            <w:vAlign w:val="center"/>
          </w:tcPr>
          <w:p>
            <w:pPr>
              <w:widowControl/>
              <w:spacing w:line="240" w:lineRule="auto"/>
              <w:jc w:val="center"/>
              <w:rPr>
                <w:kern w:val="0"/>
                <w:szCs w:val="24"/>
              </w:rPr>
            </w:pPr>
            <w:r>
              <w:rPr>
                <w:rFonts w:hint="eastAsia"/>
                <w:kern w:val="0"/>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704" w:type="dxa"/>
            <w:vMerge w:val="continue"/>
            <w:vAlign w:val="center"/>
          </w:tcPr>
          <w:p>
            <w:pPr>
              <w:widowControl/>
              <w:spacing w:line="240" w:lineRule="auto"/>
              <w:jc w:val="center"/>
              <w:rPr>
                <w:kern w:val="0"/>
                <w:szCs w:val="24"/>
              </w:rPr>
            </w:pPr>
          </w:p>
        </w:tc>
        <w:tc>
          <w:tcPr>
            <w:tcW w:w="1418" w:type="dxa"/>
            <w:vMerge w:val="restart"/>
            <w:shd w:val="clear" w:color="auto" w:fill="auto"/>
            <w:vAlign w:val="center"/>
          </w:tcPr>
          <w:p>
            <w:pPr>
              <w:widowControl/>
              <w:spacing w:line="240" w:lineRule="auto"/>
              <w:jc w:val="center"/>
              <w:rPr>
                <w:kern w:val="0"/>
                <w:szCs w:val="24"/>
              </w:rPr>
            </w:pPr>
            <w:r>
              <w:rPr>
                <w:kern w:val="0"/>
                <w:szCs w:val="24"/>
              </w:rPr>
              <w:t>时效指标</w:t>
            </w:r>
          </w:p>
        </w:tc>
        <w:tc>
          <w:tcPr>
            <w:tcW w:w="1417" w:type="dxa"/>
            <w:shd w:val="clear" w:color="auto" w:fill="auto"/>
            <w:vAlign w:val="center"/>
          </w:tcPr>
          <w:p>
            <w:pPr>
              <w:widowControl/>
              <w:spacing w:line="240" w:lineRule="auto"/>
              <w:jc w:val="center"/>
              <w:rPr>
                <w:kern w:val="0"/>
                <w:szCs w:val="24"/>
              </w:rPr>
            </w:pPr>
            <w:r>
              <w:rPr>
                <w:kern w:val="0"/>
                <w:szCs w:val="24"/>
              </w:rPr>
              <w:t>按时完成率</w:t>
            </w:r>
          </w:p>
        </w:tc>
        <w:tc>
          <w:tcPr>
            <w:tcW w:w="1134" w:type="dxa"/>
            <w:shd w:val="clear" w:color="auto" w:fill="auto"/>
            <w:vAlign w:val="center"/>
          </w:tcPr>
          <w:p>
            <w:pPr>
              <w:widowControl/>
              <w:spacing w:line="240" w:lineRule="auto"/>
              <w:jc w:val="center"/>
              <w:rPr>
                <w:kern w:val="0"/>
                <w:szCs w:val="24"/>
              </w:rPr>
            </w:pPr>
            <w:r>
              <w:rPr>
                <w:kern w:val="0"/>
                <w:szCs w:val="24"/>
              </w:rPr>
              <w:t>100%按时完成</w:t>
            </w:r>
          </w:p>
        </w:tc>
        <w:tc>
          <w:tcPr>
            <w:tcW w:w="2835" w:type="dxa"/>
            <w:shd w:val="clear" w:color="auto" w:fill="auto"/>
            <w:vAlign w:val="center"/>
          </w:tcPr>
          <w:p>
            <w:pPr>
              <w:widowControl/>
              <w:spacing w:line="240" w:lineRule="auto"/>
              <w:rPr>
                <w:kern w:val="0"/>
                <w:szCs w:val="24"/>
              </w:rPr>
            </w:pPr>
            <w:r>
              <w:rPr>
                <w:kern w:val="0"/>
                <w:szCs w:val="24"/>
              </w:rPr>
              <w:t>三棵松矿区、大旺山矿区</w:t>
            </w:r>
            <w:r>
              <w:rPr>
                <w:rFonts w:hint="eastAsia"/>
                <w:kern w:val="0"/>
                <w:szCs w:val="24"/>
              </w:rPr>
              <w:t>进度滞后</w:t>
            </w:r>
          </w:p>
        </w:tc>
        <w:tc>
          <w:tcPr>
            <w:tcW w:w="788" w:type="dxa"/>
            <w:vAlign w:val="center"/>
          </w:tcPr>
          <w:p>
            <w:pPr>
              <w:widowControl/>
              <w:spacing w:line="240" w:lineRule="auto"/>
              <w:jc w:val="center"/>
              <w:rPr>
                <w:kern w:val="0"/>
                <w:szCs w:val="24"/>
              </w:rPr>
            </w:pPr>
            <w:r>
              <w:rPr>
                <w:rFonts w:hint="eastAsia"/>
                <w:kern w:val="0"/>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4" w:type="dxa"/>
            <w:vMerge w:val="continue"/>
            <w:vAlign w:val="center"/>
          </w:tcPr>
          <w:p>
            <w:pPr>
              <w:widowControl/>
              <w:spacing w:line="240" w:lineRule="auto"/>
              <w:jc w:val="center"/>
              <w:rPr>
                <w:kern w:val="0"/>
                <w:szCs w:val="24"/>
              </w:rPr>
            </w:pPr>
          </w:p>
        </w:tc>
        <w:tc>
          <w:tcPr>
            <w:tcW w:w="1418" w:type="dxa"/>
            <w:vMerge w:val="continue"/>
            <w:vAlign w:val="center"/>
          </w:tcPr>
          <w:p>
            <w:pPr>
              <w:widowControl/>
              <w:spacing w:line="240" w:lineRule="auto"/>
              <w:jc w:val="center"/>
              <w:rPr>
                <w:kern w:val="0"/>
                <w:szCs w:val="24"/>
              </w:rPr>
            </w:pPr>
          </w:p>
        </w:tc>
        <w:tc>
          <w:tcPr>
            <w:tcW w:w="1417" w:type="dxa"/>
            <w:shd w:val="clear" w:color="auto" w:fill="auto"/>
            <w:vAlign w:val="center"/>
          </w:tcPr>
          <w:p>
            <w:pPr>
              <w:widowControl/>
              <w:spacing w:line="240" w:lineRule="auto"/>
              <w:jc w:val="center"/>
              <w:rPr>
                <w:kern w:val="0"/>
                <w:szCs w:val="24"/>
              </w:rPr>
            </w:pPr>
            <w:r>
              <w:rPr>
                <w:kern w:val="0"/>
                <w:szCs w:val="24"/>
              </w:rPr>
              <w:t>按时完成项目工作</w:t>
            </w:r>
          </w:p>
        </w:tc>
        <w:tc>
          <w:tcPr>
            <w:tcW w:w="1134" w:type="dxa"/>
            <w:shd w:val="clear" w:color="auto" w:fill="auto"/>
            <w:vAlign w:val="center"/>
          </w:tcPr>
          <w:p>
            <w:pPr>
              <w:widowControl/>
              <w:spacing w:line="240" w:lineRule="auto"/>
              <w:jc w:val="center"/>
              <w:rPr>
                <w:kern w:val="0"/>
                <w:szCs w:val="24"/>
              </w:rPr>
            </w:pPr>
            <w:r>
              <w:rPr>
                <w:kern w:val="0"/>
                <w:szCs w:val="24"/>
              </w:rPr>
              <w:t>按时完成工作</w:t>
            </w:r>
          </w:p>
        </w:tc>
        <w:tc>
          <w:tcPr>
            <w:tcW w:w="2835" w:type="dxa"/>
            <w:shd w:val="clear" w:color="auto" w:fill="auto"/>
            <w:vAlign w:val="center"/>
          </w:tcPr>
          <w:p>
            <w:pPr>
              <w:widowControl/>
              <w:spacing w:line="240" w:lineRule="auto"/>
              <w:rPr>
                <w:kern w:val="0"/>
                <w:szCs w:val="24"/>
              </w:rPr>
            </w:pPr>
            <w:r>
              <w:rPr>
                <w:kern w:val="0"/>
                <w:szCs w:val="24"/>
              </w:rPr>
              <w:t>三棵松矿区、大旺山矿区</w:t>
            </w:r>
            <w:r>
              <w:rPr>
                <w:rFonts w:hint="eastAsia"/>
                <w:kern w:val="0"/>
                <w:szCs w:val="24"/>
              </w:rPr>
              <w:t>进度滞后</w:t>
            </w:r>
          </w:p>
        </w:tc>
        <w:tc>
          <w:tcPr>
            <w:tcW w:w="788" w:type="dxa"/>
            <w:vAlign w:val="center"/>
          </w:tcPr>
          <w:p>
            <w:pPr>
              <w:widowControl/>
              <w:spacing w:line="240" w:lineRule="auto"/>
              <w:jc w:val="center"/>
              <w:rPr>
                <w:kern w:val="0"/>
                <w:szCs w:val="24"/>
              </w:rPr>
            </w:pPr>
            <w:r>
              <w:rPr>
                <w:rFonts w:hint="eastAsia"/>
                <w:kern w:val="0"/>
                <w:szCs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4" w:type="dxa"/>
            <w:vMerge w:val="continue"/>
            <w:vAlign w:val="center"/>
          </w:tcPr>
          <w:p>
            <w:pPr>
              <w:widowControl/>
              <w:spacing w:line="240" w:lineRule="auto"/>
              <w:jc w:val="center"/>
              <w:rPr>
                <w:kern w:val="0"/>
                <w:szCs w:val="24"/>
              </w:rPr>
            </w:pPr>
          </w:p>
        </w:tc>
        <w:tc>
          <w:tcPr>
            <w:tcW w:w="1418" w:type="dxa"/>
            <w:shd w:val="clear" w:color="auto" w:fill="auto"/>
            <w:vAlign w:val="center"/>
          </w:tcPr>
          <w:p>
            <w:pPr>
              <w:widowControl/>
              <w:spacing w:line="240" w:lineRule="auto"/>
              <w:jc w:val="center"/>
              <w:rPr>
                <w:kern w:val="0"/>
                <w:szCs w:val="24"/>
              </w:rPr>
            </w:pPr>
            <w:r>
              <w:rPr>
                <w:kern w:val="0"/>
                <w:szCs w:val="24"/>
              </w:rPr>
              <w:t>成本指标</w:t>
            </w:r>
          </w:p>
        </w:tc>
        <w:tc>
          <w:tcPr>
            <w:tcW w:w="1417" w:type="dxa"/>
            <w:shd w:val="clear" w:color="auto" w:fill="auto"/>
            <w:vAlign w:val="center"/>
          </w:tcPr>
          <w:p>
            <w:pPr>
              <w:widowControl/>
              <w:spacing w:line="240" w:lineRule="auto"/>
              <w:jc w:val="center"/>
              <w:rPr>
                <w:kern w:val="0"/>
                <w:szCs w:val="24"/>
              </w:rPr>
            </w:pPr>
            <w:r>
              <w:rPr>
                <w:kern w:val="0"/>
                <w:szCs w:val="24"/>
              </w:rPr>
              <w:t>项目实际费用是否超过其预算费用</w:t>
            </w:r>
          </w:p>
        </w:tc>
        <w:tc>
          <w:tcPr>
            <w:tcW w:w="1134" w:type="dxa"/>
            <w:shd w:val="clear" w:color="auto" w:fill="auto"/>
            <w:vAlign w:val="center"/>
          </w:tcPr>
          <w:p>
            <w:pPr>
              <w:widowControl/>
              <w:spacing w:line="240" w:lineRule="auto"/>
              <w:jc w:val="center"/>
              <w:rPr>
                <w:kern w:val="0"/>
                <w:szCs w:val="24"/>
              </w:rPr>
            </w:pPr>
            <w:r>
              <w:rPr>
                <w:kern w:val="0"/>
                <w:szCs w:val="24"/>
              </w:rPr>
              <w:t>不超过预算费用</w:t>
            </w:r>
          </w:p>
        </w:tc>
        <w:tc>
          <w:tcPr>
            <w:tcW w:w="2835" w:type="dxa"/>
            <w:shd w:val="clear" w:color="auto" w:fill="auto"/>
            <w:vAlign w:val="center"/>
          </w:tcPr>
          <w:p>
            <w:pPr>
              <w:widowControl/>
              <w:spacing w:line="240" w:lineRule="auto"/>
              <w:rPr>
                <w:kern w:val="0"/>
                <w:szCs w:val="24"/>
              </w:rPr>
            </w:pPr>
            <w:r>
              <w:rPr>
                <w:rFonts w:hint="eastAsia"/>
                <w:kern w:val="0"/>
                <w:szCs w:val="24"/>
              </w:rPr>
              <w:t>资金</w:t>
            </w:r>
            <w:r>
              <w:t>支出率为64.56%</w:t>
            </w:r>
            <w:r>
              <w:rPr>
                <w:rFonts w:hint="eastAsia"/>
              </w:rPr>
              <w:t>，未</w:t>
            </w:r>
            <w:r>
              <w:rPr>
                <w:kern w:val="0"/>
                <w:szCs w:val="24"/>
              </w:rPr>
              <w:t>超过预算费用</w:t>
            </w:r>
          </w:p>
        </w:tc>
        <w:tc>
          <w:tcPr>
            <w:tcW w:w="788" w:type="dxa"/>
            <w:vAlign w:val="center"/>
          </w:tcPr>
          <w:p>
            <w:pPr>
              <w:widowControl/>
              <w:spacing w:line="240" w:lineRule="auto"/>
              <w:jc w:val="center"/>
              <w:rPr>
                <w:kern w:val="0"/>
                <w:szCs w:val="24"/>
              </w:rPr>
            </w:pPr>
            <w:r>
              <w:rPr>
                <w:rFonts w:hint="eastAsia"/>
                <w:kern w:val="0"/>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4" w:type="dxa"/>
            <w:vMerge w:val="restart"/>
            <w:shd w:val="clear" w:color="auto" w:fill="auto"/>
            <w:vAlign w:val="center"/>
          </w:tcPr>
          <w:p>
            <w:pPr>
              <w:widowControl/>
              <w:spacing w:line="240" w:lineRule="auto"/>
              <w:jc w:val="center"/>
              <w:rPr>
                <w:kern w:val="0"/>
                <w:szCs w:val="24"/>
              </w:rPr>
            </w:pPr>
            <w:r>
              <w:rPr>
                <w:kern w:val="0"/>
                <w:szCs w:val="24"/>
              </w:rPr>
              <w:t>效益指标</w:t>
            </w:r>
          </w:p>
        </w:tc>
        <w:tc>
          <w:tcPr>
            <w:tcW w:w="1418" w:type="dxa"/>
            <w:vMerge w:val="restart"/>
            <w:shd w:val="clear" w:color="auto" w:fill="auto"/>
            <w:vAlign w:val="center"/>
          </w:tcPr>
          <w:p>
            <w:pPr>
              <w:widowControl/>
              <w:spacing w:line="240" w:lineRule="auto"/>
              <w:jc w:val="center"/>
              <w:rPr>
                <w:kern w:val="0"/>
                <w:szCs w:val="24"/>
              </w:rPr>
            </w:pPr>
            <w:r>
              <w:rPr>
                <w:kern w:val="0"/>
                <w:szCs w:val="24"/>
              </w:rPr>
              <w:t>经济效益指标</w:t>
            </w:r>
          </w:p>
        </w:tc>
        <w:tc>
          <w:tcPr>
            <w:tcW w:w="1417" w:type="dxa"/>
            <w:shd w:val="clear" w:color="auto" w:fill="auto"/>
            <w:vAlign w:val="center"/>
          </w:tcPr>
          <w:p>
            <w:pPr>
              <w:widowControl/>
              <w:spacing w:line="240" w:lineRule="auto"/>
              <w:jc w:val="center"/>
              <w:rPr>
                <w:kern w:val="0"/>
                <w:szCs w:val="24"/>
              </w:rPr>
            </w:pPr>
            <w:r>
              <w:rPr>
                <w:kern w:val="0"/>
                <w:szCs w:val="24"/>
              </w:rPr>
              <w:t>为当地经济发展提供帮助</w:t>
            </w:r>
          </w:p>
        </w:tc>
        <w:tc>
          <w:tcPr>
            <w:tcW w:w="1134" w:type="dxa"/>
            <w:shd w:val="clear" w:color="auto" w:fill="auto"/>
            <w:vAlign w:val="center"/>
          </w:tcPr>
          <w:p>
            <w:pPr>
              <w:widowControl/>
              <w:spacing w:line="240" w:lineRule="auto"/>
              <w:jc w:val="center"/>
              <w:rPr>
                <w:kern w:val="0"/>
                <w:szCs w:val="24"/>
              </w:rPr>
            </w:pPr>
            <w:r>
              <w:rPr>
                <w:kern w:val="0"/>
                <w:szCs w:val="24"/>
              </w:rPr>
              <w:t>增长当地经济</w:t>
            </w:r>
          </w:p>
        </w:tc>
        <w:tc>
          <w:tcPr>
            <w:tcW w:w="2835" w:type="dxa"/>
            <w:shd w:val="clear" w:color="auto" w:fill="auto"/>
            <w:vAlign w:val="center"/>
          </w:tcPr>
          <w:p>
            <w:pPr>
              <w:widowControl/>
              <w:spacing w:line="240" w:lineRule="auto"/>
              <w:rPr>
                <w:kern w:val="0"/>
                <w:szCs w:val="24"/>
              </w:rPr>
            </w:pPr>
            <w:r>
              <w:rPr>
                <w:kern w:val="0"/>
                <w:szCs w:val="24"/>
              </w:rPr>
              <w:t>大旺山矿区、三棵松矿区、红尾坑矿区3个矿区的采矿权出让收益为22.7324亿元，增长了当地经济</w:t>
            </w:r>
          </w:p>
        </w:tc>
        <w:tc>
          <w:tcPr>
            <w:tcW w:w="788" w:type="dxa"/>
            <w:vAlign w:val="center"/>
          </w:tcPr>
          <w:p>
            <w:pPr>
              <w:widowControl/>
              <w:spacing w:line="240" w:lineRule="auto"/>
              <w:jc w:val="center"/>
              <w:rPr>
                <w:kern w:val="0"/>
                <w:szCs w:val="24"/>
              </w:rPr>
            </w:pPr>
            <w:r>
              <w:rPr>
                <w:rFonts w:hint="eastAsia"/>
                <w:kern w:val="0"/>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9" w:hRule="atLeast"/>
          <w:jc w:val="center"/>
        </w:trPr>
        <w:tc>
          <w:tcPr>
            <w:tcW w:w="704" w:type="dxa"/>
            <w:vMerge w:val="continue"/>
            <w:vAlign w:val="center"/>
          </w:tcPr>
          <w:p>
            <w:pPr>
              <w:widowControl/>
              <w:spacing w:line="240" w:lineRule="auto"/>
              <w:jc w:val="center"/>
              <w:rPr>
                <w:kern w:val="0"/>
                <w:szCs w:val="24"/>
              </w:rPr>
            </w:pPr>
          </w:p>
        </w:tc>
        <w:tc>
          <w:tcPr>
            <w:tcW w:w="1418" w:type="dxa"/>
            <w:vMerge w:val="continue"/>
            <w:vAlign w:val="center"/>
          </w:tcPr>
          <w:p>
            <w:pPr>
              <w:widowControl/>
              <w:spacing w:line="240" w:lineRule="auto"/>
              <w:jc w:val="center"/>
              <w:rPr>
                <w:kern w:val="0"/>
                <w:szCs w:val="24"/>
              </w:rPr>
            </w:pPr>
          </w:p>
        </w:tc>
        <w:tc>
          <w:tcPr>
            <w:tcW w:w="1417" w:type="dxa"/>
            <w:shd w:val="clear" w:color="auto" w:fill="auto"/>
            <w:vAlign w:val="center"/>
          </w:tcPr>
          <w:p>
            <w:pPr>
              <w:widowControl/>
              <w:spacing w:line="240" w:lineRule="auto"/>
              <w:jc w:val="center"/>
              <w:rPr>
                <w:kern w:val="0"/>
                <w:szCs w:val="24"/>
              </w:rPr>
            </w:pPr>
            <w:r>
              <w:rPr>
                <w:kern w:val="0"/>
                <w:szCs w:val="24"/>
              </w:rPr>
              <w:t>为矿产资源登记、资源资产化提供重要参考</w:t>
            </w:r>
          </w:p>
        </w:tc>
        <w:tc>
          <w:tcPr>
            <w:tcW w:w="1134" w:type="dxa"/>
            <w:shd w:val="clear" w:color="auto" w:fill="auto"/>
            <w:vAlign w:val="center"/>
          </w:tcPr>
          <w:p>
            <w:pPr>
              <w:widowControl/>
              <w:spacing w:line="240" w:lineRule="auto"/>
              <w:jc w:val="center"/>
              <w:rPr>
                <w:kern w:val="0"/>
                <w:szCs w:val="24"/>
              </w:rPr>
            </w:pPr>
            <w:r>
              <w:rPr>
                <w:kern w:val="0"/>
                <w:szCs w:val="24"/>
              </w:rPr>
              <w:t>有参考价值</w:t>
            </w:r>
          </w:p>
        </w:tc>
        <w:tc>
          <w:tcPr>
            <w:tcW w:w="2835" w:type="dxa"/>
            <w:shd w:val="clear" w:color="auto" w:fill="auto"/>
            <w:vAlign w:val="center"/>
          </w:tcPr>
          <w:p>
            <w:pPr>
              <w:widowControl/>
              <w:spacing w:line="240" w:lineRule="auto"/>
              <w:rPr>
                <w:kern w:val="0"/>
                <w:szCs w:val="24"/>
              </w:rPr>
            </w:pPr>
            <w:r>
              <w:rPr>
                <w:kern w:val="0"/>
                <w:szCs w:val="24"/>
              </w:rPr>
              <w:t>红尾坑矿区</w:t>
            </w:r>
            <w:r>
              <w:rPr>
                <w:rFonts w:hint="eastAsia"/>
                <w:kern w:val="0"/>
                <w:szCs w:val="24"/>
              </w:rPr>
              <w:t>完成矿区开采手续，</w:t>
            </w:r>
            <w:r>
              <w:rPr>
                <w:kern w:val="0"/>
                <w:szCs w:val="24"/>
              </w:rPr>
              <w:t>大旺山矿区、三棵松矿区</w:t>
            </w:r>
            <w:r>
              <w:rPr>
                <w:rFonts w:hint="eastAsia"/>
                <w:kern w:val="0"/>
                <w:szCs w:val="24"/>
              </w:rPr>
              <w:t>已完成挂牌出让</w:t>
            </w:r>
          </w:p>
        </w:tc>
        <w:tc>
          <w:tcPr>
            <w:tcW w:w="788" w:type="dxa"/>
            <w:vAlign w:val="center"/>
          </w:tcPr>
          <w:p>
            <w:pPr>
              <w:widowControl/>
              <w:spacing w:line="240" w:lineRule="auto"/>
              <w:jc w:val="center"/>
              <w:rPr>
                <w:kern w:val="0"/>
                <w:szCs w:val="24"/>
              </w:rPr>
            </w:pPr>
            <w:r>
              <w:rPr>
                <w:rFonts w:hint="eastAsia"/>
                <w:kern w:val="0"/>
                <w:szCs w:val="24"/>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04" w:type="dxa"/>
            <w:shd w:val="clear" w:color="auto" w:fill="auto"/>
            <w:vAlign w:val="center"/>
          </w:tcPr>
          <w:p>
            <w:pPr>
              <w:widowControl/>
              <w:spacing w:line="240" w:lineRule="auto"/>
              <w:jc w:val="center"/>
              <w:rPr>
                <w:kern w:val="0"/>
                <w:szCs w:val="24"/>
              </w:rPr>
            </w:pPr>
            <w:r>
              <w:rPr>
                <w:kern w:val="0"/>
                <w:szCs w:val="24"/>
              </w:rPr>
              <w:t>满意度指标</w:t>
            </w:r>
          </w:p>
        </w:tc>
        <w:tc>
          <w:tcPr>
            <w:tcW w:w="1418" w:type="dxa"/>
            <w:shd w:val="clear" w:color="auto" w:fill="auto"/>
            <w:vAlign w:val="center"/>
          </w:tcPr>
          <w:p>
            <w:pPr>
              <w:widowControl/>
              <w:spacing w:line="240" w:lineRule="auto"/>
              <w:jc w:val="center"/>
              <w:rPr>
                <w:kern w:val="0"/>
                <w:szCs w:val="24"/>
              </w:rPr>
            </w:pPr>
            <w:r>
              <w:rPr>
                <w:kern w:val="0"/>
                <w:szCs w:val="24"/>
              </w:rPr>
              <w:t>服务对象满意度指标</w:t>
            </w:r>
          </w:p>
        </w:tc>
        <w:tc>
          <w:tcPr>
            <w:tcW w:w="1417" w:type="dxa"/>
            <w:shd w:val="clear" w:color="auto" w:fill="auto"/>
            <w:vAlign w:val="center"/>
          </w:tcPr>
          <w:p>
            <w:pPr>
              <w:widowControl/>
              <w:spacing w:line="240" w:lineRule="auto"/>
              <w:jc w:val="center"/>
              <w:rPr>
                <w:kern w:val="0"/>
                <w:szCs w:val="24"/>
              </w:rPr>
            </w:pPr>
            <w:r>
              <w:rPr>
                <w:kern w:val="0"/>
                <w:szCs w:val="24"/>
              </w:rPr>
              <w:t>95%</w:t>
            </w:r>
          </w:p>
        </w:tc>
        <w:tc>
          <w:tcPr>
            <w:tcW w:w="1134" w:type="dxa"/>
            <w:shd w:val="clear" w:color="auto" w:fill="auto"/>
            <w:vAlign w:val="center"/>
          </w:tcPr>
          <w:p>
            <w:pPr>
              <w:widowControl/>
              <w:spacing w:line="240" w:lineRule="auto"/>
              <w:jc w:val="center"/>
              <w:rPr>
                <w:kern w:val="0"/>
                <w:szCs w:val="24"/>
              </w:rPr>
            </w:pPr>
            <w:r>
              <w:rPr>
                <w:kern w:val="0"/>
                <w:szCs w:val="24"/>
              </w:rPr>
              <w:t>服务对象95%满意</w:t>
            </w:r>
          </w:p>
        </w:tc>
        <w:tc>
          <w:tcPr>
            <w:tcW w:w="2835" w:type="dxa"/>
            <w:shd w:val="clear" w:color="auto" w:fill="auto"/>
            <w:vAlign w:val="center"/>
          </w:tcPr>
          <w:p>
            <w:pPr>
              <w:widowControl/>
              <w:spacing w:line="240" w:lineRule="auto"/>
              <w:rPr>
                <w:kern w:val="0"/>
                <w:szCs w:val="24"/>
              </w:rPr>
            </w:pPr>
            <w:r>
              <w:rPr>
                <w:kern w:val="0"/>
                <w:szCs w:val="24"/>
              </w:rPr>
              <w:t>服务对象满意度≥95%</w:t>
            </w:r>
          </w:p>
        </w:tc>
        <w:tc>
          <w:tcPr>
            <w:tcW w:w="788" w:type="dxa"/>
            <w:vAlign w:val="center"/>
          </w:tcPr>
          <w:p>
            <w:pPr>
              <w:widowControl/>
              <w:spacing w:line="240" w:lineRule="auto"/>
              <w:jc w:val="center"/>
              <w:rPr>
                <w:kern w:val="0"/>
                <w:szCs w:val="24"/>
              </w:rPr>
            </w:pPr>
            <w:r>
              <w:rPr>
                <w:rFonts w:hint="eastAsia"/>
                <w:kern w:val="0"/>
                <w:szCs w:val="24"/>
              </w:rPr>
              <w:t>是</w:t>
            </w:r>
          </w:p>
        </w:tc>
      </w:tr>
    </w:tbl>
    <w:p>
      <w:pPr>
        <w:pStyle w:val="34"/>
        <w:ind w:firstLine="640"/>
      </w:pPr>
    </w:p>
    <w:p>
      <w:pPr>
        <w:pStyle w:val="36"/>
        <w:ind w:firstLine="643"/>
      </w:pPr>
      <w:bookmarkStart w:id="8" w:name="_Toc181571194"/>
      <w:r>
        <w:t>二、绩效分析</w:t>
      </w:r>
      <w:bookmarkEnd w:id="8"/>
    </w:p>
    <w:p>
      <w:pPr>
        <w:pStyle w:val="37"/>
        <w:ind w:firstLine="640"/>
      </w:pPr>
      <w:bookmarkStart w:id="9" w:name="_Toc181571195"/>
      <w:r>
        <w:t>（一）投入</w:t>
      </w:r>
      <w:bookmarkEnd w:id="9"/>
    </w:p>
    <w:p>
      <w:pPr>
        <w:pStyle w:val="34"/>
        <w:ind w:firstLine="640"/>
      </w:pPr>
      <w:r>
        <w:t>项目投入的</w:t>
      </w:r>
      <w:r>
        <w:rPr>
          <w:rFonts w:hint="eastAsia"/>
        </w:rPr>
        <w:t>二</w:t>
      </w:r>
      <w:r>
        <w:t>级指标得分率如下（图2-1）：</w:t>
      </w:r>
    </w:p>
    <w:p>
      <w:pPr>
        <w:pStyle w:val="41"/>
        <w:spacing w:line="240" w:lineRule="auto"/>
        <w:ind w:firstLine="643"/>
        <w:jc w:val="center"/>
      </w:pPr>
      <w:r>
        <w:drawing>
          <wp:inline distT="0" distB="0" distL="0" distR="0">
            <wp:extent cx="4572000" cy="1443355"/>
            <wp:effectExtent l="4445" t="4445" r="14605" b="19050"/>
            <wp:docPr id="202093904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51"/>
      </w:pPr>
      <w:r>
        <w:t>图2-1 投入</w:t>
      </w:r>
      <w:r>
        <w:rPr>
          <w:rFonts w:hint="eastAsia"/>
        </w:rPr>
        <w:t>的二</w:t>
      </w:r>
      <w:r>
        <w:t>级指标得分率</w:t>
      </w:r>
    </w:p>
    <w:p>
      <w:pPr>
        <w:pStyle w:val="39"/>
        <w:ind w:firstLine="643"/>
      </w:pPr>
      <w:r>
        <w:t>1.项目立项</w:t>
      </w:r>
    </w:p>
    <w:p>
      <w:pPr>
        <w:pStyle w:val="34"/>
        <w:ind w:firstLine="640"/>
      </w:pPr>
      <w:r>
        <w:t>项目立项</w:t>
      </w:r>
      <w:r>
        <w:rPr>
          <w:rFonts w:hint="eastAsia"/>
        </w:rPr>
        <w:t>的三级指标得分率如下</w:t>
      </w:r>
      <w:r>
        <w:t>（图2-2）：</w:t>
      </w:r>
    </w:p>
    <w:p>
      <w:pPr>
        <w:pStyle w:val="34"/>
        <w:spacing w:line="240" w:lineRule="auto"/>
        <w:ind w:firstLine="640"/>
        <w:jc w:val="center"/>
      </w:pPr>
      <w:r>
        <w:drawing>
          <wp:inline distT="0" distB="0" distL="0" distR="0">
            <wp:extent cx="4572000" cy="1721485"/>
            <wp:effectExtent l="4445" t="4445" r="14605" b="7620"/>
            <wp:docPr id="204909534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51"/>
      </w:pPr>
      <w:r>
        <w:t xml:space="preserve">图2-2 </w:t>
      </w:r>
      <w:r>
        <w:rPr>
          <w:rFonts w:hint="eastAsia"/>
        </w:rPr>
        <w:t>项目立项的三</w:t>
      </w:r>
      <w:r>
        <w:t>级指标得分率</w:t>
      </w:r>
    </w:p>
    <w:p>
      <w:pPr>
        <w:pStyle w:val="34"/>
        <w:ind w:firstLine="640"/>
      </w:pPr>
      <w:r>
        <w:t>（1）论证决策</w:t>
      </w:r>
    </w:p>
    <w:p>
      <w:pPr>
        <w:pStyle w:val="34"/>
        <w:ind w:firstLine="643"/>
      </w:pPr>
      <w:r>
        <w:rPr>
          <w:rFonts w:hint="eastAsia"/>
          <w:b/>
          <w:bCs/>
        </w:rPr>
        <w:t>论证充分性</w:t>
      </w:r>
      <w:r>
        <w:rPr>
          <w:b/>
          <w:bCs/>
        </w:rPr>
        <w:t>。</w:t>
      </w:r>
      <w:r>
        <w:t>项目依据《净矿方案》设立，市局按《净矿方案》《韶关市2023年矿产资源找矿计划》等文件</w:t>
      </w:r>
      <w:r>
        <w:rPr>
          <w:rFonts w:hint="eastAsia"/>
        </w:rPr>
        <w:t>精神，</w:t>
      </w:r>
      <w:r>
        <w:t>组织开展大旺山矿区、三棵松矿区、黄龙岗矿区等矿区的矿产勘查工作，项目立项论证充分。</w:t>
      </w:r>
      <w:r>
        <w:rPr>
          <w:rFonts w:hint="eastAsia"/>
        </w:rPr>
        <w:t>指标分值4分，根据评价标准，得满分。</w:t>
      </w:r>
    </w:p>
    <w:p>
      <w:pPr>
        <w:pStyle w:val="34"/>
        <w:ind w:firstLine="640"/>
      </w:pPr>
      <w:r>
        <w:t>（2）目标设置</w:t>
      </w:r>
    </w:p>
    <w:p>
      <w:pPr>
        <w:pStyle w:val="34"/>
        <w:ind w:firstLine="643"/>
      </w:pPr>
      <w:r>
        <w:rPr>
          <w:rFonts w:hint="eastAsia"/>
          <w:b/>
          <w:bCs/>
        </w:rPr>
        <w:t>完整性</w:t>
      </w:r>
      <w:r>
        <w:rPr>
          <w:b/>
          <w:bCs/>
        </w:rPr>
        <w:t>。</w:t>
      </w:r>
      <w:r>
        <w:rPr>
          <w:rFonts w:hint="eastAsia"/>
        </w:rPr>
        <w:t>项目实施存在社会效益和经济效益，但未设置社会效益指标，指标设置不够完整。此外，已有绩效指标未能体现项目目标，如项目目标“推进我市绿色矿业发展示范区建设、大力推进‘净矿’出让工作”未设置绩效指标。指标分值2分，按评分标准扣1分，评价得1分。</w:t>
      </w:r>
    </w:p>
    <w:p>
      <w:pPr>
        <w:pStyle w:val="34"/>
        <w:ind w:firstLine="643"/>
      </w:pPr>
      <w:r>
        <w:rPr>
          <w:rFonts w:hint="eastAsia"/>
          <w:b/>
          <w:bCs/>
        </w:rPr>
        <w:t>合理性</w:t>
      </w:r>
      <w:r>
        <w:t>。</w:t>
      </w:r>
      <w:r>
        <w:rPr>
          <w:rFonts w:hint="eastAsia"/>
        </w:rPr>
        <w:t>部分指标的预期值难以佐证，无法判断是否符合正常业绩水平，指标设置的合理性有待提高（具体如表2</w:t>
      </w:r>
      <w:r>
        <w:t>-1</w:t>
      </w:r>
      <w:r>
        <w:rPr>
          <w:rFonts w:hint="eastAsia"/>
        </w:rPr>
        <w:t>所示）。部分考核内容重复设置指标，指标体系的代表性不足。指标分值2分，按评分标准扣1分，评价得1分。</w:t>
      </w:r>
    </w:p>
    <w:p>
      <w:pPr>
        <w:pStyle w:val="51"/>
      </w:pPr>
      <w:r>
        <w:t xml:space="preserve">表2-1 </w:t>
      </w:r>
      <w:r>
        <w:rPr>
          <w:rFonts w:hint="eastAsia"/>
        </w:rPr>
        <w:t>目标设置合理性分析</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1747"/>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指标类型</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指标名称</w:t>
            </w:r>
          </w:p>
        </w:tc>
        <w:tc>
          <w:tcPr>
            <w:tcW w:w="1025"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指标值</w:t>
            </w:r>
          </w:p>
        </w:tc>
        <w:tc>
          <w:tcPr>
            <w:tcW w:w="1586"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经济效益指标</w:t>
            </w:r>
          </w:p>
        </w:tc>
        <w:tc>
          <w:tcPr>
            <w:tcW w:w="1367" w:type="pct"/>
            <w:vAlign w:val="center"/>
          </w:tcPr>
          <w:p>
            <w:pPr>
              <w:widowControl/>
              <w:spacing w:line="240" w:lineRule="auto"/>
            </w:pPr>
            <w:r>
              <w:rPr>
                <w:rFonts w:hint="eastAsia"/>
              </w:rPr>
              <w:t>为当地经济发展提供帮助</w:t>
            </w:r>
          </w:p>
        </w:tc>
        <w:tc>
          <w:tcPr>
            <w:tcW w:w="1025" w:type="pct"/>
            <w:vAlign w:val="center"/>
          </w:tcPr>
          <w:p>
            <w:pPr>
              <w:widowControl/>
              <w:spacing w:line="240" w:lineRule="auto"/>
              <w:rPr>
                <w:kern w:val="0"/>
                <w:szCs w:val="24"/>
              </w:rPr>
            </w:pPr>
            <w:r>
              <w:rPr>
                <w:rFonts w:hint="eastAsia"/>
              </w:rPr>
              <w:t>增长当地经济</w:t>
            </w:r>
          </w:p>
        </w:tc>
        <w:tc>
          <w:tcPr>
            <w:tcW w:w="1586" w:type="pct"/>
            <w:vAlign w:val="center"/>
          </w:tcPr>
          <w:p>
            <w:pPr>
              <w:widowControl/>
              <w:spacing w:line="240" w:lineRule="auto"/>
              <w:rPr>
                <w:kern w:val="0"/>
                <w:szCs w:val="24"/>
              </w:rPr>
            </w:pPr>
            <w:r>
              <w:rPr>
                <w:rFonts w:hint="eastAsia"/>
              </w:rPr>
              <w:t>无法判断预期值是否与项目资金量是否匹配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经济效益指标</w:t>
            </w:r>
          </w:p>
        </w:tc>
        <w:tc>
          <w:tcPr>
            <w:tcW w:w="1367" w:type="pct"/>
            <w:vAlign w:val="center"/>
          </w:tcPr>
          <w:p>
            <w:pPr>
              <w:widowControl/>
              <w:spacing w:line="240" w:lineRule="auto"/>
              <w:rPr>
                <w:kern w:val="0"/>
                <w:szCs w:val="24"/>
              </w:rPr>
            </w:pPr>
            <w:r>
              <w:rPr>
                <w:rFonts w:hint="eastAsia"/>
              </w:rPr>
              <w:t>为矿产资源登记、资源资产化提供重要参考</w:t>
            </w:r>
          </w:p>
        </w:tc>
        <w:tc>
          <w:tcPr>
            <w:tcW w:w="1025" w:type="pct"/>
            <w:vAlign w:val="center"/>
          </w:tcPr>
          <w:p>
            <w:pPr>
              <w:widowControl/>
              <w:spacing w:line="240" w:lineRule="auto"/>
              <w:rPr>
                <w:kern w:val="0"/>
                <w:szCs w:val="24"/>
              </w:rPr>
            </w:pPr>
            <w:r>
              <w:rPr>
                <w:rFonts w:hint="eastAsia"/>
              </w:rPr>
              <w:t>有参考价值</w:t>
            </w:r>
          </w:p>
        </w:tc>
        <w:tc>
          <w:tcPr>
            <w:tcW w:w="1586" w:type="pct"/>
            <w:vAlign w:val="center"/>
          </w:tcPr>
          <w:p>
            <w:pPr>
              <w:widowControl/>
              <w:spacing w:line="240" w:lineRule="auto"/>
              <w:rPr>
                <w:kern w:val="0"/>
                <w:szCs w:val="24"/>
              </w:rPr>
            </w:pPr>
            <w:r>
              <w:rPr>
                <w:rFonts w:hint="eastAsia"/>
              </w:rPr>
              <w:t>无法判断预期值是否符合正常的业绩水平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时效指标</w:t>
            </w:r>
          </w:p>
        </w:tc>
        <w:tc>
          <w:tcPr>
            <w:tcW w:w="1367" w:type="pct"/>
            <w:vAlign w:val="center"/>
          </w:tcPr>
          <w:p>
            <w:pPr>
              <w:widowControl/>
              <w:spacing w:line="240" w:lineRule="auto"/>
            </w:pPr>
            <w:r>
              <w:rPr>
                <w:rFonts w:hint="eastAsia"/>
              </w:rPr>
              <w:t>按时完成率</w:t>
            </w:r>
          </w:p>
        </w:tc>
        <w:tc>
          <w:tcPr>
            <w:tcW w:w="1025" w:type="pct"/>
            <w:vAlign w:val="center"/>
          </w:tcPr>
          <w:p>
            <w:pPr>
              <w:widowControl/>
              <w:spacing w:line="240" w:lineRule="auto"/>
            </w:pPr>
            <w:r>
              <w:rPr>
                <w:kern w:val="0"/>
                <w:szCs w:val="24"/>
              </w:rPr>
              <w:t>100%按时完成</w:t>
            </w:r>
          </w:p>
        </w:tc>
        <w:tc>
          <w:tcPr>
            <w:tcW w:w="1586" w:type="pct"/>
            <w:vAlign w:val="center"/>
          </w:tcPr>
          <w:p>
            <w:pPr>
              <w:widowControl/>
              <w:spacing w:line="240" w:lineRule="auto"/>
            </w:pPr>
            <w:r>
              <w:rPr>
                <w:rFonts w:hint="eastAsia"/>
              </w:rPr>
              <w:t>与指标“按时完成项目工作”对应的考核内容相同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时效指标</w:t>
            </w:r>
          </w:p>
        </w:tc>
        <w:tc>
          <w:tcPr>
            <w:tcW w:w="1367" w:type="pct"/>
            <w:vAlign w:val="center"/>
          </w:tcPr>
          <w:p>
            <w:pPr>
              <w:widowControl/>
              <w:spacing w:line="240" w:lineRule="auto"/>
            </w:pPr>
            <w:r>
              <w:rPr>
                <w:rFonts w:hint="eastAsia"/>
              </w:rPr>
              <w:t>按时完成项目工作</w:t>
            </w:r>
          </w:p>
        </w:tc>
        <w:tc>
          <w:tcPr>
            <w:tcW w:w="1025" w:type="pct"/>
            <w:vAlign w:val="center"/>
          </w:tcPr>
          <w:p>
            <w:pPr>
              <w:widowControl/>
              <w:spacing w:line="240" w:lineRule="auto"/>
            </w:pPr>
            <w:r>
              <w:rPr>
                <w:kern w:val="0"/>
                <w:szCs w:val="24"/>
              </w:rPr>
              <w:t>按时完成工作</w:t>
            </w:r>
          </w:p>
        </w:tc>
        <w:tc>
          <w:tcPr>
            <w:tcW w:w="1586" w:type="pct"/>
            <w:vAlign w:val="center"/>
          </w:tcPr>
          <w:p>
            <w:pPr>
              <w:widowControl/>
              <w:spacing w:line="240" w:lineRule="auto"/>
            </w:pPr>
            <w:r>
              <w:rPr>
                <w:rFonts w:hint="eastAsia"/>
              </w:rPr>
              <w:t>与指标“按时完成率”对应的考核内容相同</w:t>
            </w:r>
          </w:p>
        </w:tc>
      </w:tr>
    </w:tbl>
    <w:p>
      <w:pPr>
        <w:pStyle w:val="34"/>
        <w:ind w:firstLine="640"/>
      </w:pPr>
    </w:p>
    <w:p>
      <w:pPr>
        <w:pStyle w:val="34"/>
        <w:ind w:firstLine="643"/>
      </w:pPr>
      <w:r>
        <w:rPr>
          <w:rFonts w:hint="eastAsia"/>
          <w:b/>
          <w:bCs/>
        </w:rPr>
        <w:t>可衡量性</w:t>
      </w:r>
      <w:r>
        <w:t>。</w:t>
      </w:r>
      <w:r>
        <w:rPr>
          <w:rFonts w:hint="eastAsia"/>
        </w:rPr>
        <w:t>部分指标的指标值不清晰，个别指标的指标名称模糊，绩效指标可衡量性有待提高（具体如表2</w:t>
      </w:r>
      <w:r>
        <w:t>-2</w:t>
      </w:r>
      <w:r>
        <w:rPr>
          <w:rFonts w:hint="eastAsia"/>
        </w:rPr>
        <w:t>所示）。指标分值2分，按评分标准扣1分，评价得1分。</w:t>
      </w:r>
    </w:p>
    <w:p>
      <w:pPr>
        <w:pStyle w:val="51"/>
      </w:pPr>
      <w:r>
        <w:t xml:space="preserve">表2-2 </w:t>
      </w:r>
      <w:r>
        <w:rPr>
          <w:rFonts w:hint="eastAsia"/>
        </w:rPr>
        <w:t>目标设置可衡量性分析</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1747"/>
        <w:gridCol w:w="27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指标类型</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指标名称</w:t>
            </w:r>
          </w:p>
        </w:tc>
        <w:tc>
          <w:tcPr>
            <w:tcW w:w="1025"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指标值</w:t>
            </w:r>
          </w:p>
        </w:tc>
        <w:tc>
          <w:tcPr>
            <w:tcW w:w="1586"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数量指标</w:t>
            </w:r>
          </w:p>
        </w:tc>
        <w:tc>
          <w:tcPr>
            <w:tcW w:w="1367" w:type="pct"/>
            <w:vAlign w:val="center"/>
          </w:tcPr>
          <w:p>
            <w:pPr>
              <w:widowControl/>
              <w:spacing w:line="240" w:lineRule="auto"/>
            </w:pPr>
            <w:r>
              <w:rPr>
                <w:rFonts w:hint="eastAsia"/>
              </w:rPr>
              <w:t>机械岩心钻探</w:t>
            </w:r>
          </w:p>
        </w:tc>
        <w:tc>
          <w:tcPr>
            <w:tcW w:w="1025" w:type="pct"/>
            <w:vAlign w:val="center"/>
          </w:tcPr>
          <w:p>
            <w:pPr>
              <w:widowControl/>
              <w:spacing w:line="240" w:lineRule="auto"/>
              <w:rPr>
                <w:kern w:val="0"/>
                <w:szCs w:val="24"/>
              </w:rPr>
            </w:pPr>
            <w:r>
              <w:rPr>
                <w:rFonts w:hint="eastAsia"/>
              </w:rPr>
              <w:t>完成岩心钻探</w:t>
            </w:r>
          </w:p>
        </w:tc>
        <w:tc>
          <w:tcPr>
            <w:tcW w:w="1586" w:type="pct"/>
            <w:vAlign w:val="center"/>
          </w:tcPr>
          <w:p>
            <w:pPr>
              <w:widowControl/>
              <w:spacing w:line="240" w:lineRule="auto"/>
              <w:rPr>
                <w:kern w:val="0"/>
                <w:szCs w:val="24"/>
              </w:rPr>
            </w:pPr>
            <w:r>
              <w:rPr>
                <w:rFonts w:hint="eastAsia"/>
              </w:rPr>
              <w:t>指标值不明确不具体，无法量化衡量指标值的完成情况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质量指标</w:t>
            </w:r>
          </w:p>
        </w:tc>
        <w:tc>
          <w:tcPr>
            <w:tcW w:w="1367" w:type="pct"/>
            <w:vAlign w:val="center"/>
          </w:tcPr>
          <w:p>
            <w:pPr>
              <w:widowControl/>
              <w:spacing w:line="240" w:lineRule="auto"/>
              <w:rPr>
                <w:kern w:val="0"/>
                <w:szCs w:val="24"/>
              </w:rPr>
            </w:pPr>
            <w:r>
              <w:rPr>
                <w:rFonts w:hint="eastAsia"/>
              </w:rPr>
              <w:t>完成年度收储</w:t>
            </w:r>
          </w:p>
        </w:tc>
        <w:tc>
          <w:tcPr>
            <w:tcW w:w="1025" w:type="pct"/>
            <w:vAlign w:val="center"/>
          </w:tcPr>
          <w:p>
            <w:pPr>
              <w:widowControl/>
              <w:spacing w:line="240" w:lineRule="auto"/>
              <w:rPr>
                <w:kern w:val="0"/>
                <w:szCs w:val="24"/>
              </w:rPr>
            </w:pPr>
            <w:r>
              <w:rPr>
                <w:rFonts w:hint="eastAsia"/>
              </w:rPr>
              <w:t>完成年度收储</w:t>
            </w:r>
          </w:p>
        </w:tc>
        <w:tc>
          <w:tcPr>
            <w:tcW w:w="1586" w:type="pct"/>
            <w:vAlign w:val="center"/>
          </w:tcPr>
          <w:p>
            <w:pPr>
              <w:widowControl/>
              <w:spacing w:line="240" w:lineRule="auto"/>
              <w:rPr>
                <w:kern w:val="0"/>
                <w:szCs w:val="24"/>
              </w:rPr>
            </w:pPr>
            <w:r>
              <w:rPr>
                <w:rFonts w:hint="eastAsia"/>
              </w:rPr>
              <w:t>指标值不明确不具体，无法量化衡量指标值的完成情况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经济效益指标</w:t>
            </w:r>
          </w:p>
        </w:tc>
        <w:tc>
          <w:tcPr>
            <w:tcW w:w="1367" w:type="pct"/>
            <w:vAlign w:val="center"/>
          </w:tcPr>
          <w:p>
            <w:pPr>
              <w:widowControl/>
              <w:spacing w:line="240" w:lineRule="auto"/>
            </w:pPr>
            <w:r>
              <w:rPr>
                <w:rFonts w:hint="eastAsia"/>
              </w:rPr>
              <w:t>为矿产资源登记、资源资产化提供重要参考</w:t>
            </w:r>
          </w:p>
        </w:tc>
        <w:tc>
          <w:tcPr>
            <w:tcW w:w="1025" w:type="pct"/>
            <w:vAlign w:val="center"/>
          </w:tcPr>
          <w:p>
            <w:pPr>
              <w:widowControl/>
              <w:spacing w:line="240" w:lineRule="auto"/>
            </w:pPr>
            <w:r>
              <w:rPr>
                <w:rFonts w:hint="eastAsia"/>
              </w:rPr>
              <w:t>有参考价值</w:t>
            </w:r>
          </w:p>
        </w:tc>
        <w:tc>
          <w:tcPr>
            <w:tcW w:w="1586" w:type="pct"/>
            <w:vAlign w:val="center"/>
          </w:tcPr>
          <w:p>
            <w:pPr>
              <w:widowControl/>
              <w:spacing w:line="240" w:lineRule="auto"/>
            </w:pPr>
            <w:r>
              <w:rPr>
                <w:rFonts w:hint="eastAsia"/>
              </w:rPr>
              <w:t>从指标名称无法明确考核目标</w:t>
            </w:r>
          </w:p>
        </w:tc>
      </w:tr>
    </w:tbl>
    <w:p>
      <w:pPr>
        <w:pStyle w:val="34"/>
        <w:ind w:firstLine="640"/>
      </w:pPr>
    </w:p>
    <w:p>
      <w:pPr>
        <w:pStyle w:val="34"/>
        <w:ind w:firstLine="640"/>
      </w:pPr>
      <w:r>
        <w:t>（3）保障措施</w:t>
      </w:r>
    </w:p>
    <w:p>
      <w:pPr>
        <w:pStyle w:val="34"/>
        <w:ind w:firstLine="643"/>
      </w:pPr>
      <w:r>
        <w:rPr>
          <w:rFonts w:hint="eastAsia"/>
          <w:b/>
          <w:bCs/>
        </w:rPr>
        <w:t>制度完整性</w:t>
      </w:r>
      <w:r>
        <w:t>。项目依照《关于规范市级矿产资源勘查项目经费使用管理的通知》《关于进一步加强净矿出让收益资金管理的通知》等</w:t>
      </w:r>
      <w:r>
        <w:rPr>
          <w:rFonts w:hint="eastAsia"/>
        </w:rPr>
        <w:t>文件精神实施，项目经费按规定纳入韶关市自然资源局部门预算，专项用于市级地质勘查找矿，项目资金制度完整。指标分值1分，根据评价标准，得满分。</w:t>
      </w:r>
    </w:p>
    <w:p>
      <w:pPr>
        <w:pStyle w:val="34"/>
        <w:ind w:firstLine="643"/>
      </w:pPr>
      <w:r>
        <w:rPr>
          <w:rFonts w:hint="eastAsia"/>
          <w:b/>
          <w:bCs/>
        </w:rPr>
        <w:t>计划安排合理性</w:t>
      </w:r>
      <w:r>
        <w:t>。</w:t>
      </w:r>
      <w:r>
        <w:rPr>
          <w:rFonts w:hint="eastAsia"/>
        </w:rPr>
        <w:t>项目计划安排按照《韶关市人民政府办公室关于印发韶关市矿产资源“净矿”出让和绿色高效开发利用实施方案的通知》和《韶关市2023年矿产资源找矿计划》等指导文件设计，具体为：2022年推进三棵松、大旺山、黄龙岗3个试点矿为矿产资源“净矿”出让突破口和试点，2023年推进三棵松、大旺山2个矿区的详查和储量报告评审备案。指标分值1分，根据评价标准，得满分。</w:t>
      </w:r>
    </w:p>
    <w:p>
      <w:pPr>
        <w:pStyle w:val="39"/>
        <w:ind w:firstLine="643"/>
      </w:pPr>
      <w:r>
        <w:t>2.资金落实</w:t>
      </w:r>
    </w:p>
    <w:p>
      <w:pPr>
        <w:pStyle w:val="34"/>
        <w:ind w:firstLine="640"/>
      </w:pPr>
      <w:r>
        <w:t>资金落实</w:t>
      </w:r>
      <w:r>
        <w:rPr>
          <w:rFonts w:hint="eastAsia"/>
        </w:rPr>
        <w:t>的三级指标得分率如下</w:t>
      </w:r>
      <w:r>
        <w:t>（图2-3）：</w:t>
      </w:r>
    </w:p>
    <w:p>
      <w:pPr>
        <w:pStyle w:val="41"/>
        <w:spacing w:line="240" w:lineRule="auto"/>
        <w:ind w:firstLine="643"/>
      </w:pPr>
      <w:r>
        <w:drawing>
          <wp:inline distT="0" distB="0" distL="0" distR="0">
            <wp:extent cx="4572000" cy="1506220"/>
            <wp:effectExtent l="4445" t="4445" r="14605" b="13335"/>
            <wp:docPr id="46942191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51"/>
      </w:pPr>
      <w:r>
        <w:t xml:space="preserve">图2-3 </w:t>
      </w:r>
      <w:r>
        <w:rPr>
          <w:rFonts w:hint="eastAsia"/>
        </w:rPr>
        <w:t>资金落实的三</w:t>
      </w:r>
      <w:r>
        <w:t>级指标得分率</w:t>
      </w:r>
    </w:p>
    <w:p>
      <w:pPr>
        <w:pStyle w:val="34"/>
        <w:ind w:firstLine="640"/>
      </w:pPr>
      <w:r>
        <w:t>（1）</w:t>
      </w:r>
      <w:r>
        <w:rPr>
          <w:rFonts w:hint="eastAsia"/>
        </w:rPr>
        <w:t>资金到位</w:t>
      </w:r>
    </w:p>
    <w:p>
      <w:pPr>
        <w:pStyle w:val="34"/>
        <w:ind w:firstLine="643"/>
      </w:pPr>
      <w:r>
        <w:rPr>
          <w:rFonts w:hint="eastAsia"/>
          <w:b/>
          <w:bCs/>
        </w:rPr>
        <w:t>资金到位率</w:t>
      </w:r>
      <w:r>
        <w:t>。</w:t>
      </w:r>
      <w:r>
        <w:rPr>
          <w:rFonts w:hint="eastAsia"/>
        </w:rPr>
        <w:t>2023年项目预算财政资金2</w:t>
      </w:r>
      <w:r>
        <w:t>,</w:t>
      </w:r>
      <w:r>
        <w:rPr>
          <w:rFonts w:hint="eastAsia"/>
        </w:rPr>
        <w:t>000万元，实际到位资金1</w:t>
      </w:r>
      <w:r>
        <w:t>,</w:t>
      </w:r>
      <w:r>
        <w:rPr>
          <w:rFonts w:hint="eastAsia"/>
        </w:rPr>
        <w:t>574.03万元，资金到位率为78.70%。指标分值3分，根据评价标准扣0.64分，评价得2.36分。</w:t>
      </w:r>
    </w:p>
    <w:p>
      <w:pPr>
        <w:pStyle w:val="34"/>
        <w:ind w:firstLine="643"/>
      </w:pPr>
      <w:r>
        <w:rPr>
          <w:rFonts w:hint="eastAsia"/>
          <w:b/>
          <w:bCs/>
        </w:rPr>
        <w:t>资金到位及时性</w:t>
      </w:r>
      <w:r>
        <w:rPr>
          <w:rFonts w:hint="eastAsia"/>
        </w:rPr>
        <w:t>。项目资金指标均在2023年下达到位，具体到位时间为：三棵松矿区2023年9月25日、大旺山矿区2023年9月27日、红尾坑矿区2023年11月14日、黄龙岗矿区2024年1月28日。指标分值2分，根据评价标准，得满分。</w:t>
      </w:r>
    </w:p>
    <w:p>
      <w:pPr>
        <w:pStyle w:val="34"/>
        <w:ind w:firstLine="640"/>
      </w:pPr>
      <w:r>
        <w:rPr>
          <w:rFonts w:hint="eastAsia"/>
        </w:rPr>
        <w:t>（2）</w:t>
      </w:r>
      <w:r>
        <w:t>资金分配</w:t>
      </w:r>
    </w:p>
    <w:p>
      <w:pPr>
        <w:pStyle w:val="34"/>
        <w:ind w:firstLine="643"/>
      </w:pPr>
      <w:r>
        <w:rPr>
          <w:rFonts w:hint="eastAsia"/>
          <w:b/>
          <w:bCs/>
        </w:rPr>
        <w:t>资金分配合理性</w:t>
      </w:r>
      <w:r>
        <w:t>。4个矿区</w:t>
      </w:r>
      <w:r>
        <w:rPr>
          <w:rFonts w:hint="eastAsia"/>
        </w:rPr>
        <w:t>所需的地勘费用由</w:t>
      </w:r>
      <w:r>
        <w:t>地勘单位报价确定</w:t>
      </w:r>
      <w:r>
        <w:rPr>
          <w:rFonts w:hint="eastAsia"/>
        </w:rPr>
        <w:t>，</w:t>
      </w:r>
      <w:r>
        <w:t>主管单位未对地勘单位的报价进行评审</w:t>
      </w:r>
      <w:r>
        <w:rPr>
          <w:rFonts w:hint="eastAsia"/>
        </w:rPr>
        <w:t>，各矿区所需勘查费用的确认方式不科学。此外，</w:t>
      </w:r>
      <w:r>
        <w:t>4个矿区</w:t>
      </w:r>
      <w:r>
        <w:rPr>
          <w:rFonts w:hint="eastAsia"/>
        </w:rPr>
        <w:t>的地勘单位共申报</w:t>
      </w:r>
      <w:r>
        <w:t>1,574.03</w:t>
      </w:r>
      <w:r>
        <w:rPr>
          <w:rFonts w:hint="eastAsia"/>
        </w:rPr>
        <w:t>万元的地勘费用，主管单位未对申报的资金规模进行</w:t>
      </w:r>
      <w:r>
        <w:t>复核</w:t>
      </w:r>
      <w:r>
        <w:rPr>
          <w:rFonts w:hint="eastAsia"/>
        </w:rPr>
        <w:t>，采用“</w:t>
      </w:r>
      <w:r>
        <w:t>地勘单位提议</w:t>
      </w:r>
      <w:r>
        <w:rPr>
          <w:rFonts w:hint="eastAsia"/>
        </w:rPr>
        <w:t>需要</w:t>
      </w:r>
      <w:r>
        <w:t>多少、主管部门就批复多少</w:t>
      </w:r>
      <w:r>
        <w:rPr>
          <w:rFonts w:hint="eastAsia"/>
        </w:rPr>
        <w:t>”的方式申请支付资金，资金支付随意。指标分值3分，预算规模不合理和支出规模把控不到位各扣1分，评价得1分。</w:t>
      </w:r>
    </w:p>
    <w:p>
      <w:pPr>
        <w:pStyle w:val="37"/>
        <w:ind w:firstLine="640"/>
      </w:pPr>
      <w:bookmarkStart w:id="10" w:name="_Toc181571196"/>
      <w:r>
        <w:t>（二）过程</w:t>
      </w:r>
      <w:bookmarkEnd w:id="10"/>
    </w:p>
    <w:p>
      <w:pPr>
        <w:pStyle w:val="34"/>
        <w:ind w:firstLine="640"/>
      </w:pPr>
      <w:r>
        <w:t>项目过程的</w:t>
      </w:r>
      <w:r>
        <w:rPr>
          <w:rFonts w:hint="eastAsia"/>
        </w:rPr>
        <w:t>二</w:t>
      </w:r>
      <w:r>
        <w:t>级指标得分率如下（图2-4）：</w:t>
      </w:r>
    </w:p>
    <w:p>
      <w:pPr>
        <w:pStyle w:val="34"/>
        <w:spacing w:line="240" w:lineRule="auto"/>
        <w:ind w:firstLine="640"/>
      </w:pPr>
      <w:r>
        <w:drawing>
          <wp:inline distT="0" distB="0" distL="0" distR="0">
            <wp:extent cx="4572000" cy="1530985"/>
            <wp:effectExtent l="4445" t="4445" r="14605" b="7620"/>
            <wp:docPr id="1421165705"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51"/>
      </w:pPr>
      <w:r>
        <w:t xml:space="preserve">图2-4 </w:t>
      </w:r>
      <w:r>
        <w:rPr>
          <w:rFonts w:hint="eastAsia"/>
        </w:rPr>
        <w:t>过程</w:t>
      </w:r>
      <w:r>
        <w:t>的</w:t>
      </w:r>
      <w:r>
        <w:rPr>
          <w:rFonts w:hint="eastAsia"/>
        </w:rPr>
        <w:t>二</w:t>
      </w:r>
      <w:r>
        <w:t>级指标</w:t>
      </w:r>
      <w:r>
        <w:rPr>
          <w:rFonts w:hint="eastAsia"/>
        </w:rPr>
        <w:t>得分情况</w:t>
      </w:r>
    </w:p>
    <w:p>
      <w:pPr>
        <w:pStyle w:val="39"/>
        <w:ind w:firstLine="643"/>
      </w:pPr>
      <w:r>
        <w:t>1.资金管理</w:t>
      </w:r>
    </w:p>
    <w:p>
      <w:pPr>
        <w:pStyle w:val="34"/>
        <w:ind w:firstLine="640"/>
      </w:pPr>
      <w:r>
        <w:rPr>
          <w:rFonts w:hint="eastAsia"/>
        </w:rPr>
        <w:t>资金管理的三级指标得分率如下</w:t>
      </w:r>
      <w:r>
        <w:t>（图2-5）：</w:t>
      </w:r>
    </w:p>
    <w:p>
      <w:pPr>
        <w:pStyle w:val="34"/>
        <w:spacing w:line="240" w:lineRule="auto"/>
        <w:ind w:firstLine="640"/>
      </w:pPr>
      <w:r>
        <w:drawing>
          <wp:inline distT="0" distB="0" distL="0" distR="0">
            <wp:extent cx="4572000" cy="1522730"/>
            <wp:effectExtent l="4445" t="4445" r="14605" b="15875"/>
            <wp:docPr id="152290054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pStyle w:val="51"/>
      </w:pPr>
      <w:r>
        <w:t xml:space="preserve">图2-5 </w:t>
      </w:r>
      <w:r>
        <w:rPr>
          <w:rFonts w:hint="eastAsia"/>
        </w:rPr>
        <w:t>资金管理</w:t>
      </w:r>
      <w:r>
        <w:t>的</w:t>
      </w:r>
      <w:r>
        <w:rPr>
          <w:rFonts w:hint="eastAsia"/>
        </w:rPr>
        <w:t>三</w:t>
      </w:r>
      <w:r>
        <w:t>级指标</w:t>
      </w:r>
      <w:r>
        <w:rPr>
          <w:rFonts w:hint="eastAsia"/>
        </w:rPr>
        <w:t>得分情况</w:t>
      </w:r>
    </w:p>
    <w:p>
      <w:pPr>
        <w:pStyle w:val="34"/>
        <w:ind w:firstLine="640"/>
      </w:pPr>
      <w:r>
        <w:t>（1）</w:t>
      </w:r>
      <w:r>
        <w:rPr>
          <w:rFonts w:hint="eastAsia"/>
        </w:rPr>
        <w:t>资金支付</w:t>
      </w:r>
    </w:p>
    <w:p>
      <w:pPr>
        <w:pStyle w:val="34"/>
        <w:ind w:firstLine="643"/>
      </w:pPr>
      <w:r>
        <w:rPr>
          <w:b/>
          <w:bCs/>
        </w:rPr>
        <w:t>资金支出率</w:t>
      </w:r>
      <w:r>
        <w:t>。</w:t>
      </w:r>
      <w:r>
        <w:rPr>
          <w:rFonts w:hint="eastAsia"/>
        </w:rPr>
        <w:t>2023年项目到位资金指标1</w:t>
      </w:r>
      <w:r>
        <w:t>,</w:t>
      </w:r>
      <w:r>
        <w:rPr>
          <w:rFonts w:hint="eastAsia"/>
        </w:rPr>
        <w:t>574.03万元，实际支出资金1</w:t>
      </w:r>
      <w:r>
        <w:t>,</w:t>
      </w:r>
      <w:r>
        <w:rPr>
          <w:rFonts w:hint="eastAsia"/>
        </w:rPr>
        <w:t>016.24万元，资金支出率为64.56%。指标分值6分，根据评价标准扣2.13分，评价得3.87分。</w:t>
      </w:r>
    </w:p>
    <w:p>
      <w:pPr>
        <w:pStyle w:val="34"/>
        <w:ind w:firstLine="640"/>
      </w:pPr>
      <w:r>
        <w:rPr>
          <w:rFonts w:hint="eastAsia"/>
        </w:rPr>
        <w:t>（2）支出规范性</w:t>
      </w:r>
    </w:p>
    <w:p>
      <w:pPr>
        <w:pStyle w:val="34"/>
        <w:ind w:firstLine="643"/>
      </w:pPr>
      <w:r>
        <w:rPr>
          <w:b/>
          <w:bCs/>
        </w:rPr>
        <w:t>支出规范性</w:t>
      </w:r>
      <w:r>
        <w:t>。</w:t>
      </w:r>
      <w:r>
        <w:rPr>
          <w:rFonts w:hint="eastAsia"/>
        </w:rPr>
        <w:t>部分矿区约定的资金拨付方式与《经费管理》指导不一致，增加项目管理难度和实施风险。部分矿区的资金支付方式与合同约定不一致，资金使用不规范。个别矿区的资金支出依据不充分，资金支出审核把控不严谨。具体如表2</w:t>
      </w:r>
      <w:r>
        <w:t>-3</w:t>
      </w:r>
      <w:r>
        <w:rPr>
          <w:rFonts w:hint="eastAsia"/>
        </w:rPr>
        <w:t>所示。指标分值6分，资金支付拨付方式与《经费管理》指导不一致、资金拨付方式与合同约定不一致、资金支出依据不充分各扣2分，评价得0分。</w:t>
      </w:r>
    </w:p>
    <w:p>
      <w:pPr>
        <w:pStyle w:val="51"/>
      </w:pPr>
      <w:r>
        <w:t xml:space="preserve">表2-3 </w:t>
      </w:r>
      <w:r>
        <w:rPr>
          <w:rFonts w:hint="eastAsia"/>
        </w:rPr>
        <w:t>支出规范性分析</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事项规范</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实际操作</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shd w:val="clear" w:color="auto" w:fill="auto"/>
            <w:vAlign w:val="center"/>
          </w:tcPr>
          <w:p>
            <w:pPr>
              <w:widowControl/>
              <w:spacing w:line="240" w:lineRule="auto"/>
              <w:jc w:val="left"/>
              <w:rPr>
                <w:b/>
                <w:bCs/>
                <w:kern w:val="0"/>
                <w:szCs w:val="24"/>
              </w:rPr>
            </w:pPr>
            <w:r>
              <w:rPr>
                <w:rFonts w:hint="eastAsia"/>
                <w:b/>
                <w:bCs/>
                <w:kern w:val="0"/>
                <w:szCs w:val="24"/>
              </w:rPr>
              <w:t>一、</w:t>
            </w:r>
            <w:r>
              <w:rPr>
                <w:rFonts w:hint="eastAsia"/>
                <w:b/>
                <w:bCs/>
              </w:rPr>
              <w:t>部分矿区约定的资金拨付方式与《经费管理》指导不一致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大旺山矿区的资金支出形式</w:t>
            </w:r>
          </w:p>
        </w:tc>
        <w:tc>
          <w:tcPr>
            <w:tcW w:w="1367" w:type="pct"/>
            <w:vMerge w:val="restart"/>
            <w:vAlign w:val="center"/>
          </w:tcPr>
          <w:p>
            <w:pPr>
              <w:widowControl/>
              <w:spacing w:line="240" w:lineRule="auto"/>
            </w:pPr>
            <w:r>
              <w:rPr>
                <w:rFonts w:hint="eastAsia"/>
              </w:rPr>
              <w:t>《经费管理》：矿区资源储量核实报告评审备案后，拨付专项经费</w:t>
            </w:r>
          </w:p>
        </w:tc>
        <w:tc>
          <w:tcPr>
            <w:tcW w:w="1367" w:type="pct"/>
            <w:vMerge w:val="restart"/>
            <w:vAlign w:val="center"/>
          </w:tcPr>
          <w:p>
            <w:pPr>
              <w:widowControl/>
              <w:spacing w:line="240" w:lineRule="auto"/>
              <w:rPr>
                <w:kern w:val="0"/>
                <w:szCs w:val="24"/>
              </w:rPr>
            </w:pPr>
            <w:r>
              <w:rPr>
                <w:rFonts w:hint="eastAsia"/>
              </w:rPr>
              <w:t>《地勘合同》：挂牌出让后30天内一次性支付100%的勘察费用</w:t>
            </w:r>
          </w:p>
        </w:tc>
        <w:tc>
          <w:tcPr>
            <w:tcW w:w="1244" w:type="pct"/>
            <w:vMerge w:val="restart"/>
            <w:vAlign w:val="center"/>
          </w:tcPr>
          <w:p>
            <w:pPr>
              <w:widowControl/>
              <w:spacing w:line="240" w:lineRule="auto"/>
              <w:rPr>
                <w:kern w:val="0"/>
                <w:szCs w:val="24"/>
              </w:rPr>
            </w:pPr>
            <w:r>
              <w:rPr>
                <w:rFonts w:hint="eastAsia"/>
              </w:rPr>
              <w:t>《地勘合同》约定的资金支付时间</w:t>
            </w:r>
            <w:r>
              <w:rPr>
                <w:rFonts w:hint="eastAsia"/>
                <w:b/>
                <w:bCs/>
              </w:rPr>
              <w:t>滞后</w:t>
            </w:r>
            <w:r>
              <w:rPr>
                <w:rFonts w:hint="eastAsia"/>
              </w:rPr>
              <w:t>于《经费管理》，增加企业垫资作业的压力和项目管理难度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rPr>
                <w:kern w:val="0"/>
                <w:szCs w:val="24"/>
              </w:rPr>
            </w:pPr>
            <w:r>
              <w:rPr>
                <w:rFonts w:hint="eastAsia"/>
              </w:rPr>
              <w:t>黄龙岗矿区的资金支出形式</w:t>
            </w:r>
          </w:p>
        </w:tc>
        <w:tc>
          <w:tcPr>
            <w:tcW w:w="1367" w:type="pct"/>
            <w:vMerge w:val="continue"/>
            <w:vAlign w:val="center"/>
          </w:tcPr>
          <w:p>
            <w:pPr>
              <w:widowControl/>
              <w:spacing w:line="240" w:lineRule="auto"/>
              <w:rPr>
                <w:kern w:val="0"/>
                <w:szCs w:val="24"/>
              </w:rPr>
            </w:pPr>
          </w:p>
        </w:tc>
        <w:tc>
          <w:tcPr>
            <w:tcW w:w="1367" w:type="pct"/>
            <w:vMerge w:val="continue"/>
            <w:vAlign w:val="center"/>
          </w:tcPr>
          <w:p>
            <w:pPr>
              <w:widowControl/>
              <w:spacing w:line="240" w:lineRule="auto"/>
              <w:rPr>
                <w:kern w:val="0"/>
                <w:szCs w:val="24"/>
              </w:rPr>
            </w:pPr>
          </w:p>
        </w:tc>
        <w:tc>
          <w:tcPr>
            <w:tcW w:w="1244" w:type="pct"/>
            <w:vMerge w:val="continue"/>
            <w:vAlign w:val="center"/>
          </w:tcPr>
          <w:p>
            <w:pPr>
              <w:widowControl/>
              <w:spacing w:line="240" w:lineRule="auto"/>
              <w:rPr>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三棵松矿区第一阶段的资金支出形式</w:t>
            </w:r>
          </w:p>
        </w:tc>
        <w:tc>
          <w:tcPr>
            <w:tcW w:w="1367" w:type="pct"/>
            <w:vMerge w:val="continue"/>
            <w:vAlign w:val="center"/>
          </w:tcPr>
          <w:p>
            <w:pPr>
              <w:widowControl/>
              <w:spacing w:line="240" w:lineRule="auto"/>
            </w:pPr>
          </w:p>
        </w:tc>
        <w:tc>
          <w:tcPr>
            <w:tcW w:w="1367" w:type="pct"/>
            <w:vAlign w:val="center"/>
          </w:tcPr>
          <w:p>
            <w:pPr>
              <w:widowControl/>
              <w:spacing w:line="240" w:lineRule="auto"/>
            </w:pPr>
            <w:r>
              <w:rPr>
                <w:rFonts w:hint="eastAsia"/>
              </w:rPr>
              <w:t>《地勘合同》：野外工作量完成超过50%后支付50%的合同款、验收后支付50%的合同款</w:t>
            </w:r>
          </w:p>
        </w:tc>
        <w:tc>
          <w:tcPr>
            <w:tcW w:w="1244" w:type="pct"/>
            <w:vAlign w:val="center"/>
          </w:tcPr>
          <w:p>
            <w:pPr>
              <w:widowControl/>
              <w:spacing w:line="240" w:lineRule="auto"/>
            </w:pPr>
            <w:r>
              <w:rPr>
                <w:rFonts w:hint="eastAsia"/>
              </w:rPr>
              <w:t>《地勘合同》约定的资金支付时间</w:t>
            </w:r>
            <w:r>
              <w:rPr>
                <w:rFonts w:hint="eastAsia"/>
                <w:b/>
                <w:bCs/>
              </w:rPr>
              <w:t>超前</w:t>
            </w:r>
            <w:r>
              <w:rPr>
                <w:rFonts w:hint="eastAsia"/>
              </w:rPr>
              <w:t>于《经费管理》，提高对财政资金流动性的要求、增加财政支付压力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pPr>
              <w:widowControl/>
              <w:spacing w:line="240" w:lineRule="auto"/>
              <w:jc w:val="left"/>
            </w:pPr>
            <w:r>
              <w:rPr>
                <w:rFonts w:hint="eastAsia"/>
                <w:b/>
                <w:bCs/>
                <w:kern w:val="0"/>
                <w:szCs w:val="24"/>
              </w:rPr>
              <w:t>二、部分矿区的资金支付方式与合同约定不一致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大旺山矿区的资金支出形式</w:t>
            </w:r>
          </w:p>
        </w:tc>
        <w:tc>
          <w:tcPr>
            <w:tcW w:w="1367" w:type="pct"/>
            <w:vAlign w:val="center"/>
          </w:tcPr>
          <w:p>
            <w:pPr>
              <w:widowControl/>
              <w:spacing w:line="240" w:lineRule="auto"/>
            </w:pPr>
            <w:r>
              <w:rPr>
                <w:rFonts w:hint="eastAsia"/>
              </w:rPr>
              <w:t>《地勘合同》：挂牌出让后30天内一次性支付100%的勘察费用</w:t>
            </w:r>
          </w:p>
        </w:tc>
        <w:tc>
          <w:tcPr>
            <w:tcW w:w="1367" w:type="pct"/>
            <w:vAlign w:val="center"/>
          </w:tcPr>
          <w:p>
            <w:pPr>
              <w:widowControl/>
              <w:spacing w:line="240" w:lineRule="auto"/>
            </w:pPr>
            <w:r>
              <w:rPr>
                <w:rFonts w:hint="eastAsia"/>
              </w:rPr>
              <w:t>实际：2024年挂牌出让前已支付247万元的前期勘察费用</w:t>
            </w:r>
          </w:p>
        </w:tc>
        <w:tc>
          <w:tcPr>
            <w:tcW w:w="1244" w:type="pct"/>
            <w:vAlign w:val="center"/>
          </w:tcPr>
          <w:p>
            <w:pPr>
              <w:widowControl/>
              <w:spacing w:line="240" w:lineRule="auto"/>
            </w:pPr>
            <w:r>
              <w:rPr>
                <w:rFonts w:hint="eastAsia"/>
                <w:b/>
                <w:bCs/>
              </w:rPr>
              <w:t>超前支付，</w:t>
            </w:r>
            <w:r>
              <w:rPr>
                <w:rFonts w:hint="eastAsia"/>
              </w:rPr>
              <w:t>资金使用监管不到位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三棵松矿区补充详尽阶段的支付额度</w:t>
            </w:r>
          </w:p>
        </w:tc>
        <w:tc>
          <w:tcPr>
            <w:tcW w:w="1367" w:type="pct"/>
            <w:vAlign w:val="center"/>
          </w:tcPr>
          <w:p>
            <w:pPr>
              <w:widowControl/>
              <w:spacing w:line="240" w:lineRule="auto"/>
            </w:pPr>
            <w:r>
              <w:rPr>
                <w:rFonts w:hint="eastAsia"/>
              </w:rPr>
              <w:t xml:space="preserve">《补充地勘合同》：甲方完成财政审批流程后资金到账5个工作日内，支付乙方30%（112.398万元）合同款 </w:t>
            </w:r>
          </w:p>
        </w:tc>
        <w:tc>
          <w:tcPr>
            <w:tcW w:w="1367" w:type="pct"/>
            <w:vAlign w:val="center"/>
          </w:tcPr>
          <w:p>
            <w:pPr>
              <w:widowControl/>
              <w:spacing w:line="240" w:lineRule="auto"/>
            </w:pPr>
            <w:r>
              <w:rPr>
                <w:rFonts w:hint="eastAsia"/>
              </w:rPr>
              <w:t>实际：市局申请补充详查勘查费187.33万元</w:t>
            </w:r>
          </w:p>
        </w:tc>
        <w:tc>
          <w:tcPr>
            <w:tcW w:w="1244" w:type="pct"/>
            <w:vAlign w:val="center"/>
          </w:tcPr>
          <w:p>
            <w:pPr>
              <w:widowControl/>
              <w:spacing w:line="240" w:lineRule="auto"/>
            </w:pPr>
            <w:r>
              <w:rPr>
                <w:rFonts w:hint="eastAsia"/>
              </w:rPr>
              <w:t>申请金额</w:t>
            </w:r>
            <w:r>
              <w:rPr>
                <w:rFonts w:hint="eastAsia"/>
                <w:b/>
                <w:bCs/>
              </w:rPr>
              <w:t>超出</w:t>
            </w:r>
            <w:r>
              <w:rPr>
                <w:rFonts w:hint="eastAsia"/>
              </w:rPr>
              <w:t>合同约定</w:t>
            </w:r>
            <w:r>
              <w:rPr>
                <w:rFonts w:hint="eastAsia"/>
                <w:b/>
                <w:bCs/>
              </w:rPr>
              <w:t>74.935万元</w:t>
            </w:r>
            <w:r>
              <w:rPr>
                <w:rFonts w:hint="eastAsia"/>
              </w:rPr>
              <w:t>，资金使用监管不到位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5000" w:type="pct"/>
            <w:gridSpan w:val="4"/>
            <w:vAlign w:val="center"/>
          </w:tcPr>
          <w:p>
            <w:pPr>
              <w:widowControl/>
              <w:spacing w:line="240" w:lineRule="auto"/>
              <w:rPr>
                <w:b/>
                <w:bCs/>
              </w:rPr>
            </w:pPr>
            <w:r>
              <w:rPr>
                <w:rFonts w:hint="eastAsia"/>
                <w:b/>
                <w:bCs/>
              </w:rPr>
              <w:t>三、个别矿区的资金支出依据不充分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vAlign w:val="center"/>
          </w:tcPr>
          <w:p>
            <w:pPr>
              <w:widowControl/>
              <w:spacing w:line="240" w:lineRule="auto"/>
              <w:jc w:val="center"/>
            </w:pPr>
            <w:r>
              <w:rPr>
                <w:rFonts w:hint="eastAsia"/>
              </w:rPr>
              <w:t>红尾坑矿区的支出依据</w:t>
            </w:r>
          </w:p>
        </w:tc>
        <w:tc>
          <w:tcPr>
            <w:tcW w:w="1367" w:type="pct"/>
            <w:vAlign w:val="center"/>
          </w:tcPr>
          <w:p>
            <w:pPr>
              <w:widowControl/>
              <w:spacing w:line="240" w:lineRule="auto"/>
            </w:pPr>
            <w:r>
              <w:rPr>
                <w:rFonts w:hint="eastAsia"/>
              </w:rPr>
              <w:t>以审计报告为依据</w:t>
            </w:r>
          </w:p>
        </w:tc>
        <w:tc>
          <w:tcPr>
            <w:tcW w:w="1367" w:type="pct"/>
            <w:vAlign w:val="center"/>
          </w:tcPr>
          <w:p>
            <w:pPr>
              <w:widowControl/>
              <w:spacing w:line="240" w:lineRule="auto"/>
            </w:pPr>
            <w:r>
              <w:rPr>
                <w:rFonts w:hint="eastAsia"/>
              </w:rPr>
              <w:t>未采纳“无法确认真实的11.5万元的前期工作经费”审计意见，仍支付该部分资金</w:t>
            </w:r>
          </w:p>
        </w:tc>
        <w:tc>
          <w:tcPr>
            <w:tcW w:w="1244" w:type="pct"/>
            <w:vAlign w:val="center"/>
          </w:tcPr>
          <w:p>
            <w:pPr>
              <w:widowControl/>
              <w:spacing w:line="240" w:lineRule="auto"/>
            </w:pPr>
            <w:r>
              <w:rPr>
                <w:rFonts w:hint="eastAsia"/>
              </w:rPr>
              <w:t>支出</w:t>
            </w:r>
            <w:r>
              <w:rPr>
                <w:rFonts w:hint="eastAsia"/>
                <w:b/>
                <w:bCs/>
              </w:rPr>
              <w:t>依据前后矛盾</w:t>
            </w:r>
            <w:r>
              <w:rPr>
                <w:rFonts w:hint="eastAsia"/>
              </w:rPr>
              <w:t>，1</w:t>
            </w:r>
            <w:r>
              <w:t>1.5</w:t>
            </w:r>
            <w:r>
              <w:rPr>
                <w:rFonts w:hint="eastAsia"/>
              </w:rPr>
              <w:t>万元支出依据不充分</w:t>
            </w:r>
          </w:p>
        </w:tc>
      </w:tr>
    </w:tbl>
    <w:p>
      <w:pPr>
        <w:pStyle w:val="34"/>
        <w:ind w:firstLine="640"/>
      </w:pPr>
    </w:p>
    <w:p>
      <w:pPr>
        <w:pStyle w:val="39"/>
        <w:ind w:firstLine="643"/>
      </w:pPr>
      <w:r>
        <w:t>2.事项管理</w:t>
      </w:r>
    </w:p>
    <w:p>
      <w:pPr>
        <w:pStyle w:val="34"/>
        <w:ind w:firstLine="640"/>
      </w:pPr>
      <w:r>
        <w:t>事项管理</w:t>
      </w:r>
      <w:r>
        <w:rPr>
          <w:rFonts w:hint="eastAsia"/>
        </w:rPr>
        <w:t>的三级指标得分率如下</w:t>
      </w:r>
      <w:r>
        <w:t>（图2-6）：</w:t>
      </w:r>
    </w:p>
    <w:p>
      <w:pPr>
        <w:pStyle w:val="34"/>
        <w:spacing w:line="240" w:lineRule="auto"/>
        <w:ind w:firstLine="640"/>
      </w:pPr>
      <w:r>
        <w:drawing>
          <wp:inline distT="0" distB="0" distL="0" distR="0">
            <wp:extent cx="4572000" cy="1428115"/>
            <wp:effectExtent l="4445" t="4445" r="14605" b="15240"/>
            <wp:docPr id="1151663329"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Style w:val="51"/>
      </w:pPr>
      <w:r>
        <w:t>图2-6 事项管理的</w:t>
      </w:r>
      <w:r>
        <w:rPr>
          <w:rFonts w:hint="eastAsia"/>
        </w:rPr>
        <w:t>三</w:t>
      </w:r>
      <w:r>
        <w:t>级指标</w:t>
      </w:r>
      <w:r>
        <w:rPr>
          <w:rFonts w:hint="eastAsia"/>
        </w:rPr>
        <w:t>得分情况</w:t>
      </w:r>
    </w:p>
    <w:p>
      <w:pPr>
        <w:pStyle w:val="34"/>
        <w:ind w:firstLine="640"/>
      </w:pPr>
      <w:r>
        <w:t>（1）</w:t>
      </w:r>
      <w:r>
        <w:rPr>
          <w:rFonts w:hint="eastAsia"/>
        </w:rPr>
        <w:t>实施程序</w:t>
      </w:r>
    </w:p>
    <w:p>
      <w:pPr>
        <w:pStyle w:val="34"/>
        <w:ind w:firstLine="643"/>
      </w:pPr>
      <w:r>
        <w:rPr>
          <w:rFonts w:hint="eastAsia"/>
          <w:b/>
          <w:bCs/>
        </w:rPr>
        <w:t>程序规范性</w:t>
      </w:r>
      <w:r>
        <w:t>。大旺山矿区</w:t>
      </w:r>
      <w:r>
        <w:rPr>
          <w:rFonts w:hint="eastAsia"/>
        </w:rPr>
        <w:t>的地勘费用收款主体在不同合同约定不一致，</w:t>
      </w:r>
      <w:r>
        <w:t>黄龙岗矿区和大旺山矿区</w:t>
      </w:r>
      <w:r>
        <w:rPr>
          <w:rFonts w:hint="eastAsia"/>
        </w:rPr>
        <w:t>确认地勘单位的形式不合规，</w:t>
      </w:r>
      <w:r>
        <w:t>三棵松矿区补充详查阶段的招投代理工作不到位</w:t>
      </w:r>
      <w:r>
        <w:rPr>
          <w:rFonts w:hint="eastAsia"/>
        </w:rPr>
        <w:t>。具体如表2</w:t>
      </w:r>
      <w:r>
        <w:t>-4</w:t>
      </w:r>
      <w:r>
        <w:rPr>
          <w:rFonts w:hint="eastAsia"/>
        </w:rPr>
        <w:t>所示</w:t>
      </w:r>
      <w:r>
        <w:t>。</w:t>
      </w:r>
      <w:r>
        <w:rPr>
          <w:rFonts w:hint="eastAsia"/>
        </w:rPr>
        <w:t>指标分值4分，程序执行不规范扣3分，评价得1分。</w:t>
      </w:r>
    </w:p>
    <w:p>
      <w:pPr>
        <w:pStyle w:val="51"/>
      </w:pPr>
      <w:r>
        <w:t xml:space="preserve">表2-4 </w:t>
      </w:r>
      <w:r>
        <w:rPr>
          <w:rFonts w:hint="eastAsia"/>
        </w:rPr>
        <w:t>程序规范性分析</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事项规范</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实际操作</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rPr>
                <w:b/>
                <w:bCs/>
                <w:kern w:val="0"/>
                <w:szCs w:val="24"/>
              </w:rPr>
            </w:pPr>
            <w:r>
              <w:t>大旺山矿区</w:t>
            </w:r>
            <w:r>
              <w:rPr>
                <w:rFonts w:hint="eastAsia"/>
              </w:rPr>
              <w:t>的地勘费用收款主体</w:t>
            </w:r>
          </w:p>
        </w:tc>
        <w:tc>
          <w:tcPr>
            <w:tcW w:w="1367" w:type="pct"/>
            <w:shd w:val="clear" w:color="auto" w:fill="auto"/>
            <w:vAlign w:val="center"/>
          </w:tcPr>
          <w:p>
            <w:pPr>
              <w:widowControl/>
              <w:spacing w:line="240" w:lineRule="auto"/>
              <w:rPr>
                <w:b/>
                <w:bCs/>
                <w:kern w:val="0"/>
                <w:szCs w:val="24"/>
              </w:rPr>
            </w:pPr>
            <w:r>
              <w:t>《地勘合同》</w:t>
            </w:r>
            <w:r>
              <w:rPr>
                <w:rFonts w:hint="eastAsia"/>
              </w:rPr>
              <w:t>：</w:t>
            </w:r>
            <w:r>
              <w:rPr>
                <w:b/>
                <w:bCs/>
              </w:rPr>
              <w:t>广东省有色金属地质局九三二队</w:t>
            </w:r>
          </w:p>
        </w:tc>
        <w:tc>
          <w:tcPr>
            <w:tcW w:w="1367" w:type="pct"/>
            <w:shd w:val="clear" w:color="auto" w:fill="auto"/>
            <w:vAlign w:val="center"/>
          </w:tcPr>
          <w:p>
            <w:pPr>
              <w:widowControl/>
              <w:spacing w:line="240" w:lineRule="auto"/>
              <w:rPr>
                <w:b/>
                <w:bCs/>
                <w:kern w:val="0"/>
                <w:szCs w:val="24"/>
              </w:rPr>
            </w:pPr>
            <w:r>
              <w:t>《采矿权出让合同》</w:t>
            </w:r>
            <w:r>
              <w:rPr>
                <w:rFonts w:hint="eastAsia"/>
              </w:rPr>
              <w:t>：</w:t>
            </w:r>
            <w:r>
              <w:rPr>
                <w:b/>
                <w:bCs/>
              </w:rPr>
              <w:t>曲江区人民政府</w:t>
            </w:r>
          </w:p>
        </w:tc>
        <w:tc>
          <w:tcPr>
            <w:tcW w:w="1244" w:type="pct"/>
            <w:shd w:val="clear" w:color="auto" w:fill="auto"/>
            <w:vAlign w:val="center"/>
          </w:tcPr>
          <w:p>
            <w:pPr>
              <w:widowControl/>
              <w:spacing w:line="240" w:lineRule="auto"/>
              <w:rPr>
                <w:kern w:val="0"/>
                <w:szCs w:val="24"/>
              </w:rPr>
            </w:pPr>
            <w:r>
              <w:rPr>
                <w:rFonts w:hint="eastAsia"/>
                <w:kern w:val="0"/>
                <w:szCs w:val="24"/>
              </w:rPr>
              <w:t>收款</w:t>
            </w:r>
            <w:r>
              <w:rPr>
                <w:rFonts w:hint="eastAsia"/>
                <w:b/>
                <w:bCs/>
                <w:kern w:val="0"/>
                <w:szCs w:val="24"/>
              </w:rPr>
              <w:t>主体</w:t>
            </w:r>
            <w:r>
              <w:rPr>
                <w:rFonts w:hint="eastAsia"/>
                <w:kern w:val="0"/>
                <w:szCs w:val="24"/>
              </w:rPr>
              <w:t>在不同合同约定</w:t>
            </w:r>
            <w:r>
              <w:rPr>
                <w:rFonts w:hint="eastAsia"/>
                <w:b/>
                <w:bCs/>
                <w:kern w:val="0"/>
                <w:szCs w:val="24"/>
              </w:rPr>
              <w:t>不一致</w:t>
            </w:r>
            <w:r>
              <w:rPr>
                <w:rFonts w:hint="eastAsia"/>
                <w:kern w:val="0"/>
                <w:szCs w:val="24"/>
              </w:rPr>
              <w:t>，易导致资金流程混乱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pPr>
            <w:r>
              <w:t>大旺山矿区</w:t>
            </w:r>
            <w:r>
              <w:rPr>
                <w:rFonts w:hint="eastAsia"/>
              </w:rPr>
              <w:t>的地勘单位采购</w:t>
            </w:r>
          </w:p>
        </w:tc>
        <w:tc>
          <w:tcPr>
            <w:tcW w:w="1367" w:type="pct"/>
            <w:shd w:val="clear" w:color="auto" w:fill="auto"/>
            <w:vAlign w:val="center"/>
          </w:tcPr>
          <w:p>
            <w:pPr>
              <w:widowControl/>
              <w:spacing w:line="240" w:lineRule="auto"/>
            </w:pPr>
            <w:r>
              <w:rPr>
                <w:rFonts w:hint="eastAsia"/>
              </w:rPr>
              <w:t>合规形式：公开招标</w:t>
            </w:r>
          </w:p>
        </w:tc>
        <w:tc>
          <w:tcPr>
            <w:tcW w:w="1367" w:type="pct"/>
            <w:shd w:val="clear" w:color="auto" w:fill="auto"/>
            <w:vAlign w:val="center"/>
          </w:tcPr>
          <w:p>
            <w:pPr>
              <w:widowControl/>
              <w:spacing w:line="240" w:lineRule="auto"/>
            </w:pPr>
            <w:r>
              <w:rPr>
                <w:rFonts w:hint="eastAsia"/>
              </w:rPr>
              <w:t>实际：“</w:t>
            </w:r>
            <w:r>
              <w:t>询价</w:t>
            </w:r>
            <w:r>
              <w:rPr>
                <w:rFonts w:hint="eastAsia"/>
              </w:rPr>
              <w:t>”</w:t>
            </w:r>
            <w:r>
              <w:t>和区政府决策的方式</w:t>
            </w:r>
          </w:p>
        </w:tc>
        <w:tc>
          <w:tcPr>
            <w:tcW w:w="1244" w:type="pct"/>
            <w:vMerge w:val="restart"/>
            <w:shd w:val="clear" w:color="auto" w:fill="auto"/>
            <w:vAlign w:val="center"/>
          </w:tcPr>
          <w:p>
            <w:pPr>
              <w:widowControl/>
              <w:spacing w:line="240" w:lineRule="auto"/>
              <w:rPr>
                <w:kern w:val="0"/>
                <w:szCs w:val="24"/>
              </w:rPr>
            </w:pPr>
            <w:r>
              <w:t>违反《政府采购法实施条例》和《广东省政府集中采购目录及标准（2020年版）》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4" w:hRule="atLeast"/>
          <w:jc w:val="center"/>
        </w:trPr>
        <w:tc>
          <w:tcPr>
            <w:tcW w:w="1022" w:type="pct"/>
            <w:shd w:val="clear" w:color="auto" w:fill="auto"/>
            <w:vAlign w:val="center"/>
          </w:tcPr>
          <w:p>
            <w:pPr>
              <w:widowControl/>
              <w:spacing w:line="240" w:lineRule="auto"/>
            </w:pPr>
            <w:r>
              <w:t>黄龙岗矿区</w:t>
            </w:r>
            <w:r>
              <w:rPr>
                <w:rFonts w:hint="eastAsia"/>
              </w:rPr>
              <w:t>的地勘单位采购</w:t>
            </w:r>
          </w:p>
        </w:tc>
        <w:tc>
          <w:tcPr>
            <w:tcW w:w="1367" w:type="pct"/>
            <w:shd w:val="clear" w:color="auto" w:fill="auto"/>
            <w:vAlign w:val="center"/>
          </w:tcPr>
          <w:p>
            <w:pPr>
              <w:widowControl/>
              <w:spacing w:line="240" w:lineRule="auto"/>
            </w:pPr>
            <w:r>
              <w:rPr>
                <w:rFonts w:hint="eastAsia"/>
              </w:rPr>
              <w:t>合规形式：公开招标</w:t>
            </w:r>
          </w:p>
        </w:tc>
        <w:tc>
          <w:tcPr>
            <w:tcW w:w="1367" w:type="pct"/>
            <w:shd w:val="clear" w:color="auto" w:fill="auto"/>
            <w:vAlign w:val="center"/>
          </w:tcPr>
          <w:p>
            <w:pPr>
              <w:widowControl/>
              <w:spacing w:line="240" w:lineRule="auto"/>
            </w:pPr>
            <w:r>
              <w:rPr>
                <w:rFonts w:hint="eastAsia"/>
              </w:rPr>
              <w:t>实际：“</w:t>
            </w:r>
            <w:r>
              <w:t>询价</w:t>
            </w:r>
            <w:r>
              <w:rPr>
                <w:rFonts w:hint="eastAsia"/>
              </w:rPr>
              <w:t>”</w:t>
            </w:r>
            <w:r>
              <w:t>和区政府决策的方式</w:t>
            </w:r>
          </w:p>
        </w:tc>
        <w:tc>
          <w:tcPr>
            <w:tcW w:w="1244" w:type="pct"/>
            <w:vMerge w:val="continue"/>
            <w:shd w:val="clear" w:color="auto" w:fill="auto"/>
            <w:vAlign w:val="center"/>
          </w:tcPr>
          <w:p>
            <w:pPr>
              <w:widowControl/>
              <w:spacing w:line="240" w:lineRule="auto"/>
              <w:rPr>
                <w:kern w:val="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pPr>
            <w:r>
              <w:t>三棵松矿</w:t>
            </w:r>
            <w:r>
              <w:rPr>
                <w:rFonts w:hint="eastAsia"/>
              </w:rPr>
              <w:t>区补充详尽阶段的招标代理</w:t>
            </w:r>
          </w:p>
        </w:tc>
        <w:tc>
          <w:tcPr>
            <w:tcW w:w="1367" w:type="pct"/>
            <w:shd w:val="clear" w:color="auto" w:fill="auto"/>
            <w:vAlign w:val="center"/>
          </w:tcPr>
          <w:p>
            <w:pPr>
              <w:widowControl/>
              <w:spacing w:line="240" w:lineRule="auto"/>
            </w:pPr>
            <w:r>
              <w:rPr>
                <w:rFonts w:hint="eastAsia"/>
              </w:rPr>
              <w:t>合规形式：拒收过期投标代理文件</w:t>
            </w:r>
          </w:p>
        </w:tc>
        <w:tc>
          <w:tcPr>
            <w:tcW w:w="1367" w:type="pct"/>
            <w:shd w:val="clear" w:color="auto" w:fill="auto"/>
            <w:vAlign w:val="center"/>
          </w:tcPr>
          <w:p>
            <w:pPr>
              <w:widowControl/>
              <w:spacing w:line="240" w:lineRule="auto"/>
            </w:pPr>
            <w:r>
              <w:rPr>
                <w:rFonts w:hint="eastAsia"/>
              </w:rPr>
              <w:t>实际：接收过期投标文件</w:t>
            </w:r>
          </w:p>
        </w:tc>
        <w:tc>
          <w:tcPr>
            <w:tcW w:w="1244" w:type="pct"/>
            <w:shd w:val="clear" w:color="auto" w:fill="auto"/>
            <w:vAlign w:val="center"/>
          </w:tcPr>
          <w:p>
            <w:pPr>
              <w:widowControl/>
              <w:spacing w:line="240" w:lineRule="auto"/>
              <w:rPr>
                <w:kern w:val="0"/>
                <w:szCs w:val="24"/>
              </w:rPr>
            </w:pPr>
            <w:r>
              <w:rPr>
                <w:rFonts w:hint="eastAsia"/>
                <w:kern w:val="0"/>
                <w:szCs w:val="24"/>
              </w:rPr>
              <w:t>招标代理机构</w:t>
            </w:r>
            <w:r>
              <w:rPr>
                <w:rFonts w:hint="eastAsia"/>
                <w:b/>
                <w:bCs/>
                <w:kern w:val="0"/>
                <w:szCs w:val="24"/>
              </w:rPr>
              <w:t>审核不严谨</w:t>
            </w:r>
            <w:r>
              <w:rPr>
                <w:rFonts w:hint="eastAsia"/>
                <w:kern w:val="0"/>
                <w:szCs w:val="24"/>
              </w:rPr>
              <w:t>，评标范围不合理</w:t>
            </w:r>
          </w:p>
        </w:tc>
      </w:tr>
    </w:tbl>
    <w:p>
      <w:pPr>
        <w:pStyle w:val="34"/>
        <w:ind w:firstLine="640"/>
      </w:pPr>
    </w:p>
    <w:p>
      <w:pPr>
        <w:pStyle w:val="34"/>
        <w:ind w:firstLine="640"/>
      </w:pPr>
      <w:r>
        <w:t>（2）</w:t>
      </w:r>
      <w:r>
        <w:rPr>
          <w:rFonts w:hint="eastAsia"/>
        </w:rPr>
        <w:t>管理情况</w:t>
      </w:r>
    </w:p>
    <w:p>
      <w:pPr>
        <w:pStyle w:val="34"/>
        <w:ind w:firstLine="643"/>
      </w:pPr>
      <w:r>
        <w:rPr>
          <w:rFonts w:hint="eastAsia"/>
          <w:b/>
          <w:bCs/>
        </w:rPr>
        <w:t>监管有效性</w:t>
      </w:r>
      <w:r>
        <w:t>。三棵松矿区</w:t>
      </w:r>
      <w:r>
        <w:rPr>
          <w:rFonts w:hint="eastAsia"/>
        </w:rPr>
        <w:t>，未采纳市局工作指导</w:t>
      </w:r>
      <w:r>
        <w:t>增加67.81万元的项目实施成本</w:t>
      </w:r>
      <w:r>
        <w:rPr>
          <w:rFonts w:hint="eastAsia"/>
        </w:rPr>
        <w:t>，补充详尽阶段的采购流程倒置，项目管理未得到有效落实。具体如表2</w:t>
      </w:r>
      <w:r>
        <w:t>-5</w:t>
      </w:r>
      <w:r>
        <w:rPr>
          <w:rFonts w:hint="eastAsia"/>
        </w:rPr>
        <w:t>所示</w:t>
      </w:r>
      <w:r>
        <w:t>。</w:t>
      </w:r>
      <w:r>
        <w:rPr>
          <w:rFonts w:hint="eastAsia"/>
        </w:rPr>
        <w:t>指标分值4分，监督管理落实不到位扣2分，评价得2分。</w:t>
      </w:r>
    </w:p>
    <w:p>
      <w:pPr>
        <w:pStyle w:val="51"/>
      </w:pPr>
      <w:r>
        <w:t xml:space="preserve">表2-5 </w:t>
      </w:r>
      <w:r>
        <w:rPr>
          <w:rFonts w:hint="eastAsia"/>
        </w:rPr>
        <w:t>监管有效性分析</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工作指导</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实际操作</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rPr>
                <w:b/>
                <w:bCs/>
                <w:kern w:val="0"/>
                <w:szCs w:val="24"/>
              </w:rPr>
            </w:pPr>
            <w:r>
              <w:t>三棵松矿</w:t>
            </w:r>
            <w:r>
              <w:rPr>
                <w:rFonts w:hint="eastAsia"/>
              </w:rPr>
              <w:t>区的地勘费用</w:t>
            </w:r>
          </w:p>
        </w:tc>
        <w:tc>
          <w:tcPr>
            <w:tcW w:w="1367" w:type="pct"/>
            <w:shd w:val="clear" w:color="auto" w:fill="auto"/>
            <w:vAlign w:val="center"/>
          </w:tcPr>
          <w:p>
            <w:pPr>
              <w:widowControl/>
              <w:spacing w:line="240" w:lineRule="auto"/>
              <w:rPr>
                <w:b/>
                <w:bCs/>
                <w:kern w:val="0"/>
                <w:szCs w:val="24"/>
              </w:rPr>
            </w:pPr>
            <w:r>
              <w:rPr>
                <w:rFonts w:hint="eastAsia"/>
              </w:rPr>
              <w:t>已完成工作，按八折进行最终结算，并移除青苗补偿费和机台搬迁及机台平整费用</w:t>
            </w:r>
          </w:p>
        </w:tc>
        <w:tc>
          <w:tcPr>
            <w:tcW w:w="1367" w:type="pct"/>
            <w:shd w:val="clear" w:color="auto" w:fill="auto"/>
            <w:vAlign w:val="center"/>
          </w:tcPr>
          <w:p>
            <w:pPr>
              <w:widowControl/>
              <w:spacing w:line="240" w:lineRule="auto"/>
              <w:rPr>
                <w:b/>
                <w:bCs/>
                <w:kern w:val="0"/>
                <w:szCs w:val="24"/>
              </w:rPr>
            </w:pPr>
            <w:r>
              <w:rPr>
                <w:rFonts w:hint="eastAsia"/>
              </w:rPr>
              <w:t>区局未采纳工作指导，仍按原合同执行</w:t>
            </w:r>
          </w:p>
        </w:tc>
        <w:tc>
          <w:tcPr>
            <w:tcW w:w="1244" w:type="pct"/>
            <w:shd w:val="clear" w:color="auto" w:fill="auto"/>
            <w:vAlign w:val="center"/>
          </w:tcPr>
          <w:p>
            <w:pPr>
              <w:widowControl/>
              <w:spacing w:line="240" w:lineRule="auto"/>
              <w:rPr>
                <w:kern w:val="0"/>
                <w:szCs w:val="24"/>
              </w:rPr>
            </w:pPr>
            <w:r>
              <w:rPr>
                <w:rFonts w:hint="eastAsia"/>
                <w:kern w:val="0"/>
                <w:szCs w:val="24"/>
              </w:rPr>
              <w:t>上级工作指导未落实，</w:t>
            </w:r>
            <w:r>
              <w:rPr>
                <w:rFonts w:hint="eastAsia"/>
                <w:b/>
                <w:bCs/>
                <w:kern w:val="0"/>
                <w:szCs w:val="24"/>
              </w:rPr>
              <w:t>增加</w:t>
            </w:r>
            <w:r>
              <w:rPr>
                <w:rFonts w:hint="eastAsia"/>
                <w:b/>
                <w:bCs/>
              </w:rPr>
              <w:t>67.81万元项目成本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pPr>
            <w:r>
              <w:t>三棵松矿</w:t>
            </w:r>
            <w:r>
              <w:rPr>
                <w:rFonts w:hint="eastAsia"/>
              </w:rPr>
              <w:t>区补充详尽阶段的工作流程</w:t>
            </w:r>
          </w:p>
        </w:tc>
        <w:tc>
          <w:tcPr>
            <w:tcW w:w="1367" w:type="pct"/>
            <w:shd w:val="clear" w:color="auto" w:fill="auto"/>
            <w:vAlign w:val="center"/>
          </w:tcPr>
          <w:p>
            <w:pPr>
              <w:widowControl/>
              <w:spacing w:line="240" w:lineRule="auto"/>
            </w:pPr>
            <w:r>
              <w:rPr>
                <w:rFonts w:hint="eastAsia"/>
              </w:rPr>
              <w:t>《补充地勘合同》：</w:t>
            </w:r>
            <w:r>
              <w:t>野外工作的开始时间为2023年5月10日</w:t>
            </w:r>
          </w:p>
        </w:tc>
        <w:tc>
          <w:tcPr>
            <w:tcW w:w="1367" w:type="pct"/>
            <w:shd w:val="clear" w:color="auto" w:fill="auto"/>
            <w:vAlign w:val="center"/>
          </w:tcPr>
          <w:p>
            <w:pPr>
              <w:widowControl/>
              <w:spacing w:line="240" w:lineRule="auto"/>
            </w:pPr>
            <w:r>
              <w:t>合同签订时间为2023年5月17日</w:t>
            </w:r>
          </w:p>
        </w:tc>
        <w:tc>
          <w:tcPr>
            <w:tcW w:w="1244" w:type="pct"/>
            <w:shd w:val="clear" w:color="auto" w:fill="auto"/>
            <w:vAlign w:val="center"/>
          </w:tcPr>
          <w:p>
            <w:pPr>
              <w:widowControl/>
              <w:spacing w:line="240" w:lineRule="auto"/>
              <w:rPr>
                <w:kern w:val="0"/>
                <w:szCs w:val="24"/>
              </w:rPr>
            </w:pPr>
            <w:r>
              <w:t>项目合同签订前已经开始野外资源勘查工作</w:t>
            </w:r>
            <w:r>
              <w:rPr>
                <w:rFonts w:hint="eastAsia"/>
              </w:rPr>
              <w:t>，</w:t>
            </w:r>
            <w:r>
              <w:rPr>
                <w:rFonts w:hint="eastAsia"/>
                <w:b/>
                <w:bCs/>
              </w:rPr>
              <w:t>流程倒置</w:t>
            </w:r>
          </w:p>
        </w:tc>
      </w:tr>
    </w:tbl>
    <w:p>
      <w:pPr>
        <w:pStyle w:val="34"/>
        <w:ind w:firstLine="640"/>
      </w:pPr>
    </w:p>
    <w:p>
      <w:pPr>
        <w:pStyle w:val="37"/>
        <w:ind w:firstLine="640"/>
      </w:pPr>
      <w:bookmarkStart w:id="11" w:name="_Toc181571197"/>
      <w:r>
        <w:t>（三）产出</w:t>
      </w:r>
      <w:bookmarkEnd w:id="11"/>
    </w:p>
    <w:p>
      <w:pPr>
        <w:pStyle w:val="34"/>
        <w:ind w:firstLine="640"/>
      </w:pPr>
      <w:r>
        <w:t>项目产出的</w:t>
      </w:r>
      <w:r>
        <w:rPr>
          <w:rFonts w:hint="eastAsia"/>
        </w:rPr>
        <w:t>二</w:t>
      </w:r>
      <w:r>
        <w:t>级指标得分率如下（图2-7）：</w:t>
      </w:r>
    </w:p>
    <w:p>
      <w:pPr>
        <w:pStyle w:val="41"/>
        <w:spacing w:line="240" w:lineRule="auto"/>
        <w:ind w:firstLine="643"/>
      </w:pPr>
      <w:r>
        <w:drawing>
          <wp:inline distT="0" distB="0" distL="0" distR="0">
            <wp:extent cx="4572000" cy="1428115"/>
            <wp:effectExtent l="4445" t="4445" r="14605" b="15240"/>
            <wp:docPr id="100241827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pStyle w:val="51"/>
      </w:pPr>
      <w:r>
        <w:t>图2-7 产出的</w:t>
      </w:r>
      <w:r>
        <w:rPr>
          <w:rFonts w:hint="eastAsia"/>
        </w:rPr>
        <w:t>二</w:t>
      </w:r>
      <w:r>
        <w:t>级指标得分</w:t>
      </w:r>
      <w:r>
        <w:rPr>
          <w:rFonts w:hint="eastAsia"/>
        </w:rPr>
        <w:t>情况</w:t>
      </w:r>
    </w:p>
    <w:p>
      <w:pPr>
        <w:pStyle w:val="39"/>
        <w:ind w:firstLine="643"/>
      </w:pPr>
      <w:r>
        <w:t>1.经济性</w:t>
      </w:r>
    </w:p>
    <w:p>
      <w:pPr>
        <w:pStyle w:val="34"/>
        <w:ind w:firstLine="643"/>
      </w:pPr>
      <w:r>
        <w:rPr>
          <w:b/>
          <w:bCs/>
        </w:rPr>
        <w:t>预算控制</w:t>
      </w:r>
      <w:r>
        <w:t>。项目以资金池的形式支持各矿区资源勘查开展，缩短了矿区申请预算开展工作的时间，全年未见预算调整。</w:t>
      </w:r>
      <w:r>
        <w:rPr>
          <w:rFonts w:hint="eastAsia"/>
        </w:rPr>
        <w:t>指标分值5分，根据评价标准，得满分。</w:t>
      </w:r>
    </w:p>
    <w:p>
      <w:pPr>
        <w:pStyle w:val="39"/>
        <w:ind w:firstLine="643"/>
        <w:rPr>
          <w:rStyle w:val="35"/>
        </w:rPr>
      </w:pPr>
      <w:r>
        <w:t>2.</w:t>
      </w:r>
      <w:r>
        <w:rPr>
          <w:rStyle w:val="35"/>
        </w:rPr>
        <w:t>效率性</w:t>
      </w:r>
    </w:p>
    <w:p>
      <w:pPr>
        <w:pStyle w:val="34"/>
        <w:ind w:firstLine="640"/>
      </w:pPr>
      <w:r>
        <w:rPr>
          <w:rStyle w:val="35"/>
        </w:rPr>
        <w:t>效率性</w:t>
      </w:r>
      <w:r>
        <w:rPr>
          <w:rFonts w:hint="eastAsia"/>
        </w:rPr>
        <w:t>的三级指标得分率如下</w:t>
      </w:r>
      <w:r>
        <w:t>（图2-8）：</w:t>
      </w:r>
    </w:p>
    <w:p>
      <w:pPr>
        <w:pStyle w:val="34"/>
        <w:spacing w:line="240" w:lineRule="auto"/>
        <w:ind w:firstLine="640"/>
      </w:pPr>
      <w:r>
        <w:drawing>
          <wp:inline distT="0" distB="0" distL="0" distR="0">
            <wp:extent cx="4572000" cy="1540510"/>
            <wp:effectExtent l="4445" t="4445" r="14605" b="17145"/>
            <wp:docPr id="1577296170"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pStyle w:val="51"/>
      </w:pPr>
      <w:r>
        <w:t xml:space="preserve">图2-8 </w:t>
      </w:r>
      <w:r>
        <w:rPr>
          <w:rFonts w:hint="eastAsia"/>
        </w:rPr>
        <w:t>效率性</w:t>
      </w:r>
      <w:r>
        <w:t>的</w:t>
      </w:r>
      <w:r>
        <w:rPr>
          <w:rFonts w:hint="eastAsia"/>
        </w:rPr>
        <w:t>三</w:t>
      </w:r>
      <w:r>
        <w:t>级指标</w:t>
      </w:r>
      <w:r>
        <w:rPr>
          <w:rFonts w:hint="eastAsia"/>
        </w:rPr>
        <w:t>得分情况</w:t>
      </w:r>
    </w:p>
    <w:p>
      <w:pPr>
        <w:pStyle w:val="34"/>
        <w:ind w:firstLine="640"/>
      </w:pPr>
      <w:r>
        <w:t>（1）</w:t>
      </w:r>
      <w:r>
        <w:rPr>
          <w:rFonts w:hint="eastAsia"/>
        </w:rPr>
        <w:t>完成数量</w:t>
      </w:r>
    </w:p>
    <w:p>
      <w:pPr>
        <w:pStyle w:val="34"/>
        <w:ind w:firstLine="643"/>
      </w:pPr>
      <w:r>
        <w:rPr>
          <w:rFonts w:hint="eastAsia"/>
          <w:b/>
          <w:bCs/>
        </w:rPr>
        <w:t>机械岩心钻探</w:t>
      </w:r>
      <w:r>
        <w:rPr>
          <w:b/>
          <w:bCs/>
        </w:rPr>
        <w:t>。</w:t>
      </w:r>
      <w:r>
        <w:rPr>
          <w:rFonts w:hint="eastAsia"/>
        </w:rPr>
        <w:t>大旺山、黄龙岗和红尾坑3个矿区计划开展机械岩心钻探14</w:t>
      </w:r>
      <w:r>
        <w:t>,</w:t>
      </w:r>
      <w:r>
        <w:rPr>
          <w:rFonts w:hint="eastAsia"/>
        </w:rPr>
        <w:t>320m，实际完成钻探12</w:t>
      </w:r>
      <w:r>
        <w:t>,</w:t>
      </w:r>
      <w:r>
        <w:rPr>
          <w:rFonts w:hint="eastAsia"/>
        </w:rPr>
        <w:t>361.71m，计划完成率为</w:t>
      </w:r>
      <w:r>
        <w:rPr>
          <w:rFonts w:hint="eastAsia"/>
          <w:color w:val="000000"/>
        </w:rPr>
        <w:t>86.32%，未完成原因</w:t>
      </w:r>
      <w:r>
        <w:rPr>
          <w:rFonts w:hint="eastAsia"/>
        </w:rPr>
        <w:t>为黄龙岗矿区停止机械岩心钻探计划。具体如表2</w:t>
      </w:r>
      <w:r>
        <w:t>-6</w:t>
      </w:r>
      <w:r>
        <w:rPr>
          <w:rFonts w:hint="eastAsia"/>
        </w:rPr>
        <w:t>所示。指标分值2分，根据评价标准，得满分。</w:t>
      </w:r>
    </w:p>
    <w:p>
      <w:pPr>
        <w:pStyle w:val="51"/>
      </w:pPr>
      <w:r>
        <w:t xml:space="preserve">表2-6 </w:t>
      </w:r>
      <w:r>
        <w:rPr>
          <w:rFonts w:hint="eastAsia"/>
        </w:rPr>
        <w:t>机械岩心钻探完成情况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矿区</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计划值</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完成值</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大旺山矿区</w:t>
            </w:r>
          </w:p>
        </w:tc>
        <w:tc>
          <w:tcPr>
            <w:tcW w:w="1367" w:type="pct"/>
            <w:shd w:val="clear" w:color="auto" w:fill="auto"/>
            <w:vAlign w:val="center"/>
          </w:tcPr>
          <w:p>
            <w:pPr>
              <w:widowControl/>
              <w:spacing w:line="240" w:lineRule="auto"/>
              <w:jc w:val="center"/>
              <w:rPr>
                <w:b/>
                <w:bCs/>
                <w:kern w:val="0"/>
                <w:szCs w:val="24"/>
              </w:rPr>
            </w:pPr>
            <w:r>
              <w:t>4,500m</w:t>
            </w:r>
          </w:p>
        </w:tc>
        <w:tc>
          <w:tcPr>
            <w:tcW w:w="1367" w:type="pct"/>
            <w:shd w:val="clear" w:color="auto" w:fill="auto"/>
            <w:vAlign w:val="center"/>
          </w:tcPr>
          <w:p>
            <w:pPr>
              <w:widowControl/>
              <w:spacing w:line="240" w:lineRule="auto"/>
              <w:jc w:val="center"/>
              <w:rPr>
                <w:b/>
                <w:bCs/>
                <w:kern w:val="0"/>
                <w:szCs w:val="24"/>
              </w:rPr>
            </w:pPr>
            <w:r>
              <w:rPr>
                <w:rFonts w:hint="eastAsia"/>
              </w:rPr>
              <w:t>4</w:t>
            </w:r>
            <w:r>
              <w:t>,</w:t>
            </w:r>
            <w:r>
              <w:rPr>
                <w:rFonts w:hint="eastAsia"/>
              </w:rPr>
              <w:t>621.51m</w:t>
            </w:r>
          </w:p>
        </w:tc>
        <w:tc>
          <w:tcPr>
            <w:tcW w:w="1244" w:type="pct"/>
            <w:shd w:val="clear" w:color="auto" w:fill="auto"/>
            <w:vAlign w:val="center"/>
          </w:tcPr>
          <w:p>
            <w:pPr>
              <w:widowControl/>
              <w:spacing w:line="240" w:lineRule="auto"/>
              <w:jc w:val="center"/>
              <w:rPr>
                <w:kern w:val="0"/>
                <w:szCs w:val="24"/>
              </w:rPr>
            </w:pPr>
            <w:r>
              <w:rPr>
                <w:rFonts w:hint="eastAsia"/>
                <w:color w:val="000000"/>
              </w:rPr>
              <w:t>102.70%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三棵松</w:t>
            </w:r>
            <w:r>
              <w:t>矿区</w:t>
            </w:r>
          </w:p>
        </w:tc>
        <w:tc>
          <w:tcPr>
            <w:tcW w:w="1367" w:type="pct"/>
            <w:shd w:val="clear" w:color="auto" w:fill="auto"/>
            <w:vAlign w:val="center"/>
          </w:tcPr>
          <w:p>
            <w:pPr>
              <w:widowControl/>
              <w:spacing w:line="240" w:lineRule="auto"/>
              <w:jc w:val="center"/>
            </w:pPr>
            <w:r>
              <w:rPr>
                <w:rFonts w:hint="eastAsia"/>
              </w:rPr>
              <w:t>6</w:t>
            </w:r>
            <w:r>
              <w:t>,</w:t>
            </w:r>
            <w:r>
              <w:rPr>
                <w:rFonts w:hint="eastAsia"/>
              </w:rPr>
              <w:t>970m</w:t>
            </w:r>
          </w:p>
        </w:tc>
        <w:tc>
          <w:tcPr>
            <w:tcW w:w="1367" w:type="pct"/>
            <w:shd w:val="clear" w:color="auto" w:fill="auto"/>
            <w:vAlign w:val="center"/>
          </w:tcPr>
          <w:p>
            <w:pPr>
              <w:widowControl/>
              <w:spacing w:line="240" w:lineRule="auto"/>
              <w:jc w:val="center"/>
            </w:pPr>
            <w:r>
              <w:rPr>
                <w:rFonts w:hint="eastAsia"/>
              </w:rPr>
              <w:t>6</w:t>
            </w:r>
            <w:r>
              <w:t>,</w:t>
            </w:r>
            <w:r>
              <w:rPr>
                <w:rFonts w:hint="eastAsia"/>
              </w:rPr>
              <w:t>984.58m</w:t>
            </w:r>
          </w:p>
        </w:tc>
        <w:tc>
          <w:tcPr>
            <w:tcW w:w="1244" w:type="pct"/>
            <w:shd w:val="clear" w:color="auto" w:fill="auto"/>
            <w:vAlign w:val="center"/>
          </w:tcPr>
          <w:p>
            <w:pPr>
              <w:widowControl/>
              <w:spacing w:line="240" w:lineRule="auto"/>
              <w:jc w:val="center"/>
              <w:rPr>
                <w:kern w:val="0"/>
                <w:szCs w:val="24"/>
              </w:rPr>
            </w:pPr>
            <w:r>
              <w:rPr>
                <w:rFonts w:hint="eastAsia"/>
                <w:color w:val="000000"/>
              </w:rPr>
              <w:t>100.21%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黄龙岗</w:t>
            </w:r>
            <w:r>
              <w:t>矿区</w:t>
            </w:r>
          </w:p>
        </w:tc>
        <w:tc>
          <w:tcPr>
            <w:tcW w:w="1367" w:type="pct"/>
            <w:shd w:val="clear" w:color="auto" w:fill="auto"/>
            <w:vAlign w:val="center"/>
          </w:tcPr>
          <w:p>
            <w:pPr>
              <w:widowControl/>
              <w:spacing w:line="240" w:lineRule="auto"/>
              <w:jc w:val="center"/>
            </w:pPr>
            <w:r>
              <w:rPr>
                <w:rFonts w:hint="eastAsia"/>
              </w:rPr>
              <w:t>2</w:t>
            </w:r>
            <w:r>
              <w:t>,</w:t>
            </w:r>
            <w:r>
              <w:rPr>
                <w:rFonts w:hint="eastAsia"/>
              </w:rPr>
              <w:t>850m</w:t>
            </w:r>
          </w:p>
        </w:tc>
        <w:tc>
          <w:tcPr>
            <w:tcW w:w="1367" w:type="pct"/>
            <w:shd w:val="clear" w:color="auto" w:fill="auto"/>
            <w:vAlign w:val="center"/>
          </w:tcPr>
          <w:p>
            <w:pPr>
              <w:widowControl/>
              <w:spacing w:line="240" w:lineRule="auto"/>
              <w:jc w:val="center"/>
            </w:pPr>
            <w:r>
              <w:rPr>
                <w:rFonts w:hint="eastAsia"/>
              </w:rPr>
              <w:t>755.62m</w:t>
            </w:r>
          </w:p>
        </w:tc>
        <w:tc>
          <w:tcPr>
            <w:tcW w:w="1244" w:type="pct"/>
            <w:shd w:val="clear" w:color="auto" w:fill="auto"/>
            <w:vAlign w:val="center"/>
          </w:tcPr>
          <w:p>
            <w:pPr>
              <w:widowControl/>
              <w:spacing w:line="240" w:lineRule="auto"/>
              <w:jc w:val="center"/>
              <w:rPr>
                <w:kern w:val="0"/>
                <w:szCs w:val="24"/>
              </w:rPr>
            </w:pPr>
            <w:r>
              <w:rPr>
                <w:rFonts w:hint="eastAsia"/>
                <w:color w:val="000000"/>
              </w:rPr>
              <w:t>26.51%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合计</w:t>
            </w:r>
          </w:p>
        </w:tc>
        <w:tc>
          <w:tcPr>
            <w:tcW w:w="1367" w:type="pct"/>
            <w:shd w:val="clear" w:color="auto" w:fill="auto"/>
            <w:vAlign w:val="center"/>
          </w:tcPr>
          <w:p>
            <w:pPr>
              <w:widowControl/>
              <w:spacing w:line="240" w:lineRule="auto"/>
              <w:jc w:val="center"/>
            </w:pPr>
            <w:r>
              <w:rPr>
                <w:rFonts w:hint="eastAsia"/>
              </w:rPr>
              <w:t>14</w:t>
            </w:r>
            <w:r>
              <w:t>,</w:t>
            </w:r>
            <w:r>
              <w:rPr>
                <w:rFonts w:hint="eastAsia"/>
              </w:rPr>
              <w:t>320m</w:t>
            </w:r>
          </w:p>
        </w:tc>
        <w:tc>
          <w:tcPr>
            <w:tcW w:w="1367" w:type="pct"/>
            <w:shd w:val="clear" w:color="auto" w:fill="auto"/>
            <w:vAlign w:val="center"/>
          </w:tcPr>
          <w:p>
            <w:pPr>
              <w:widowControl/>
              <w:spacing w:line="240" w:lineRule="auto"/>
              <w:jc w:val="center"/>
            </w:pPr>
            <w:r>
              <w:rPr>
                <w:rFonts w:hint="eastAsia"/>
              </w:rPr>
              <w:t>12</w:t>
            </w:r>
            <w:r>
              <w:t>,</w:t>
            </w:r>
            <w:r>
              <w:rPr>
                <w:rFonts w:hint="eastAsia"/>
              </w:rPr>
              <w:t>361.71m</w:t>
            </w:r>
          </w:p>
        </w:tc>
        <w:tc>
          <w:tcPr>
            <w:tcW w:w="1244" w:type="pct"/>
            <w:shd w:val="clear" w:color="auto" w:fill="auto"/>
            <w:vAlign w:val="center"/>
          </w:tcPr>
          <w:p>
            <w:pPr>
              <w:widowControl/>
              <w:spacing w:line="240" w:lineRule="auto"/>
              <w:jc w:val="center"/>
              <w:rPr>
                <w:kern w:val="0"/>
                <w:szCs w:val="24"/>
              </w:rPr>
            </w:pPr>
            <w:r>
              <w:rPr>
                <w:rFonts w:hint="eastAsia"/>
                <w:color w:val="000000"/>
              </w:rPr>
              <w:t>86.32%</w:t>
            </w:r>
          </w:p>
        </w:tc>
      </w:tr>
    </w:tbl>
    <w:p>
      <w:pPr>
        <w:pStyle w:val="34"/>
        <w:ind w:firstLine="640"/>
      </w:pPr>
    </w:p>
    <w:p>
      <w:pPr>
        <w:pStyle w:val="34"/>
        <w:ind w:firstLine="643"/>
      </w:pPr>
      <w:r>
        <w:rPr>
          <w:rFonts w:hint="eastAsia"/>
          <w:b/>
          <w:bCs/>
        </w:rPr>
        <w:t>开展勘查找矿</w:t>
      </w:r>
      <w:r>
        <w:t>。</w:t>
      </w:r>
      <w:r>
        <w:rPr>
          <w:rFonts w:hint="eastAsia"/>
        </w:rPr>
        <w:t>项目计划开展勘查找矿4宗，实际项目资金共支持大旺山</w:t>
      </w:r>
      <w:r>
        <w:t>矿区</w:t>
      </w:r>
      <w:r>
        <w:rPr>
          <w:rFonts w:hint="eastAsia"/>
        </w:rPr>
        <w:t>、三棵松</w:t>
      </w:r>
      <w:r>
        <w:t>矿区</w:t>
      </w:r>
      <w:r>
        <w:rPr>
          <w:rFonts w:hint="eastAsia"/>
        </w:rPr>
        <w:t>、黄龙岗</w:t>
      </w:r>
      <w:r>
        <w:t>矿区</w:t>
      </w:r>
      <w:r>
        <w:rPr>
          <w:rFonts w:hint="eastAsia"/>
        </w:rPr>
        <w:t>和红尾坑</w:t>
      </w:r>
      <w:r>
        <w:t>矿区</w:t>
      </w:r>
      <w:r>
        <w:rPr>
          <w:rFonts w:hint="eastAsia"/>
        </w:rPr>
        <w:t>4个矿区开展勘查找矿，计划完成率为</w:t>
      </w:r>
      <w:r>
        <w:rPr>
          <w:color w:val="000000"/>
        </w:rPr>
        <w:t>100</w:t>
      </w:r>
      <w:r>
        <w:rPr>
          <w:rFonts w:hint="eastAsia"/>
          <w:color w:val="000000"/>
        </w:rPr>
        <w:t>%</w:t>
      </w:r>
      <w:r>
        <w:rPr>
          <w:rFonts w:hint="eastAsia"/>
        </w:rPr>
        <w:t>。指标分值3分，根据评价标准，得满分。</w:t>
      </w:r>
    </w:p>
    <w:p>
      <w:pPr>
        <w:pStyle w:val="34"/>
        <w:tabs>
          <w:tab w:val="left" w:pos="2410"/>
        </w:tabs>
        <w:ind w:firstLine="643"/>
      </w:pPr>
      <w:r>
        <w:rPr>
          <w:rFonts w:hint="eastAsia"/>
          <w:b/>
          <w:bCs/>
        </w:rPr>
        <w:t>新增采矿许可证</w:t>
      </w:r>
      <w:r>
        <w:t>。</w:t>
      </w:r>
      <w:r>
        <w:rPr>
          <w:rFonts w:hint="eastAsia"/>
        </w:rPr>
        <w:t>项目计划新增3个采矿许可证，实际仅红尾坑矿区1个矿区获得采矿许可证，具体如表2</w:t>
      </w:r>
      <w:r>
        <w:t>-7</w:t>
      </w:r>
      <w:r>
        <w:rPr>
          <w:rFonts w:hint="eastAsia"/>
        </w:rPr>
        <w:t>所示。综合考虑采矿许可证申报所需材料较多等客观因素，指标分值3分，酌情扣1.5分，得1</w:t>
      </w:r>
      <w:r>
        <w:t>.5</w:t>
      </w:r>
      <w:r>
        <w:rPr>
          <w:rFonts w:hint="eastAsia"/>
        </w:rPr>
        <w:t>分。</w:t>
      </w:r>
    </w:p>
    <w:p>
      <w:pPr>
        <w:pStyle w:val="51"/>
      </w:pPr>
      <w:r>
        <w:t xml:space="preserve">表2-7 </w:t>
      </w:r>
      <w:r>
        <w:rPr>
          <w:rFonts w:hint="eastAsia"/>
        </w:rPr>
        <w:t>矿区办证情况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矿区</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合同约定</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实际操作</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大旺山矿区</w:t>
            </w:r>
          </w:p>
        </w:tc>
        <w:tc>
          <w:tcPr>
            <w:tcW w:w="1367" w:type="pct"/>
            <w:shd w:val="clear" w:color="auto" w:fill="auto"/>
            <w:vAlign w:val="center"/>
          </w:tcPr>
          <w:p>
            <w:pPr>
              <w:widowControl/>
              <w:spacing w:line="240" w:lineRule="auto"/>
              <w:jc w:val="center"/>
              <w:rPr>
                <w:b/>
                <w:bCs/>
                <w:kern w:val="0"/>
                <w:szCs w:val="24"/>
              </w:rPr>
            </w:pPr>
            <w:r>
              <w:rPr>
                <w:rFonts w:hint="eastAsia"/>
              </w:rPr>
              <w:t>2024年</w:t>
            </w:r>
            <w:r>
              <w:t>9</w:t>
            </w:r>
            <w:r>
              <w:rPr>
                <w:rFonts w:hint="eastAsia"/>
              </w:rPr>
              <w:t>月1</w:t>
            </w:r>
            <w:r>
              <w:t>6</w:t>
            </w:r>
            <w:r>
              <w:rPr>
                <w:rFonts w:hint="eastAsia"/>
              </w:rPr>
              <w:t>日前申请采矿许可证</w:t>
            </w:r>
          </w:p>
        </w:tc>
        <w:tc>
          <w:tcPr>
            <w:tcW w:w="1367" w:type="pct"/>
            <w:shd w:val="clear" w:color="auto" w:fill="auto"/>
            <w:vAlign w:val="center"/>
          </w:tcPr>
          <w:p>
            <w:pPr>
              <w:widowControl/>
              <w:spacing w:line="240" w:lineRule="auto"/>
              <w:jc w:val="center"/>
              <w:rPr>
                <w:b/>
                <w:bCs/>
                <w:kern w:val="0"/>
                <w:szCs w:val="24"/>
              </w:rPr>
            </w:pPr>
            <w:r>
              <w:rPr>
                <w:rFonts w:hint="eastAsia"/>
              </w:rPr>
              <w:t>未提交申报材料</w:t>
            </w:r>
          </w:p>
        </w:tc>
        <w:tc>
          <w:tcPr>
            <w:tcW w:w="1244" w:type="pct"/>
            <w:shd w:val="clear" w:color="auto" w:fill="auto"/>
            <w:vAlign w:val="center"/>
          </w:tcPr>
          <w:p>
            <w:pPr>
              <w:widowControl/>
              <w:spacing w:line="240" w:lineRule="auto"/>
              <w:jc w:val="center"/>
              <w:rPr>
                <w:kern w:val="0"/>
                <w:szCs w:val="24"/>
              </w:rPr>
            </w:pPr>
            <w:r>
              <w:rPr>
                <w:rFonts w:hint="eastAsia"/>
                <w:color w:val="000000"/>
              </w:rPr>
              <w:t>矿区开采时间滞后，影响企业缴纳出让收益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三棵松</w:t>
            </w:r>
            <w:r>
              <w:t>矿区</w:t>
            </w:r>
          </w:p>
        </w:tc>
        <w:tc>
          <w:tcPr>
            <w:tcW w:w="1367" w:type="pct"/>
            <w:shd w:val="clear" w:color="auto" w:fill="auto"/>
            <w:vAlign w:val="center"/>
          </w:tcPr>
          <w:p>
            <w:pPr>
              <w:widowControl/>
              <w:spacing w:line="240" w:lineRule="auto"/>
              <w:jc w:val="center"/>
            </w:pPr>
            <w:r>
              <w:rPr>
                <w:rFonts w:hint="eastAsia"/>
              </w:rPr>
              <w:t>2024年</w:t>
            </w:r>
            <w:r>
              <w:t>8</w:t>
            </w:r>
            <w:r>
              <w:rPr>
                <w:rFonts w:hint="eastAsia"/>
              </w:rPr>
              <w:t>月2</w:t>
            </w:r>
            <w:r>
              <w:t>0</w:t>
            </w:r>
            <w:r>
              <w:rPr>
                <w:rFonts w:hint="eastAsia"/>
              </w:rPr>
              <w:t>日前申请采矿许可证</w:t>
            </w:r>
          </w:p>
        </w:tc>
        <w:tc>
          <w:tcPr>
            <w:tcW w:w="1367" w:type="pct"/>
            <w:shd w:val="clear" w:color="auto" w:fill="auto"/>
            <w:vAlign w:val="center"/>
          </w:tcPr>
          <w:p>
            <w:pPr>
              <w:widowControl/>
              <w:spacing w:line="240" w:lineRule="auto"/>
              <w:jc w:val="center"/>
            </w:pPr>
            <w:r>
              <w:rPr>
                <w:rFonts w:hint="eastAsia"/>
              </w:rPr>
              <w:t>未提交申报材料</w:t>
            </w:r>
          </w:p>
        </w:tc>
        <w:tc>
          <w:tcPr>
            <w:tcW w:w="1244" w:type="pct"/>
            <w:shd w:val="clear" w:color="auto" w:fill="auto"/>
            <w:vAlign w:val="center"/>
          </w:tcPr>
          <w:p>
            <w:pPr>
              <w:widowControl/>
              <w:spacing w:line="240" w:lineRule="auto"/>
              <w:jc w:val="center"/>
              <w:rPr>
                <w:kern w:val="0"/>
                <w:szCs w:val="24"/>
              </w:rPr>
            </w:pPr>
            <w:r>
              <w:rPr>
                <w:rFonts w:hint="eastAsia"/>
                <w:color w:val="000000"/>
              </w:rPr>
              <w:t>矿区开采时间滞后，影响企业缴纳出让收益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红尾坑矿区</w:t>
            </w:r>
          </w:p>
        </w:tc>
        <w:tc>
          <w:tcPr>
            <w:tcW w:w="1367" w:type="pct"/>
            <w:shd w:val="clear" w:color="auto" w:fill="auto"/>
            <w:vAlign w:val="center"/>
          </w:tcPr>
          <w:p>
            <w:pPr>
              <w:widowControl/>
              <w:spacing w:line="240" w:lineRule="auto"/>
              <w:jc w:val="center"/>
            </w:pPr>
            <w:r>
              <w:rPr>
                <w:rFonts w:hint="eastAsia"/>
              </w:rPr>
              <w:t>2023年</w:t>
            </w:r>
            <w:r>
              <w:t>12</w:t>
            </w:r>
            <w:r>
              <w:rPr>
                <w:rFonts w:hint="eastAsia"/>
              </w:rPr>
              <w:t>月2</w:t>
            </w:r>
            <w:r>
              <w:t>4</w:t>
            </w:r>
            <w:r>
              <w:rPr>
                <w:rFonts w:hint="eastAsia"/>
              </w:rPr>
              <w:t>日前申请采矿许可证</w:t>
            </w:r>
          </w:p>
        </w:tc>
        <w:tc>
          <w:tcPr>
            <w:tcW w:w="1367" w:type="pct"/>
            <w:shd w:val="clear" w:color="auto" w:fill="auto"/>
            <w:vAlign w:val="center"/>
          </w:tcPr>
          <w:p>
            <w:pPr>
              <w:widowControl/>
              <w:spacing w:line="240" w:lineRule="auto"/>
              <w:jc w:val="center"/>
            </w:pPr>
            <w:r>
              <w:t>2023</w:t>
            </w:r>
            <w:r>
              <w:rPr>
                <w:rFonts w:hint="eastAsia"/>
              </w:rPr>
              <w:t>年9月1</w:t>
            </w:r>
            <w:r>
              <w:t>5</w:t>
            </w:r>
            <w:r>
              <w:rPr>
                <w:rFonts w:hint="eastAsia"/>
              </w:rPr>
              <w:t>日获得采矿许可证</w:t>
            </w:r>
          </w:p>
        </w:tc>
        <w:tc>
          <w:tcPr>
            <w:tcW w:w="1244" w:type="pct"/>
            <w:shd w:val="clear" w:color="auto" w:fill="auto"/>
            <w:vAlign w:val="center"/>
          </w:tcPr>
          <w:p>
            <w:pPr>
              <w:widowControl/>
              <w:spacing w:line="240" w:lineRule="auto"/>
              <w:jc w:val="center"/>
              <w:rPr>
                <w:kern w:val="0"/>
                <w:szCs w:val="24"/>
              </w:rPr>
            </w:pPr>
            <w:r>
              <w:rPr>
                <w:rFonts w:hint="eastAsia"/>
                <w:color w:val="000000"/>
              </w:rPr>
              <w:t>按时完成</w:t>
            </w:r>
          </w:p>
        </w:tc>
      </w:tr>
    </w:tbl>
    <w:p>
      <w:pPr>
        <w:pStyle w:val="34"/>
        <w:ind w:firstLine="640"/>
      </w:pPr>
    </w:p>
    <w:p>
      <w:pPr>
        <w:pStyle w:val="34"/>
        <w:ind w:firstLine="643"/>
      </w:pPr>
      <w:r>
        <w:rPr>
          <w:rFonts w:hint="eastAsia"/>
          <w:b/>
          <w:bCs/>
        </w:rPr>
        <w:t>新增采矿权出让</w:t>
      </w:r>
      <w:r>
        <w:rPr>
          <w:b/>
          <w:bCs/>
        </w:rPr>
        <w:t>。</w:t>
      </w:r>
      <w:r>
        <w:rPr>
          <w:rFonts w:hint="eastAsia"/>
        </w:rPr>
        <w:t>项目计划新增3宗采矿权出让，实际完成3个矿区采矿权出让，计划完成率1</w:t>
      </w:r>
      <w:r>
        <w:t>00%</w:t>
      </w:r>
      <w:r>
        <w:rPr>
          <w:rFonts w:hint="eastAsia"/>
        </w:rPr>
        <w:t>。指标分值3分，根据评价标准，得满分。</w:t>
      </w:r>
    </w:p>
    <w:p>
      <w:pPr>
        <w:pStyle w:val="34"/>
        <w:ind w:firstLine="643"/>
      </w:pPr>
      <w:r>
        <w:rPr>
          <w:rFonts w:hint="eastAsia"/>
          <w:b/>
          <w:bCs/>
        </w:rPr>
        <w:t>新增矿床</w:t>
      </w:r>
      <w:r>
        <w:rPr>
          <w:b/>
          <w:bCs/>
        </w:rPr>
        <w:t>。</w:t>
      </w:r>
      <w:r>
        <w:rPr>
          <w:rFonts w:hint="eastAsia"/>
        </w:rPr>
        <w:t>项目计划新增3个矿床，实际新增红尾坑矿区、三棵松矿区和大旺山矿区3个“矿床”，计划完成率1</w:t>
      </w:r>
      <w:r>
        <w:t>00%</w:t>
      </w:r>
      <w:r>
        <w:rPr>
          <w:rFonts w:hint="eastAsia"/>
        </w:rPr>
        <w:t>。指标分值3分，根据评价标准，得满分。</w:t>
      </w:r>
    </w:p>
    <w:p>
      <w:pPr>
        <w:pStyle w:val="34"/>
        <w:ind w:firstLine="640"/>
      </w:pPr>
      <w:r>
        <w:rPr>
          <w:rFonts w:hint="eastAsia"/>
        </w:rPr>
        <w:t>（2）</w:t>
      </w:r>
      <w:r>
        <w:t>完成质量</w:t>
      </w:r>
    </w:p>
    <w:p>
      <w:pPr>
        <w:pStyle w:val="34"/>
        <w:ind w:firstLine="643"/>
      </w:pPr>
      <w:r>
        <w:rPr>
          <w:rFonts w:hint="eastAsia"/>
          <w:b/>
          <w:bCs/>
        </w:rPr>
        <w:t>“1:2000水文地质、工程地质、环境地质调查”任务完成率</w:t>
      </w:r>
      <w:r>
        <w:t>。</w:t>
      </w:r>
      <w:r>
        <w:rPr>
          <w:rFonts w:hint="eastAsia"/>
        </w:rPr>
        <w:t>项目计划开展“1:2000水文地质、工程地质、环境地质调查”5.7km，实际开展5.83km，计划完成率为102.28%（具体如表2</w:t>
      </w:r>
      <w:r>
        <w:t>-8</w:t>
      </w:r>
      <w:r>
        <w:rPr>
          <w:rFonts w:hint="eastAsia"/>
        </w:rPr>
        <w:t>所示）。但</w:t>
      </w:r>
      <w:r>
        <w:t>大旺山</w:t>
      </w:r>
      <w:r>
        <w:rPr>
          <w:rFonts w:hint="eastAsia"/>
        </w:rPr>
        <w:t>矿区未完成预期计划仍支出原计划工作量所需资金额，指标分值2分，酌情扣0.5分，评价得1.5分。</w:t>
      </w:r>
    </w:p>
    <w:p>
      <w:pPr>
        <w:pStyle w:val="51"/>
      </w:pPr>
      <w:r>
        <w:t xml:space="preserve">表2-8 </w:t>
      </w:r>
      <w:r>
        <w:rPr>
          <w:rFonts w:hint="eastAsia"/>
        </w:rPr>
        <w:t>各矿区完成情况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矿区</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计划值</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完成值</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大旺山矿区</w:t>
            </w:r>
          </w:p>
        </w:tc>
        <w:tc>
          <w:tcPr>
            <w:tcW w:w="1367" w:type="pct"/>
            <w:shd w:val="clear" w:color="auto" w:fill="auto"/>
            <w:vAlign w:val="center"/>
          </w:tcPr>
          <w:p>
            <w:pPr>
              <w:widowControl/>
              <w:spacing w:line="240" w:lineRule="auto"/>
              <w:jc w:val="center"/>
              <w:rPr>
                <w:b/>
                <w:bCs/>
                <w:kern w:val="0"/>
                <w:szCs w:val="24"/>
              </w:rPr>
            </w:pPr>
            <w:r>
              <w:rPr>
                <w:rFonts w:hint="eastAsia"/>
              </w:rPr>
              <w:t>2.0km</w:t>
            </w:r>
          </w:p>
        </w:tc>
        <w:tc>
          <w:tcPr>
            <w:tcW w:w="1367" w:type="pct"/>
            <w:shd w:val="clear" w:color="auto" w:fill="auto"/>
            <w:vAlign w:val="center"/>
          </w:tcPr>
          <w:p>
            <w:pPr>
              <w:widowControl/>
              <w:spacing w:line="240" w:lineRule="auto"/>
              <w:jc w:val="center"/>
              <w:rPr>
                <w:b/>
                <w:bCs/>
                <w:kern w:val="0"/>
                <w:szCs w:val="24"/>
              </w:rPr>
            </w:pPr>
            <w:r>
              <w:rPr>
                <w:rFonts w:hint="eastAsia"/>
              </w:rPr>
              <w:t>1.5km</w:t>
            </w:r>
          </w:p>
        </w:tc>
        <w:tc>
          <w:tcPr>
            <w:tcW w:w="1244" w:type="pct"/>
            <w:shd w:val="clear" w:color="auto" w:fill="auto"/>
            <w:vAlign w:val="center"/>
          </w:tcPr>
          <w:p>
            <w:pPr>
              <w:widowControl/>
              <w:spacing w:line="240" w:lineRule="auto"/>
              <w:jc w:val="center"/>
              <w:rPr>
                <w:kern w:val="0"/>
                <w:szCs w:val="24"/>
              </w:rPr>
            </w:pPr>
            <w:r>
              <w:rPr>
                <w:rFonts w:hint="eastAsia"/>
                <w:color w:val="000000"/>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三棵松</w:t>
            </w:r>
            <w:r>
              <w:t>矿区</w:t>
            </w:r>
          </w:p>
        </w:tc>
        <w:tc>
          <w:tcPr>
            <w:tcW w:w="1367" w:type="pct"/>
            <w:shd w:val="clear" w:color="auto" w:fill="auto"/>
            <w:vAlign w:val="center"/>
          </w:tcPr>
          <w:p>
            <w:pPr>
              <w:widowControl/>
              <w:spacing w:line="240" w:lineRule="auto"/>
              <w:jc w:val="center"/>
            </w:pPr>
            <w:r>
              <w:rPr>
                <w:rFonts w:hint="eastAsia"/>
              </w:rPr>
              <w:t>2.7km</w:t>
            </w:r>
          </w:p>
        </w:tc>
        <w:tc>
          <w:tcPr>
            <w:tcW w:w="1367" w:type="pct"/>
            <w:shd w:val="clear" w:color="auto" w:fill="auto"/>
            <w:vAlign w:val="center"/>
          </w:tcPr>
          <w:p>
            <w:pPr>
              <w:widowControl/>
              <w:spacing w:line="240" w:lineRule="auto"/>
              <w:jc w:val="center"/>
            </w:pPr>
            <w:r>
              <w:rPr>
                <w:rFonts w:hint="eastAsia"/>
              </w:rPr>
              <w:t>3.33km</w:t>
            </w:r>
          </w:p>
        </w:tc>
        <w:tc>
          <w:tcPr>
            <w:tcW w:w="1244" w:type="pct"/>
            <w:shd w:val="clear" w:color="auto" w:fill="auto"/>
            <w:vAlign w:val="center"/>
          </w:tcPr>
          <w:p>
            <w:pPr>
              <w:widowControl/>
              <w:spacing w:line="240" w:lineRule="auto"/>
              <w:jc w:val="center"/>
              <w:rPr>
                <w:kern w:val="0"/>
                <w:szCs w:val="24"/>
              </w:rPr>
            </w:pPr>
            <w:r>
              <w:rPr>
                <w:rFonts w:hint="eastAsia"/>
                <w:color w:val="000000"/>
              </w:rPr>
              <w:t>123.33%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黄龙岗</w:t>
            </w:r>
            <w:r>
              <w:t>矿区</w:t>
            </w:r>
          </w:p>
        </w:tc>
        <w:tc>
          <w:tcPr>
            <w:tcW w:w="1367" w:type="pct"/>
            <w:shd w:val="clear" w:color="auto" w:fill="auto"/>
            <w:vAlign w:val="center"/>
          </w:tcPr>
          <w:p>
            <w:pPr>
              <w:widowControl/>
              <w:spacing w:line="240" w:lineRule="auto"/>
              <w:jc w:val="center"/>
            </w:pPr>
            <w:r>
              <w:rPr>
                <w:rFonts w:hint="eastAsia"/>
              </w:rPr>
              <w:t>1.0km</w:t>
            </w:r>
          </w:p>
        </w:tc>
        <w:tc>
          <w:tcPr>
            <w:tcW w:w="1367" w:type="pct"/>
            <w:shd w:val="clear" w:color="auto" w:fill="auto"/>
            <w:vAlign w:val="center"/>
          </w:tcPr>
          <w:p>
            <w:pPr>
              <w:widowControl/>
              <w:spacing w:line="240" w:lineRule="auto"/>
              <w:jc w:val="center"/>
            </w:pPr>
            <w:r>
              <w:rPr>
                <w:rFonts w:hint="eastAsia"/>
              </w:rPr>
              <w:t>1.0km</w:t>
            </w:r>
          </w:p>
        </w:tc>
        <w:tc>
          <w:tcPr>
            <w:tcW w:w="1244" w:type="pct"/>
            <w:shd w:val="clear" w:color="auto" w:fill="auto"/>
            <w:vAlign w:val="center"/>
          </w:tcPr>
          <w:p>
            <w:pPr>
              <w:widowControl/>
              <w:spacing w:line="240" w:lineRule="auto"/>
              <w:jc w:val="center"/>
              <w:rPr>
                <w:kern w:val="0"/>
                <w:szCs w:val="24"/>
              </w:rPr>
            </w:pPr>
            <w:r>
              <w:rPr>
                <w:rFonts w:hint="eastAsia"/>
                <w:color w:val="000000"/>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合计</w:t>
            </w:r>
          </w:p>
        </w:tc>
        <w:tc>
          <w:tcPr>
            <w:tcW w:w="1367" w:type="pct"/>
            <w:shd w:val="clear" w:color="auto" w:fill="auto"/>
            <w:vAlign w:val="center"/>
          </w:tcPr>
          <w:p>
            <w:pPr>
              <w:widowControl/>
              <w:spacing w:line="240" w:lineRule="auto"/>
              <w:jc w:val="center"/>
            </w:pPr>
            <w:r>
              <w:rPr>
                <w:rFonts w:hint="eastAsia"/>
              </w:rPr>
              <w:t>5.7km</w:t>
            </w:r>
          </w:p>
        </w:tc>
        <w:tc>
          <w:tcPr>
            <w:tcW w:w="1367" w:type="pct"/>
            <w:shd w:val="clear" w:color="auto" w:fill="auto"/>
            <w:vAlign w:val="center"/>
          </w:tcPr>
          <w:p>
            <w:pPr>
              <w:widowControl/>
              <w:spacing w:line="240" w:lineRule="auto"/>
              <w:jc w:val="center"/>
            </w:pPr>
            <w:r>
              <w:rPr>
                <w:rFonts w:hint="eastAsia"/>
              </w:rPr>
              <w:t>5.83km</w:t>
            </w:r>
          </w:p>
        </w:tc>
        <w:tc>
          <w:tcPr>
            <w:tcW w:w="1244" w:type="pct"/>
            <w:shd w:val="clear" w:color="auto" w:fill="auto"/>
            <w:vAlign w:val="center"/>
          </w:tcPr>
          <w:p>
            <w:pPr>
              <w:widowControl/>
              <w:spacing w:line="240" w:lineRule="auto"/>
              <w:jc w:val="center"/>
              <w:rPr>
                <w:kern w:val="0"/>
                <w:szCs w:val="24"/>
              </w:rPr>
            </w:pPr>
            <w:r>
              <w:rPr>
                <w:rFonts w:hint="eastAsia"/>
                <w:color w:val="000000"/>
              </w:rPr>
              <w:t>102.28%</w:t>
            </w:r>
          </w:p>
        </w:tc>
      </w:tr>
    </w:tbl>
    <w:p>
      <w:pPr>
        <w:pStyle w:val="34"/>
        <w:ind w:firstLine="640"/>
      </w:pPr>
    </w:p>
    <w:p>
      <w:pPr>
        <w:pStyle w:val="34"/>
        <w:ind w:firstLine="643"/>
      </w:pPr>
      <w:r>
        <w:rPr>
          <w:rFonts w:hint="eastAsia"/>
          <w:b/>
          <w:bCs/>
        </w:rPr>
        <w:t>“1:2000地质测量”任务完成率</w:t>
      </w:r>
      <w:r>
        <w:t>。</w:t>
      </w:r>
      <w:r>
        <w:rPr>
          <w:rFonts w:hint="eastAsia"/>
        </w:rPr>
        <w:t>项目计划开展“1:2000地质测量调查”7.2平方千米，实际开展5.83平方千米，计划完成率为80.97%（具体如下表所示），指标分值2分，个别矿区未完成工作计划扣0.5分，评价得1.5分。</w:t>
      </w:r>
    </w:p>
    <w:p>
      <w:pPr>
        <w:pStyle w:val="51"/>
      </w:pPr>
      <w:r>
        <w:t xml:space="preserve">表2-9 </w:t>
      </w:r>
      <w:r>
        <w:rPr>
          <w:rFonts w:hint="eastAsia"/>
        </w:rPr>
        <w:t>各矿区完成情况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矿区</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计划值</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完成值</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完成率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大旺山矿区</w:t>
            </w:r>
          </w:p>
        </w:tc>
        <w:tc>
          <w:tcPr>
            <w:tcW w:w="1367" w:type="pct"/>
            <w:shd w:val="clear" w:color="auto" w:fill="auto"/>
            <w:vAlign w:val="center"/>
          </w:tcPr>
          <w:p>
            <w:pPr>
              <w:widowControl/>
              <w:spacing w:line="240" w:lineRule="auto"/>
              <w:jc w:val="center"/>
              <w:rPr>
                <w:b/>
                <w:bCs/>
                <w:kern w:val="0"/>
                <w:szCs w:val="24"/>
              </w:rPr>
            </w:pPr>
            <w:r>
              <w:rPr>
                <w:rFonts w:hint="eastAsia"/>
              </w:rPr>
              <w:t>2.0平方千米</w:t>
            </w:r>
          </w:p>
        </w:tc>
        <w:tc>
          <w:tcPr>
            <w:tcW w:w="1367" w:type="pct"/>
            <w:shd w:val="clear" w:color="auto" w:fill="auto"/>
            <w:vAlign w:val="center"/>
          </w:tcPr>
          <w:p>
            <w:pPr>
              <w:widowControl/>
              <w:spacing w:line="240" w:lineRule="auto"/>
              <w:jc w:val="center"/>
              <w:rPr>
                <w:b/>
                <w:bCs/>
                <w:kern w:val="0"/>
                <w:szCs w:val="24"/>
              </w:rPr>
            </w:pPr>
            <w:r>
              <w:rPr>
                <w:rFonts w:hint="eastAsia"/>
              </w:rPr>
              <w:t>1.5平方千米</w:t>
            </w:r>
          </w:p>
        </w:tc>
        <w:tc>
          <w:tcPr>
            <w:tcW w:w="1244" w:type="pct"/>
            <w:shd w:val="clear" w:color="auto" w:fill="auto"/>
            <w:vAlign w:val="center"/>
          </w:tcPr>
          <w:p>
            <w:pPr>
              <w:widowControl/>
              <w:spacing w:line="240" w:lineRule="auto"/>
              <w:jc w:val="center"/>
              <w:rPr>
                <w:kern w:val="0"/>
                <w:szCs w:val="24"/>
              </w:rPr>
            </w:pPr>
            <w:r>
              <w:rPr>
                <w:rFonts w:hint="eastAsia"/>
                <w:color w:val="000000"/>
              </w:rPr>
              <w:t>75.00%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三棵松</w:t>
            </w:r>
            <w:r>
              <w:t>矿区</w:t>
            </w:r>
          </w:p>
        </w:tc>
        <w:tc>
          <w:tcPr>
            <w:tcW w:w="1367" w:type="pct"/>
            <w:shd w:val="clear" w:color="auto" w:fill="auto"/>
            <w:vAlign w:val="center"/>
          </w:tcPr>
          <w:p>
            <w:pPr>
              <w:widowControl/>
              <w:spacing w:line="240" w:lineRule="auto"/>
              <w:jc w:val="center"/>
            </w:pPr>
            <w:r>
              <w:rPr>
                <w:rFonts w:hint="eastAsia"/>
              </w:rPr>
              <w:t>3.2平方千米</w:t>
            </w:r>
          </w:p>
        </w:tc>
        <w:tc>
          <w:tcPr>
            <w:tcW w:w="1367" w:type="pct"/>
            <w:shd w:val="clear" w:color="auto" w:fill="auto"/>
            <w:vAlign w:val="center"/>
          </w:tcPr>
          <w:p>
            <w:pPr>
              <w:widowControl/>
              <w:spacing w:line="240" w:lineRule="auto"/>
              <w:jc w:val="center"/>
            </w:pPr>
            <w:r>
              <w:rPr>
                <w:rFonts w:hint="eastAsia"/>
              </w:rPr>
              <w:t>3.33平方千米</w:t>
            </w:r>
          </w:p>
        </w:tc>
        <w:tc>
          <w:tcPr>
            <w:tcW w:w="1244" w:type="pct"/>
            <w:shd w:val="clear" w:color="auto" w:fill="auto"/>
            <w:vAlign w:val="center"/>
          </w:tcPr>
          <w:p>
            <w:pPr>
              <w:widowControl/>
              <w:spacing w:line="240" w:lineRule="auto"/>
              <w:jc w:val="center"/>
              <w:rPr>
                <w:kern w:val="0"/>
                <w:szCs w:val="24"/>
              </w:rPr>
            </w:pPr>
            <w:r>
              <w:rPr>
                <w:rFonts w:hint="eastAsia"/>
              </w:rPr>
              <w:t>104.06</w:t>
            </w:r>
            <w:r>
              <w:rPr>
                <w:rFonts w:hint="eastAsia"/>
                <w:color w:val="00000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黄龙岗</w:t>
            </w:r>
            <w:r>
              <w:t>矿区</w:t>
            </w:r>
          </w:p>
        </w:tc>
        <w:tc>
          <w:tcPr>
            <w:tcW w:w="1367" w:type="pct"/>
            <w:shd w:val="clear" w:color="auto" w:fill="auto"/>
            <w:vAlign w:val="center"/>
          </w:tcPr>
          <w:p>
            <w:pPr>
              <w:widowControl/>
              <w:spacing w:line="240" w:lineRule="auto"/>
              <w:jc w:val="center"/>
            </w:pPr>
            <w:r>
              <w:rPr>
                <w:rFonts w:hint="eastAsia"/>
              </w:rPr>
              <w:t>2.0平方千米</w:t>
            </w:r>
          </w:p>
        </w:tc>
        <w:tc>
          <w:tcPr>
            <w:tcW w:w="1367" w:type="pct"/>
            <w:shd w:val="clear" w:color="auto" w:fill="auto"/>
            <w:vAlign w:val="center"/>
          </w:tcPr>
          <w:p>
            <w:pPr>
              <w:widowControl/>
              <w:spacing w:line="240" w:lineRule="auto"/>
              <w:jc w:val="center"/>
            </w:pPr>
            <w:r>
              <w:rPr>
                <w:rFonts w:hint="eastAsia"/>
              </w:rPr>
              <w:t>1.0平方千米</w:t>
            </w:r>
          </w:p>
        </w:tc>
        <w:tc>
          <w:tcPr>
            <w:tcW w:w="1244" w:type="pct"/>
            <w:shd w:val="clear" w:color="auto" w:fill="auto"/>
            <w:vAlign w:val="center"/>
          </w:tcPr>
          <w:p>
            <w:pPr>
              <w:widowControl/>
              <w:spacing w:line="240" w:lineRule="auto"/>
              <w:jc w:val="center"/>
              <w:rPr>
                <w:kern w:val="0"/>
                <w:szCs w:val="24"/>
              </w:rPr>
            </w:pPr>
            <w:r>
              <w:rPr>
                <w:color w:val="000000"/>
              </w:rPr>
              <w:t>5</w:t>
            </w:r>
            <w:r>
              <w:rPr>
                <w:rFonts w:hint="eastAsia"/>
                <w:color w:val="000000"/>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合计</w:t>
            </w:r>
          </w:p>
        </w:tc>
        <w:tc>
          <w:tcPr>
            <w:tcW w:w="1367" w:type="pct"/>
            <w:shd w:val="clear" w:color="auto" w:fill="auto"/>
            <w:vAlign w:val="center"/>
          </w:tcPr>
          <w:p>
            <w:pPr>
              <w:widowControl/>
              <w:spacing w:line="240" w:lineRule="auto"/>
              <w:jc w:val="center"/>
            </w:pPr>
            <w:r>
              <w:rPr>
                <w:rFonts w:hint="eastAsia"/>
              </w:rPr>
              <w:t>7.2平方千米</w:t>
            </w:r>
          </w:p>
        </w:tc>
        <w:tc>
          <w:tcPr>
            <w:tcW w:w="1367" w:type="pct"/>
            <w:shd w:val="clear" w:color="auto" w:fill="auto"/>
            <w:vAlign w:val="center"/>
          </w:tcPr>
          <w:p>
            <w:pPr>
              <w:widowControl/>
              <w:spacing w:line="240" w:lineRule="auto"/>
              <w:jc w:val="center"/>
            </w:pPr>
            <w:r>
              <w:rPr>
                <w:rFonts w:hint="eastAsia"/>
              </w:rPr>
              <w:t>5.83平方千米</w:t>
            </w:r>
          </w:p>
        </w:tc>
        <w:tc>
          <w:tcPr>
            <w:tcW w:w="1244" w:type="pct"/>
            <w:shd w:val="clear" w:color="auto" w:fill="auto"/>
            <w:vAlign w:val="center"/>
          </w:tcPr>
          <w:p>
            <w:pPr>
              <w:widowControl/>
              <w:spacing w:line="240" w:lineRule="auto"/>
              <w:jc w:val="center"/>
              <w:rPr>
                <w:kern w:val="0"/>
                <w:szCs w:val="24"/>
              </w:rPr>
            </w:pPr>
            <w:r>
              <w:rPr>
                <w:rFonts w:hint="eastAsia"/>
              </w:rPr>
              <w:t>80.97</w:t>
            </w:r>
            <w:r>
              <w:rPr>
                <w:rFonts w:hint="eastAsia"/>
                <w:color w:val="000000"/>
              </w:rPr>
              <w:t>%</w:t>
            </w:r>
          </w:p>
        </w:tc>
      </w:tr>
    </w:tbl>
    <w:p>
      <w:pPr>
        <w:pStyle w:val="34"/>
        <w:ind w:firstLine="640"/>
      </w:pPr>
    </w:p>
    <w:p>
      <w:pPr>
        <w:pStyle w:val="34"/>
        <w:ind w:firstLine="643"/>
      </w:pPr>
      <w:r>
        <w:rPr>
          <w:rFonts w:hint="eastAsia"/>
          <w:b/>
          <w:bCs/>
        </w:rPr>
        <w:t>项目野外检查验收通过率</w:t>
      </w:r>
      <w:r>
        <w:t>。</w:t>
      </w:r>
      <w:r>
        <w:rPr>
          <w:rFonts w:hint="eastAsia"/>
        </w:rPr>
        <w:t>项目计划4个矿区均通过野外验收，实际大旺山矿区、三棵松矿区、黄龙岗矿区和红尾坑矿区等4个矿区均通过野外勘探工作验收，计划完成率1</w:t>
      </w:r>
      <w:r>
        <w:t>00%</w:t>
      </w:r>
      <w:r>
        <w:rPr>
          <w:rFonts w:hint="eastAsia"/>
        </w:rPr>
        <w:t>。指标分值2分，根据评价标准，得满分。</w:t>
      </w:r>
    </w:p>
    <w:p>
      <w:pPr>
        <w:pStyle w:val="34"/>
        <w:ind w:firstLine="643"/>
      </w:pPr>
      <w:r>
        <w:rPr>
          <w:rFonts w:hint="eastAsia"/>
          <w:b/>
          <w:bCs/>
        </w:rPr>
        <w:t>项目成果报告验收通过率</w:t>
      </w:r>
      <w:r>
        <w:t>。</w:t>
      </w:r>
      <w:r>
        <w:rPr>
          <w:rFonts w:hint="eastAsia"/>
        </w:rPr>
        <w:t>项目计划提交储量评审报告的矿区均通过验收，实际提交储量评审报告的3个矿区均通过报告验收，计划完成率1</w:t>
      </w:r>
      <w:r>
        <w:t>00%</w:t>
      </w:r>
      <w:r>
        <w:rPr>
          <w:rFonts w:hint="eastAsia"/>
        </w:rPr>
        <w:t>。指标分值2分，根据评价标准，得满分。</w:t>
      </w:r>
    </w:p>
    <w:p>
      <w:pPr>
        <w:pStyle w:val="34"/>
        <w:ind w:firstLine="643"/>
      </w:pPr>
      <w:r>
        <w:rPr>
          <w:rFonts w:hint="eastAsia"/>
          <w:b/>
          <w:bCs/>
        </w:rPr>
        <w:t>年度勘察计划完成率</w:t>
      </w:r>
      <w:r>
        <w:t>。</w:t>
      </w:r>
      <w:r>
        <w:rPr>
          <w:rFonts w:hint="eastAsia"/>
        </w:rPr>
        <w:t>项目计划开展4个矿区的矿产资源勘查，实际完成3个矿区的计划勘察量，指标完成率为75%。指标分值3分，根据评价标准扣0.75分，得2.25分。</w:t>
      </w:r>
    </w:p>
    <w:p>
      <w:pPr>
        <w:pStyle w:val="34"/>
        <w:ind w:firstLine="643"/>
      </w:pPr>
      <w:r>
        <w:rPr>
          <w:rFonts w:hint="eastAsia"/>
          <w:b/>
          <w:bCs/>
        </w:rPr>
        <w:t>地质勘查资料的有效性</w:t>
      </w:r>
      <w:r>
        <w:t>。</w:t>
      </w:r>
      <w:r>
        <w:rPr>
          <w:rFonts w:hint="eastAsia"/>
        </w:rPr>
        <w:t>除三棵松矿区，大旺山矿区、黄龙岗</w:t>
      </w:r>
      <w:r>
        <w:t>矿区</w:t>
      </w:r>
      <w:r>
        <w:rPr>
          <w:rFonts w:hint="eastAsia"/>
        </w:rPr>
        <w:t>和大旺山矿区等3个勘查前的采矿权建议书提出的矿产资源量，与勘察后的评审资源量相差较大（具体如下表所示），地勘前的材料参考性不足。指标分值3分，酌情扣2.5分，得0.5分。</w:t>
      </w:r>
    </w:p>
    <w:p>
      <w:pPr>
        <w:pStyle w:val="51"/>
      </w:pPr>
      <w:r>
        <w:t xml:space="preserve">表2-10 </w:t>
      </w:r>
      <w:r>
        <w:rPr>
          <w:rFonts w:hint="eastAsia"/>
        </w:rPr>
        <w:t>各矿区勘查情况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矿区</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探测前</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rPr>
              <w:t>勘查后</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rPr>
              <w:t>有效性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大旺山矿区</w:t>
            </w:r>
          </w:p>
        </w:tc>
        <w:tc>
          <w:tcPr>
            <w:tcW w:w="1367" w:type="pct"/>
            <w:shd w:val="clear" w:color="auto" w:fill="auto"/>
            <w:vAlign w:val="center"/>
          </w:tcPr>
          <w:p>
            <w:pPr>
              <w:widowControl/>
              <w:spacing w:line="240" w:lineRule="auto"/>
              <w:jc w:val="center"/>
              <w:rPr>
                <w:b/>
                <w:bCs/>
                <w:kern w:val="0"/>
                <w:szCs w:val="24"/>
              </w:rPr>
            </w:pPr>
            <w:r>
              <w:rPr>
                <w:rFonts w:hint="eastAsia"/>
              </w:rPr>
              <w:t>28255万吨</w:t>
            </w:r>
          </w:p>
        </w:tc>
        <w:tc>
          <w:tcPr>
            <w:tcW w:w="1367" w:type="pct"/>
            <w:shd w:val="clear" w:color="auto" w:fill="auto"/>
            <w:vAlign w:val="center"/>
          </w:tcPr>
          <w:p>
            <w:pPr>
              <w:widowControl/>
              <w:spacing w:line="240" w:lineRule="auto"/>
              <w:jc w:val="center"/>
              <w:rPr>
                <w:b/>
                <w:bCs/>
                <w:kern w:val="0"/>
                <w:szCs w:val="24"/>
              </w:rPr>
            </w:pPr>
            <w:r>
              <w:rPr>
                <w:rFonts w:hint="eastAsia"/>
              </w:rPr>
              <w:t>7902.696万吨</w:t>
            </w:r>
          </w:p>
        </w:tc>
        <w:tc>
          <w:tcPr>
            <w:tcW w:w="1244" w:type="pct"/>
            <w:shd w:val="clear" w:color="auto" w:fill="auto"/>
            <w:vAlign w:val="center"/>
          </w:tcPr>
          <w:p>
            <w:pPr>
              <w:widowControl/>
              <w:spacing w:line="240" w:lineRule="auto"/>
              <w:jc w:val="center"/>
              <w:rPr>
                <w:kern w:val="0"/>
                <w:szCs w:val="24"/>
              </w:rPr>
            </w:pPr>
            <w:r>
              <w:rPr>
                <w:rFonts w:hint="eastAsia"/>
              </w:rPr>
              <w:t>-72.03%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三棵松</w:t>
            </w:r>
            <w:r>
              <w:t>矿区</w:t>
            </w:r>
          </w:p>
        </w:tc>
        <w:tc>
          <w:tcPr>
            <w:tcW w:w="1367" w:type="pct"/>
            <w:shd w:val="clear" w:color="auto" w:fill="auto"/>
            <w:vAlign w:val="center"/>
          </w:tcPr>
          <w:p>
            <w:pPr>
              <w:widowControl/>
              <w:spacing w:line="240" w:lineRule="auto"/>
              <w:jc w:val="center"/>
            </w:pPr>
            <w:r>
              <w:rPr>
                <w:rFonts w:hint="eastAsia"/>
              </w:rPr>
              <w:t>1.46亿立方米</w:t>
            </w:r>
          </w:p>
        </w:tc>
        <w:tc>
          <w:tcPr>
            <w:tcW w:w="1367" w:type="pct"/>
            <w:shd w:val="clear" w:color="auto" w:fill="auto"/>
            <w:vAlign w:val="center"/>
          </w:tcPr>
          <w:p>
            <w:pPr>
              <w:widowControl/>
              <w:spacing w:line="240" w:lineRule="auto"/>
              <w:jc w:val="center"/>
            </w:pPr>
            <w:r>
              <w:rPr>
                <w:rFonts w:hint="eastAsia"/>
              </w:rPr>
              <w:t>1.64447亿立方米</w:t>
            </w:r>
          </w:p>
        </w:tc>
        <w:tc>
          <w:tcPr>
            <w:tcW w:w="1244" w:type="pct"/>
            <w:shd w:val="clear" w:color="auto" w:fill="auto"/>
            <w:vAlign w:val="center"/>
          </w:tcPr>
          <w:p>
            <w:pPr>
              <w:widowControl/>
              <w:spacing w:line="240" w:lineRule="auto"/>
              <w:jc w:val="center"/>
              <w:rPr>
                <w:kern w:val="0"/>
                <w:szCs w:val="24"/>
              </w:rPr>
            </w:pPr>
            <w:r>
              <w:rPr>
                <w:rFonts w:hint="eastAsia"/>
              </w:rPr>
              <w:t>12.63%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黄龙岗</w:t>
            </w:r>
            <w:r>
              <w:t>矿区</w:t>
            </w:r>
          </w:p>
        </w:tc>
        <w:tc>
          <w:tcPr>
            <w:tcW w:w="1367" w:type="pct"/>
            <w:shd w:val="clear" w:color="auto" w:fill="auto"/>
            <w:vAlign w:val="center"/>
          </w:tcPr>
          <w:p>
            <w:pPr>
              <w:widowControl/>
              <w:spacing w:line="240" w:lineRule="auto"/>
              <w:jc w:val="center"/>
            </w:pPr>
            <w:r>
              <w:rPr>
                <w:rFonts w:hint="eastAsia"/>
              </w:rPr>
              <w:t>5000万吨</w:t>
            </w:r>
          </w:p>
        </w:tc>
        <w:tc>
          <w:tcPr>
            <w:tcW w:w="1367" w:type="pct"/>
            <w:shd w:val="clear" w:color="auto" w:fill="auto"/>
            <w:vAlign w:val="center"/>
          </w:tcPr>
          <w:p>
            <w:pPr>
              <w:widowControl/>
              <w:spacing w:line="240" w:lineRule="auto"/>
              <w:jc w:val="center"/>
            </w:pPr>
            <w:r>
              <w:rPr>
                <w:rFonts w:hint="eastAsia"/>
              </w:rPr>
              <w:t>96.8万吨</w:t>
            </w:r>
          </w:p>
        </w:tc>
        <w:tc>
          <w:tcPr>
            <w:tcW w:w="1244" w:type="pct"/>
            <w:shd w:val="clear" w:color="auto" w:fill="auto"/>
            <w:vAlign w:val="center"/>
          </w:tcPr>
          <w:p>
            <w:pPr>
              <w:widowControl/>
              <w:spacing w:line="240" w:lineRule="auto"/>
              <w:jc w:val="center"/>
              <w:rPr>
                <w:kern w:val="0"/>
                <w:szCs w:val="24"/>
              </w:rPr>
            </w:pPr>
            <w:r>
              <w:rPr>
                <w:rFonts w:hint="eastAsia"/>
              </w:rPr>
              <w:t>-9.81%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红尾坑</w:t>
            </w:r>
            <w:r>
              <w:t>矿区</w:t>
            </w:r>
          </w:p>
        </w:tc>
        <w:tc>
          <w:tcPr>
            <w:tcW w:w="1367" w:type="pct"/>
            <w:shd w:val="clear" w:color="auto" w:fill="auto"/>
            <w:vAlign w:val="center"/>
          </w:tcPr>
          <w:p>
            <w:pPr>
              <w:widowControl/>
              <w:spacing w:line="240" w:lineRule="auto"/>
              <w:jc w:val="center"/>
            </w:pPr>
            <w:r>
              <w:rPr>
                <w:rFonts w:hint="eastAsia"/>
              </w:rPr>
              <w:t>4220万吨</w:t>
            </w:r>
          </w:p>
        </w:tc>
        <w:tc>
          <w:tcPr>
            <w:tcW w:w="1367" w:type="pct"/>
            <w:shd w:val="clear" w:color="auto" w:fill="auto"/>
            <w:vAlign w:val="center"/>
          </w:tcPr>
          <w:p>
            <w:pPr>
              <w:widowControl/>
              <w:spacing w:line="240" w:lineRule="auto"/>
              <w:jc w:val="center"/>
            </w:pPr>
            <w:r>
              <w:rPr>
                <w:rFonts w:hint="eastAsia"/>
              </w:rPr>
              <w:t>2645.574万吨</w:t>
            </w:r>
          </w:p>
        </w:tc>
        <w:tc>
          <w:tcPr>
            <w:tcW w:w="1244" w:type="pct"/>
            <w:shd w:val="clear" w:color="auto" w:fill="auto"/>
            <w:vAlign w:val="center"/>
          </w:tcPr>
          <w:p>
            <w:pPr>
              <w:widowControl/>
              <w:spacing w:line="240" w:lineRule="auto"/>
              <w:jc w:val="center"/>
              <w:rPr>
                <w:kern w:val="0"/>
                <w:szCs w:val="24"/>
              </w:rPr>
            </w:pPr>
            <w:r>
              <w:rPr>
                <w:rFonts w:hint="eastAsia"/>
              </w:rPr>
              <w:t>-37.31%</w:t>
            </w:r>
          </w:p>
        </w:tc>
      </w:tr>
    </w:tbl>
    <w:p>
      <w:pPr>
        <w:pStyle w:val="34"/>
        <w:ind w:firstLine="640"/>
      </w:pPr>
    </w:p>
    <w:p>
      <w:pPr>
        <w:pStyle w:val="34"/>
        <w:ind w:firstLine="640"/>
      </w:pPr>
      <w:r>
        <w:rPr>
          <w:rFonts w:hint="eastAsia"/>
        </w:rPr>
        <w:t>（3）</w:t>
      </w:r>
      <w:r>
        <w:t>完成进度</w:t>
      </w:r>
    </w:p>
    <w:p>
      <w:pPr>
        <w:pStyle w:val="34"/>
        <w:ind w:firstLine="643"/>
      </w:pPr>
      <w:r>
        <w:rPr>
          <w:rFonts w:hint="eastAsia"/>
          <w:b/>
          <w:bCs/>
        </w:rPr>
        <w:t>按时完成率</w:t>
      </w:r>
      <w:r>
        <w:t>。三棵松矿区</w:t>
      </w:r>
      <w:r>
        <w:rPr>
          <w:rFonts w:hint="eastAsia"/>
        </w:rPr>
        <w:t>和</w:t>
      </w:r>
      <w:r>
        <w:t>大旺山矿区实际工作进度</w:t>
      </w:r>
      <w:r>
        <w:rPr>
          <w:rFonts w:hint="eastAsia"/>
        </w:rPr>
        <w:t>滞后（具体如下表所示），</w:t>
      </w:r>
      <w:r>
        <w:t>项目实施进度把控有待进一步加强</w:t>
      </w:r>
      <w:r>
        <w:rPr>
          <w:rFonts w:hint="eastAsia"/>
        </w:rPr>
        <w:t>。指标分值3分，根据评价标准扣</w:t>
      </w:r>
      <w:r>
        <w:t>2</w:t>
      </w:r>
      <w:r>
        <w:rPr>
          <w:rFonts w:hint="eastAsia"/>
        </w:rPr>
        <w:t>.33分，得0.67分。</w:t>
      </w:r>
    </w:p>
    <w:p>
      <w:pPr>
        <w:pStyle w:val="51"/>
      </w:pPr>
      <w:bookmarkStart w:id="12" w:name="_Hlk181286576"/>
      <w:r>
        <w:t xml:space="preserve">表2-11 </w:t>
      </w:r>
      <w:r>
        <w:rPr>
          <w:rFonts w:hint="eastAsia"/>
        </w:rPr>
        <w:t>各矿区工作进度</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事项标准</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rPr>
              <w:t>实际操作</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szCs w:val="24"/>
              </w:rPr>
              <w:t>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t>三棵松矿</w:t>
            </w:r>
            <w:r>
              <w:rPr>
                <w:rFonts w:hint="eastAsia"/>
              </w:rPr>
              <w:t>区的工作进度</w:t>
            </w:r>
          </w:p>
        </w:tc>
        <w:tc>
          <w:tcPr>
            <w:tcW w:w="1367" w:type="pct"/>
            <w:shd w:val="clear" w:color="auto" w:fill="auto"/>
            <w:vAlign w:val="center"/>
          </w:tcPr>
          <w:p>
            <w:pPr>
              <w:widowControl/>
              <w:spacing w:line="240" w:lineRule="auto"/>
              <w:jc w:val="center"/>
              <w:rPr>
                <w:b/>
                <w:bCs/>
                <w:kern w:val="0"/>
                <w:szCs w:val="24"/>
              </w:rPr>
            </w:pPr>
            <w:r>
              <w:t>2023年第一季度完成储量评审备案，第二季度完成出让前所有前期准备工作</w:t>
            </w:r>
          </w:p>
        </w:tc>
        <w:tc>
          <w:tcPr>
            <w:tcW w:w="1367" w:type="pct"/>
            <w:shd w:val="clear" w:color="auto" w:fill="auto"/>
            <w:vAlign w:val="center"/>
          </w:tcPr>
          <w:p>
            <w:pPr>
              <w:widowControl/>
              <w:spacing w:line="240" w:lineRule="auto"/>
              <w:jc w:val="center"/>
              <w:rPr>
                <w:b/>
                <w:bCs/>
                <w:kern w:val="0"/>
                <w:szCs w:val="24"/>
              </w:rPr>
            </w:pPr>
            <w:r>
              <w:t>2023年10月完成储量评审，2023年12月完成前期准备工作</w:t>
            </w:r>
          </w:p>
        </w:tc>
        <w:tc>
          <w:tcPr>
            <w:tcW w:w="1244" w:type="pct"/>
            <w:shd w:val="clear" w:color="auto" w:fill="auto"/>
            <w:vAlign w:val="center"/>
          </w:tcPr>
          <w:p>
            <w:pPr>
              <w:widowControl/>
              <w:spacing w:line="240" w:lineRule="auto"/>
              <w:jc w:val="center"/>
              <w:rPr>
                <w:kern w:val="0"/>
                <w:szCs w:val="24"/>
              </w:rPr>
            </w:pPr>
            <w:r>
              <w:rPr>
                <w:rFonts w:hint="eastAsia"/>
              </w:rPr>
              <w:t>工作进度滞后约2个季度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大旺山矿区的工作进度</w:t>
            </w:r>
          </w:p>
        </w:tc>
        <w:tc>
          <w:tcPr>
            <w:tcW w:w="1367" w:type="pct"/>
            <w:shd w:val="clear" w:color="auto" w:fill="auto"/>
            <w:vAlign w:val="center"/>
          </w:tcPr>
          <w:p>
            <w:pPr>
              <w:widowControl/>
              <w:spacing w:line="240" w:lineRule="auto"/>
              <w:jc w:val="center"/>
            </w:pPr>
            <w:r>
              <w:t>2023年6月底挂牌出让</w:t>
            </w:r>
          </w:p>
        </w:tc>
        <w:tc>
          <w:tcPr>
            <w:tcW w:w="1367" w:type="pct"/>
            <w:shd w:val="clear" w:color="auto" w:fill="auto"/>
            <w:vAlign w:val="center"/>
          </w:tcPr>
          <w:p>
            <w:pPr>
              <w:widowControl/>
              <w:spacing w:line="240" w:lineRule="auto"/>
              <w:jc w:val="center"/>
            </w:pPr>
            <w:r>
              <w:t>2024年3月完成挂牌出让</w:t>
            </w:r>
          </w:p>
        </w:tc>
        <w:tc>
          <w:tcPr>
            <w:tcW w:w="1244" w:type="pct"/>
            <w:shd w:val="clear" w:color="auto" w:fill="auto"/>
            <w:vAlign w:val="center"/>
          </w:tcPr>
          <w:p>
            <w:pPr>
              <w:widowControl/>
              <w:spacing w:line="240" w:lineRule="auto"/>
              <w:jc w:val="center"/>
              <w:rPr>
                <w:kern w:val="0"/>
                <w:szCs w:val="24"/>
              </w:rPr>
            </w:pPr>
            <w:r>
              <w:rPr>
                <w:rFonts w:hint="eastAsia"/>
              </w:rPr>
              <w:t>工作进度滞后9个月</w:t>
            </w:r>
          </w:p>
        </w:tc>
      </w:tr>
      <w:bookmarkEnd w:id="12"/>
    </w:tbl>
    <w:p>
      <w:pPr>
        <w:pStyle w:val="34"/>
        <w:ind w:firstLine="640"/>
      </w:pPr>
    </w:p>
    <w:p>
      <w:pPr>
        <w:pStyle w:val="37"/>
        <w:ind w:firstLine="640"/>
      </w:pPr>
      <w:bookmarkStart w:id="13" w:name="_Toc181571198"/>
      <w:r>
        <w:t>（四）效益</w:t>
      </w:r>
      <w:bookmarkEnd w:id="13"/>
    </w:p>
    <w:p>
      <w:pPr>
        <w:pStyle w:val="34"/>
        <w:ind w:firstLine="640"/>
      </w:pPr>
      <w:r>
        <w:t>项目效益的</w:t>
      </w:r>
      <w:r>
        <w:rPr>
          <w:rFonts w:hint="eastAsia"/>
        </w:rPr>
        <w:t>二</w:t>
      </w:r>
      <w:r>
        <w:t>级指标得分率如下（图2-9）：</w:t>
      </w:r>
    </w:p>
    <w:p>
      <w:pPr>
        <w:pStyle w:val="41"/>
        <w:spacing w:line="240" w:lineRule="auto"/>
        <w:ind w:firstLine="643"/>
      </w:pPr>
      <w:r>
        <w:drawing>
          <wp:inline distT="0" distB="0" distL="0" distR="0">
            <wp:extent cx="4572000" cy="1444625"/>
            <wp:effectExtent l="4445" t="4445" r="14605" b="17780"/>
            <wp:docPr id="591698194"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pPr>
        <w:pStyle w:val="51"/>
      </w:pPr>
      <w:r>
        <w:t>图2-9 效益的</w:t>
      </w:r>
      <w:r>
        <w:rPr>
          <w:rFonts w:hint="eastAsia"/>
        </w:rPr>
        <w:t>二</w:t>
      </w:r>
      <w:r>
        <w:t>级指标得分</w:t>
      </w:r>
      <w:r>
        <w:rPr>
          <w:rFonts w:hint="eastAsia"/>
        </w:rPr>
        <w:t>情况</w:t>
      </w:r>
    </w:p>
    <w:p>
      <w:pPr>
        <w:pStyle w:val="39"/>
        <w:ind w:firstLine="643"/>
      </w:pPr>
      <w:r>
        <w:t>1.效果性</w:t>
      </w:r>
    </w:p>
    <w:p>
      <w:pPr>
        <w:pStyle w:val="34"/>
        <w:ind w:firstLine="640"/>
      </w:pPr>
      <w:r>
        <w:rPr>
          <w:rStyle w:val="35"/>
        </w:rPr>
        <w:t>效</w:t>
      </w:r>
      <w:r>
        <w:rPr>
          <w:rStyle w:val="35"/>
          <w:rFonts w:hint="eastAsia"/>
        </w:rPr>
        <w:t>果</w:t>
      </w:r>
      <w:r>
        <w:rPr>
          <w:rStyle w:val="35"/>
        </w:rPr>
        <w:t>性</w:t>
      </w:r>
      <w:r>
        <w:rPr>
          <w:rFonts w:hint="eastAsia"/>
        </w:rPr>
        <w:t>的三级指标得分率如下</w:t>
      </w:r>
      <w:r>
        <w:t>（图2-10）：</w:t>
      </w:r>
    </w:p>
    <w:p>
      <w:pPr>
        <w:pStyle w:val="34"/>
        <w:spacing w:line="240" w:lineRule="auto"/>
        <w:ind w:firstLine="640"/>
      </w:pPr>
      <w:r>
        <w:drawing>
          <wp:inline distT="0" distB="0" distL="0" distR="0">
            <wp:extent cx="4572000" cy="1687830"/>
            <wp:effectExtent l="4445" t="4445" r="14605" b="22225"/>
            <wp:docPr id="126318407"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pPr>
        <w:pStyle w:val="51"/>
      </w:pPr>
      <w:r>
        <w:t xml:space="preserve">图2-10 </w:t>
      </w:r>
      <w:r>
        <w:rPr>
          <w:rFonts w:hint="eastAsia"/>
        </w:rPr>
        <w:t>效果性</w:t>
      </w:r>
      <w:r>
        <w:t>的</w:t>
      </w:r>
      <w:r>
        <w:rPr>
          <w:rFonts w:hint="eastAsia"/>
        </w:rPr>
        <w:t>三</w:t>
      </w:r>
      <w:r>
        <w:t>级指标</w:t>
      </w:r>
      <w:r>
        <w:rPr>
          <w:rFonts w:hint="eastAsia"/>
        </w:rPr>
        <w:t>得分情况</w:t>
      </w:r>
    </w:p>
    <w:p>
      <w:pPr>
        <w:pStyle w:val="34"/>
        <w:ind w:firstLine="640"/>
      </w:pPr>
      <w:r>
        <w:t>（1）</w:t>
      </w:r>
      <w:r>
        <w:rPr>
          <w:rFonts w:hint="eastAsia"/>
        </w:rPr>
        <w:t>社会效益</w:t>
      </w:r>
    </w:p>
    <w:p>
      <w:pPr>
        <w:pStyle w:val="34"/>
        <w:ind w:firstLine="643"/>
      </w:pPr>
      <w:r>
        <w:rPr>
          <w:rFonts w:hint="eastAsia"/>
          <w:b/>
          <w:bCs/>
        </w:rPr>
        <w:t>增加就业人次</w:t>
      </w:r>
      <w:r>
        <w:t>。四个矿区的地勘单位在资源勘查期间，通过劳务分包的方式带动了超过160人次就业，</w:t>
      </w:r>
      <w:bookmarkStart w:id="14" w:name="_Hlk174723339"/>
      <w:r>
        <w:t>项目实施期间的社会效益良好</w:t>
      </w:r>
      <w:bookmarkEnd w:id="14"/>
      <w:r>
        <w:t>。</w:t>
      </w:r>
      <w:r>
        <w:rPr>
          <w:rFonts w:hint="eastAsia"/>
        </w:rPr>
        <w:t>指标分值4分，根据评价标准，得满分。</w:t>
      </w:r>
    </w:p>
    <w:p>
      <w:pPr>
        <w:pStyle w:val="34"/>
        <w:ind w:firstLine="640"/>
      </w:pPr>
      <w:r>
        <w:rPr>
          <w:rFonts w:hint="eastAsia"/>
        </w:rPr>
        <w:t>（2）</w:t>
      </w:r>
      <w:r>
        <w:t>经济效益</w:t>
      </w:r>
    </w:p>
    <w:p>
      <w:pPr>
        <w:pStyle w:val="34"/>
        <w:ind w:firstLine="643"/>
      </w:pPr>
      <w:r>
        <w:rPr>
          <w:rFonts w:hint="eastAsia"/>
          <w:b/>
          <w:bCs/>
        </w:rPr>
        <w:t>“净矿”出让收入</w:t>
      </w:r>
      <w:r>
        <w:t>。大旺山矿区、三棵松矿区、红尾坑矿区3个矿区实现采矿权出让收益22.7324亿元，同时，矿区开采后将带动区域的基础设施建设及韶关市矿产行业发展，项目实施带来的经济效益好，且经济发展潜力大。</w:t>
      </w:r>
      <w:r>
        <w:rPr>
          <w:rFonts w:hint="eastAsia"/>
        </w:rPr>
        <w:t>指标分值4分，根据评价标准，得满分。</w:t>
      </w:r>
    </w:p>
    <w:p>
      <w:pPr>
        <w:pStyle w:val="34"/>
        <w:ind w:firstLine="640"/>
      </w:pPr>
      <w:r>
        <w:rPr>
          <w:rFonts w:hint="eastAsia"/>
        </w:rPr>
        <w:t>（3）</w:t>
      </w:r>
      <w:r>
        <w:t>生态效益</w:t>
      </w:r>
    </w:p>
    <w:p>
      <w:pPr>
        <w:pStyle w:val="34"/>
        <w:ind w:firstLine="643"/>
      </w:pPr>
      <w:r>
        <w:rPr>
          <w:rFonts w:hint="eastAsia"/>
          <w:b/>
          <w:bCs/>
        </w:rPr>
        <w:t>实施绿色勘查达标率</w:t>
      </w:r>
      <w:r>
        <w:t>。4个矿区的地勘工作主要为机械岩心钻探取样，该方法对土质破坏面积小。同时，野外抽样的钻探点为避免水土流失等生态破坏，已完成浅表层封闭，未见因野外工作设计不规范导致生态破坏。</w:t>
      </w:r>
      <w:r>
        <w:rPr>
          <w:rFonts w:hint="eastAsia"/>
        </w:rPr>
        <w:t>指标分值4分，根据评价标准，得满分。</w:t>
      </w:r>
    </w:p>
    <w:p>
      <w:pPr>
        <w:pStyle w:val="34"/>
        <w:ind w:firstLine="640"/>
      </w:pPr>
      <w:r>
        <w:rPr>
          <w:rFonts w:hint="eastAsia"/>
        </w:rPr>
        <w:t>（4）</w:t>
      </w:r>
      <w:r>
        <w:t>可持续发展</w:t>
      </w:r>
    </w:p>
    <w:p>
      <w:pPr>
        <w:pStyle w:val="34"/>
        <w:ind w:firstLine="643"/>
      </w:pPr>
      <w:r>
        <w:rPr>
          <w:rFonts w:hint="eastAsia"/>
          <w:b/>
          <w:bCs/>
        </w:rPr>
        <w:t>项目持续发挥作用的期限</w:t>
      </w:r>
      <w:r>
        <w:t>。大旺山矿区、三棵松矿区、红尾坑矿区3个矿区完成挂牌出让，且出让时间均超过20年，项目实施的可持续影响好。</w:t>
      </w:r>
      <w:r>
        <w:rPr>
          <w:rFonts w:hint="eastAsia"/>
        </w:rPr>
        <w:t>指标分值4分，根据评价标准，得满分。</w:t>
      </w:r>
    </w:p>
    <w:p>
      <w:pPr>
        <w:pStyle w:val="34"/>
        <w:ind w:firstLine="643"/>
      </w:pPr>
      <w:r>
        <w:rPr>
          <w:rFonts w:hint="eastAsia"/>
          <w:b/>
          <w:bCs/>
        </w:rPr>
        <w:t>勘察矿产的安全事故发生次数</w:t>
      </w:r>
      <w:r>
        <w:t>。4个矿区开展矿产资源勘查阶段未发生重大安全事故。</w:t>
      </w:r>
      <w:r>
        <w:rPr>
          <w:rFonts w:hint="eastAsia"/>
        </w:rPr>
        <w:t>指标分值4分，根据评价标准，得满分。</w:t>
      </w:r>
    </w:p>
    <w:p>
      <w:pPr>
        <w:pStyle w:val="39"/>
        <w:ind w:firstLine="643"/>
      </w:pPr>
      <w:r>
        <w:t>2.公平性</w:t>
      </w:r>
    </w:p>
    <w:p>
      <w:pPr>
        <w:pStyle w:val="34"/>
        <w:ind w:firstLine="640"/>
      </w:pPr>
      <w:r>
        <w:rPr>
          <w:rFonts w:hint="eastAsia"/>
        </w:rPr>
        <w:t>（1）</w:t>
      </w:r>
      <w:r>
        <w:t>满意度</w:t>
      </w:r>
    </w:p>
    <w:p>
      <w:pPr>
        <w:pStyle w:val="34"/>
        <w:ind w:firstLine="643"/>
      </w:pPr>
      <w:r>
        <w:rPr>
          <w:rFonts w:hint="eastAsia"/>
          <w:b/>
          <w:bCs/>
        </w:rPr>
        <w:t>受益对象满意度</w:t>
      </w:r>
      <w:r>
        <w:t>。根据单位提供的满意度调查问卷，三个矿权竞拍企业对矿的质量和设区主管部门的服务质量均非常满意。</w:t>
      </w:r>
      <w:r>
        <w:rPr>
          <w:rFonts w:hint="eastAsia"/>
        </w:rPr>
        <w:t>指标分值</w:t>
      </w:r>
      <w:r>
        <w:t>5</w:t>
      </w:r>
      <w:r>
        <w:rPr>
          <w:rFonts w:hint="eastAsia"/>
        </w:rPr>
        <w:t>分，根据评价标准，得满分。</w:t>
      </w:r>
    </w:p>
    <w:p>
      <w:pPr>
        <w:pStyle w:val="36"/>
        <w:ind w:firstLine="643"/>
      </w:pPr>
      <w:bookmarkStart w:id="15" w:name="_Toc181571199"/>
      <w:r>
        <w:t>三、评价结论</w:t>
      </w:r>
      <w:bookmarkEnd w:id="15"/>
    </w:p>
    <w:p>
      <w:pPr>
        <w:pStyle w:val="34"/>
        <w:ind w:firstLine="640"/>
      </w:pPr>
      <w:r>
        <w:t>经综合评定，市自然资源局2023年矿产资源勘查项目支出绩效评价综合得分74.15分，等级为</w:t>
      </w:r>
      <w:r>
        <w:rPr>
          <w:rFonts w:hint="eastAsia"/>
        </w:rPr>
        <w:t>“</w:t>
      </w:r>
      <w:r>
        <w:t>中</w:t>
      </w:r>
      <w:r>
        <w:rPr>
          <w:rFonts w:hint="eastAsia"/>
        </w:rPr>
        <w:t>”</w:t>
      </w:r>
      <w:r>
        <w:t>。项目立项依据充分，基本完成了2023年市级矿产资源地勘工作计划，实现了</w:t>
      </w:r>
      <w:r>
        <w:rPr>
          <w:rFonts w:hint="eastAsia"/>
        </w:rPr>
        <w:t>3</w:t>
      </w:r>
      <w:r>
        <w:t>个矿区22.7324亿元的采矿权出让收益，项目整体经济效益良好。但在绩效目标管理、资金管理、项目实施程序规范性等方面存在不足。具体指标得分如下表所示。</w:t>
      </w:r>
    </w:p>
    <w:p>
      <w:pPr>
        <w:pStyle w:val="51"/>
      </w:pPr>
      <w:r>
        <w:t>表3-1 2023年项目支出绩效评价指标得分情况</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22"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一级指标</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权分</w:t>
            </w:r>
          </w:p>
        </w:tc>
        <w:tc>
          <w:tcPr>
            <w:tcW w:w="1367" w:type="pct"/>
            <w:shd w:val="clear" w:color="auto" w:fill="FEF2CC" w:themeFill="accent4" w:themeFillTint="33"/>
            <w:vAlign w:val="center"/>
          </w:tcPr>
          <w:p>
            <w:pPr>
              <w:widowControl/>
              <w:spacing w:line="240" w:lineRule="auto"/>
              <w:jc w:val="center"/>
              <w:rPr>
                <w:b/>
                <w:bCs/>
                <w:kern w:val="0"/>
                <w:szCs w:val="24"/>
              </w:rPr>
            </w:pPr>
            <w:r>
              <w:rPr>
                <w:rFonts w:hint="eastAsia"/>
                <w:b/>
                <w:bCs/>
              </w:rPr>
              <w:t>得分</w:t>
            </w:r>
          </w:p>
        </w:tc>
        <w:tc>
          <w:tcPr>
            <w:tcW w:w="1244" w:type="pct"/>
            <w:shd w:val="clear" w:color="auto" w:fill="FEF2CC" w:themeFill="accent4" w:themeFillTint="33"/>
            <w:vAlign w:val="center"/>
          </w:tcPr>
          <w:p>
            <w:pPr>
              <w:widowControl/>
              <w:spacing w:line="240" w:lineRule="auto"/>
              <w:jc w:val="center"/>
              <w:rPr>
                <w:b/>
                <w:bCs/>
                <w:kern w:val="0"/>
                <w:szCs w:val="24"/>
              </w:rPr>
            </w:pPr>
            <w:r>
              <w:rPr>
                <w:rFonts w:hint="eastAsia"/>
                <w:b/>
                <w:bCs/>
                <w:szCs w:val="24"/>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kern w:val="0"/>
                <w:szCs w:val="24"/>
              </w:rPr>
            </w:pPr>
            <w:r>
              <w:rPr>
                <w:rFonts w:hint="eastAsia"/>
              </w:rPr>
              <w:t>投入</w:t>
            </w:r>
          </w:p>
        </w:tc>
        <w:tc>
          <w:tcPr>
            <w:tcW w:w="1367" w:type="pct"/>
            <w:shd w:val="clear" w:color="auto" w:fill="auto"/>
            <w:vAlign w:val="center"/>
          </w:tcPr>
          <w:p>
            <w:pPr>
              <w:widowControl/>
              <w:spacing w:line="240" w:lineRule="auto"/>
              <w:jc w:val="center"/>
              <w:rPr>
                <w:b/>
                <w:bCs/>
                <w:kern w:val="0"/>
                <w:szCs w:val="24"/>
              </w:rPr>
            </w:pPr>
            <w:r>
              <w:t>20.00</w:t>
            </w:r>
          </w:p>
        </w:tc>
        <w:tc>
          <w:tcPr>
            <w:tcW w:w="1367" w:type="pct"/>
            <w:shd w:val="clear" w:color="auto" w:fill="auto"/>
            <w:vAlign w:val="center"/>
          </w:tcPr>
          <w:p>
            <w:pPr>
              <w:widowControl/>
              <w:spacing w:line="240" w:lineRule="auto"/>
              <w:jc w:val="center"/>
              <w:rPr>
                <w:b/>
                <w:bCs/>
                <w:kern w:val="0"/>
                <w:szCs w:val="24"/>
              </w:rPr>
            </w:pPr>
            <w:r>
              <w:t>14.36</w:t>
            </w:r>
          </w:p>
        </w:tc>
        <w:tc>
          <w:tcPr>
            <w:tcW w:w="1244" w:type="pct"/>
            <w:shd w:val="clear" w:color="auto" w:fill="auto"/>
            <w:vAlign w:val="center"/>
          </w:tcPr>
          <w:p>
            <w:pPr>
              <w:widowControl/>
              <w:spacing w:line="240" w:lineRule="auto"/>
              <w:jc w:val="center"/>
              <w:rPr>
                <w:kern w:val="0"/>
                <w:szCs w:val="24"/>
              </w:rPr>
            </w:pPr>
            <w:r>
              <w:rPr>
                <w:rFonts w:hint="eastAsia"/>
              </w:rPr>
              <w:t>7</w:t>
            </w:r>
            <w:r>
              <w:t>1.81%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过程</w:t>
            </w:r>
          </w:p>
        </w:tc>
        <w:tc>
          <w:tcPr>
            <w:tcW w:w="1367" w:type="pct"/>
            <w:shd w:val="clear" w:color="auto" w:fill="auto"/>
            <w:vAlign w:val="center"/>
          </w:tcPr>
          <w:p>
            <w:pPr>
              <w:widowControl/>
              <w:spacing w:line="240" w:lineRule="auto"/>
              <w:jc w:val="center"/>
            </w:pPr>
            <w:r>
              <w:t>20.00</w:t>
            </w:r>
          </w:p>
        </w:tc>
        <w:tc>
          <w:tcPr>
            <w:tcW w:w="1367" w:type="pct"/>
            <w:shd w:val="clear" w:color="auto" w:fill="auto"/>
            <w:vAlign w:val="center"/>
          </w:tcPr>
          <w:p>
            <w:pPr>
              <w:widowControl/>
              <w:spacing w:line="240" w:lineRule="auto"/>
              <w:jc w:val="center"/>
            </w:pPr>
            <w:r>
              <w:t>6.87</w:t>
            </w:r>
          </w:p>
        </w:tc>
        <w:tc>
          <w:tcPr>
            <w:tcW w:w="1244" w:type="pct"/>
            <w:shd w:val="clear" w:color="auto" w:fill="auto"/>
            <w:vAlign w:val="center"/>
          </w:tcPr>
          <w:p>
            <w:pPr>
              <w:widowControl/>
              <w:spacing w:line="240" w:lineRule="auto"/>
              <w:jc w:val="center"/>
              <w:rPr>
                <w:kern w:val="0"/>
                <w:szCs w:val="24"/>
              </w:rPr>
            </w:pPr>
            <w:r>
              <w:rPr>
                <w:rFonts w:hint="eastAsia"/>
              </w:rPr>
              <w:t>3</w:t>
            </w:r>
            <w:r>
              <w:t>4.37%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产出</w:t>
            </w:r>
          </w:p>
        </w:tc>
        <w:tc>
          <w:tcPr>
            <w:tcW w:w="1367" w:type="pct"/>
            <w:shd w:val="clear" w:color="auto" w:fill="auto"/>
            <w:vAlign w:val="center"/>
          </w:tcPr>
          <w:p>
            <w:pPr>
              <w:widowControl/>
              <w:spacing w:line="240" w:lineRule="auto"/>
              <w:jc w:val="center"/>
            </w:pPr>
            <w:r>
              <w:rPr>
                <w:rFonts w:hint="eastAsia"/>
              </w:rPr>
              <w:t>3</w:t>
            </w:r>
            <w:r>
              <w:t>5.00</w:t>
            </w:r>
          </w:p>
        </w:tc>
        <w:tc>
          <w:tcPr>
            <w:tcW w:w="1367" w:type="pct"/>
            <w:shd w:val="clear" w:color="auto" w:fill="auto"/>
            <w:vAlign w:val="center"/>
          </w:tcPr>
          <w:p>
            <w:pPr>
              <w:widowControl/>
              <w:spacing w:line="240" w:lineRule="auto"/>
              <w:jc w:val="center"/>
            </w:pPr>
            <w:r>
              <w:rPr>
                <w:rFonts w:hint="eastAsia"/>
              </w:rPr>
              <w:t>2</w:t>
            </w:r>
            <w:r>
              <w:t>7.92</w:t>
            </w:r>
          </w:p>
        </w:tc>
        <w:tc>
          <w:tcPr>
            <w:tcW w:w="1244" w:type="pct"/>
            <w:shd w:val="clear" w:color="auto" w:fill="auto"/>
            <w:vAlign w:val="center"/>
          </w:tcPr>
          <w:p>
            <w:pPr>
              <w:widowControl/>
              <w:spacing w:line="240" w:lineRule="auto"/>
              <w:jc w:val="center"/>
            </w:pPr>
            <w:r>
              <w:rPr>
                <w:rFonts w:hint="eastAsia"/>
              </w:rPr>
              <w:t>7</w:t>
            </w:r>
            <w:r>
              <w:t>9.76%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pPr>
            <w:r>
              <w:rPr>
                <w:rFonts w:hint="eastAsia"/>
              </w:rPr>
              <w:t>效益</w:t>
            </w:r>
          </w:p>
        </w:tc>
        <w:tc>
          <w:tcPr>
            <w:tcW w:w="1367" w:type="pct"/>
            <w:shd w:val="clear" w:color="auto" w:fill="auto"/>
            <w:vAlign w:val="center"/>
          </w:tcPr>
          <w:p>
            <w:pPr>
              <w:widowControl/>
              <w:spacing w:line="240" w:lineRule="auto"/>
              <w:jc w:val="center"/>
            </w:pPr>
            <w:r>
              <w:rPr>
                <w:rFonts w:hint="eastAsia"/>
              </w:rPr>
              <w:t>2</w:t>
            </w:r>
            <w:r>
              <w:t>5.00</w:t>
            </w:r>
          </w:p>
        </w:tc>
        <w:tc>
          <w:tcPr>
            <w:tcW w:w="1367" w:type="pct"/>
            <w:shd w:val="clear" w:color="auto" w:fill="auto"/>
            <w:vAlign w:val="center"/>
          </w:tcPr>
          <w:p>
            <w:pPr>
              <w:widowControl/>
              <w:spacing w:line="240" w:lineRule="auto"/>
              <w:jc w:val="center"/>
            </w:pPr>
            <w:r>
              <w:rPr>
                <w:rFonts w:hint="eastAsia"/>
              </w:rPr>
              <w:t>2</w:t>
            </w:r>
            <w:r>
              <w:t>5.00</w:t>
            </w:r>
          </w:p>
        </w:tc>
        <w:tc>
          <w:tcPr>
            <w:tcW w:w="1244" w:type="pct"/>
            <w:shd w:val="clear" w:color="auto" w:fill="auto"/>
            <w:vAlign w:val="center"/>
          </w:tcPr>
          <w:p>
            <w:pPr>
              <w:widowControl/>
              <w:spacing w:line="240" w:lineRule="auto"/>
              <w:jc w:val="center"/>
            </w:pPr>
            <w:r>
              <w:rPr>
                <w:rFonts w:hint="eastAsia"/>
              </w:rPr>
              <w:t>1</w:t>
            </w:r>
            <w:r>
              <w:t>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shd w:val="clear" w:color="auto" w:fill="auto"/>
            <w:vAlign w:val="center"/>
          </w:tcPr>
          <w:p>
            <w:pPr>
              <w:widowControl/>
              <w:spacing w:line="240" w:lineRule="auto"/>
              <w:jc w:val="center"/>
              <w:rPr>
                <w:b/>
                <w:bCs/>
              </w:rPr>
            </w:pPr>
            <w:r>
              <w:rPr>
                <w:rFonts w:hint="eastAsia"/>
                <w:b/>
                <w:bCs/>
              </w:rPr>
              <w:t>合计</w:t>
            </w:r>
          </w:p>
        </w:tc>
        <w:tc>
          <w:tcPr>
            <w:tcW w:w="1367" w:type="pct"/>
            <w:shd w:val="clear" w:color="auto" w:fill="auto"/>
            <w:vAlign w:val="center"/>
          </w:tcPr>
          <w:p>
            <w:pPr>
              <w:widowControl/>
              <w:spacing w:line="240" w:lineRule="auto"/>
              <w:jc w:val="center"/>
              <w:rPr>
                <w:b/>
                <w:bCs/>
              </w:rPr>
            </w:pPr>
            <w:r>
              <w:rPr>
                <w:rFonts w:hint="eastAsia"/>
                <w:b/>
                <w:bCs/>
              </w:rPr>
              <w:t>1</w:t>
            </w:r>
            <w:r>
              <w:rPr>
                <w:b/>
                <w:bCs/>
              </w:rPr>
              <w:t>00.00</w:t>
            </w:r>
          </w:p>
        </w:tc>
        <w:tc>
          <w:tcPr>
            <w:tcW w:w="1367" w:type="pct"/>
            <w:shd w:val="clear" w:color="auto" w:fill="auto"/>
            <w:vAlign w:val="center"/>
          </w:tcPr>
          <w:p>
            <w:pPr>
              <w:widowControl/>
              <w:spacing w:line="240" w:lineRule="auto"/>
              <w:jc w:val="center"/>
              <w:rPr>
                <w:b/>
                <w:bCs/>
              </w:rPr>
            </w:pPr>
            <w:r>
              <w:rPr>
                <w:rFonts w:hint="eastAsia"/>
                <w:b/>
                <w:bCs/>
              </w:rPr>
              <w:t>7</w:t>
            </w:r>
            <w:r>
              <w:rPr>
                <w:b/>
                <w:bCs/>
              </w:rPr>
              <w:t>4.15</w:t>
            </w:r>
          </w:p>
        </w:tc>
        <w:tc>
          <w:tcPr>
            <w:tcW w:w="1244" w:type="pct"/>
            <w:shd w:val="clear" w:color="auto" w:fill="auto"/>
            <w:vAlign w:val="center"/>
          </w:tcPr>
          <w:p>
            <w:pPr>
              <w:widowControl/>
              <w:spacing w:line="240" w:lineRule="auto"/>
              <w:jc w:val="center"/>
              <w:rPr>
                <w:b/>
                <w:bCs/>
              </w:rPr>
            </w:pPr>
            <w:r>
              <w:rPr>
                <w:rFonts w:hint="eastAsia"/>
                <w:b/>
                <w:bCs/>
              </w:rPr>
              <w:t>7</w:t>
            </w:r>
            <w:r>
              <w:rPr>
                <w:b/>
                <w:bCs/>
              </w:rPr>
              <w:t>4.15%</w:t>
            </w:r>
          </w:p>
        </w:tc>
      </w:tr>
    </w:tbl>
    <w:p>
      <w:pPr>
        <w:pStyle w:val="51"/>
      </w:pPr>
    </w:p>
    <w:p>
      <w:pPr>
        <w:pStyle w:val="36"/>
        <w:ind w:firstLine="643"/>
      </w:pPr>
      <w:bookmarkStart w:id="16" w:name="_Toc181571200"/>
      <w:r>
        <w:t>四、主要绩效</w:t>
      </w:r>
      <w:bookmarkEnd w:id="16"/>
    </w:p>
    <w:p>
      <w:pPr>
        <w:pStyle w:val="37"/>
        <w:ind w:firstLine="640"/>
      </w:pPr>
      <w:bookmarkStart w:id="17" w:name="_Toc181571201"/>
      <w:r>
        <w:t>（一）创新项目实施方式，为项目后续优化提供参考</w:t>
      </w:r>
      <w:bookmarkEnd w:id="17"/>
    </w:p>
    <w:p>
      <w:pPr>
        <w:pStyle w:val="34"/>
        <w:ind w:firstLine="640"/>
      </w:pPr>
      <w:r>
        <w:t>本项目作为政府资金与民间资本联合探索勘查矿产资源的一次尝试</w:t>
      </w:r>
      <w:r>
        <w:rPr>
          <w:rStyle w:val="21"/>
        </w:rPr>
        <w:footnoteReference w:id="0"/>
      </w:r>
      <w:r>
        <w:t>，在地勘工作阶段通过政府资金支持的方式，一定程度减缓了地勘单位垫资开展工作的压力，降低了地勘单位变动的概率，提高了地勘工作的效率。同时，本项目为第一次尝试，以一定限额的资金池方式支持项目开展工作，符合“高风险”矿产资源勘查项目的实施特征，减少了项目因客观情况变动而需要调整预算的程序，提高了项目实施进度。</w:t>
      </w:r>
    </w:p>
    <w:p>
      <w:pPr>
        <w:pStyle w:val="37"/>
        <w:ind w:firstLine="640"/>
      </w:pPr>
      <w:bookmarkStart w:id="18" w:name="_Toc181571202"/>
      <w:r>
        <w:t>（二）完成资源勘查计划，不断摸清</w:t>
      </w:r>
      <w:r>
        <w:rPr>
          <w:rFonts w:hint="eastAsia"/>
        </w:rPr>
        <w:t>区域的</w:t>
      </w:r>
      <w:r>
        <w:t>资源家底</w:t>
      </w:r>
      <w:bookmarkEnd w:id="18"/>
    </w:p>
    <w:p>
      <w:pPr>
        <w:pStyle w:val="34"/>
        <w:ind w:firstLine="640"/>
      </w:pPr>
      <w:r>
        <w:t>本项目共开展了三棵松矿区、红尾坑矿区、大旺山矿区和黄龙岗矿区4个矿区的矿产资源勘查工作，完成了《净矿方案》的试点勘查计划，摸清了26,529.56</w:t>
      </w:r>
      <w:r>
        <w:rPr>
          <w:rStyle w:val="21"/>
        </w:rPr>
        <w:footnoteReference w:id="1"/>
      </w:r>
      <w:r>
        <w:t>万立方米的矿产资源可采储量和96.8万吨的硅质岩矿储量，为韶关武江区和曲江区开展矿产资源开采工作提供了数据参考和资源保障。</w:t>
      </w:r>
    </w:p>
    <w:p>
      <w:pPr>
        <w:pStyle w:val="37"/>
        <w:ind w:firstLine="640"/>
      </w:pPr>
      <w:bookmarkStart w:id="19" w:name="_Toc181571203"/>
      <w:r>
        <w:t>（三）</w:t>
      </w:r>
      <w:r>
        <w:rPr>
          <w:rFonts w:hint="eastAsia"/>
        </w:rPr>
        <w:t>矿产资源</w:t>
      </w:r>
      <w:r>
        <w:t>效益</w:t>
      </w:r>
      <w:r>
        <w:rPr>
          <w:rFonts w:hint="eastAsia"/>
        </w:rPr>
        <w:t>良好</w:t>
      </w:r>
      <w:r>
        <w:t>，为社会发展提供</w:t>
      </w:r>
      <w:r>
        <w:rPr>
          <w:rFonts w:hint="eastAsia"/>
        </w:rPr>
        <w:t>经济</w:t>
      </w:r>
      <w:r>
        <w:t>贡献</w:t>
      </w:r>
      <w:bookmarkEnd w:id="19"/>
    </w:p>
    <w:p>
      <w:pPr>
        <w:pStyle w:val="34"/>
        <w:ind w:firstLine="640"/>
      </w:pPr>
      <w:r>
        <w:t>一方面，大旺山矿区、三棵松矿区、红尾坑矿区和黄龙岗矿区四个矿区矿产在开展矿产资源勘查阶段，通过劳务雇佣的方式聘请超过150人次完成野外矿产资源勘查工作，一定程度带动了社会就业。另一方面，大旺山矿区、三棵松矿区、红尾坑矿区三个矿区实现采矿权出让收益22.7324亿元，且各矿区采矿权出让时间均超过20年、出让前20年每年均有出让经济收入，对韶关市经济发展和税收提供客观的贡献。</w:t>
      </w:r>
    </w:p>
    <w:p>
      <w:pPr>
        <w:pStyle w:val="36"/>
        <w:ind w:firstLine="643"/>
      </w:pPr>
      <w:bookmarkStart w:id="20" w:name="_Toc181571204"/>
      <w:r>
        <w:t>五、存在问题</w:t>
      </w:r>
      <w:bookmarkEnd w:id="20"/>
    </w:p>
    <w:p>
      <w:pPr>
        <w:pStyle w:val="37"/>
        <w:ind w:firstLine="640"/>
      </w:pPr>
      <w:bookmarkStart w:id="21" w:name="_Toc181571205"/>
      <w:r>
        <w:t>（一）招标实施不合规，招标管理有待完善</w:t>
      </w:r>
      <w:bookmarkEnd w:id="21"/>
    </w:p>
    <w:p>
      <w:pPr>
        <w:pStyle w:val="34"/>
        <w:ind w:firstLine="640"/>
      </w:pPr>
      <w:r>
        <w:t>据介绍，项目实施背景为：《净矿方案》提出后引进财政资金对矿产资源勘查的初次尝试，项目实施方式和资金支持方式转型，主管部门对项目的招投标规范化管理不熟悉，在实施项目过程出现一些不符合预期的情况，具体为：</w:t>
      </w:r>
    </w:p>
    <w:p>
      <w:pPr>
        <w:pStyle w:val="34"/>
        <w:ind w:firstLine="643"/>
      </w:pPr>
      <w:r>
        <w:rPr>
          <w:b/>
          <w:bCs/>
        </w:rPr>
        <w:t>一是个别矿区投标代理单位不符合资质要求，评审工作的合规性存疑。</w:t>
      </w:r>
      <w:r>
        <w:t>三棵松矿区补充调查阶段的招投标工作，未根据相关法律法规开展投标材料合规性审核，使得评标范围不合规，降低评标结果的客观性和真实性。具体而言：</w:t>
      </w:r>
      <w:r>
        <w:rPr>
          <w:b/>
          <w:bCs/>
        </w:rPr>
        <w:t>首先是个别投标单位的投标代理机构资质过期。</w:t>
      </w:r>
      <w:r>
        <w:t>投标单位</w:t>
      </w:r>
      <w:r>
        <w:rPr>
          <w:rFonts w:hint="eastAsia"/>
        </w:rPr>
        <w:t>“</w:t>
      </w:r>
      <w:r>
        <w:t>广东省核工业地质调查院</w:t>
      </w:r>
      <w:r>
        <w:rPr>
          <w:rFonts w:hint="eastAsia"/>
        </w:rPr>
        <w:t>”</w:t>
      </w:r>
      <w:r>
        <w:t>的投标代理机构约定服务有效期截至2023年4月30日，但该代理机构递交投标文件时为2023年5月9日。</w:t>
      </w:r>
      <w:r>
        <w:rPr>
          <w:b/>
          <w:bCs/>
        </w:rPr>
        <w:t>其次是招标代理机构未按规定</w:t>
      </w:r>
      <w:r>
        <w:rPr>
          <w:rStyle w:val="21"/>
          <w:b/>
          <w:bCs/>
        </w:rPr>
        <w:footnoteReference w:id="2"/>
      </w:r>
      <w:r>
        <w:rPr>
          <w:b/>
          <w:bCs/>
        </w:rPr>
        <w:t>对上述不合规情况审核和拒收。</w:t>
      </w:r>
      <w:r>
        <w:t>武江区自然资源局委托的的招标代理机构未对</w:t>
      </w:r>
      <w:r>
        <w:rPr>
          <w:rFonts w:hint="eastAsia"/>
        </w:rPr>
        <w:t>“</w:t>
      </w:r>
      <w:r>
        <w:t>广东省核工业地质调查院</w:t>
      </w:r>
      <w:r>
        <w:rPr>
          <w:rFonts w:hint="eastAsia"/>
        </w:rPr>
        <w:t>”</w:t>
      </w:r>
      <w:r>
        <w:t>的投标文件进行审核和拒收，仍正在开展后续评标工作（如表5-1所示）。</w:t>
      </w:r>
    </w:p>
    <w:p>
      <w:pPr>
        <w:pStyle w:val="51"/>
      </w:pPr>
      <w:r>
        <w:t>表5-1 三棵松矿区补充调查阶段的招、投标代理信息</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97"/>
        <w:gridCol w:w="69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tblHeader/>
          <w:jc w:val="center"/>
        </w:trPr>
        <w:tc>
          <w:tcPr>
            <w:tcW w:w="1555" w:type="dxa"/>
            <w:shd w:val="clear" w:color="auto" w:fill="FEF2CC" w:themeFill="accent4" w:themeFillTint="33"/>
            <w:vAlign w:val="center"/>
          </w:tcPr>
          <w:p>
            <w:pPr>
              <w:widowControl/>
              <w:spacing w:line="240" w:lineRule="auto"/>
              <w:jc w:val="center"/>
              <w:rPr>
                <w:b/>
                <w:bCs/>
                <w:kern w:val="0"/>
                <w:szCs w:val="24"/>
              </w:rPr>
            </w:pPr>
            <w:r>
              <w:rPr>
                <w:b/>
                <w:bCs/>
                <w:kern w:val="0"/>
                <w:szCs w:val="24"/>
              </w:rPr>
              <w:t>单位</w:t>
            </w:r>
          </w:p>
        </w:tc>
        <w:tc>
          <w:tcPr>
            <w:tcW w:w="6741" w:type="dxa"/>
            <w:shd w:val="clear" w:color="auto" w:fill="FEF2CC" w:themeFill="accent4" w:themeFillTint="33"/>
            <w:vAlign w:val="center"/>
          </w:tcPr>
          <w:p>
            <w:pPr>
              <w:widowControl/>
              <w:spacing w:line="240" w:lineRule="auto"/>
              <w:jc w:val="center"/>
              <w:rPr>
                <w:b/>
                <w:bCs/>
                <w:kern w:val="0"/>
                <w:szCs w:val="24"/>
              </w:rPr>
            </w:pPr>
            <w:r>
              <w:rPr>
                <w:b/>
                <w:bCs/>
                <w:kern w:val="0"/>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restart"/>
            <w:vAlign w:val="center"/>
          </w:tcPr>
          <w:p>
            <w:pPr>
              <w:widowControl/>
              <w:spacing w:line="240" w:lineRule="auto"/>
              <w:jc w:val="center"/>
              <w:rPr>
                <w:kern w:val="0"/>
                <w:szCs w:val="24"/>
              </w:rPr>
            </w:pPr>
            <w:r>
              <w:rPr>
                <w:kern w:val="0"/>
                <w:szCs w:val="24"/>
              </w:rPr>
              <w:t>武江区自然资源局</w:t>
            </w:r>
          </w:p>
        </w:tc>
        <w:tc>
          <w:tcPr>
            <w:tcW w:w="6741" w:type="dxa"/>
            <w:vAlign w:val="center"/>
          </w:tcPr>
          <w:p>
            <w:pPr>
              <w:widowControl/>
              <w:spacing w:line="240" w:lineRule="auto"/>
              <w:jc w:val="left"/>
              <w:rPr>
                <w:kern w:val="0"/>
                <w:szCs w:val="24"/>
              </w:rPr>
            </w:pPr>
            <w:r>
              <w:rPr>
                <w:kern w:val="0"/>
                <w:szCs w:val="24"/>
              </w:rPr>
              <w:t>属性：招标单位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pPr>
              <w:widowControl/>
              <w:spacing w:line="240" w:lineRule="auto"/>
              <w:jc w:val="center"/>
              <w:rPr>
                <w:kern w:val="0"/>
                <w:szCs w:val="24"/>
              </w:rPr>
            </w:pPr>
          </w:p>
        </w:tc>
        <w:tc>
          <w:tcPr>
            <w:tcW w:w="6741" w:type="dxa"/>
            <w:vAlign w:val="center"/>
          </w:tcPr>
          <w:p>
            <w:pPr>
              <w:widowControl/>
              <w:spacing w:line="240" w:lineRule="auto"/>
              <w:jc w:val="left"/>
              <w:rPr>
                <w:kern w:val="0"/>
                <w:szCs w:val="24"/>
              </w:rPr>
            </w:pPr>
            <w:r>
              <w:rPr>
                <w:kern w:val="0"/>
                <w:szCs w:val="24"/>
              </w:rPr>
              <w:t>招标代理机构：广东诚合项目管理咨询有限公司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pPr>
              <w:widowControl/>
              <w:spacing w:line="240" w:lineRule="auto"/>
              <w:jc w:val="center"/>
              <w:rPr>
                <w:kern w:val="0"/>
                <w:szCs w:val="24"/>
              </w:rPr>
            </w:pPr>
          </w:p>
        </w:tc>
        <w:tc>
          <w:tcPr>
            <w:tcW w:w="6741" w:type="dxa"/>
            <w:vAlign w:val="center"/>
          </w:tcPr>
          <w:p>
            <w:pPr>
              <w:widowControl/>
              <w:spacing w:line="240" w:lineRule="auto"/>
              <w:jc w:val="left"/>
              <w:rPr>
                <w:kern w:val="0"/>
                <w:szCs w:val="24"/>
              </w:rPr>
            </w:pPr>
            <w:r>
              <w:rPr>
                <w:kern w:val="0"/>
                <w:szCs w:val="24"/>
              </w:rPr>
              <w:t>评标范围：广东省核工业地质调查院、广东省地质局第三地质大队、核工业二九0研究所、广东省有色金属地质局九三二队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restart"/>
            <w:vAlign w:val="center"/>
          </w:tcPr>
          <w:p>
            <w:pPr>
              <w:widowControl/>
              <w:spacing w:line="240" w:lineRule="auto"/>
              <w:jc w:val="center"/>
              <w:rPr>
                <w:kern w:val="0"/>
                <w:szCs w:val="24"/>
              </w:rPr>
            </w:pPr>
            <w:r>
              <w:rPr>
                <w:kern w:val="0"/>
                <w:szCs w:val="24"/>
              </w:rPr>
              <w:t>广东省核工业地质调查院</w:t>
            </w:r>
          </w:p>
        </w:tc>
        <w:tc>
          <w:tcPr>
            <w:tcW w:w="6741" w:type="dxa"/>
            <w:vAlign w:val="center"/>
          </w:tcPr>
          <w:p>
            <w:pPr>
              <w:widowControl/>
              <w:spacing w:line="240" w:lineRule="auto"/>
              <w:jc w:val="left"/>
              <w:rPr>
                <w:kern w:val="0"/>
                <w:szCs w:val="24"/>
              </w:rPr>
            </w:pPr>
            <w:r>
              <w:rPr>
                <w:kern w:val="0"/>
                <w:szCs w:val="24"/>
              </w:rPr>
              <w:t>属性：投标机构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pPr>
              <w:widowControl/>
              <w:spacing w:line="240" w:lineRule="auto"/>
              <w:jc w:val="center"/>
              <w:rPr>
                <w:kern w:val="0"/>
                <w:szCs w:val="24"/>
              </w:rPr>
            </w:pPr>
          </w:p>
        </w:tc>
        <w:tc>
          <w:tcPr>
            <w:tcW w:w="6741" w:type="dxa"/>
            <w:vAlign w:val="center"/>
          </w:tcPr>
          <w:p>
            <w:pPr>
              <w:widowControl/>
              <w:spacing w:line="240" w:lineRule="auto"/>
              <w:jc w:val="left"/>
              <w:rPr>
                <w:kern w:val="0"/>
                <w:szCs w:val="24"/>
              </w:rPr>
            </w:pPr>
            <w:r>
              <w:rPr>
                <w:kern w:val="0"/>
                <w:szCs w:val="24"/>
              </w:rPr>
              <w:t>授权投标代表：徐桐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pPr>
              <w:widowControl/>
              <w:spacing w:line="240" w:lineRule="auto"/>
              <w:jc w:val="center"/>
              <w:rPr>
                <w:kern w:val="0"/>
                <w:szCs w:val="24"/>
              </w:rPr>
            </w:pPr>
          </w:p>
        </w:tc>
        <w:tc>
          <w:tcPr>
            <w:tcW w:w="6741" w:type="dxa"/>
            <w:vAlign w:val="center"/>
          </w:tcPr>
          <w:p>
            <w:pPr>
              <w:widowControl/>
              <w:spacing w:line="240" w:lineRule="auto"/>
              <w:jc w:val="left"/>
              <w:rPr>
                <w:kern w:val="0"/>
                <w:szCs w:val="24"/>
              </w:rPr>
            </w:pPr>
            <w:r>
              <w:rPr>
                <w:kern w:val="0"/>
                <w:szCs w:val="24"/>
              </w:rPr>
              <w:t>投标授权有限期：2023年4月30日止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Merge w:val="continue"/>
            <w:vAlign w:val="center"/>
          </w:tcPr>
          <w:p>
            <w:pPr>
              <w:widowControl/>
              <w:spacing w:line="240" w:lineRule="auto"/>
              <w:jc w:val="center"/>
              <w:rPr>
                <w:kern w:val="0"/>
                <w:szCs w:val="24"/>
              </w:rPr>
            </w:pPr>
          </w:p>
        </w:tc>
        <w:tc>
          <w:tcPr>
            <w:tcW w:w="6741" w:type="dxa"/>
            <w:vAlign w:val="center"/>
          </w:tcPr>
          <w:p>
            <w:pPr>
              <w:widowControl/>
              <w:spacing w:line="240" w:lineRule="auto"/>
              <w:jc w:val="left"/>
              <w:rPr>
                <w:kern w:val="0"/>
                <w:szCs w:val="24"/>
              </w:rPr>
            </w:pPr>
            <w:r>
              <w:rPr>
                <w:kern w:val="0"/>
                <w:szCs w:val="24"/>
              </w:rPr>
              <w:t>投标时间：2023年5月9日</w:t>
            </w:r>
          </w:p>
        </w:tc>
      </w:tr>
    </w:tbl>
    <w:p>
      <w:pPr>
        <w:pStyle w:val="34"/>
        <w:ind w:left="0" w:leftChars="0" w:firstLine="643" w:firstLineChars="200"/>
      </w:pPr>
      <w:r>
        <w:rPr>
          <w:b/>
          <w:bCs/>
        </w:rPr>
        <w:t>二是部分矿区的招标实施方式不合规。</w:t>
      </w:r>
      <w:r>
        <w:t>根据《政府采购法实施条例》</w:t>
      </w:r>
      <w:r>
        <w:rPr>
          <w:rStyle w:val="21"/>
        </w:rPr>
        <w:footnoteReference w:id="3"/>
      </w:r>
      <w:r>
        <w:t>和《广东省政府集中采购目录及标准（2020年版）》等政府采购规范指导，矿产资源勘查不在政府集中采购目录，且矿区勘查采购费用均超过政府采购公开招标数额标准，应采用公开招投标方式进行采购。换言之，无论是否经设区的市级以上人民政府财政部门批准，均不能通过</w:t>
      </w:r>
      <w:r>
        <w:rPr>
          <w:rFonts w:hint="eastAsia"/>
        </w:rPr>
        <w:t>“</w:t>
      </w:r>
      <w:r>
        <w:t>询价</w:t>
      </w:r>
      <w:r>
        <w:rPr>
          <w:rFonts w:hint="eastAsia"/>
        </w:rPr>
        <w:t>”</w:t>
      </w:r>
      <w:r>
        <w:t>采购矿区的地勘单位。但</w:t>
      </w:r>
      <w:r>
        <w:rPr>
          <w:b/>
          <w:bCs/>
        </w:rPr>
        <w:t>曲江区的黄龙岗矿区和大旺山矿区，采用</w:t>
      </w:r>
      <w:r>
        <w:rPr>
          <w:rFonts w:hint="eastAsia"/>
          <w:b/>
          <w:bCs/>
        </w:rPr>
        <w:t>“</w:t>
      </w:r>
      <w:r>
        <w:rPr>
          <w:b/>
          <w:bCs/>
        </w:rPr>
        <w:t>询价</w:t>
      </w:r>
      <w:r>
        <w:rPr>
          <w:rFonts w:hint="eastAsia"/>
          <w:b/>
          <w:bCs/>
        </w:rPr>
        <w:t>”</w:t>
      </w:r>
      <w:r>
        <w:rPr>
          <w:b/>
          <w:bCs/>
        </w:rPr>
        <w:t>和区政府决策的方式采购地勘单位</w:t>
      </w:r>
      <w:r>
        <w:t>（如表5-2），违反了上述政府采购相关法律规定，使得两个矿区的采购工作合规性降低，增加项目的隐藏审计风险。</w:t>
      </w:r>
    </w:p>
    <w:p>
      <w:pPr>
        <w:pStyle w:val="51"/>
      </w:pPr>
      <w:r>
        <w:t>表5-2 曲江区矿区的采购相关信息</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5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2830" w:type="dxa"/>
            <w:shd w:val="clear" w:color="auto" w:fill="FEF2CC" w:themeFill="accent4" w:themeFillTint="33"/>
            <w:vAlign w:val="center"/>
          </w:tcPr>
          <w:p>
            <w:pPr>
              <w:widowControl/>
              <w:spacing w:line="240" w:lineRule="auto"/>
              <w:jc w:val="center"/>
              <w:rPr>
                <w:b/>
                <w:bCs/>
                <w:kern w:val="0"/>
                <w:szCs w:val="24"/>
              </w:rPr>
            </w:pPr>
            <w:r>
              <w:rPr>
                <w:b/>
                <w:bCs/>
                <w:kern w:val="0"/>
                <w:szCs w:val="24"/>
              </w:rPr>
              <w:t>矿区</w:t>
            </w:r>
          </w:p>
        </w:tc>
        <w:tc>
          <w:tcPr>
            <w:tcW w:w="5466" w:type="dxa"/>
            <w:shd w:val="clear" w:color="auto" w:fill="FEF2CC" w:themeFill="accent4" w:themeFillTint="33"/>
            <w:vAlign w:val="center"/>
          </w:tcPr>
          <w:p>
            <w:pPr>
              <w:widowControl/>
              <w:spacing w:line="240" w:lineRule="auto"/>
              <w:jc w:val="center"/>
              <w:rPr>
                <w:b/>
                <w:bCs/>
                <w:kern w:val="0"/>
                <w:szCs w:val="24"/>
              </w:rPr>
            </w:pPr>
            <w:r>
              <w:rPr>
                <w:b/>
                <w:bCs/>
                <w:kern w:val="0"/>
                <w:szCs w:val="24"/>
              </w:rPr>
              <w:t>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restart"/>
            <w:vAlign w:val="center"/>
          </w:tcPr>
          <w:p>
            <w:pPr>
              <w:widowControl/>
              <w:spacing w:line="240" w:lineRule="auto"/>
              <w:jc w:val="center"/>
              <w:rPr>
                <w:kern w:val="0"/>
                <w:szCs w:val="24"/>
              </w:rPr>
            </w:pPr>
            <w:r>
              <w:rPr>
                <w:kern w:val="0"/>
                <w:szCs w:val="24"/>
              </w:rPr>
              <w:t>曲江区黄龙岗矿区</w:t>
            </w:r>
          </w:p>
        </w:tc>
        <w:tc>
          <w:tcPr>
            <w:tcW w:w="5466" w:type="dxa"/>
            <w:vAlign w:val="center"/>
          </w:tcPr>
          <w:p>
            <w:pPr>
              <w:widowControl/>
              <w:spacing w:line="240" w:lineRule="auto"/>
              <w:jc w:val="left"/>
              <w:rPr>
                <w:kern w:val="0"/>
                <w:szCs w:val="24"/>
              </w:rPr>
            </w:pPr>
            <w:r>
              <w:rPr>
                <w:kern w:val="0"/>
                <w:szCs w:val="24"/>
              </w:rPr>
              <w:t>时间：2022.4.8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continue"/>
            <w:vAlign w:val="center"/>
          </w:tcPr>
          <w:p>
            <w:pPr>
              <w:widowControl/>
              <w:spacing w:line="240" w:lineRule="auto"/>
              <w:jc w:val="center"/>
              <w:rPr>
                <w:kern w:val="0"/>
                <w:szCs w:val="24"/>
              </w:rPr>
            </w:pPr>
          </w:p>
        </w:tc>
        <w:tc>
          <w:tcPr>
            <w:tcW w:w="5466" w:type="dxa"/>
            <w:vAlign w:val="center"/>
          </w:tcPr>
          <w:p>
            <w:pPr>
              <w:widowControl/>
              <w:spacing w:line="240" w:lineRule="auto"/>
              <w:jc w:val="left"/>
              <w:rPr>
                <w:kern w:val="0"/>
                <w:szCs w:val="24"/>
              </w:rPr>
            </w:pPr>
            <w:r>
              <w:rPr>
                <w:kern w:val="0"/>
                <w:szCs w:val="24"/>
              </w:rPr>
              <w:t>方式：向4家地勘单位询价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continue"/>
            <w:vAlign w:val="center"/>
          </w:tcPr>
          <w:p>
            <w:pPr>
              <w:widowControl/>
              <w:spacing w:line="240" w:lineRule="auto"/>
              <w:jc w:val="center"/>
              <w:rPr>
                <w:kern w:val="0"/>
                <w:szCs w:val="24"/>
              </w:rPr>
            </w:pPr>
          </w:p>
        </w:tc>
        <w:tc>
          <w:tcPr>
            <w:tcW w:w="5466" w:type="dxa"/>
            <w:vAlign w:val="center"/>
          </w:tcPr>
          <w:p>
            <w:pPr>
              <w:widowControl/>
              <w:spacing w:line="240" w:lineRule="auto"/>
              <w:jc w:val="left"/>
              <w:rPr>
                <w:kern w:val="0"/>
                <w:szCs w:val="24"/>
              </w:rPr>
            </w:pPr>
            <w:r>
              <w:rPr>
                <w:kern w:val="0"/>
                <w:szCs w:val="24"/>
              </w:rPr>
              <w:t>确认形式：曲江区政府批复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restart"/>
            <w:vAlign w:val="center"/>
          </w:tcPr>
          <w:p>
            <w:pPr>
              <w:widowControl/>
              <w:spacing w:line="240" w:lineRule="auto"/>
              <w:jc w:val="center"/>
              <w:rPr>
                <w:kern w:val="0"/>
                <w:szCs w:val="24"/>
              </w:rPr>
            </w:pPr>
            <w:r>
              <w:rPr>
                <w:kern w:val="0"/>
                <w:szCs w:val="24"/>
              </w:rPr>
              <w:t>曲江区大旺山矿区</w:t>
            </w:r>
          </w:p>
        </w:tc>
        <w:tc>
          <w:tcPr>
            <w:tcW w:w="5466" w:type="dxa"/>
            <w:vAlign w:val="center"/>
          </w:tcPr>
          <w:p>
            <w:pPr>
              <w:widowControl/>
              <w:spacing w:line="240" w:lineRule="auto"/>
              <w:jc w:val="left"/>
              <w:rPr>
                <w:kern w:val="0"/>
                <w:szCs w:val="24"/>
              </w:rPr>
            </w:pPr>
            <w:r>
              <w:rPr>
                <w:kern w:val="0"/>
                <w:szCs w:val="24"/>
              </w:rPr>
              <w:t>时间：2022.5.11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continue"/>
            <w:vAlign w:val="center"/>
          </w:tcPr>
          <w:p>
            <w:pPr>
              <w:widowControl/>
              <w:spacing w:line="240" w:lineRule="auto"/>
              <w:jc w:val="center"/>
              <w:rPr>
                <w:kern w:val="0"/>
                <w:szCs w:val="24"/>
              </w:rPr>
            </w:pPr>
          </w:p>
        </w:tc>
        <w:tc>
          <w:tcPr>
            <w:tcW w:w="5466" w:type="dxa"/>
            <w:vAlign w:val="center"/>
          </w:tcPr>
          <w:p>
            <w:pPr>
              <w:widowControl/>
              <w:spacing w:line="240" w:lineRule="auto"/>
              <w:jc w:val="left"/>
              <w:rPr>
                <w:kern w:val="0"/>
                <w:szCs w:val="24"/>
              </w:rPr>
            </w:pPr>
            <w:r>
              <w:rPr>
                <w:kern w:val="0"/>
                <w:szCs w:val="24"/>
              </w:rPr>
              <w:t>方式：向3家地勘单位询价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830" w:type="dxa"/>
            <w:vMerge w:val="continue"/>
            <w:vAlign w:val="center"/>
          </w:tcPr>
          <w:p>
            <w:pPr>
              <w:widowControl/>
              <w:spacing w:line="240" w:lineRule="auto"/>
              <w:jc w:val="center"/>
              <w:rPr>
                <w:kern w:val="0"/>
                <w:szCs w:val="24"/>
              </w:rPr>
            </w:pPr>
          </w:p>
        </w:tc>
        <w:tc>
          <w:tcPr>
            <w:tcW w:w="5466" w:type="dxa"/>
            <w:vAlign w:val="center"/>
          </w:tcPr>
          <w:p>
            <w:pPr>
              <w:widowControl/>
              <w:spacing w:line="240" w:lineRule="auto"/>
              <w:jc w:val="left"/>
              <w:rPr>
                <w:kern w:val="0"/>
                <w:szCs w:val="24"/>
              </w:rPr>
            </w:pPr>
            <w:r>
              <w:rPr>
                <w:kern w:val="0"/>
                <w:szCs w:val="24"/>
              </w:rPr>
              <w:t>确认形式：曲江区自然资源局党组会讨论决定</w:t>
            </w:r>
          </w:p>
        </w:tc>
      </w:tr>
    </w:tbl>
    <w:p>
      <w:pPr>
        <w:pStyle w:val="34"/>
        <w:ind w:left="0" w:leftChars="0" w:firstLine="643" w:firstLineChars="200"/>
      </w:pPr>
      <w:r>
        <w:rPr>
          <w:b/>
          <w:bCs/>
        </w:rPr>
        <w:t>三是各矿区的中标主体不符合公平性要求，招标管理欠缺公平</w:t>
      </w:r>
      <w:r>
        <w:t>。按照《政府采购法实施条例》第</w:t>
      </w:r>
      <w:r>
        <w:rPr>
          <w:szCs w:val="22"/>
        </w:rPr>
        <w:t>十八条规定，</w:t>
      </w:r>
      <w:r>
        <w:rPr>
          <w:rFonts w:hint="eastAsia"/>
        </w:rPr>
        <w:t>“</w:t>
      </w:r>
      <w:r>
        <w:t>采矿权设置建议书</w:t>
      </w:r>
      <w:r>
        <w:rPr>
          <w:rFonts w:hint="eastAsia"/>
        </w:rPr>
        <w:t>”</w:t>
      </w:r>
      <w:r>
        <w:t>单位属于</w:t>
      </w:r>
      <w:r>
        <w:rPr>
          <w:rFonts w:hint="eastAsia"/>
        </w:rPr>
        <w:t>“</w:t>
      </w:r>
      <w:r>
        <w:t>矿产资源勘查</w:t>
      </w:r>
      <w:r>
        <w:rPr>
          <w:rFonts w:hint="eastAsia"/>
        </w:rPr>
        <w:t>”</w:t>
      </w:r>
      <w:r>
        <w:t>的利益相关单位，</w:t>
      </w:r>
      <w:r>
        <w:rPr>
          <w:szCs w:val="22"/>
        </w:rPr>
        <w:t>同一个矿区的</w:t>
      </w:r>
      <w:r>
        <w:rPr>
          <w:rFonts w:hint="eastAsia"/>
        </w:rPr>
        <w:t>“</w:t>
      </w:r>
      <w:r>
        <w:t>采矿权设置建议书</w:t>
      </w:r>
      <w:r>
        <w:rPr>
          <w:rFonts w:hint="eastAsia"/>
        </w:rPr>
        <w:t>”</w:t>
      </w:r>
      <w:r>
        <w:t>单位应不能参加</w:t>
      </w:r>
      <w:r>
        <w:rPr>
          <w:rFonts w:hint="eastAsia"/>
        </w:rPr>
        <w:t>“</w:t>
      </w:r>
      <w:r>
        <w:t>矿产资源勘查</w:t>
      </w:r>
      <w:r>
        <w:rPr>
          <w:rFonts w:hint="eastAsia"/>
        </w:rPr>
        <w:t>”</w:t>
      </w:r>
      <w:r>
        <w:t>工作。但</w:t>
      </w:r>
      <w:r>
        <w:rPr>
          <w:b/>
          <w:bCs/>
        </w:rPr>
        <w:t>4个矿区的</w:t>
      </w:r>
      <w:r>
        <w:rPr>
          <w:rFonts w:hint="eastAsia"/>
          <w:b/>
          <w:bCs/>
        </w:rPr>
        <w:t>“</w:t>
      </w:r>
      <w:r>
        <w:rPr>
          <w:b/>
          <w:bCs/>
        </w:rPr>
        <w:t>采矿权设置建议书</w:t>
      </w:r>
      <w:r>
        <w:rPr>
          <w:rFonts w:hint="eastAsia"/>
          <w:b/>
          <w:bCs/>
        </w:rPr>
        <w:t>”</w:t>
      </w:r>
      <w:r>
        <w:rPr>
          <w:b/>
          <w:bCs/>
        </w:rPr>
        <w:t>单位和</w:t>
      </w:r>
      <w:r>
        <w:rPr>
          <w:rFonts w:hint="eastAsia"/>
          <w:b/>
          <w:bCs/>
        </w:rPr>
        <w:t>“</w:t>
      </w:r>
      <w:r>
        <w:rPr>
          <w:b/>
          <w:bCs/>
        </w:rPr>
        <w:t>矿产资源勘查</w:t>
      </w:r>
      <w:r>
        <w:rPr>
          <w:rFonts w:hint="eastAsia"/>
          <w:b/>
          <w:bCs/>
        </w:rPr>
        <w:t>”</w:t>
      </w:r>
      <w:r>
        <w:rPr>
          <w:b/>
          <w:bCs/>
        </w:rPr>
        <w:t>单位均为同一单位</w:t>
      </w:r>
      <w:r>
        <w:t>（具体如表5-3），此举不符合上述政府采购条例规定，项目招投标管理的合规性不足，降低项目成本测算的合理性和项目实施的合规性。</w:t>
      </w:r>
    </w:p>
    <w:p>
      <w:pPr>
        <w:pStyle w:val="51"/>
      </w:pPr>
      <w:r>
        <w:t>表5-3 四个矿区地勘相关主体信息</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3827"/>
        <w:gridCol w:w="2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shd w:val="clear" w:color="auto" w:fill="FEF2CC" w:themeFill="accent4" w:themeFillTint="33"/>
            <w:vAlign w:val="center"/>
          </w:tcPr>
          <w:p>
            <w:pPr>
              <w:widowControl/>
              <w:spacing w:line="240" w:lineRule="auto"/>
              <w:jc w:val="center"/>
              <w:rPr>
                <w:b/>
                <w:bCs/>
                <w:kern w:val="0"/>
                <w:szCs w:val="24"/>
              </w:rPr>
            </w:pPr>
            <w:r>
              <w:rPr>
                <w:b/>
                <w:bCs/>
                <w:kern w:val="0"/>
                <w:szCs w:val="24"/>
              </w:rPr>
              <w:t>矿区</w:t>
            </w:r>
          </w:p>
        </w:tc>
        <w:tc>
          <w:tcPr>
            <w:tcW w:w="3827" w:type="dxa"/>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w:t>
            </w:r>
            <w:r>
              <w:rPr>
                <w:b/>
                <w:bCs/>
                <w:kern w:val="0"/>
                <w:szCs w:val="24"/>
              </w:rPr>
              <w:t>采矿权设置建议书</w:t>
            </w:r>
            <w:r>
              <w:rPr>
                <w:rFonts w:hint="eastAsia"/>
                <w:b/>
                <w:bCs/>
                <w:kern w:val="0"/>
                <w:szCs w:val="24"/>
              </w:rPr>
              <w:t>”</w:t>
            </w:r>
            <w:r>
              <w:rPr>
                <w:b/>
                <w:bCs/>
                <w:kern w:val="0"/>
                <w:szCs w:val="24"/>
              </w:rPr>
              <w:t>单位</w:t>
            </w:r>
          </w:p>
        </w:tc>
        <w:tc>
          <w:tcPr>
            <w:tcW w:w="2914" w:type="dxa"/>
            <w:shd w:val="clear" w:color="auto" w:fill="FEF2CC" w:themeFill="accent4" w:themeFillTint="33"/>
            <w:vAlign w:val="center"/>
          </w:tcPr>
          <w:p>
            <w:pPr>
              <w:widowControl/>
              <w:spacing w:line="240" w:lineRule="auto"/>
              <w:jc w:val="center"/>
              <w:rPr>
                <w:b/>
                <w:bCs/>
                <w:kern w:val="0"/>
                <w:szCs w:val="24"/>
              </w:rPr>
            </w:pPr>
            <w:r>
              <w:rPr>
                <w:rFonts w:hint="eastAsia"/>
                <w:b/>
                <w:bCs/>
                <w:kern w:val="0"/>
                <w:szCs w:val="24"/>
              </w:rPr>
              <w:t>“</w:t>
            </w:r>
            <w:r>
              <w:rPr>
                <w:b/>
                <w:bCs/>
                <w:kern w:val="0"/>
                <w:szCs w:val="24"/>
              </w:rPr>
              <w:t>矿产资源勘查</w:t>
            </w:r>
            <w:r>
              <w:rPr>
                <w:rFonts w:hint="eastAsia"/>
                <w:b/>
                <w:bCs/>
                <w:kern w:val="0"/>
                <w:szCs w:val="24"/>
              </w:rPr>
              <w:t>”</w:t>
            </w:r>
            <w:r>
              <w:rPr>
                <w:b/>
                <w:bCs/>
                <w:kern w:val="0"/>
                <w:szCs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pPr>
              <w:widowControl/>
              <w:spacing w:line="240" w:lineRule="auto"/>
              <w:jc w:val="center"/>
              <w:rPr>
                <w:kern w:val="0"/>
                <w:szCs w:val="24"/>
              </w:rPr>
            </w:pPr>
            <w:r>
              <w:rPr>
                <w:kern w:val="0"/>
                <w:szCs w:val="24"/>
              </w:rPr>
              <w:t>黄龙岗矿区</w:t>
            </w:r>
          </w:p>
        </w:tc>
        <w:tc>
          <w:tcPr>
            <w:tcW w:w="3827" w:type="dxa"/>
            <w:vAlign w:val="center"/>
          </w:tcPr>
          <w:p>
            <w:pPr>
              <w:widowControl/>
              <w:spacing w:line="240" w:lineRule="auto"/>
              <w:jc w:val="center"/>
              <w:rPr>
                <w:kern w:val="0"/>
                <w:szCs w:val="24"/>
              </w:rPr>
            </w:pPr>
            <w:r>
              <w:rPr>
                <w:kern w:val="0"/>
                <w:szCs w:val="24"/>
              </w:rPr>
              <w:t>广东省有色金属地质局九三二队</w:t>
            </w:r>
          </w:p>
        </w:tc>
        <w:tc>
          <w:tcPr>
            <w:tcW w:w="2914" w:type="dxa"/>
            <w:vAlign w:val="center"/>
          </w:tcPr>
          <w:p>
            <w:pPr>
              <w:widowControl/>
              <w:spacing w:line="240" w:lineRule="auto"/>
              <w:jc w:val="center"/>
              <w:rPr>
                <w:kern w:val="0"/>
                <w:szCs w:val="24"/>
              </w:rPr>
            </w:pPr>
            <w:r>
              <w:rPr>
                <w:kern w:val="0"/>
                <w:szCs w:val="24"/>
              </w:rPr>
              <w:t>广东省有色金属地质局九三二队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pPr>
              <w:widowControl/>
              <w:spacing w:line="240" w:lineRule="auto"/>
              <w:jc w:val="center"/>
              <w:rPr>
                <w:kern w:val="0"/>
                <w:szCs w:val="24"/>
              </w:rPr>
            </w:pPr>
            <w:r>
              <w:rPr>
                <w:kern w:val="0"/>
                <w:szCs w:val="24"/>
              </w:rPr>
              <w:t>大旺山矿区</w:t>
            </w:r>
          </w:p>
        </w:tc>
        <w:tc>
          <w:tcPr>
            <w:tcW w:w="3827" w:type="dxa"/>
            <w:vAlign w:val="center"/>
          </w:tcPr>
          <w:p>
            <w:pPr>
              <w:widowControl/>
              <w:spacing w:line="240" w:lineRule="auto"/>
              <w:jc w:val="center"/>
              <w:rPr>
                <w:kern w:val="0"/>
                <w:szCs w:val="24"/>
              </w:rPr>
            </w:pPr>
            <w:r>
              <w:rPr>
                <w:kern w:val="0"/>
                <w:szCs w:val="24"/>
              </w:rPr>
              <w:t>广东省有色金属地质局九三二队</w:t>
            </w:r>
          </w:p>
        </w:tc>
        <w:tc>
          <w:tcPr>
            <w:tcW w:w="2914" w:type="dxa"/>
            <w:vAlign w:val="center"/>
          </w:tcPr>
          <w:p>
            <w:pPr>
              <w:widowControl/>
              <w:spacing w:line="240" w:lineRule="auto"/>
              <w:jc w:val="center"/>
              <w:rPr>
                <w:kern w:val="0"/>
                <w:szCs w:val="24"/>
              </w:rPr>
            </w:pPr>
            <w:r>
              <w:rPr>
                <w:kern w:val="0"/>
                <w:szCs w:val="24"/>
              </w:rPr>
              <w:t>广东省有色金属地质局九三二队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pPr>
              <w:widowControl/>
              <w:spacing w:line="240" w:lineRule="auto"/>
              <w:jc w:val="center"/>
              <w:rPr>
                <w:kern w:val="0"/>
                <w:szCs w:val="24"/>
              </w:rPr>
            </w:pPr>
            <w:r>
              <w:rPr>
                <w:kern w:val="0"/>
                <w:szCs w:val="24"/>
              </w:rPr>
              <w:t>三棵松矿区</w:t>
            </w:r>
          </w:p>
        </w:tc>
        <w:tc>
          <w:tcPr>
            <w:tcW w:w="3827" w:type="dxa"/>
            <w:vAlign w:val="center"/>
          </w:tcPr>
          <w:p>
            <w:pPr>
              <w:widowControl/>
              <w:spacing w:line="240" w:lineRule="auto"/>
              <w:jc w:val="center"/>
              <w:rPr>
                <w:kern w:val="0"/>
                <w:szCs w:val="24"/>
              </w:rPr>
            </w:pPr>
            <w:r>
              <w:rPr>
                <w:kern w:val="0"/>
                <w:szCs w:val="24"/>
              </w:rPr>
              <w:t>广东省地质局第三地质大队</w:t>
            </w:r>
          </w:p>
        </w:tc>
        <w:tc>
          <w:tcPr>
            <w:tcW w:w="2914" w:type="dxa"/>
            <w:vAlign w:val="center"/>
          </w:tcPr>
          <w:p>
            <w:pPr>
              <w:widowControl/>
              <w:spacing w:line="240" w:lineRule="auto"/>
              <w:jc w:val="center"/>
              <w:rPr>
                <w:kern w:val="0"/>
                <w:szCs w:val="24"/>
              </w:rPr>
            </w:pPr>
            <w:r>
              <w:rPr>
                <w:kern w:val="0"/>
                <w:szCs w:val="24"/>
              </w:rPr>
              <w:t>广东省地质局第三地质大队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555" w:type="dxa"/>
            <w:vAlign w:val="center"/>
          </w:tcPr>
          <w:p>
            <w:pPr>
              <w:widowControl/>
              <w:spacing w:line="240" w:lineRule="auto"/>
              <w:jc w:val="center"/>
              <w:rPr>
                <w:kern w:val="0"/>
                <w:szCs w:val="24"/>
              </w:rPr>
            </w:pPr>
            <w:r>
              <w:rPr>
                <w:kern w:val="0"/>
                <w:szCs w:val="24"/>
              </w:rPr>
              <w:t>红尾坑矿区</w:t>
            </w:r>
          </w:p>
        </w:tc>
        <w:tc>
          <w:tcPr>
            <w:tcW w:w="3827" w:type="dxa"/>
            <w:vAlign w:val="center"/>
          </w:tcPr>
          <w:p>
            <w:pPr>
              <w:widowControl/>
              <w:spacing w:line="240" w:lineRule="auto"/>
              <w:jc w:val="center"/>
              <w:rPr>
                <w:kern w:val="0"/>
                <w:szCs w:val="24"/>
              </w:rPr>
            </w:pPr>
            <w:r>
              <w:rPr>
                <w:kern w:val="0"/>
                <w:szCs w:val="24"/>
              </w:rPr>
              <w:t>广东省有色金属地质局九三二队</w:t>
            </w:r>
          </w:p>
        </w:tc>
        <w:tc>
          <w:tcPr>
            <w:tcW w:w="2914" w:type="dxa"/>
            <w:vAlign w:val="center"/>
          </w:tcPr>
          <w:p>
            <w:pPr>
              <w:widowControl/>
              <w:spacing w:line="240" w:lineRule="auto"/>
              <w:jc w:val="center"/>
              <w:rPr>
                <w:kern w:val="0"/>
                <w:szCs w:val="24"/>
              </w:rPr>
            </w:pPr>
            <w:r>
              <w:rPr>
                <w:kern w:val="0"/>
                <w:szCs w:val="24"/>
              </w:rPr>
              <w:t>广东省有色金属地质局九三二队</w:t>
            </w:r>
          </w:p>
        </w:tc>
      </w:tr>
    </w:tbl>
    <w:p>
      <w:pPr>
        <w:pStyle w:val="34"/>
        <w:ind w:firstLine="640"/>
      </w:pPr>
    </w:p>
    <w:p>
      <w:pPr>
        <w:pStyle w:val="37"/>
        <w:ind w:firstLine="640"/>
      </w:pPr>
      <w:bookmarkStart w:id="22" w:name="_Toc181571206"/>
      <w:r>
        <w:t>（二）预算审核不到位，资金使用欠缺规范</w:t>
      </w:r>
      <w:bookmarkEnd w:id="22"/>
    </w:p>
    <w:p>
      <w:pPr>
        <w:pStyle w:val="34"/>
        <w:ind w:firstLine="640"/>
      </w:pPr>
      <w:r>
        <w:t>项目资金来源为市级财政资金，资金使用依照中央、省及市级的财政资金管理办法执行，但在项目实施过程中，因资金审核不到位，出现了一些经费</w:t>
      </w:r>
      <w:r>
        <w:rPr>
          <w:rFonts w:hint="eastAsia"/>
        </w:rPr>
        <w:t>管理</w:t>
      </w:r>
      <w:r>
        <w:t>不合规的情况，具体为：</w:t>
      </w:r>
    </w:p>
    <w:p>
      <w:pPr>
        <w:pStyle w:val="34"/>
        <w:ind w:firstLine="643"/>
      </w:pPr>
      <w:r>
        <w:rPr>
          <w:b/>
          <w:bCs/>
        </w:rPr>
        <w:t>一是个别矿区的招标代理费用的计价依据不合理。</w:t>
      </w:r>
      <w:r>
        <w:t>根据《招标代理服务收费管理暂行办法》第六条和第十三条规定，招标代理费用不应再依据过期的法律文件测算，应采用市场调节价。但三棵松矿区的补充详尽调查阶段，依据《招标代理服务收费管理暂行办法》（计价格〔2002〕1980号）《国家发展改革委办公厅关于招标代理服务收费有关问题的通知》（发改办价格〔2003〕857号）和《关于降低部分建设项目收费标准规范收费行为等有关问题的通知》（发改办价格〔2011〕534号）等已于2016年1月1日作废的依据，该矿区的成本测算依据不合规</w:t>
      </w:r>
      <w:r>
        <w:rPr>
          <w:rFonts w:hint="eastAsia"/>
        </w:rPr>
        <w:t>，招标成本细节管控不到位</w:t>
      </w:r>
      <w:r>
        <w:t>。</w:t>
      </w:r>
    </w:p>
    <w:p>
      <w:pPr>
        <w:pStyle w:val="34"/>
        <w:ind w:firstLine="643"/>
      </w:pPr>
      <w:r>
        <w:rPr>
          <w:b/>
          <w:bCs/>
        </w:rPr>
        <w:t>二是项目成本把控不到位，缺少预算及支出规模审核。</w:t>
      </w:r>
      <w:r>
        <w:t>根据《中华人民共和国预算法实施条例》和</w:t>
      </w:r>
      <w:r>
        <w:rPr>
          <w:color w:val="333333"/>
          <w:shd w:val="clear" w:color="auto" w:fill="FFFFFF"/>
        </w:rPr>
        <w:t>《财政预算资金拨付管理暂行办法》等规范性文件精神，财政资金遵循</w:t>
      </w:r>
      <w:r>
        <w:rPr>
          <w:rFonts w:hint="eastAsia"/>
          <w:color w:val="333333"/>
          <w:shd w:val="clear" w:color="auto" w:fill="FFFFFF"/>
        </w:rPr>
        <w:t>“</w:t>
      </w:r>
      <w:r>
        <w:rPr>
          <w:color w:val="333333"/>
          <w:shd w:val="clear" w:color="auto" w:fill="FFFFFF"/>
        </w:rPr>
        <w:t>按财政预算、按用款计划、按项目进度、按规定程序</w:t>
      </w:r>
      <w:r>
        <w:rPr>
          <w:rFonts w:hint="eastAsia"/>
          <w:color w:val="333333"/>
          <w:shd w:val="clear" w:color="auto" w:fill="FFFFFF"/>
        </w:rPr>
        <w:t>”</w:t>
      </w:r>
      <w:r>
        <w:rPr>
          <w:color w:val="333333"/>
          <w:shd w:val="clear" w:color="auto" w:fill="FFFFFF"/>
        </w:rPr>
        <w:t>的原则使用。但</w:t>
      </w:r>
      <w:r>
        <w:t>项目主管单位未采取措施把控项目预算和支出的规模（具体如表5-4所示），未对4个矿区的地勘费用设置招标上限价格、未对地勘费用预算规模的合理性审核、未对4个矿区支出规模进行结算审核，出现</w:t>
      </w:r>
      <w:r>
        <w:rPr>
          <w:rFonts w:hint="eastAsia"/>
        </w:rPr>
        <w:t>“</w:t>
      </w:r>
      <w:r>
        <w:t>4个矿区的实际勘查费用与中标地勘单位提出的费用一致</w:t>
      </w:r>
      <w:r>
        <w:rPr>
          <w:rFonts w:hint="eastAsia"/>
        </w:rPr>
        <w:t>”</w:t>
      </w:r>
      <w:r>
        <w:t>情况，项目资金使用管理的规范性不足。</w:t>
      </w:r>
    </w:p>
    <w:p>
      <w:pPr>
        <w:pStyle w:val="51"/>
      </w:pPr>
      <w:r>
        <w:t>表5-4</w:t>
      </w:r>
      <w:r>
        <w:rPr>
          <w:rFonts w:hint="eastAsia"/>
        </w:rPr>
        <w:t xml:space="preserve"> 各</w:t>
      </w:r>
      <w:r>
        <w:t>矿区</w:t>
      </w:r>
      <w:r>
        <w:rPr>
          <w:rFonts w:hint="eastAsia"/>
        </w:rPr>
        <w:t>采购预算与实际费用对比情况</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14"/>
        <w:gridCol w:w="1843"/>
        <w:gridCol w:w="2126"/>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3114" w:type="dxa"/>
            <w:shd w:val="clear" w:color="auto" w:fill="FEF2CC" w:themeFill="accent4" w:themeFillTint="33"/>
            <w:vAlign w:val="center"/>
          </w:tcPr>
          <w:p>
            <w:pPr>
              <w:widowControl/>
              <w:spacing w:line="240" w:lineRule="auto"/>
              <w:jc w:val="center"/>
              <w:rPr>
                <w:b/>
                <w:bCs/>
                <w:kern w:val="0"/>
                <w:szCs w:val="24"/>
              </w:rPr>
            </w:pPr>
            <w:r>
              <w:rPr>
                <w:b/>
                <w:bCs/>
                <w:kern w:val="0"/>
                <w:szCs w:val="24"/>
              </w:rPr>
              <w:t>矿区</w:t>
            </w:r>
          </w:p>
        </w:tc>
        <w:tc>
          <w:tcPr>
            <w:tcW w:w="1843" w:type="dxa"/>
            <w:shd w:val="clear" w:color="auto" w:fill="FEF2CC" w:themeFill="accent4" w:themeFillTint="33"/>
            <w:vAlign w:val="center"/>
          </w:tcPr>
          <w:p>
            <w:pPr>
              <w:widowControl/>
              <w:spacing w:line="240" w:lineRule="auto"/>
              <w:jc w:val="center"/>
              <w:rPr>
                <w:b/>
                <w:bCs/>
                <w:kern w:val="0"/>
                <w:szCs w:val="24"/>
              </w:rPr>
            </w:pPr>
            <w:r>
              <w:rPr>
                <w:b/>
                <w:bCs/>
                <w:kern w:val="0"/>
                <w:szCs w:val="24"/>
              </w:rPr>
              <w:t>采购价</w:t>
            </w:r>
          </w:p>
        </w:tc>
        <w:tc>
          <w:tcPr>
            <w:tcW w:w="2126" w:type="dxa"/>
            <w:shd w:val="clear" w:color="auto" w:fill="FEF2CC" w:themeFill="accent4" w:themeFillTint="33"/>
            <w:vAlign w:val="center"/>
          </w:tcPr>
          <w:p>
            <w:pPr>
              <w:widowControl/>
              <w:spacing w:line="240" w:lineRule="auto"/>
              <w:jc w:val="center"/>
              <w:rPr>
                <w:b/>
                <w:bCs/>
                <w:kern w:val="0"/>
                <w:szCs w:val="24"/>
              </w:rPr>
            </w:pPr>
            <w:r>
              <w:rPr>
                <w:b/>
                <w:bCs/>
                <w:kern w:val="0"/>
                <w:szCs w:val="24"/>
              </w:rPr>
              <w:t>实际勘查费用</w:t>
            </w:r>
          </w:p>
        </w:tc>
        <w:tc>
          <w:tcPr>
            <w:tcW w:w="1213" w:type="dxa"/>
            <w:shd w:val="clear" w:color="auto" w:fill="FEF2CC" w:themeFill="accent4" w:themeFillTint="33"/>
            <w:vAlign w:val="center"/>
          </w:tcPr>
          <w:p>
            <w:pPr>
              <w:widowControl/>
              <w:spacing w:line="240" w:lineRule="auto"/>
              <w:jc w:val="center"/>
              <w:rPr>
                <w:b/>
                <w:bCs/>
                <w:kern w:val="0"/>
                <w:szCs w:val="24"/>
              </w:rPr>
            </w:pPr>
            <w:r>
              <w:rPr>
                <w:b/>
                <w:bCs/>
                <w:kern w:val="0"/>
                <w:szCs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14" w:type="dxa"/>
            <w:vAlign w:val="center"/>
          </w:tcPr>
          <w:p>
            <w:pPr>
              <w:widowControl/>
              <w:spacing w:line="240" w:lineRule="auto"/>
              <w:jc w:val="center"/>
              <w:rPr>
                <w:kern w:val="0"/>
                <w:szCs w:val="24"/>
              </w:rPr>
            </w:pPr>
            <w:r>
              <w:rPr>
                <w:kern w:val="0"/>
                <w:szCs w:val="24"/>
              </w:rPr>
              <w:t>大旺山矿区</w:t>
            </w:r>
          </w:p>
        </w:tc>
        <w:tc>
          <w:tcPr>
            <w:tcW w:w="1843" w:type="dxa"/>
            <w:vAlign w:val="center"/>
          </w:tcPr>
          <w:p>
            <w:pPr>
              <w:widowControl/>
              <w:spacing w:line="240" w:lineRule="auto"/>
              <w:jc w:val="center"/>
              <w:rPr>
                <w:kern w:val="0"/>
                <w:szCs w:val="24"/>
              </w:rPr>
            </w:pPr>
            <w:r>
              <w:rPr>
                <w:kern w:val="0"/>
                <w:szCs w:val="24"/>
              </w:rPr>
              <w:t>495.80万元</w:t>
            </w:r>
          </w:p>
        </w:tc>
        <w:tc>
          <w:tcPr>
            <w:tcW w:w="2126" w:type="dxa"/>
            <w:vAlign w:val="center"/>
          </w:tcPr>
          <w:p>
            <w:pPr>
              <w:widowControl/>
              <w:spacing w:line="240" w:lineRule="auto"/>
              <w:jc w:val="center"/>
              <w:rPr>
                <w:kern w:val="0"/>
                <w:szCs w:val="24"/>
              </w:rPr>
            </w:pPr>
            <w:r>
              <w:rPr>
                <w:kern w:val="0"/>
                <w:szCs w:val="24"/>
              </w:rPr>
              <w:t>495.80万元</w:t>
            </w:r>
          </w:p>
        </w:tc>
        <w:tc>
          <w:tcPr>
            <w:tcW w:w="1213" w:type="dxa"/>
            <w:vAlign w:val="center"/>
          </w:tcPr>
          <w:p>
            <w:pPr>
              <w:widowControl/>
              <w:spacing w:line="240" w:lineRule="auto"/>
              <w:jc w:val="center"/>
              <w:rPr>
                <w:kern w:val="0"/>
                <w:szCs w:val="24"/>
              </w:rPr>
            </w:pPr>
            <w:r>
              <w:rPr>
                <w:kern w:val="0"/>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14" w:type="dxa"/>
            <w:vAlign w:val="center"/>
          </w:tcPr>
          <w:p>
            <w:pPr>
              <w:widowControl/>
              <w:spacing w:line="240" w:lineRule="auto"/>
              <w:jc w:val="center"/>
              <w:rPr>
                <w:kern w:val="0"/>
                <w:szCs w:val="24"/>
              </w:rPr>
            </w:pPr>
            <w:r>
              <w:rPr>
                <w:kern w:val="0"/>
                <w:szCs w:val="24"/>
              </w:rPr>
              <w:t>黄龙岗矿区</w:t>
            </w:r>
          </w:p>
        </w:tc>
        <w:tc>
          <w:tcPr>
            <w:tcW w:w="1843" w:type="dxa"/>
            <w:vAlign w:val="center"/>
          </w:tcPr>
          <w:p>
            <w:pPr>
              <w:widowControl/>
              <w:spacing w:line="240" w:lineRule="auto"/>
              <w:jc w:val="center"/>
              <w:rPr>
                <w:kern w:val="0"/>
                <w:szCs w:val="24"/>
              </w:rPr>
            </w:pPr>
            <w:r>
              <w:rPr>
                <w:kern w:val="0"/>
                <w:szCs w:val="24"/>
              </w:rPr>
              <w:t>347.645万元</w:t>
            </w:r>
          </w:p>
        </w:tc>
        <w:tc>
          <w:tcPr>
            <w:tcW w:w="2126" w:type="dxa"/>
            <w:vAlign w:val="center"/>
          </w:tcPr>
          <w:p>
            <w:pPr>
              <w:widowControl/>
              <w:spacing w:line="240" w:lineRule="auto"/>
              <w:jc w:val="center"/>
              <w:rPr>
                <w:kern w:val="0"/>
                <w:szCs w:val="24"/>
              </w:rPr>
            </w:pPr>
            <w:r>
              <w:rPr>
                <w:kern w:val="0"/>
                <w:szCs w:val="24"/>
              </w:rPr>
              <w:t>347.645万元</w:t>
            </w:r>
          </w:p>
        </w:tc>
        <w:tc>
          <w:tcPr>
            <w:tcW w:w="1213" w:type="dxa"/>
            <w:vAlign w:val="center"/>
          </w:tcPr>
          <w:p>
            <w:pPr>
              <w:widowControl/>
              <w:spacing w:line="240" w:lineRule="auto"/>
              <w:jc w:val="center"/>
              <w:rPr>
                <w:kern w:val="0"/>
                <w:szCs w:val="24"/>
              </w:rPr>
            </w:pPr>
            <w:r>
              <w:rPr>
                <w:kern w:val="0"/>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14" w:type="dxa"/>
            <w:vAlign w:val="center"/>
          </w:tcPr>
          <w:p>
            <w:pPr>
              <w:widowControl/>
              <w:spacing w:line="240" w:lineRule="auto"/>
              <w:jc w:val="center"/>
              <w:rPr>
                <w:kern w:val="0"/>
                <w:szCs w:val="24"/>
              </w:rPr>
            </w:pPr>
            <w:r>
              <w:rPr>
                <w:kern w:val="0"/>
                <w:szCs w:val="24"/>
              </w:rPr>
              <w:t>三棵松矿区（第一阶段）</w:t>
            </w:r>
          </w:p>
        </w:tc>
        <w:tc>
          <w:tcPr>
            <w:tcW w:w="1843" w:type="dxa"/>
            <w:vAlign w:val="center"/>
          </w:tcPr>
          <w:p>
            <w:pPr>
              <w:widowControl/>
              <w:spacing w:line="240" w:lineRule="auto"/>
              <w:jc w:val="center"/>
              <w:rPr>
                <w:kern w:val="0"/>
                <w:szCs w:val="24"/>
              </w:rPr>
            </w:pPr>
            <w:r>
              <w:rPr>
                <w:kern w:val="0"/>
                <w:szCs w:val="24"/>
              </w:rPr>
              <w:t>589.70万元</w:t>
            </w:r>
          </w:p>
        </w:tc>
        <w:tc>
          <w:tcPr>
            <w:tcW w:w="2126" w:type="dxa"/>
            <w:vAlign w:val="center"/>
          </w:tcPr>
          <w:p>
            <w:pPr>
              <w:widowControl/>
              <w:spacing w:line="240" w:lineRule="auto"/>
              <w:jc w:val="center"/>
              <w:rPr>
                <w:kern w:val="0"/>
                <w:szCs w:val="24"/>
              </w:rPr>
            </w:pPr>
            <w:r>
              <w:rPr>
                <w:kern w:val="0"/>
                <w:szCs w:val="24"/>
              </w:rPr>
              <w:t>589.70万元</w:t>
            </w:r>
          </w:p>
        </w:tc>
        <w:tc>
          <w:tcPr>
            <w:tcW w:w="1213" w:type="dxa"/>
            <w:vAlign w:val="center"/>
          </w:tcPr>
          <w:p>
            <w:pPr>
              <w:widowControl/>
              <w:spacing w:line="240" w:lineRule="auto"/>
              <w:jc w:val="center"/>
              <w:rPr>
                <w:kern w:val="0"/>
                <w:szCs w:val="24"/>
              </w:rPr>
            </w:pPr>
            <w:r>
              <w:rPr>
                <w:kern w:val="0"/>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14" w:type="dxa"/>
            <w:vAlign w:val="center"/>
          </w:tcPr>
          <w:p>
            <w:pPr>
              <w:widowControl/>
              <w:spacing w:line="240" w:lineRule="auto"/>
              <w:jc w:val="center"/>
              <w:rPr>
                <w:kern w:val="0"/>
                <w:szCs w:val="24"/>
              </w:rPr>
            </w:pPr>
            <w:r>
              <w:rPr>
                <w:kern w:val="0"/>
                <w:szCs w:val="24"/>
              </w:rPr>
              <w:t>三棵松矿区（详查阶段）</w:t>
            </w:r>
          </w:p>
        </w:tc>
        <w:tc>
          <w:tcPr>
            <w:tcW w:w="1843" w:type="dxa"/>
            <w:vAlign w:val="center"/>
          </w:tcPr>
          <w:p>
            <w:pPr>
              <w:widowControl/>
              <w:spacing w:line="240" w:lineRule="auto"/>
              <w:jc w:val="center"/>
              <w:rPr>
                <w:kern w:val="0"/>
                <w:szCs w:val="24"/>
              </w:rPr>
            </w:pPr>
            <w:r>
              <w:rPr>
                <w:kern w:val="0"/>
                <w:szCs w:val="24"/>
              </w:rPr>
              <w:t>374.66万元</w:t>
            </w:r>
          </w:p>
        </w:tc>
        <w:tc>
          <w:tcPr>
            <w:tcW w:w="2126" w:type="dxa"/>
            <w:vAlign w:val="center"/>
          </w:tcPr>
          <w:p>
            <w:pPr>
              <w:widowControl/>
              <w:spacing w:line="240" w:lineRule="auto"/>
              <w:jc w:val="center"/>
              <w:rPr>
                <w:kern w:val="0"/>
                <w:szCs w:val="24"/>
              </w:rPr>
            </w:pPr>
            <w:r>
              <w:rPr>
                <w:kern w:val="0"/>
                <w:szCs w:val="24"/>
              </w:rPr>
              <w:t>374.66万元</w:t>
            </w:r>
          </w:p>
        </w:tc>
        <w:tc>
          <w:tcPr>
            <w:tcW w:w="1213" w:type="dxa"/>
            <w:vAlign w:val="center"/>
          </w:tcPr>
          <w:p>
            <w:pPr>
              <w:widowControl/>
              <w:spacing w:line="240" w:lineRule="auto"/>
              <w:jc w:val="center"/>
              <w:rPr>
                <w:kern w:val="0"/>
                <w:szCs w:val="24"/>
              </w:rPr>
            </w:pPr>
            <w:r>
              <w:rPr>
                <w:kern w:val="0"/>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114" w:type="dxa"/>
            <w:vAlign w:val="center"/>
          </w:tcPr>
          <w:p>
            <w:pPr>
              <w:widowControl/>
              <w:spacing w:line="240" w:lineRule="auto"/>
              <w:jc w:val="center"/>
              <w:rPr>
                <w:kern w:val="0"/>
                <w:szCs w:val="24"/>
              </w:rPr>
            </w:pPr>
            <w:r>
              <w:rPr>
                <w:kern w:val="0"/>
                <w:szCs w:val="24"/>
              </w:rPr>
              <w:t>红尾坑矿区</w:t>
            </w:r>
          </w:p>
        </w:tc>
        <w:tc>
          <w:tcPr>
            <w:tcW w:w="1843" w:type="dxa"/>
            <w:vAlign w:val="center"/>
          </w:tcPr>
          <w:p>
            <w:pPr>
              <w:widowControl/>
              <w:spacing w:line="240" w:lineRule="auto"/>
              <w:jc w:val="center"/>
              <w:rPr>
                <w:kern w:val="0"/>
                <w:szCs w:val="24"/>
              </w:rPr>
            </w:pPr>
            <w:r>
              <w:rPr>
                <w:kern w:val="0"/>
                <w:szCs w:val="24"/>
              </w:rPr>
              <w:t>796.34万元</w:t>
            </w:r>
          </w:p>
        </w:tc>
        <w:tc>
          <w:tcPr>
            <w:tcW w:w="2126" w:type="dxa"/>
            <w:vAlign w:val="center"/>
          </w:tcPr>
          <w:p>
            <w:pPr>
              <w:widowControl/>
              <w:spacing w:line="240" w:lineRule="auto"/>
              <w:jc w:val="center"/>
              <w:rPr>
                <w:kern w:val="0"/>
                <w:szCs w:val="24"/>
              </w:rPr>
            </w:pPr>
            <w:r>
              <w:rPr>
                <w:kern w:val="0"/>
                <w:szCs w:val="24"/>
              </w:rPr>
              <w:t>796.34万元</w:t>
            </w:r>
          </w:p>
        </w:tc>
        <w:tc>
          <w:tcPr>
            <w:tcW w:w="1213" w:type="dxa"/>
            <w:vAlign w:val="center"/>
          </w:tcPr>
          <w:p>
            <w:pPr>
              <w:widowControl/>
              <w:spacing w:line="240" w:lineRule="auto"/>
              <w:jc w:val="center"/>
              <w:rPr>
                <w:kern w:val="0"/>
                <w:szCs w:val="24"/>
              </w:rPr>
            </w:pPr>
            <w:r>
              <w:rPr>
                <w:kern w:val="0"/>
                <w:szCs w:val="24"/>
              </w:rPr>
              <w:t>0%</w:t>
            </w:r>
          </w:p>
        </w:tc>
      </w:tr>
    </w:tbl>
    <w:p>
      <w:pPr>
        <w:pStyle w:val="34"/>
        <w:ind w:left="0" w:leftChars="0" w:firstLine="643" w:firstLineChars="200"/>
      </w:pPr>
      <w:r>
        <w:rPr>
          <w:b/>
          <w:bCs/>
        </w:rPr>
        <w:t>三是部分经费支出方式不合规，资金支出审核不到位。一方面，大旺山矿区的经费支出方式与资金管理要求</w:t>
      </w:r>
      <w:r>
        <w:rPr>
          <w:rStyle w:val="21"/>
          <w:b/>
          <w:bCs/>
        </w:rPr>
        <w:footnoteReference w:id="4"/>
      </w:r>
      <w:r>
        <w:rPr>
          <w:b/>
          <w:bCs/>
        </w:rPr>
        <w:t>不符，存在</w:t>
      </w:r>
      <w:r>
        <w:rPr>
          <w:rFonts w:hint="eastAsia"/>
          <w:b/>
          <w:bCs/>
        </w:rPr>
        <w:t>“</w:t>
      </w:r>
      <w:r>
        <w:rPr>
          <w:b/>
          <w:bCs/>
        </w:rPr>
        <w:t>超前支付财政资金</w:t>
      </w:r>
      <w:r>
        <w:rPr>
          <w:rFonts w:hint="eastAsia"/>
          <w:b/>
          <w:bCs/>
        </w:rPr>
        <w:t>”</w:t>
      </w:r>
      <w:r>
        <w:rPr>
          <w:b/>
          <w:bCs/>
        </w:rPr>
        <w:t>事实</w:t>
      </w:r>
      <w:r>
        <w:t>。根据《经费管理》规定，大旺山矿区应于2023年2月13日资源储量核实报告通过评审后支付地勘费用。但2022年项目单位申请并支付了98万元地勘费用。</w:t>
      </w:r>
      <w:r>
        <w:rPr>
          <w:b/>
          <w:bCs/>
        </w:rPr>
        <w:t>另一方面，该矿区的资金支付方式与合同约定不符。</w:t>
      </w:r>
      <w:r>
        <w:t>根据《地勘合同》和《项目任务书》约定，大旺山矿区的地勘费用应于采矿权出让合同后由采矿权竞得人一次性支付。2024年3月大旺山矿区签订出让合同，但2022年8月和2023年8月，项目单位提前申请并支付了地勘费用98万元和149.9万元，而非由采矿权竞得人支付该笔地勘费用。即该矿区地勘费用的支付时间、支付次数、支付主体与合同约定不一致（具体如表5-5所示），资金支出的合规性不足、支出依据不充分。</w:t>
      </w:r>
    </w:p>
    <w:p>
      <w:pPr>
        <w:pStyle w:val="51"/>
      </w:pPr>
      <w:r>
        <w:t>表5-5 大旺山矿区地勘费用支付信息</w:t>
      </w: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3544"/>
        <w:gridCol w:w="1843"/>
        <w:gridCol w:w="1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271" w:type="dxa"/>
            <w:shd w:val="clear" w:color="auto" w:fill="FEF2CC" w:themeFill="accent4" w:themeFillTint="33"/>
            <w:vAlign w:val="center"/>
          </w:tcPr>
          <w:p>
            <w:pPr>
              <w:widowControl/>
              <w:spacing w:line="240" w:lineRule="auto"/>
              <w:jc w:val="center"/>
              <w:rPr>
                <w:b/>
                <w:bCs/>
                <w:kern w:val="0"/>
                <w:szCs w:val="24"/>
              </w:rPr>
            </w:pPr>
            <w:r>
              <w:rPr>
                <w:b/>
                <w:bCs/>
                <w:kern w:val="0"/>
                <w:szCs w:val="24"/>
              </w:rPr>
              <w:t>类型</w:t>
            </w:r>
          </w:p>
        </w:tc>
        <w:tc>
          <w:tcPr>
            <w:tcW w:w="3544" w:type="dxa"/>
            <w:shd w:val="clear" w:color="auto" w:fill="FEF2CC" w:themeFill="accent4" w:themeFillTint="33"/>
            <w:vAlign w:val="center"/>
          </w:tcPr>
          <w:p>
            <w:pPr>
              <w:widowControl/>
              <w:spacing w:line="240" w:lineRule="auto"/>
              <w:jc w:val="center"/>
              <w:rPr>
                <w:b/>
                <w:bCs/>
                <w:kern w:val="0"/>
                <w:szCs w:val="24"/>
              </w:rPr>
            </w:pPr>
            <w:r>
              <w:rPr>
                <w:b/>
                <w:bCs/>
                <w:kern w:val="0"/>
                <w:szCs w:val="24"/>
              </w:rPr>
              <w:t>地勘合同/任务书约定</w:t>
            </w:r>
          </w:p>
        </w:tc>
        <w:tc>
          <w:tcPr>
            <w:tcW w:w="1843" w:type="dxa"/>
            <w:shd w:val="clear" w:color="auto" w:fill="FEF2CC" w:themeFill="accent4" w:themeFillTint="33"/>
            <w:vAlign w:val="center"/>
          </w:tcPr>
          <w:p>
            <w:pPr>
              <w:widowControl/>
              <w:spacing w:line="240" w:lineRule="auto"/>
              <w:jc w:val="center"/>
              <w:rPr>
                <w:b/>
                <w:bCs/>
                <w:kern w:val="0"/>
                <w:szCs w:val="24"/>
              </w:rPr>
            </w:pPr>
            <w:r>
              <w:rPr>
                <w:b/>
                <w:bCs/>
                <w:kern w:val="0"/>
                <w:szCs w:val="24"/>
              </w:rPr>
              <w:t>实际执行</w:t>
            </w:r>
          </w:p>
        </w:tc>
        <w:tc>
          <w:tcPr>
            <w:tcW w:w="1638" w:type="dxa"/>
            <w:shd w:val="clear" w:color="auto" w:fill="FEF2CC" w:themeFill="accent4" w:themeFillTint="33"/>
            <w:vAlign w:val="center"/>
          </w:tcPr>
          <w:p>
            <w:pPr>
              <w:widowControl/>
              <w:spacing w:line="240" w:lineRule="auto"/>
              <w:jc w:val="center"/>
              <w:rPr>
                <w:b/>
                <w:bCs/>
                <w:kern w:val="0"/>
                <w:szCs w:val="24"/>
              </w:rPr>
            </w:pPr>
            <w:r>
              <w:rPr>
                <w:b/>
                <w:bCs/>
                <w:kern w:val="0"/>
                <w:szCs w:val="24"/>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Align w:val="center"/>
          </w:tcPr>
          <w:p>
            <w:pPr>
              <w:widowControl/>
              <w:spacing w:line="240" w:lineRule="auto"/>
              <w:jc w:val="center"/>
              <w:rPr>
                <w:kern w:val="0"/>
                <w:szCs w:val="24"/>
              </w:rPr>
            </w:pPr>
            <w:r>
              <w:rPr>
                <w:kern w:val="0"/>
                <w:szCs w:val="24"/>
              </w:rPr>
              <w:t>支付时间</w:t>
            </w:r>
          </w:p>
        </w:tc>
        <w:tc>
          <w:tcPr>
            <w:tcW w:w="3544" w:type="dxa"/>
            <w:vAlign w:val="center"/>
          </w:tcPr>
          <w:p>
            <w:pPr>
              <w:widowControl/>
              <w:spacing w:line="240" w:lineRule="auto"/>
              <w:jc w:val="center"/>
              <w:rPr>
                <w:kern w:val="0"/>
                <w:szCs w:val="24"/>
              </w:rPr>
            </w:pPr>
            <w:r>
              <w:rPr>
                <w:kern w:val="0"/>
                <w:szCs w:val="24"/>
              </w:rPr>
              <w:t>采矿权挂牌拍卖成交后30日内</w:t>
            </w:r>
          </w:p>
          <w:p>
            <w:pPr>
              <w:widowControl/>
              <w:spacing w:line="240" w:lineRule="auto"/>
              <w:jc w:val="center"/>
              <w:rPr>
                <w:kern w:val="0"/>
                <w:szCs w:val="24"/>
              </w:rPr>
            </w:pPr>
            <w:r>
              <w:rPr>
                <w:kern w:val="0"/>
                <w:szCs w:val="24"/>
              </w:rPr>
              <w:t>（2024.3.20-2024.3.20）</w:t>
            </w:r>
          </w:p>
        </w:tc>
        <w:tc>
          <w:tcPr>
            <w:tcW w:w="1843" w:type="dxa"/>
            <w:vAlign w:val="center"/>
          </w:tcPr>
          <w:p>
            <w:pPr>
              <w:widowControl/>
              <w:spacing w:line="240" w:lineRule="auto"/>
              <w:jc w:val="center"/>
              <w:rPr>
                <w:kern w:val="0"/>
                <w:szCs w:val="24"/>
              </w:rPr>
            </w:pPr>
            <w:r>
              <w:rPr>
                <w:kern w:val="0"/>
                <w:szCs w:val="24"/>
              </w:rPr>
              <w:t>2022年</w:t>
            </w:r>
          </w:p>
          <w:p>
            <w:pPr>
              <w:widowControl/>
              <w:spacing w:line="240" w:lineRule="auto"/>
              <w:jc w:val="center"/>
              <w:rPr>
                <w:kern w:val="0"/>
                <w:szCs w:val="24"/>
              </w:rPr>
            </w:pPr>
            <w:r>
              <w:rPr>
                <w:kern w:val="0"/>
                <w:szCs w:val="24"/>
              </w:rPr>
              <w:t>2023年8月</w:t>
            </w:r>
          </w:p>
        </w:tc>
        <w:tc>
          <w:tcPr>
            <w:tcW w:w="1638" w:type="dxa"/>
            <w:vAlign w:val="center"/>
          </w:tcPr>
          <w:p>
            <w:pPr>
              <w:widowControl/>
              <w:spacing w:line="240" w:lineRule="auto"/>
              <w:jc w:val="center"/>
              <w:rPr>
                <w:kern w:val="0"/>
                <w:szCs w:val="24"/>
              </w:rPr>
            </w:pPr>
            <w:r>
              <w:rPr>
                <w:kern w:val="0"/>
                <w:szCs w:val="24"/>
              </w:rPr>
              <w:t>超前申请支付财政资金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Align w:val="center"/>
          </w:tcPr>
          <w:p>
            <w:pPr>
              <w:widowControl/>
              <w:spacing w:line="240" w:lineRule="auto"/>
              <w:jc w:val="center"/>
              <w:rPr>
                <w:kern w:val="0"/>
                <w:szCs w:val="24"/>
              </w:rPr>
            </w:pPr>
            <w:r>
              <w:t>支付次数</w:t>
            </w:r>
          </w:p>
        </w:tc>
        <w:tc>
          <w:tcPr>
            <w:tcW w:w="3544" w:type="dxa"/>
            <w:vAlign w:val="center"/>
          </w:tcPr>
          <w:p>
            <w:pPr>
              <w:widowControl/>
              <w:spacing w:line="240" w:lineRule="auto"/>
              <w:jc w:val="center"/>
              <w:rPr>
                <w:kern w:val="0"/>
                <w:szCs w:val="24"/>
              </w:rPr>
            </w:pPr>
            <w:r>
              <w:rPr>
                <w:kern w:val="0"/>
                <w:szCs w:val="24"/>
              </w:rPr>
              <w:t>一次性支付</w:t>
            </w:r>
          </w:p>
        </w:tc>
        <w:tc>
          <w:tcPr>
            <w:tcW w:w="1843" w:type="dxa"/>
            <w:vAlign w:val="center"/>
          </w:tcPr>
          <w:p>
            <w:pPr>
              <w:widowControl/>
              <w:spacing w:line="240" w:lineRule="auto"/>
              <w:jc w:val="center"/>
              <w:rPr>
                <w:kern w:val="0"/>
                <w:szCs w:val="24"/>
              </w:rPr>
            </w:pPr>
            <w:r>
              <w:rPr>
                <w:kern w:val="0"/>
                <w:szCs w:val="24"/>
              </w:rPr>
              <w:t>两次支付</w:t>
            </w:r>
          </w:p>
        </w:tc>
        <w:tc>
          <w:tcPr>
            <w:tcW w:w="1638" w:type="dxa"/>
            <w:vAlign w:val="center"/>
          </w:tcPr>
          <w:p>
            <w:pPr>
              <w:widowControl/>
              <w:spacing w:line="240" w:lineRule="auto"/>
              <w:jc w:val="center"/>
              <w:rPr>
                <w:kern w:val="0"/>
                <w:szCs w:val="24"/>
              </w:rPr>
            </w:pPr>
            <w:r>
              <w:rPr>
                <w:kern w:val="0"/>
                <w:szCs w:val="24"/>
              </w:rPr>
              <w:t>与合同约定不一致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271" w:type="dxa"/>
            <w:vAlign w:val="center"/>
          </w:tcPr>
          <w:p>
            <w:pPr>
              <w:widowControl/>
              <w:spacing w:line="240" w:lineRule="auto"/>
              <w:jc w:val="center"/>
            </w:pPr>
            <w:r>
              <w:t>支付主体</w:t>
            </w:r>
          </w:p>
        </w:tc>
        <w:tc>
          <w:tcPr>
            <w:tcW w:w="3544" w:type="dxa"/>
            <w:vAlign w:val="center"/>
          </w:tcPr>
          <w:p>
            <w:pPr>
              <w:widowControl/>
              <w:spacing w:line="240" w:lineRule="auto"/>
              <w:jc w:val="center"/>
              <w:rPr>
                <w:kern w:val="0"/>
                <w:szCs w:val="24"/>
              </w:rPr>
            </w:pPr>
            <w:r>
              <w:rPr>
                <w:kern w:val="0"/>
                <w:szCs w:val="24"/>
              </w:rPr>
              <w:t>采矿权竞得人</w:t>
            </w:r>
          </w:p>
        </w:tc>
        <w:tc>
          <w:tcPr>
            <w:tcW w:w="1843" w:type="dxa"/>
            <w:vAlign w:val="center"/>
          </w:tcPr>
          <w:p>
            <w:pPr>
              <w:widowControl/>
              <w:spacing w:line="240" w:lineRule="auto"/>
              <w:jc w:val="center"/>
              <w:rPr>
                <w:kern w:val="0"/>
                <w:szCs w:val="24"/>
              </w:rPr>
            </w:pPr>
            <w:r>
              <w:rPr>
                <w:kern w:val="0"/>
                <w:szCs w:val="24"/>
              </w:rPr>
              <w:t>曲江区财政局</w:t>
            </w:r>
          </w:p>
        </w:tc>
        <w:tc>
          <w:tcPr>
            <w:tcW w:w="1638" w:type="dxa"/>
            <w:vAlign w:val="center"/>
          </w:tcPr>
          <w:p>
            <w:pPr>
              <w:widowControl/>
              <w:spacing w:line="240" w:lineRule="auto"/>
              <w:jc w:val="center"/>
              <w:rPr>
                <w:kern w:val="0"/>
                <w:szCs w:val="24"/>
              </w:rPr>
            </w:pPr>
            <w:r>
              <w:rPr>
                <w:kern w:val="0"/>
                <w:szCs w:val="24"/>
              </w:rPr>
              <w:t>与合同约定不一致</w:t>
            </w:r>
          </w:p>
        </w:tc>
      </w:tr>
    </w:tbl>
    <w:p>
      <w:pPr>
        <w:pStyle w:val="34"/>
        <w:ind w:firstLine="643"/>
      </w:pPr>
      <w:r>
        <w:rPr>
          <w:b/>
          <w:bCs/>
        </w:rPr>
        <w:t>四是个别矿区</w:t>
      </w:r>
      <w:r>
        <w:rPr>
          <w:rFonts w:hint="eastAsia"/>
          <w:b/>
          <w:bCs/>
        </w:rPr>
        <w:t>的</w:t>
      </w:r>
      <w:r>
        <w:rPr>
          <w:b/>
          <w:bCs/>
        </w:rPr>
        <w:t>勘查经费</w:t>
      </w:r>
      <w:r>
        <w:rPr>
          <w:rFonts w:hint="eastAsia"/>
          <w:b/>
          <w:bCs/>
        </w:rPr>
        <w:t>收款人在不同合同中约定不一致</w:t>
      </w:r>
      <w:r>
        <w:rPr>
          <w:b/>
          <w:bCs/>
        </w:rPr>
        <w:t>。</w:t>
      </w:r>
      <w:r>
        <w:t>2022年3月10日的《大旺山矿区地勘合同》约定地勘费用由矿权竞得人支付至</w:t>
      </w:r>
      <w:r>
        <w:rPr>
          <w:rFonts w:hint="eastAsia"/>
        </w:rPr>
        <w:t>“</w:t>
      </w:r>
      <w:r>
        <w:t>广东省有色金属地质局九三二队</w:t>
      </w:r>
      <w:r>
        <w:rPr>
          <w:rFonts w:hint="eastAsia"/>
        </w:rPr>
        <w:t>”</w:t>
      </w:r>
      <w:r>
        <w:t>。但2024年3月20日的《大旺山矿区采矿权出让合同》约定地勘费用由矿权竞得人支付至</w:t>
      </w:r>
      <w:r>
        <w:rPr>
          <w:rFonts w:hint="eastAsia"/>
        </w:rPr>
        <w:t>“</w:t>
      </w:r>
      <w:r>
        <w:t>曲江区人民政府</w:t>
      </w:r>
      <w:r>
        <w:rPr>
          <w:rFonts w:hint="eastAsia"/>
        </w:rPr>
        <w:t>”</w:t>
      </w:r>
      <w:r>
        <w:t>。即大旺山矿区的地勘费用收款主体在不同</w:t>
      </w:r>
      <w:r>
        <w:rPr>
          <w:rFonts w:hint="eastAsia"/>
        </w:rPr>
        <w:t>合同中约定</w:t>
      </w:r>
      <w:r>
        <w:t>不一致（如表5-6所示），未有明确统一的资金流向主体，易导致项目执行流程混乱，增加项目资金管理的难度。</w:t>
      </w:r>
    </w:p>
    <w:p>
      <w:pPr>
        <w:pStyle w:val="51"/>
      </w:pPr>
      <w:r>
        <w:t>表5-6 大旺山矿区地勘费用收款主体信息</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312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2405" w:type="dxa"/>
            <w:shd w:val="clear" w:color="auto" w:fill="FEF2CC" w:themeFill="accent4" w:themeFillTint="33"/>
            <w:vAlign w:val="center"/>
          </w:tcPr>
          <w:p>
            <w:pPr>
              <w:widowControl/>
              <w:spacing w:line="240" w:lineRule="auto"/>
              <w:jc w:val="center"/>
              <w:rPr>
                <w:b/>
                <w:bCs/>
              </w:rPr>
            </w:pPr>
            <w:r>
              <w:rPr>
                <w:b/>
                <w:bCs/>
              </w:rPr>
              <w:t>时间</w:t>
            </w:r>
          </w:p>
        </w:tc>
        <w:tc>
          <w:tcPr>
            <w:tcW w:w="3125" w:type="dxa"/>
            <w:shd w:val="clear" w:color="auto" w:fill="FEF2CC" w:themeFill="accent4" w:themeFillTint="33"/>
            <w:vAlign w:val="center"/>
          </w:tcPr>
          <w:p>
            <w:pPr>
              <w:widowControl/>
              <w:spacing w:line="240" w:lineRule="auto"/>
              <w:jc w:val="center"/>
              <w:rPr>
                <w:b/>
                <w:bCs/>
              </w:rPr>
            </w:pPr>
            <w:r>
              <w:rPr>
                <w:b/>
                <w:bCs/>
              </w:rPr>
              <w:t>依据</w:t>
            </w:r>
          </w:p>
        </w:tc>
        <w:tc>
          <w:tcPr>
            <w:tcW w:w="2766" w:type="dxa"/>
            <w:shd w:val="clear" w:color="auto" w:fill="FEF2CC" w:themeFill="accent4" w:themeFillTint="33"/>
            <w:vAlign w:val="center"/>
          </w:tcPr>
          <w:p>
            <w:pPr>
              <w:widowControl/>
              <w:spacing w:line="240" w:lineRule="auto"/>
              <w:jc w:val="center"/>
              <w:rPr>
                <w:b/>
                <w:bCs/>
              </w:rPr>
            </w:pPr>
            <w:r>
              <w:rPr>
                <w:b/>
                <w:bCs/>
              </w:rPr>
              <w:t>收款主体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05" w:type="dxa"/>
            <w:vAlign w:val="center"/>
          </w:tcPr>
          <w:p>
            <w:pPr>
              <w:widowControl/>
              <w:spacing w:line="240" w:lineRule="auto"/>
              <w:jc w:val="center"/>
            </w:pPr>
            <w:r>
              <w:t>2022年3月10日</w:t>
            </w:r>
          </w:p>
        </w:tc>
        <w:tc>
          <w:tcPr>
            <w:tcW w:w="3125" w:type="dxa"/>
            <w:vAlign w:val="center"/>
          </w:tcPr>
          <w:p>
            <w:pPr>
              <w:widowControl/>
              <w:spacing w:line="240" w:lineRule="auto"/>
              <w:jc w:val="center"/>
            </w:pPr>
            <w:r>
              <w:t>大旺山矿区地勘合同</w:t>
            </w:r>
          </w:p>
        </w:tc>
        <w:tc>
          <w:tcPr>
            <w:tcW w:w="2766" w:type="dxa"/>
            <w:vAlign w:val="center"/>
          </w:tcPr>
          <w:p>
            <w:pPr>
              <w:widowControl/>
              <w:spacing w:line="240" w:lineRule="auto"/>
              <w:jc w:val="center"/>
            </w:pPr>
            <w:r>
              <w:t>广东省有色金属地质局九三二队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405" w:type="dxa"/>
            <w:vAlign w:val="center"/>
          </w:tcPr>
          <w:p>
            <w:pPr>
              <w:widowControl/>
              <w:spacing w:line="240" w:lineRule="auto"/>
              <w:jc w:val="center"/>
            </w:pPr>
            <w:r>
              <w:t>2024年3月20日</w:t>
            </w:r>
          </w:p>
        </w:tc>
        <w:tc>
          <w:tcPr>
            <w:tcW w:w="3125" w:type="dxa"/>
            <w:vAlign w:val="center"/>
          </w:tcPr>
          <w:p>
            <w:pPr>
              <w:widowControl/>
              <w:spacing w:line="240" w:lineRule="auto"/>
              <w:jc w:val="center"/>
            </w:pPr>
            <w:r>
              <w:t>大旺山矿区采矿权出让合同</w:t>
            </w:r>
          </w:p>
        </w:tc>
        <w:tc>
          <w:tcPr>
            <w:tcW w:w="2766" w:type="dxa"/>
            <w:vAlign w:val="center"/>
          </w:tcPr>
          <w:p>
            <w:pPr>
              <w:widowControl/>
              <w:spacing w:line="240" w:lineRule="auto"/>
              <w:jc w:val="center"/>
            </w:pPr>
            <w:r>
              <w:t>曲江区人民政府</w:t>
            </w:r>
          </w:p>
        </w:tc>
      </w:tr>
    </w:tbl>
    <w:p>
      <w:pPr>
        <w:pStyle w:val="34"/>
        <w:ind w:left="0" w:leftChars="0" w:firstLine="643" w:firstLineChars="200"/>
      </w:pPr>
      <w:r>
        <w:rPr>
          <w:b/>
          <w:bCs/>
        </w:rPr>
        <w:t>五是部分经费支付依据不充分，资金使用合规性不足。</w:t>
      </w:r>
      <w:r>
        <w:t>据项目单位介绍，红尾坑矿区的地勘费用支付依据为《关于红尾坑矿区项目前期工作费用专项审计报告》（以下简称《审计报告》），若以《审计报告》为依据，单位不应支付</w:t>
      </w:r>
      <w:r>
        <w:rPr>
          <w:rFonts w:hint="eastAsia"/>
        </w:rPr>
        <w:t>“</w:t>
      </w:r>
      <w:r>
        <w:t>无法确认真实的11.5万元的前期工作经费</w:t>
      </w:r>
      <w:r>
        <w:rPr>
          <w:rFonts w:hint="eastAsia"/>
        </w:rPr>
        <w:t>”</w:t>
      </w:r>
      <w:r>
        <w:t>。但</w:t>
      </w:r>
      <w:r>
        <w:rPr>
          <w:b/>
          <w:bCs/>
        </w:rPr>
        <w:t>红尾坑矿区地勘费用的支付依据前后使用矛盾</w:t>
      </w:r>
      <w:r>
        <w:t>，项目单位实际未依据《审计报告》的审计意见支付资金，仍向财政部门申请支付无法核实的11.5万元。</w:t>
      </w:r>
    </w:p>
    <w:p>
      <w:pPr>
        <w:pStyle w:val="37"/>
        <w:ind w:firstLine="640"/>
      </w:pPr>
      <w:bookmarkStart w:id="23" w:name="_Toc181571207"/>
      <w:r>
        <w:t>（三）项目管理难落实，项目效能未能体现</w:t>
      </w:r>
      <w:bookmarkEnd w:id="23"/>
    </w:p>
    <w:p>
      <w:pPr>
        <w:pStyle w:val="34"/>
        <w:ind w:firstLine="640"/>
      </w:pPr>
      <w:r>
        <w:t>市自然资源局（以下简称</w:t>
      </w:r>
      <w:r>
        <w:rPr>
          <w:rFonts w:hint="eastAsia"/>
        </w:rPr>
        <w:t>“</w:t>
      </w:r>
      <w:r>
        <w:t>市局</w:t>
      </w:r>
      <w:r>
        <w:rPr>
          <w:rFonts w:hint="eastAsia"/>
        </w:rPr>
        <w:t>”</w:t>
      </w:r>
      <w:r>
        <w:t>）负责协调省自然资源厅和相关单位加快储量核实报告评审，属地区自然资源局（以下简称</w:t>
      </w:r>
      <w:r>
        <w:rPr>
          <w:rFonts w:hint="eastAsia"/>
        </w:rPr>
        <w:t>“</w:t>
      </w:r>
      <w:r>
        <w:t>区局</w:t>
      </w:r>
      <w:r>
        <w:rPr>
          <w:rFonts w:hint="eastAsia"/>
        </w:rPr>
        <w:t>”</w:t>
      </w:r>
      <w:r>
        <w:t>）跟进地质勘查进展并定期向市局汇报。但在实际执行过程中，市局和区局未能完成分工工作，具体为：</w:t>
      </w:r>
    </w:p>
    <w:p>
      <w:pPr>
        <w:pStyle w:val="34"/>
        <w:ind w:firstLine="643"/>
      </w:pPr>
      <w:r>
        <w:rPr>
          <w:b/>
          <w:bCs/>
        </w:rPr>
        <w:t>一是部分矿区的进度把控不严谨，实施进度不符合预期：</w:t>
      </w:r>
      <w:r>
        <w:rPr>
          <w:rFonts w:hint="eastAsia" w:ascii="宋体" w:hAnsi="宋体" w:eastAsia="宋体" w:cs="宋体"/>
          <w:b/>
          <w:bCs/>
        </w:rPr>
        <w:t>①</w:t>
      </w:r>
      <w:r>
        <w:rPr>
          <w:b/>
          <w:bCs/>
        </w:rPr>
        <w:t>区局项目进度把控不到位，个别矿区进度滞后:</w:t>
      </w:r>
      <w:r>
        <w:t>如三棵松矿区，计划为</w:t>
      </w:r>
      <w:r>
        <w:rPr>
          <w:rFonts w:hint="eastAsia"/>
        </w:rPr>
        <w:t>“</w:t>
      </w:r>
      <w:r>
        <w:t>2023年第一季度完成储量评审备案，第二季度完成出让前所有前期准备工作</w:t>
      </w:r>
      <w:r>
        <w:rPr>
          <w:rFonts w:hint="eastAsia"/>
        </w:rPr>
        <w:t>”</w:t>
      </w:r>
      <w:r>
        <w:t>，但实际工作进度为</w:t>
      </w:r>
      <w:r>
        <w:rPr>
          <w:rFonts w:hint="eastAsia"/>
        </w:rPr>
        <w:t>“</w:t>
      </w:r>
      <w:r>
        <w:t>2023年10月完成储量评审，2023年12月完成前期准备工作</w:t>
      </w:r>
      <w:r>
        <w:rPr>
          <w:rFonts w:hint="eastAsia"/>
        </w:rPr>
        <w:t>”</w:t>
      </w:r>
      <w:r>
        <w:t>，实际工作进度晚于计划进度约两个季度。又如大旺山矿区，工作计划为</w:t>
      </w:r>
      <w:r>
        <w:rPr>
          <w:rFonts w:hint="eastAsia"/>
        </w:rPr>
        <w:t>“</w:t>
      </w:r>
      <w:r>
        <w:t>2023年6月底挂牌出让</w:t>
      </w:r>
      <w:r>
        <w:rPr>
          <w:rFonts w:hint="eastAsia"/>
        </w:rPr>
        <w:t>”</w:t>
      </w:r>
      <w:r>
        <w:t>，但实际工作进度为</w:t>
      </w:r>
      <w:r>
        <w:rPr>
          <w:rFonts w:hint="eastAsia"/>
        </w:rPr>
        <w:t>“</w:t>
      </w:r>
      <w:r>
        <w:t>2024年3月完成挂牌出让</w:t>
      </w:r>
      <w:r>
        <w:rPr>
          <w:rFonts w:hint="eastAsia"/>
        </w:rPr>
        <w:t>”</w:t>
      </w:r>
      <w:r>
        <w:t>，实际工作进度晚于计划进度约9个月（如表5-7所示）。</w:t>
      </w:r>
      <w:r>
        <w:rPr>
          <w:rFonts w:hint="eastAsia" w:ascii="宋体" w:hAnsi="宋体" w:eastAsia="宋体" w:cs="宋体"/>
          <w:b/>
          <w:bCs/>
        </w:rPr>
        <w:t>②</w:t>
      </w:r>
      <w:r>
        <w:rPr>
          <w:b/>
          <w:bCs/>
        </w:rPr>
        <w:t>区局推进项目实施不规范，个别矿区实施流程倒置：</w:t>
      </w:r>
      <w:r>
        <w:t>三棵松矿区补充详尽调查的合同签订时间为2023年5月17日，合同约定野外工作的开始时间为2023年5月10日，即项目合同签订前已经开始野外资源勘查工作。</w:t>
      </w:r>
    </w:p>
    <w:p>
      <w:pPr>
        <w:pStyle w:val="51"/>
      </w:pPr>
      <w:r>
        <w:t>表5-7 进度把控不到位情况</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2663"/>
        <w:gridCol w:w="2581"/>
        <w:gridCol w:w="14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555" w:type="dxa"/>
            <w:shd w:val="clear" w:color="auto" w:fill="FEF2CC" w:themeFill="accent4" w:themeFillTint="33"/>
            <w:vAlign w:val="center"/>
          </w:tcPr>
          <w:p>
            <w:pPr>
              <w:widowControl/>
              <w:spacing w:line="240" w:lineRule="auto"/>
              <w:jc w:val="center"/>
              <w:rPr>
                <w:b/>
                <w:bCs/>
              </w:rPr>
            </w:pPr>
            <w:r>
              <w:rPr>
                <w:b/>
                <w:bCs/>
              </w:rPr>
              <w:t>矿区</w:t>
            </w:r>
          </w:p>
        </w:tc>
        <w:tc>
          <w:tcPr>
            <w:tcW w:w="2663" w:type="dxa"/>
            <w:shd w:val="clear" w:color="auto" w:fill="FEF2CC" w:themeFill="accent4" w:themeFillTint="33"/>
            <w:vAlign w:val="center"/>
          </w:tcPr>
          <w:p>
            <w:pPr>
              <w:widowControl/>
              <w:spacing w:line="240" w:lineRule="auto"/>
              <w:jc w:val="center"/>
              <w:rPr>
                <w:b/>
                <w:bCs/>
              </w:rPr>
            </w:pPr>
            <w:r>
              <w:rPr>
                <w:b/>
                <w:bCs/>
              </w:rPr>
              <w:t>计划时间</w:t>
            </w:r>
          </w:p>
        </w:tc>
        <w:tc>
          <w:tcPr>
            <w:tcW w:w="2581" w:type="dxa"/>
            <w:shd w:val="clear" w:color="auto" w:fill="FEF2CC" w:themeFill="accent4" w:themeFillTint="33"/>
            <w:vAlign w:val="center"/>
          </w:tcPr>
          <w:p>
            <w:pPr>
              <w:widowControl/>
              <w:spacing w:line="240" w:lineRule="auto"/>
              <w:jc w:val="center"/>
              <w:rPr>
                <w:b/>
                <w:bCs/>
              </w:rPr>
            </w:pPr>
            <w:r>
              <w:rPr>
                <w:b/>
                <w:bCs/>
              </w:rPr>
              <w:t>实际时间</w:t>
            </w:r>
          </w:p>
        </w:tc>
        <w:tc>
          <w:tcPr>
            <w:tcW w:w="1497" w:type="dxa"/>
            <w:shd w:val="clear" w:color="auto" w:fill="FEF2CC" w:themeFill="accent4" w:themeFillTint="33"/>
            <w:vAlign w:val="center"/>
          </w:tcPr>
          <w:p>
            <w:pPr>
              <w:widowControl/>
              <w:spacing w:line="240" w:lineRule="auto"/>
              <w:jc w:val="center"/>
              <w:rPr>
                <w:b/>
                <w:bCs/>
              </w:rPr>
            </w:pPr>
            <w:r>
              <w:rPr>
                <w:b/>
                <w:bCs/>
              </w:rPr>
              <w:t>误差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5" w:type="dxa"/>
            <w:vAlign w:val="center"/>
          </w:tcPr>
          <w:p>
            <w:pPr>
              <w:widowControl/>
              <w:spacing w:line="240" w:lineRule="auto"/>
              <w:jc w:val="center"/>
            </w:pPr>
            <w:r>
              <w:t>三棵松矿区</w:t>
            </w:r>
          </w:p>
        </w:tc>
        <w:tc>
          <w:tcPr>
            <w:tcW w:w="2663" w:type="dxa"/>
            <w:vAlign w:val="center"/>
          </w:tcPr>
          <w:p>
            <w:pPr>
              <w:widowControl/>
              <w:spacing w:line="240" w:lineRule="auto"/>
            </w:pPr>
            <w:r>
              <w:fldChar w:fldCharType="begin"/>
            </w:r>
            <w:r>
              <w:instrText xml:space="preserve"> = 1 \* GB3 </w:instrText>
            </w:r>
            <w:r>
              <w:fldChar w:fldCharType="separate"/>
            </w:r>
            <w:r>
              <w:rPr>
                <w:rFonts w:hint="eastAsia" w:ascii="宋体" w:hAnsi="宋体" w:eastAsia="宋体" w:cs="宋体"/>
              </w:rPr>
              <w:t>①</w:t>
            </w:r>
            <w:r>
              <w:fldChar w:fldCharType="end"/>
            </w:r>
            <w:r>
              <w:t>2023年第一季度完成储量评审备案</w:t>
            </w:r>
          </w:p>
          <w:p>
            <w:pPr>
              <w:widowControl/>
              <w:spacing w:line="240" w:lineRule="auto"/>
            </w:pPr>
            <w:r>
              <w:fldChar w:fldCharType="begin"/>
            </w:r>
            <w:r>
              <w:instrText xml:space="preserve"> = 2 \* GB3 </w:instrText>
            </w:r>
            <w:r>
              <w:fldChar w:fldCharType="separate"/>
            </w:r>
            <w:r>
              <w:rPr>
                <w:rFonts w:hint="eastAsia" w:ascii="宋体" w:hAnsi="宋体" w:eastAsia="宋体" w:cs="宋体"/>
              </w:rPr>
              <w:t>②</w:t>
            </w:r>
            <w:r>
              <w:fldChar w:fldCharType="end"/>
            </w:r>
            <w:r>
              <w:t>第二季度完成出让前所有前期准备工作</w:t>
            </w:r>
          </w:p>
        </w:tc>
        <w:tc>
          <w:tcPr>
            <w:tcW w:w="2581" w:type="dxa"/>
            <w:vAlign w:val="center"/>
          </w:tcPr>
          <w:p>
            <w:pPr>
              <w:widowControl/>
              <w:spacing w:line="240" w:lineRule="auto"/>
            </w:pPr>
            <w:r>
              <w:fldChar w:fldCharType="begin"/>
            </w:r>
            <w:r>
              <w:instrText xml:space="preserve"> = 1 \* GB3 </w:instrText>
            </w:r>
            <w:r>
              <w:fldChar w:fldCharType="separate"/>
            </w:r>
            <w:r>
              <w:rPr>
                <w:rFonts w:hint="eastAsia" w:ascii="宋体" w:hAnsi="宋体" w:eastAsia="宋体" w:cs="宋体"/>
              </w:rPr>
              <w:t>①</w:t>
            </w:r>
            <w:r>
              <w:fldChar w:fldCharType="end"/>
            </w:r>
            <w:r>
              <w:t>2023年10月完成储量评审</w:t>
            </w:r>
          </w:p>
          <w:p>
            <w:pPr>
              <w:widowControl/>
              <w:spacing w:line="240" w:lineRule="auto"/>
            </w:pPr>
            <w:r>
              <w:fldChar w:fldCharType="begin"/>
            </w:r>
            <w:r>
              <w:instrText xml:space="preserve"> = 2 \* GB3 </w:instrText>
            </w:r>
            <w:r>
              <w:fldChar w:fldCharType="separate"/>
            </w:r>
            <w:r>
              <w:rPr>
                <w:rFonts w:hint="eastAsia" w:ascii="宋体" w:hAnsi="宋体" w:eastAsia="宋体" w:cs="宋体"/>
              </w:rPr>
              <w:t>②</w:t>
            </w:r>
            <w:r>
              <w:fldChar w:fldCharType="end"/>
            </w:r>
            <w:r>
              <w:t>2023年12月完成前期准备工作</w:t>
            </w:r>
          </w:p>
        </w:tc>
        <w:tc>
          <w:tcPr>
            <w:tcW w:w="1497" w:type="dxa"/>
            <w:vAlign w:val="center"/>
          </w:tcPr>
          <w:p>
            <w:pPr>
              <w:widowControl/>
              <w:spacing w:line="240" w:lineRule="auto"/>
            </w:pPr>
            <w:r>
              <w:t>滞后约2个季度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555" w:type="dxa"/>
            <w:vAlign w:val="center"/>
          </w:tcPr>
          <w:p>
            <w:pPr>
              <w:widowControl/>
              <w:spacing w:line="240" w:lineRule="auto"/>
              <w:jc w:val="center"/>
            </w:pPr>
            <w:r>
              <w:t>大旺山矿区</w:t>
            </w:r>
          </w:p>
        </w:tc>
        <w:tc>
          <w:tcPr>
            <w:tcW w:w="2663" w:type="dxa"/>
            <w:vAlign w:val="center"/>
          </w:tcPr>
          <w:p>
            <w:pPr>
              <w:widowControl/>
              <w:spacing w:line="240" w:lineRule="auto"/>
            </w:pPr>
            <w:r>
              <w:t>2023年6月底挂牌出让</w:t>
            </w:r>
          </w:p>
        </w:tc>
        <w:tc>
          <w:tcPr>
            <w:tcW w:w="2581" w:type="dxa"/>
            <w:vAlign w:val="center"/>
          </w:tcPr>
          <w:p>
            <w:pPr>
              <w:widowControl/>
              <w:spacing w:line="240" w:lineRule="auto"/>
            </w:pPr>
            <w:r>
              <w:t>2024年3月完成挂牌出让</w:t>
            </w:r>
          </w:p>
        </w:tc>
        <w:tc>
          <w:tcPr>
            <w:tcW w:w="1497" w:type="dxa"/>
            <w:vAlign w:val="center"/>
          </w:tcPr>
          <w:p>
            <w:pPr>
              <w:widowControl/>
              <w:spacing w:line="240" w:lineRule="auto"/>
            </w:pPr>
            <w:r>
              <w:t>滞后9个月</w:t>
            </w:r>
          </w:p>
        </w:tc>
      </w:tr>
    </w:tbl>
    <w:p>
      <w:pPr>
        <w:pStyle w:val="34"/>
        <w:ind w:left="0" w:leftChars="0" w:firstLine="643" w:firstLineChars="200"/>
      </w:pPr>
      <w:r>
        <w:rPr>
          <w:b/>
          <w:bCs/>
        </w:rPr>
        <w:t>二是区局未采纳落实市局发布的个别矿区工作指导文件，市局统筹监管工作无法落实。</w:t>
      </w:r>
      <w:r>
        <w:t>2023年2月20日市局对</w:t>
      </w:r>
      <w:r>
        <w:rPr>
          <w:rFonts w:hint="eastAsia"/>
        </w:rPr>
        <w:t>“</w:t>
      </w:r>
      <w:r>
        <w:t>三棵松矿区详查工作</w:t>
      </w:r>
      <w:r>
        <w:rPr>
          <w:rFonts w:hint="eastAsia"/>
        </w:rPr>
        <w:t>”</w:t>
      </w:r>
      <w:r>
        <w:t>提出</w:t>
      </w:r>
      <w:r>
        <w:rPr>
          <w:rFonts w:hint="eastAsia"/>
        </w:rPr>
        <w:t>“</w:t>
      </w:r>
      <w:r>
        <w:t>2022年已完成招标和勘查工作部分预算标准按八折进行最终结算、移除‘青苗补偿费20万</w:t>
      </w:r>
      <w:r>
        <w:rPr>
          <w:rFonts w:hint="eastAsia"/>
        </w:rPr>
        <w:t>元</w:t>
      </w:r>
      <w:r>
        <w:t>’和‘机台搬迁及机台平整32.57万</w:t>
      </w:r>
      <w:r>
        <w:rPr>
          <w:rFonts w:hint="eastAsia"/>
        </w:rPr>
        <w:t>元</w:t>
      </w:r>
      <w:r>
        <w:t>’两项费用</w:t>
      </w:r>
      <w:r>
        <w:rPr>
          <w:rFonts w:hint="eastAsia"/>
        </w:rPr>
        <w:t>”</w:t>
      </w:r>
      <w:r>
        <w:t>的工作指示。若按此工作指导，三棵松矿区2022年的地勘费用的结算价应为454.07万元，只需要支付财政资金227.04万元至地勘单位。但区局未采取市局的工作指导，也未对市局工作指导进行不采纳回复，仍按照原合同金额申请并支付了财政资金294.85万元至地勘单位，增加了67.81万元的项目成本，具体如表5-8所示。</w:t>
      </w:r>
    </w:p>
    <w:p>
      <w:pPr>
        <w:pStyle w:val="51"/>
      </w:pPr>
      <w:r>
        <w:t>表5-8 三棵松矿区2022年地勘费用信息</w:t>
      </w:r>
    </w:p>
    <w:tbl>
      <w:tblPr>
        <w:tblStyle w:val="16"/>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8"/>
        <w:gridCol w:w="2039"/>
        <w:gridCol w:w="22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4106" w:type="dxa"/>
            <w:shd w:val="clear" w:color="auto" w:fill="FEF2CC" w:themeFill="accent4" w:themeFillTint="33"/>
            <w:vAlign w:val="center"/>
          </w:tcPr>
          <w:p>
            <w:pPr>
              <w:widowControl/>
              <w:spacing w:line="240" w:lineRule="auto"/>
              <w:jc w:val="center"/>
              <w:rPr>
                <w:b/>
                <w:bCs/>
              </w:rPr>
            </w:pPr>
            <w:r>
              <w:rPr>
                <w:b/>
                <w:bCs/>
              </w:rPr>
              <w:t>依据</w:t>
            </w:r>
          </w:p>
        </w:tc>
        <w:tc>
          <w:tcPr>
            <w:tcW w:w="1985" w:type="dxa"/>
            <w:tcBorders>
              <w:right w:val="single" w:color="auto" w:sz="4" w:space="0"/>
            </w:tcBorders>
            <w:shd w:val="clear" w:color="auto" w:fill="FEF2CC" w:themeFill="accent4" w:themeFillTint="33"/>
            <w:vAlign w:val="center"/>
          </w:tcPr>
          <w:p>
            <w:pPr>
              <w:widowControl/>
              <w:spacing w:line="240" w:lineRule="auto"/>
              <w:jc w:val="center"/>
              <w:rPr>
                <w:b/>
                <w:bCs/>
              </w:rPr>
            </w:pPr>
            <w:r>
              <w:rPr>
                <w:b/>
                <w:bCs/>
              </w:rPr>
              <w:t>地勘费用</w:t>
            </w:r>
          </w:p>
        </w:tc>
        <w:tc>
          <w:tcPr>
            <w:tcW w:w="2205" w:type="dxa"/>
            <w:tcBorders>
              <w:top w:val="single" w:color="auto" w:sz="4" w:space="0"/>
              <w:left w:val="single" w:color="auto" w:sz="4" w:space="0"/>
              <w:bottom w:val="single" w:color="auto" w:sz="4" w:space="0"/>
              <w:right w:val="single" w:color="auto" w:sz="4" w:space="0"/>
            </w:tcBorders>
            <w:shd w:val="clear" w:color="auto" w:fill="FEF2CC" w:themeFill="accent4" w:themeFillTint="33"/>
            <w:vAlign w:val="center"/>
          </w:tcPr>
          <w:p>
            <w:pPr>
              <w:widowControl/>
              <w:spacing w:line="240" w:lineRule="auto"/>
              <w:jc w:val="center"/>
              <w:rPr>
                <w:b/>
                <w:bCs/>
              </w:rPr>
            </w:pPr>
            <w:r>
              <w:rPr>
                <w:b/>
                <w:bCs/>
              </w:rPr>
              <w:t>财政资金支付额度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06" w:type="dxa"/>
            <w:vAlign w:val="center"/>
          </w:tcPr>
          <w:p>
            <w:pPr>
              <w:widowControl/>
              <w:spacing w:line="240" w:lineRule="auto"/>
              <w:jc w:val="center"/>
            </w:pPr>
            <w:r>
              <w:t>《韶关市武江区龙归镇三棵松建筑石料用石灰岩矿(采矿权)的地质详查报告、开发利用方案等前期资料的服务》</w:t>
            </w:r>
          </w:p>
        </w:tc>
        <w:tc>
          <w:tcPr>
            <w:tcW w:w="1985" w:type="dxa"/>
            <w:tcBorders>
              <w:right w:val="single" w:color="auto" w:sz="4" w:space="0"/>
            </w:tcBorders>
            <w:vAlign w:val="center"/>
          </w:tcPr>
          <w:p>
            <w:pPr>
              <w:widowControl/>
              <w:spacing w:line="240" w:lineRule="auto"/>
              <w:jc w:val="center"/>
            </w:pPr>
            <w:r>
              <w:t>620.16万元</w:t>
            </w:r>
          </w:p>
        </w:tc>
        <w:tc>
          <w:tcPr>
            <w:tcW w:w="22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pPr>
            <w:r>
              <w:t>294.85万元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4106" w:type="dxa"/>
            <w:vAlign w:val="center"/>
          </w:tcPr>
          <w:p>
            <w:pPr>
              <w:widowControl/>
              <w:spacing w:line="240" w:lineRule="auto"/>
              <w:jc w:val="center"/>
            </w:pPr>
            <w:r>
              <w:t>《韶关市自然资源局关于武江区龙归镇三棵松建筑石料用灰岩矿采矿权开展地质详查工作的意见》</w:t>
            </w:r>
          </w:p>
        </w:tc>
        <w:tc>
          <w:tcPr>
            <w:tcW w:w="1985" w:type="dxa"/>
            <w:tcBorders>
              <w:right w:val="single" w:color="auto" w:sz="4" w:space="0"/>
            </w:tcBorders>
            <w:vAlign w:val="center"/>
          </w:tcPr>
          <w:p>
            <w:pPr>
              <w:widowControl/>
              <w:spacing w:line="240" w:lineRule="auto"/>
              <w:jc w:val="center"/>
            </w:pPr>
            <w:r>
              <w:t>454.07万元</w:t>
            </w:r>
          </w:p>
        </w:tc>
        <w:tc>
          <w:tcPr>
            <w:tcW w:w="22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pPr>
            <w:r>
              <w:t>227.04万元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091" w:type="dxa"/>
            <w:gridSpan w:val="2"/>
            <w:tcBorders>
              <w:right w:val="single" w:color="auto" w:sz="4" w:space="0"/>
            </w:tcBorders>
            <w:vAlign w:val="center"/>
          </w:tcPr>
          <w:p>
            <w:pPr>
              <w:widowControl/>
              <w:spacing w:line="240" w:lineRule="auto"/>
              <w:jc w:val="center"/>
              <w:rPr>
                <w:b/>
                <w:bCs/>
              </w:rPr>
            </w:pPr>
            <w:r>
              <w:rPr>
                <w:rFonts w:hint="eastAsia"/>
                <w:b/>
                <w:bCs/>
              </w:rPr>
              <w:t>差距</w:t>
            </w:r>
          </w:p>
        </w:tc>
        <w:tc>
          <w:tcPr>
            <w:tcW w:w="2205" w:type="dxa"/>
            <w:tcBorders>
              <w:top w:val="single" w:color="auto" w:sz="4" w:space="0"/>
              <w:left w:val="single" w:color="auto" w:sz="4" w:space="0"/>
              <w:bottom w:val="single" w:color="auto" w:sz="4" w:space="0"/>
              <w:right w:val="single" w:color="auto" w:sz="4" w:space="0"/>
            </w:tcBorders>
            <w:vAlign w:val="center"/>
          </w:tcPr>
          <w:p>
            <w:pPr>
              <w:widowControl/>
              <w:spacing w:line="240" w:lineRule="auto"/>
              <w:jc w:val="center"/>
              <w:rPr>
                <w:b/>
                <w:bCs/>
              </w:rPr>
            </w:pPr>
            <w:r>
              <w:rPr>
                <w:rFonts w:hint="eastAsia"/>
                <w:b/>
                <w:bCs/>
              </w:rPr>
              <w:t>67.81万元</w:t>
            </w:r>
          </w:p>
        </w:tc>
      </w:tr>
    </w:tbl>
    <w:p>
      <w:pPr>
        <w:pStyle w:val="34"/>
        <w:ind w:left="0" w:leftChars="0" w:firstLine="643" w:firstLineChars="200"/>
      </w:pPr>
      <w:r>
        <w:rPr>
          <w:b/>
          <w:bCs/>
        </w:rPr>
        <w:t>三是项目验收质量的影响因素考虑不足，增加矿区开发利用的风险隐患。</w:t>
      </w:r>
      <w:r>
        <w:t>结合书面核查和现场调研发现：矿产资源勘查属于非完全竞争的行业，4个矿区的地勘投标单位、地勘中标单位和野外验收单位均为同一批单位（广东省核工业地质调查院、广东省地质局第三地质大队、核工业二九</w:t>
      </w:r>
      <w:r>
        <w:rPr>
          <w:rFonts w:eastAsia="微软雅黑"/>
        </w:rPr>
        <w:t>〇</w:t>
      </w:r>
      <w:r>
        <w:t>研究所、广东省有色金属地质局九三二队），上述单位在韶关区域内的项目竞争存在默契，无形中已形成区域垄断，并在各自承担的项目野外验收相互使用对方专家，存在</w:t>
      </w:r>
      <w:r>
        <w:rPr>
          <w:rFonts w:hint="eastAsia"/>
        </w:rPr>
        <w:t>“</w:t>
      </w:r>
      <w:r>
        <w:t>项目野外验收更容易通过</w:t>
      </w:r>
      <w:r>
        <w:rPr>
          <w:rFonts w:hint="eastAsia"/>
        </w:rPr>
        <w:t>”</w:t>
      </w:r>
      <w:r>
        <w:t>的弊端，也增加</w:t>
      </w:r>
      <w:r>
        <w:rPr>
          <w:rFonts w:hint="eastAsia"/>
        </w:rPr>
        <w:t>“</w:t>
      </w:r>
      <w:r>
        <w:t>矿区矿产量的勘查真实性存疑</w:t>
      </w:r>
      <w:r>
        <w:rPr>
          <w:rFonts w:hint="eastAsia"/>
        </w:rPr>
        <w:t>”</w:t>
      </w:r>
      <w:r>
        <w:t>的风险隐患。</w:t>
      </w:r>
    </w:p>
    <w:p>
      <w:pPr>
        <w:pStyle w:val="36"/>
        <w:ind w:firstLine="643"/>
      </w:pPr>
      <w:bookmarkStart w:id="24" w:name="_Toc181571208"/>
      <w:r>
        <w:t>六、改进建议</w:t>
      </w:r>
      <w:bookmarkEnd w:id="24"/>
    </w:p>
    <w:p>
      <w:pPr>
        <w:pStyle w:val="37"/>
        <w:ind w:firstLine="640"/>
      </w:pPr>
      <w:bookmarkStart w:id="25" w:name="_Toc181571209"/>
      <w:r>
        <w:t>（一）完善项目招标方式，规范项目招标管理</w:t>
      </w:r>
      <w:bookmarkEnd w:id="25"/>
    </w:p>
    <w:p>
      <w:pPr>
        <w:pStyle w:val="34"/>
        <w:ind w:firstLine="640"/>
      </w:pPr>
      <w:r>
        <w:rPr>
          <w:b/>
          <w:bCs/>
        </w:rPr>
        <w:t>一是</w:t>
      </w:r>
      <w:r>
        <w:t>针对“个别矿区的采购代理单位不符合资质要求”，建议单位：一方面根据《政府采购代理机构管理暂行办法》《评标委员会和评标方法暂行规定》等政府采购规范文件对三棵松矿区详尽调查的采购活动进行复盘，结合项目特点、项目实施逻辑及进度，规范整改</w:t>
      </w:r>
      <w:r>
        <w:rPr>
          <w:rFonts w:hint="eastAsia"/>
        </w:rPr>
        <w:t>“</w:t>
      </w:r>
      <w:r>
        <w:t>投标代理机构的授权资质过期</w:t>
      </w:r>
      <w:r>
        <w:rPr>
          <w:rFonts w:hint="eastAsia"/>
        </w:rPr>
        <w:t>”</w:t>
      </w:r>
      <w:r>
        <w:t>和</w:t>
      </w:r>
      <w:r>
        <w:rPr>
          <w:rFonts w:hint="eastAsia"/>
        </w:rPr>
        <w:t>“</w:t>
      </w:r>
      <w:r>
        <w:t>招标代理未审核和拒收投标文件</w:t>
      </w:r>
      <w:r>
        <w:rPr>
          <w:rFonts w:hint="eastAsia"/>
        </w:rPr>
        <w:t>”</w:t>
      </w:r>
      <w:r>
        <w:t>等不合规情况，并及时将整改结果上报工作领导小组。另一方面，建议项目单位加强对未来年度的采购活动的管理，提高对采购代理机构工作的质量要求，在合同中增加项目招标实施不规范罚款等约定，抓好采购代理项目的合规性检查，避免出现违规行为。 并定期对采购代理项目的资料及授权资质等信息的检查，发现问题及时整改。</w:t>
      </w:r>
    </w:p>
    <w:p>
      <w:pPr>
        <w:pStyle w:val="34"/>
        <w:ind w:firstLine="640"/>
      </w:pPr>
      <w:r>
        <w:rPr>
          <w:b/>
          <w:bCs/>
        </w:rPr>
        <w:t>二是</w:t>
      </w:r>
      <w:r>
        <w:t>针对</w:t>
      </w:r>
      <w:r>
        <w:rPr>
          <w:rFonts w:hint="eastAsia"/>
        </w:rPr>
        <w:t>“</w:t>
      </w:r>
      <w:r>
        <w:t>部分矿区的招标实施方式不合规</w:t>
      </w:r>
      <w:r>
        <w:rPr>
          <w:rFonts w:hint="eastAsia"/>
        </w:rPr>
        <w:t>”</w:t>
      </w:r>
      <w:r>
        <w:t>的审计风险，建议单位：一方面根据招标管理规范文件，对黄龙岗矿区和大旺山矿区两个矿区不合规招标的形式进行整改，并将整改结果及时公示和上报，为后续年度项目继续开展招投标工作提供</w:t>
      </w:r>
      <w:r>
        <w:rPr>
          <w:rFonts w:hint="eastAsia"/>
        </w:rPr>
        <w:t>“</w:t>
      </w:r>
      <w:r>
        <w:t>清单</w:t>
      </w:r>
      <w:r>
        <w:rPr>
          <w:rFonts w:hint="eastAsia"/>
        </w:rPr>
        <w:t>”</w:t>
      </w:r>
      <w:r>
        <w:t>提醒作用；另一方面，结合矿产资源项目勘查项目的特点，建议项目主管单位与财政部门针对项目适用的采购方式进行沟通探讨，并将探讨结果根据《政府采购法实施条例》的要求进行合规性落实，避免后续年度再次出现采购实施不合规的情况。</w:t>
      </w:r>
    </w:p>
    <w:p>
      <w:pPr>
        <w:pStyle w:val="34"/>
        <w:ind w:firstLine="640"/>
      </w:pPr>
      <w:r>
        <w:rPr>
          <w:b/>
          <w:bCs/>
        </w:rPr>
        <w:t>三是</w:t>
      </w:r>
      <w:r>
        <w:t>针对</w:t>
      </w:r>
      <w:r>
        <w:rPr>
          <w:rFonts w:hint="eastAsia"/>
        </w:rPr>
        <w:t>“</w:t>
      </w:r>
      <w:r>
        <w:t>项目中标主体不符合公平性要求</w:t>
      </w:r>
      <w:r>
        <w:rPr>
          <w:rFonts w:hint="eastAsia"/>
        </w:rPr>
        <w:t>”</w:t>
      </w:r>
      <w:r>
        <w:t>，建议单位结合项目的特征、项目实施目的和实施规范性文件，明确招标范围、投标对象等招标标准，并严格按《政府采购法实施条例》《招标投标领域公平竞争审查规则》等规范性文件开展评标工作，提高项目评标质量。另，将项目采购定期检查和不合规处罚等纳入采购工作管理，通过完善项目招投标后管理的方式，及时发现问题并提高试错成本，</w:t>
      </w:r>
      <w:r>
        <w:rPr>
          <w:color w:val="191919"/>
          <w:shd w:val="clear" w:color="auto" w:fill="FFFFFF"/>
        </w:rPr>
        <w:t>提高项目采购执行的规范性</w:t>
      </w:r>
      <w:r>
        <w:t>。</w:t>
      </w:r>
    </w:p>
    <w:p>
      <w:pPr>
        <w:pStyle w:val="37"/>
        <w:ind w:firstLine="640"/>
      </w:pPr>
      <w:bookmarkStart w:id="26" w:name="_Toc181571210"/>
      <w:r>
        <w:t>（二）落实资金管理制度，规范项目资金使用</w:t>
      </w:r>
      <w:bookmarkEnd w:id="26"/>
    </w:p>
    <w:p>
      <w:pPr>
        <w:pStyle w:val="34"/>
        <w:ind w:firstLine="640"/>
      </w:pPr>
      <w:r>
        <w:rPr>
          <w:b/>
          <w:bCs/>
        </w:rPr>
        <w:t>一是</w:t>
      </w:r>
      <w:r>
        <w:t>针对</w:t>
      </w:r>
      <w:r>
        <w:rPr>
          <w:rFonts w:hint="eastAsia"/>
        </w:rPr>
        <w:t>“</w:t>
      </w:r>
      <w:r>
        <w:t>个别矿区的招标代理费用的计价依据不合理</w:t>
      </w:r>
      <w:r>
        <w:rPr>
          <w:rFonts w:hint="eastAsia"/>
        </w:rPr>
        <w:t>”</w:t>
      </w:r>
      <w:r>
        <w:t>，建议单位：一方面，按照现行计价依据计算出正确的招标代理费用后，遵循</w:t>
      </w:r>
      <w:r>
        <w:rPr>
          <w:rFonts w:hint="eastAsia"/>
        </w:rPr>
        <w:t>“</w:t>
      </w:r>
      <w:r>
        <w:t>多退少补</w:t>
      </w:r>
      <w:r>
        <w:rPr>
          <w:rStyle w:val="21"/>
        </w:rPr>
        <w:footnoteReference w:id="5"/>
      </w:r>
      <w:r>
        <w:rPr>
          <w:rFonts w:hint="eastAsia"/>
        </w:rPr>
        <w:t>”</w:t>
      </w:r>
      <w:r>
        <w:t>的原则处理三棵松矿区补充详尽调查的招标代理费用；另一方面，加强项目单位采购相关人员的业务能力培训，严格要求采购人员按照项目执行年度适用的法律法规文件测算招标代理费，避免再次出现测算依据失效的情况。</w:t>
      </w:r>
    </w:p>
    <w:p>
      <w:pPr>
        <w:pStyle w:val="34"/>
        <w:ind w:firstLine="640"/>
        <w:rPr>
          <w:color w:val="333333"/>
          <w:shd w:val="clear" w:color="auto" w:fill="FFFFFF"/>
        </w:rPr>
      </w:pPr>
      <w:r>
        <w:rPr>
          <w:b/>
          <w:bCs/>
        </w:rPr>
        <w:t>二是</w:t>
      </w:r>
      <w:r>
        <w:t>针对</w:t>
      </w:r>
      <w:r>
        <w:rPr>
          <w:rFonts w:hint="eastAsia"/>
        </w:rPr>
        <w:t>“</w:t>
      </w:r>
      <w:r>
        <w:t>项目成本把控不到位</w:t>
      </w:r>
      <w:r>
        <w:rPr>
          <w:rFonts w:hint="eastAsia"/>
        </w:rPr>
        <w:t>”</w:t>
      </w:r>
      <w:r>
        <w:t>，建议单位遵循</w:t>
      </w:r>
      <w:r>
        <w:rPr>
          <w:color w:val="333333"/>
          <w:shd w:val="clear" w:color="auto" w:fill="FFFFFF"/>
        </w:rPr>
        <w:t>《财政预算资金拨付管理暂行办法》关于财政资金使用原则，在项目实施前结合项目特征及实施目的，审核预算规模的合理性、合规性和经济性，确认项目预算规模的上限；同时，在项目验收后引进第三方角色从项目实施工作量及项目成果，审核项目资金支出的合理性和准确性，确保项目资金支出的真实性和合规性。</w:t>
      </w:r>
    </w:p>
    <w:p>
      <w:pPr>
        <w:pStyle w:val="34"/>
        <w:ind w:firstLine="640"/>
        <w:rPr>
          <w:color w:val="333333"/>
          <w:shd w:val="clear" w:color="auto" w:fill="FFFFFF"/>
        </w:rPr>
      </w:pPr>
      <w:r>
        <w:rPr>
          <w:b/>
          <w:bCs/>
        </w:rPr>
        <w:t>三是</w:t>
      </w:r>
      <w:r>
        <w:rPr>
          <w:color w:val="333333"/>
          <w:shd w:val="clear" w:color="auto" w:fill="FFFFFF"/>
        </w:rPr>
        <w:t>针对</w:t>
      </w:r>
      <w:r>
        <w:rPr>
          <w:rFonts w:hint="eastAsia"/>
          <w:color w:val="333333"/>
          <w:shd w:val="clear" w:color="auto" w:fill="FFFFFF"/>
        </w:rPr>
        <w:t>“</w:t>
      </w:r>
      <w:r>
        <w:t>部分经费支出方式不合规</w:t>
      </w:r>
      <w:r>
        <w:rPr>
          <w:rFonts w:hint="eastAsia"/>
          <w:color w:val="333333"/>
          <w:shd w:val="clear" w:color="auto" w:fill="FFFFFF"/>
        </w:rPr>
        <w:t>”</w:t>
      </w:r>
      <w:r>
        <w:t>，建议单位：一方面，严格按照项目专项资金管理办法和财政资金管理办法，</w:t>
      </w:r>
      <w:r>
        <w:rPr>
          <w:color w:val="333333"/>
          <w:shd w:val="clear" w:color="auto" w:fill="FFFFFF"/>
        </w:rPr>
        <w:t>遵循</w:t>
      </w:r>
      <w:r>
        <w:rPr>
          <w:rFonts w:hint="eastAsia"/>
          <w:color w:val="333333"/>
          <w:shd w:val="clear" w:color="auto" w:fill="FFFFFF"/>
        </w:rPr>
        <w:t>“</w:t>
      </w:r>
      <w:r>
        <w:rPr>
          <w:color w:val="333333"/>
          <w:shd w:val="clear" w:color="auto" w:fill="FFFFFF"/>
        </w:rPr>
        <w:t>按财政预算、按用款计划、按项目进度、按规定程序</w:t>
      </w:r>
      <w:r>
        <w:rPr>
          <w:rFonts w:hint="eastAsia"/>
          <w:color w:val="333333"/>
          <w:shd w:val="clear" w:color="auto" w:fill="FFFFFF"/>
        </w:rPr>
        <w:t>”</w:t>
      </w:r>
      <w:r>
        <w:rPr>
          <w:color w:val="333333"/>
          <w:shd w:val="clear" w:color="auto" w:fill="FFFFFF"/>
        </w:rPr>
        <w:t>的原则使用财政资金，避免再次出现“超前使用财政资金”的情况。另一方面，按照项目合同约定制作项目资金支付计划台账，财务人员和业务人员交叉复核资金支付申请并严格按照支付计划使用财政资金，避免资金支付与合同约定脱节。</w:t>
      </w:r>
    </w:p>
    <w:p>
      <w:pPr>
        <w:pStyle w:val="34"/>
        <w:ind w:firstLine="640"/>
      </w:pPr>
      <w:r>
        <w:rPr>
          <w:b/>
          <w:bCs/>
        </w:rPr>
        <w:t>四是</w:t>
      </w:r>
      <w:r>
        <w:rPr>
          <w:color w:val="333333"/>
          <w:shd w:val="clear" w:color="auto" w:fill="FFFFFF"/>
        </w:rPr>
        <w:t>针对</w:t>
      </w:r>
      <w:r>
        <w:rPr>
          <w:rFonts w:hint="eastAsia"/>
          <w:color w:val="333333"/>
          <w:shd w:val="clear" w:color="auto" w:fill="FFFFFF"/>
        </w:rPr>
        <w:t>“</w:t>
      </w:r>
      <w:r>
        <w:rPr>
          <w:rFonts w:hint="eastAsia"/>
        </w:rPr>
        <w:t>个别矿区的勘查经费收款人在不同合同中约定不一致</w:t>
      </w:r>
      <w:r>
        <w:rPr>
          <w:rFonts w:hint="eastAsia"/>
          <w:color w:val="333333"/>
          <w:shd w:val="clear" w:color="auto" w:fill="FFFFFF"/>
        </w:rPr>
        <w:t>”</w:t>
      </w:r>
      <w:r>
        <w:t>，建议单位结合项目资金管理办法、实施计划和合同等制作项目台账，并在台账中明确时间节点、资金收付主体等关键信息。同时，项目实施人员根据项目台账履行工作职责，避免因信息统筹不清晰引起的同一工作前后矛盾。</w:t>
      </w:r>
    </w:p>
    <w:p>
      <w:pPr>
        <w:pStyle w:val="34"/>
        <w:ind w:firstLine="640"/>
        <w:rPr>
          <w:color w:val="333333"/>
          <w:shd w:val="clear" w:color="auto" w:fill="FFFFFF"/>
        </w:rPr>
      </w:pPr>
      <w:r>
        <w:rPr>
          <w:b/>
          <w:bCs/>
        </w:rPr>
        <w:t>五是</w:t>
      </w:r>
      <w:r>
        <w:rPr>
          <w:color w:val="333333"/>
          <w:shd w:val="clear" w:color="auto" w:fill="FFFFFF"/>
        </w:rPr>
        <w:t>针对</w:t>
      </w:r>
      <w:r>
        <w:rPr>
          <w:rFonts w:hint="eastAsia"/>
          <w:color w:val="333333"/>
          <w:shd w:val="clear" w:color="auto" w:fill="FFFFFF"/>
        </w:rPr>
        <w:t>“</w:t>
      </w:r>
      <w:r>
        <w:t>部分经费支付依据不充分</w:t>
      </w:r>
      <w:r>
        <w:rPr>
          <w:rFonts w:hint="eastAsia"/>
          <w:color w:val="333333"/>
          <w:shd w:val="clear" w:color="auto" w:fill="FFFFFF"/>
        </w:rPr>
        <w:t>”</w:t>
      </w:r>
      <w:r>
        <w:t>，建议单位：一方面，结合红尾坑矿区的实际情况及合同约定，梳理资金各相关主体的责任和履约情况，并遵循财政资金支付</w:t>
      </w:r>
      <w:r>
        <w:rPr>
          <w:rStyle w:val="21"/>
        </w:rPr>
        <w:footnoteReference w:id="6"/>
      </w:r>
      <w:r>
        <w:t>原则，与财政部门和审计部门沟通并落实</w:t>
      </w:r>
      <w:r>
        <w:rPr>
          <w:rFonts w:hint="eastAsia"/>
        </w:rPr>
        <w:t>“</w:t>
      </w:r>
      <w:r>
        <w:t>如何完善解决支付依据不充分的资金的情况</w:t>
      </w:r>
      <w:r>
        <w:rPr>
          <w:rFonts w:hint="eastAsia"/>
        </w:rPr>
        <w:t>”</w:t>
      </w:r>
      <w:r>
        <w:t>。</w:t>
      </w:r>
      <w:r>
        <w:rPr>
          <w:color w:val="333333"/>
          <w:shd w:val="clear" w:color="auto" w:fill="FFFFFF"/>
        </w:rPr>
        <w:t>另一方面，进一步细化项目财务支出管理环节，明确各环节的工作责任；同时，加强业务人员和财务人员对于财政资金使用培训，按照交叉审核机制，加强支出管理的规范性和和合理性复核，避免再出现支出不合理的情况。</w:t>
      </w:r>
    </w:p>
    <w:p>
      <w:pPr>
        <w:pStyle w:val="37"/>
        <w:ind w:firstLine="640"/>
      </w:pPr>
      <w:bookmarkStart w:id="27" w:name="_Toc181571211"/>
      <w:r>
        <w:t>（三）落实项目指导方案，优化过程管理机制</w:t>
      </w:r>
      <w:bookmarkEnd w:id="27"/>
    </w:p>
    <w:p>
      <w:pPr>
        <w:pStyle w:val="34"/>
        <w:ind w:firstLine="640"/>
        <w:rPr>
          <w:color w:val="333333"/>
        </w:rPr>
      </w:pPr>
      <w:r>
        <w:rPr>
          <w:b/>
          <w:bCs/>
        </w:rPr>
        <w:t>一是</w:t>
      </w:r>
      <w:r>
        <w:t>针对</w:t>
      </w:r>
      <w:r>
        <w:rPr>
          <w:rFonts w:hint="eastAsia"/>
        </w:rPr>
        <w:t>“</w:t>
      </w:r>
      <w:r>
        <w:t>部分矿区的进度把控不严谨</w:t>
      </w:r>
      <w:r>
        <w:rPr>
          <w:rFonts w:hint="eastAsia"/>
        </w:rPr>
        <w:t>”</w:t>
      </w:r>
      <w:r>
        <w:t>，建议单位：一方面，结合工作指导、合同约定等制定科学合理的项目实施计划，并</w:t>
      </w:r>
      <w:r>
        <w:rPr>
          <w:color w:val="333333"/>
        </w:rPr>
        <w:t>在计划中明确工作顺序、工期、所需资源和人员职能分工，避免前期因项目因素考虑不到位而影响项目管理。另一方面，区局应严格执行项目实施计划，对于工期延误、项目实施不符合预期等情况，及时与地勘单位沟通了解，按照项目实际情况与主管部门汇报及办理相关手续，避免项目过程管理脱节。</w:t>
      </w:r>
    </w:p>
    <w:p>
      <w:pPr>
        <w:pStyle w:val="34"/>
        <w:ind w:firstLine="640"/>
        <w:rPr>
          <w:color w:val="333333"/>
          <w:shd w:val="clear" w:color="auto" w:fill="FFFFFF"/>
        </w:rPr>
      </w:pPr>
      <w:r>
        <w:rPr>
          <w:b/>
          <w:bCs/>
        </w:rPr>
        <w:t>二是</w:t>
      </w:r>
      <w:r>
        <w:t>针对</w:t>
      </w:r>
      <w:r>
        <w:rPr>
          <w:rFonts w:hint="eastAsia"/>
        </w:rPr>
        <w:t>“</w:t>
      </w:r>
      <w:r>
        <w:t>项目验收质量的影响因素考虑不足</w:t>
      </w:r>
      <w:r>
        <w:rPr>
          <w:rFonts w:hint="eastAsia"/>
        </w:rPr>
        <w:t>”</w:t>
      </w:r>
      <w:r>
        <w:t>，建议单位参考</w:t>
      </w:r>
      <w:r>
        <w:rPr>
          <w:color w:val="333333"/>
          <w:shd w:val="clear" w:color="auto" w:fill="FFFFFF"/>
        </w:rPr>
        <w:t>《煤矿建设项目竣工验收管理办法》等同行业验收规范指导文件，补充明确具体的项目验收标准，完善项目验收机制，确保项目验收的公平性。同时，引进外地专家进入参与项目验收，扩张韶关矿产资源专家库，并加强项目验收的过程监管，提高验收的公平性。</w:t>
      </w:r>
    </w:p>
    <w:p>
      <w:pPr>
        <w:pStyle w:val="34"/>
        <w:ind w:firstLine="640"/>
        <w:rPr>
          <w:rFonts w:hint="eastAsia" w:ascii="仿宋_GB2312" w:hAnsi="仿宋_GB2312" w:eastAsia="仿宋_GB2312" w:cs="仿宋_GB2312"/>
        </w:rPr>
      </w:pPr>
    </w:p>
    <w:p>
      <w:pPr>
        <w:pStyle w:val="34"/>
        <w:ind w:firstLine="640"/>
        <w:rPr>
          <w:rFonts w:hint="eastAsia" w:ascii="仿宋_GB2312" w:hAnsi="仿宋_GB2312" w:eastAsia="仿宋_GB2312" w:cs="仿宋_GB2312"/>
        </w:rPr>
      </w:pPr>
    </w:p>
    <w:p>
      <w:pPr>
        <w:pStyle w:val="34"/>
        <w:ind w:firstLine="640"/>
        <w:rPr>
          <w:rFonts w:hint="eastAsia" w:ascii="仿宋_GB2312" w:hAnsi="仿宋_GB2312" w:eastAsia="仿宋_GB2312" w:cs="仿宋_GB2312"/>
        </w:rPr>
      </w:pPr>
      <w:r>
        <w:rPr>
          <w:rFonts w:hint="eastAsia" w:ascii="仿宋_GB2312" w:hAnsi="仿宋_GB2312" w:eastAsia="仿宋_GB2312" w:cs="仿宋_GB2312"/>
        </w:rPr>
        <w:t>附件：2023年矿产资源勘察项目评分表</w:t>
      </w:r>
    </w:p>
    <w:p>
      <w:pPr>
        <w:pStyle w:val="34"/>
        <w:ind w:firstLine="198" w:firstLineChars="62"/>
        <w:rPr>
          <w:rFonts w:hint="eastAsia" w:ascii="仿宋_GB2312" w:hAnsi="仿宋_GB2312" w:eastAsia="仿宋_GB2312" w:cs="仿宋_GB2312"/>
          <w:color w:val="333333"/>
          <w:shd w:val="clear" w:color="auto" w:fill="FFFFFF"/>
        </w:rPr>
      </w:pPr>
    </w:p>
    <w:p>
      <w:pPr>
        <w:pStyle w:val="34"/>
        <w:ind w:firstLine="198" w:firstLineChars="62"/>
        <w:rPr>
          <w:rFonts w:hint="eastAsia" w:ascii="仿宋_GB2312" w:hAnsi="仿宋_GB2312" w:eastAsia="仿宋_GB2312" w:cs="仿宋_GB2312"/>
          <w:color w:val="333333"/>
          <w:shd w:val="clear" w:color="auto" w:fill="FFFFFF"/>
        </w:rPr>
        <w:sectPr>
          <w:footerReference r:id="rId6" w:type="default"/>
          <w:pgSz w:w="11906" w:h="16838"/>
          <w:pgMar w:top="1440" w:right="1800" w:bottom="1440" w:left="1800" w:header="851" w:footer="992" w:gutter="0"/>
          <w:pgNumType w:start="1"/>
          <w:cols w:space="425" w:num="1"/>
          <w:docGrid w:type="lines" w:linePitch="312" w:charSpace="0"/>
        </w:sectPr>
      </w:pPr>
    </w:p>
    <w:p>
      <w:pPr>
        <w:pStyle w:val="37"/>
        <w:ind w:firstLine="640"/>
        <w:rPr>
          <w:rFonts w:hint="eastAsia" w:ascii="方正小标宋简体" w:hAnsi="方正小标宋简体" w:eastAsia="方正小标宋简体" w:cs="方正小标宋简体"/>
        </w:rPr>
      </w:pPr>
      <w:bookmarkStart w:id="28" w:name="_Toc181571213"/>
      <w:r>
        <w:rPr>
          <w:rFonts w:hint="eastAsia" w:ascii="方正黑体_GBK" w:hAnsi="方正黑体_GBK" w:eastAsia="方正黑体_GBK" w:cs="方正黑体_GBK"/>
        </w:rPr>
        <w:t>附件</w:t>
      </w:r>
      <w:r>
        <w:rPr>
          <w:rFonts w:hint="eastAsia" w:ascii="方正黑体_GBK" w:hAnsi="方正黑体_GBK" w:eastAsia="方正黑体_GBK" w:cs="方正黑体_GBK"/>
          <w:lang w:val="en-US" w:eastAsia="zh-CN"/>
        </w:rPr>
        <w:t xml:space="preserve">  </w:t>
      </w:r>
      <w:r>
        <w:rPr>
          <w:rFonts w:hint="eastAsia"/>
          <w:lang w:val="en-US" w:eastAsia="zh-CN"/>
        </w:rPr>
        <w:t xml:space="preserve">                    </w:t>
      </w:r>
      <w:r>
        <w:rPr>
          <w:rFonts w:hint="eastAsia" w:ascii="方正小标宋简体" w:hAnsi="方正小标宋简体" w:eastAsia="方正小标宋简体" w:cs="方正小标宋简体"/>
        </w:rPr>
        <w:t>2023年矿产资源勘察项目评分表</w:t>
      </w:r>
      <w:bookmarkEnd w:id="28"/>
    </w:p>
    <w:tbl>
      <w:tblPr>
        <w:tblStyle w:val="15"/>
        <w:tblW w:w="5000" w:type="pct"/>
        <w:jc w:val="center"/>
        <w:tblLayout w:type="autofit"/>
        <w:tblCellMar>
          <w:top w:w="0" w:type="dxa"/>
          <w:left w:w="108" w:type="dxa"/>
          <w:bottom w:w="0" w:type="dxa"/>
          <w:right w:w="108" w:type="dxa"/>
        </w:tblCellMar>
      </w:tblPr>
      <w:tblGrid>
        <w:gridCol w:w="989"/>
        <w:gridCol w:w="992"/>
        <w:gridCol w:w="878"/>
        <w:gridCol w:w="1185"/>
        <w:gridCol w:w="785"/>
        <w:gridCol w:w="4137"/>
        <w:gridCol w:w="976"/>
        <w:gridCol w:w="4232"/>
      </w:tblGrid>
      <w:tr>
        <w:tblPrEx>
          <w:tblCellMar>
            <w:top w:w="0" w:type="dxa"/>
            <w:left w:w="108" w:type="dxa"/>
            <w:bottom w:w="0" w:type="dxa"/>
            <w:right w:w="108" w:type="dxa"/>
          </w:tblCellMar>
        </w:tblPrEx>
        <w:trPr>
          <w:trHeight w:val="340" w:hRule="atLeast"/>
          <w:tblHeader/>
          <w:jc w:val="center"/>
        </w:trPr>
        <w:tc>
          <w:tcPr>
            <w:tcW w:w="989" w:type="dxa"/>
            <w:tcBorders>
              <w:top w:val="single" w:color="auto" w:sz="4" w:space="0"/>
              <w:left w:val="single" w:color="auto" w:sz="4" w:space="0"/>
              <w:bottom w:val="single" w:color="auto" w:sz="4" w:space="0"/>
              <w:right w:val="single" w:color="auto" w:sz="4" w:space="0"/>
            </w:tcBorders>
            <w:shd w:val="clear" w:color="auto" w:fill="FEF2CC" w:themeFill="accent4" w:themeFillTint="33"/>
            <w:noWrap/>
            <w:vAlign w:val="center"/>
          </w:tcPr>
          <w:p>
            <w:pPr>
              <w:widowControl/>
              <w:spacing w:line="240" w:lineRule="auto"/>
              <w:jc w:val="center"/>
              <w:rPr>
                <w:b/>
                <w:bCs/>
                <w:kern w:val="0"/>
                <w:szCs w:val="24"/>
              </w:rPr>
            </w:pPr>
            <w:r>
              <w:rPr>
                <w:b/>
                <w:bCs/>
                <w:kern w:val="0"/>
                <w:szCs w:val="24"/>
              </w:rPr>
              <w:t>一级指标</w:t>
            </w:r>
          </w:p>
        </w:tc>
        <w:tc>
          <w:tcPr>
            <w:tcW w:w="992" w:type="dxa"/>
            <w:tcBorders>
              <w:top w:val="single" w:color="auto" w:sz="4" w:space="0"/>
              <w:left w:val="nil"/>
              <w:bottom w:val="single" w:color="auto" w:sz="4" w:space="0"/>
              <w:right w:val="single" w:color="auto" w:sz="4" w:space="0"/>
            </w:tcBorders>
            <w:shd w:val="clear" w:color="auto" w:fill="FEF2CC" w:themeFill="accent4" w:themeFillTint="33"/>
            <w:noWrap/>
            <w:vAlign w:val="center"/>
          </w:tcPr>
          <w:p>
            <w:pPr>
              <w:widowControl/>
              <w:spacing w:line="240" w:lineRule="auto"/>
              <w:jc w:val="center"/>
              <w:rPr>
                <w:b/>
                <w:bCs/>
                <w:kern w:val="0"/>
                <w:szCs w:val="24"/>
              </w:rPr>
            </w:pPr>
            <w:r>
              <w:rPr>
                <w:b/>
                <w:bCs/>
                <w:kern w:val="0"/>
                <w:szCs w:val="24"/>
              </w:rPr>
              <w:t>二级指标</w:t>
            </w:r>
          </w:p>
        </w:tc>
        <w:tc>
          <w:tcPr>
            <w:tcW w:w="894" w:type="dxa"/>
            <w:tcBorders>
              <w:top w:val="single" w:color="auto" w:sz="4" w:space="0"/>
              <w:left w:val="nil"/>
              <w:bottom w:val="single" w:color="auto" w:sz="4" w:space="0"/>
              <w:right w:val="single" w:color="auto" w:sz="4" w:space="0"/>
            </w:tcBorders>
            <w:shd w:val="clear" w:color="auto" w:fill="FEF2CC" w:themeFill="accent4" w:themeFillTint="33"/>
            <w:vAlign w:val="center"/>
          </w:tcPr>
          <w:p>
            <w:pPr>
              <w:widowControl/>
              <w:spacing w:line="240" w:lineRule="auto"/>
              <w:jc w:val="center"/>
              <w:rPr>
                <w:b/>
                <w:bCs/>
                <w:kern w:val="0"/>
                <w:szCs w:val="24"/>
              </w:rPr>
            </w:pPr>
            <w:r>
              <w:rPr>
                <w:b/>
                <w:bCs/>
                <w:kern w:val="0"/>
                <w:szCs w:val="24"/>
              </w:rPr>
              <w:t>三级指标</w:t>
            </w:r>
          </w:p>
        </w:tc>
        <w:tc>
          <w:tcPr>
            <w:tcW w:w="984" w:type="dxa"/>
            <w:tcBorders>
              <w:top w:val="single" w:color="auto" w:sz="4" w:space="0"/>
              <w:left w:val="nil"/>
              <w:bottom w:val="single" w:color="auto" w:sz="4" w:space="0"/>
              <w:right w:val="single" w:color="auto" w:sz="4" w:space="0"/>
            </w:tcBorders>
            <w:shd w:val="clear" w:color="auto" w:fill="FEF2CC" w:themeFill="accent4" w:themeFillTint="33"/>
            <w:vAlign w:val="center"/>
          </w:tcPr>
          <w:p>
            <w:pPr>
              <w:widowControl/>
              <w:spacing w:line="240" w:lineRule="auto"/>
              <w:jc w:val="center"/>
              <w:rPr>
                <w:b/>
                <w:bCs/>
                <w:kern w:val="0"/>
                <w:szCs w:val="24"/>
              </w:rPr>
            </w:pPr>
            <w:r>
              <w:rPr>
                <w:b/>
                <w:bCs/>
                <w:kern w:val="0"/>
                <w:szCs w:val="24"/>
              </w:rPr>
              <w:t>四级指标</w:t>
            </w:r>
          </w:p>
        </w:tc>
        <w:tc>
          <w:tcPr>
            <w:tcW w:w="785" w:type="dxa"/>
            <w:tcBorders>
              <w:top w:val="single" w:color="auto" w:sz="4" w:space="0"/>
              <w:left w:val="nil"/>
              <w:bottom w:val="single" w:color="auto" w:sz="4" w:space="0"/>
              <w:right w:val="single" w:color="auto" w:sz="4" w:space="0"/>
            </w:tcBorders>
            <w:shd w:val="clear" w:color="auto" w:fill="FEF2CC" w:themeFill="accent4" w:themeFillTint="33"/>
            <w:noWrap/>
            <w:vAlign w:val="center"/>
          </w:tcPr>
          <w:p>
            <w:pPr>
              <w:widowControl/>
              <w:spacing w:line="240" w:lineRule="auto"/>
              <w:jc w:val="center"/>
              <w:rPr>
                <w:b/>
                <w:bCs/>
                <w:kern w:val="0"/>
                <w:szCs w:val="24"/>
              </w:rPr>
            </w:pPr>
            <w:r>
              <w:rPr>
                <w:b/>
                <w:bCs/>
                <w:kern w:val="0"/>
                <w:szCs w:val="24"/>
              </w:rPr>
              <w:t>权分</w:t>
            </w:r>
          </w:p>
        </w:tc>
        <w:tc>
          <w:tcPr>
            <w:tcW w:w="4234" w:type="dxa"/>
            <w:tcBorders>
              <w:top w:val="single" w:color="000000" w:sz="4" w:space="0"/>
              <w:left w:val="single" w:color="000000" w:sz="4" w:space="0"/>
              <w:bottom w:val="single" w:color="000000" w:sz="4" w:space="0"/>
              <w:right w:val="nil"/>
            </w:tcBorders>
            <w:shd w:val="clear" w:color="auto" w:fill="FEF2CC" w:themeFill="accent4" w:themeFillTint="33"/>
            <w:vAlign w:val="center"/>
          </w:tcPr>
          <w:p>
            <w:pPr>
              <w:widowControl/>
              <w:spacing w:line="240" w:lineRule="auto"/>
              <w:jc w:val="center"/>
              <w:rPr>
                <w:b/>
                <w:bCs/>
                <w:kern w:val="0"/>
                <w:szCs w:val="24"/>
              </w:rPr>
            </w:pPr>
            <w:r>
              <w:rPr>
                <w:b/>
                <w:bCs/>
                <w:kern w:val="0"/>
                <w:szCs w:val="24"/>
              </w:rPr>
              <w:t>评分标准</w:t>
            </w:r>
          </w:p>
        </w:tc>
        <w:tc>
          <w:tcPr>
            <w:tcW w:w="756" w:type="dxa"/>
            <w:tcBorders>
              <w:top w:val="single" w:color="000000" w:sz="4" w:space="0"/>
              <w:left w:val="single" w:color="000000" w:sz="4" w:space="0"/>
              <w:bottom w:val="single" w:color="000000" w:sz="4" w:space="0"/>
              <w:right w:val="single" w:color="000000" w:sz="4" w:space="0"/>
            </w:tcBorders>
            <w:shd w:val="clear" w:color="auto" w:fill="FEF2CC" w:themeFill="accent4" w:themeFillTint="33"/>
            <w:vAlign w:val="center"/>
          </w:tcPr>
          <w:p>
            <w:pPr>
              <w:widowControl/>
              <w:spacing w:line="240" w:lineRule="auto"/>
              <w:jc w:val="center"/>
              <w:rPr>
                <w:b/>
                <w:bCs/>
                <w:kern w:val="0"/>
                <w:szCs w:val="24"/>
              </w:rPr>
            </w:pPr>
            <w:r>
              <w:rPr>
                <w:b/>
                <w:bCs/>
                <w:kern w:val="0"/>
                <w:szCs w:val="24"/>
              </w:rPr>
              <w:t>评分</w:t>
            </w:r>
          </w:p>
        </w:tc>
        <w:tc>
          <w:tcPr>
            <w:tcW w:w="4314" w:type="dxa"/>
            <w:tcBorders>
              <w:top w:val="single" w:color="auto" w:sz="4" w:space="0"/>
              <w:left w:val="single" w:color="auto" w:sz="4" w:space="0"/>
              <w:bottom w:val="single" w:color="auto" w:sz="4" w:space="0"/>
              <w:right w:val="single" w:color="auto" w:sz="4" w:space="0"/>
            </w:tcBorders>
            <w:shd w:val="clear" w:color="auto" w:fill="FEF2CC" w:themeFill="accent4" w:themeFillTint="33"/>
            <w:vAlign w:val="center"/>
          </w:tcPr>
          <w:p>
            <w:pPr>
              <w:widowControl/>
              <w:spacing w:line="240" w:lineRule="auto"/>
              <w:jc w:val="center"/>
              <w:rPr>
                <w:b/>
                <w:bCs/>
                <w:kern w:val="0"/>
                <w:szCs w:val="24"/>
              </w:rPr>
            </w:pPr>
            <w:r>
              <w:rPr>
                <w:b/>
                <w:bCs/>
                <w:kern w:val="0"/>
                <w:szCs w:val="24"/>
              </w:rPr>
              <w:t>评分依据</w:t>
            </w:r>
          </w:p>
        </w:tc>
      </w:tr>
      <w:tr>
        <w:tblPrEx>
          <w:tblCellMar>
            <w:top w:w="0" w:type="dxa"/>
            <w:left w:w="108" w:type="dxa"/>
            <w:bottom w:w="0" w:type="dxa"/>
            <w:right w:w="108" w:type="dxa"/>
          </w:tblCellMar>
        </w:tblPrEx>
        <w:trPr>
          <w:trHeight w:val="340" w:hRule="atLeast"/>
          <w:jc w:val="center"/>
        </w:trPr>
        <w:tc>
          <w:tcPr>
            <w:tcW w:w="98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投入</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项目立项</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论证决策</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论证充分性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1.项目按照规定的程序申请设立，审批文件、材料符合相关要求，得4分；</w:t>
            </w:r>
            <w:r>
              <w:rPr>
                <w:kern w:val="0"/>
                <w:szCs w:val="24"/>
              </w:rPr>
              <w:br w:type="textWrapping"/>
            </w:r>
            <w:r>
              <w:rPr>
                <w:kern w:val="0"/>
                <w:szCs w:val="24"/>
              </w:rPr>
              <w:t>2.具有前期可行性研究报告或摸底调查工作总结等文字材料，或经过集体会议协商，并咨询相关专家意见，且有文字材料的得3分；</w:t>
            </w:r>
            <w:r>
              <w:rPr>
                <w:kern w:val="0"/>
                <w:szCs w:val="24"/>
              </w:rPr>
              <w:br w:type="textWrapping"/>
            </w:r>
            <w:r>
              <w:rPr>
                <w:kern w:val="0"/>
                <w:szCs w:val="24"/>
              </w:rPr>
              <w:t>3.政策审批程序不够科学、规范，论证结果没有对外公开，得1-2分。</w:t>
            </w:r>
            <w:r>
              <w:rPr>
                <w:kern w:val="0"/>
                <w:szCs w:val="24"/>
              </w:rPr>
              <w:br w:type="textWrapping"/>
            </w:r>
            <w:r>
              <w:rPr>
                <w:kern w:val="0"/>
                <w:szCs w:val="24"/>
              </w:rPr>
              <w:t>4.政策审批程序不规范、缺少必要的环节，论证结果不公开，得0分。</w:t>
            </w:r>
          </w:p>
        </w:tc>
        <w:tc>
          <w:tcPr>
            <w:tcW w:w="756"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项目依据《韶关市人民政府办公室关于印发韶关市矿产资源“净矿”出让和绿色高效开发利用实施方案的通知》（以下简称《净矿方案》）设立，项目实施经过十四届市政府第159次常务会议和韶关市矿产资源开发工作领导小组多次会议协商，市自然资源局按《韶关市2023年矿产资源找矿计划》组织开展曲江区大旺山项目、武江区三棵松等矿区的矿产勘查工作，</w:t>
            </w:r>
            <w:r>
              <w:rPr>
                <w:b/>
                <w:bCs/>
                <w:kern w:val="0"/>
                <w:szCs w:val="24"/>
              </w:rPr>
              <w:t>项目立项论证充分。</w:t>
            </w:r>
            <w:r>
              <w:rPr>
                <w:kern w:val="0"/>
                <w:szCs w:val="24"/>
              </w:rPr>
              <w:t>指标得4分。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目标设置</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完整性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1.项目设置的绩效目标包括了产出的数量、质量、时效性、成本性、经济效益、社会效益等指标，得2分。</w:t>
            </w:r>
            <w:r>
              <w:rPr>
                <w:kern w:val="0"/>
                <w:szCs w:val="24"/>
              </w:rPr>
              <w:br w:type="textWrapping"/>
            </w:r>
            <w:r>
              <w:rPr>
                <w:kern w:val="0"/>
                <w:szCs w:val="24"/>
              </w:rPr>
              <w:t>2.项目设置的绩效目标不够全面，没有全面包括产出的数量、质量、时效性、成本性、经济效益、社会效益等指标，得1分。</w:t>
            </w:r>
            <w:r>
              <w:rPr>
                <w:kern w:val="0"/>
                <w:szCs w:val="24"/>
              </w:rPr>
              <w:br w:type="textWrapping"/>
            </w:r>
            <w:r>
              <w:rPr>
                <w:kern w:val="0"/>
                <w:szCs w:val="24"/>
              </w:rPr>
              <w:t>3.项目设置的绩效目标不全面，缺失大部分数量、质量、时效性、成本性、经济效益、社会效益等指标，得0分。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项目目标不够完整，具体为：</w:t>
            </w:r>
            <w:r>
              <w:rPr>
                <w:kern w:val="0"/>
                <w:szCs w:val="24"/>
              </w:rPr>
              <w:br w:type="textWrapping"/>
            </w:r>
            <w:r>
              <w:rPr>
                <w:rFonts w:hint="eastAsia" w:ascii="宋体" w:hAnsi="宋体" w:eastAsia="宋体" w:cs="宋体"/>
                <w:kern w:val="0"/>
                <w:szCs w:val="24"/>
              </w:rPr>
              <w:t>①</w:t>
            </w:r>
            <w:r>
              <w:rPr>
                <w:kern w:val="0"/>
                <w:szCs w:val="24"/>
              </w:rPr>
              <w:t>项目实施存在社会效益和经济效益（如摸清区域资源储量，为区域经济发展提供资源支撑），</w:t>
            </w:r>
            <w:r>
              <w:rPr>
                <w:b/>
                <w:bCs/>
                <w:kern w:val="0"/>
                <w:szCs w:val="24"/>
              </w:rPr>
              <w:t>但项目未设置社会效益指标</w:t>
            </w:r>
            <w:r>
              <w:rPr>
                <w:kern w:val="0"/>
                <w:szCs w:val="24"/>
              </w:rPr>
              <w:t>。</w:t>
            </w:r>
            <w:r>
              <w:rPr>
                <w:kern w:val="0"/>
                <w:szCs w:val="24"/>
              </w:rPr>
              <w:br w:type="textWrapping"/>
            </w:r>
            <w:r>
              <w:rPr>
                <w:rFonts w:hint="eastAsia" w:ascii="宋体" w:hAnsi="宋体" w:eastAsia="宋体" w:cs="宋体"/>
                <w:kern w:val="0"/>
                <w:szCs w:val="24"/>
              </w:rPr>
              <w:t>②</w:t>
            </w:r>
            <w:r>
              <w:rPr>
                <w:b/>
                <w:bCs/>
                <w:kern w:val="0"/>
                <w:szCs w:val="24"/>
              </w:rPr>
              <w:t>绩效指标未能全面反映项目目标。</w:t>
            </w:r>
            <w:r>
              <w:rPr>
                <w:kern w:val="0"/>
                <w:szCs w:val="24"/>
              </w:rPr>
              <w:t>根据《2023年矿产资源勘查项目绩效目标表》，项目绩效目标包括“加快矿产资源绿色高效开发利用、推进我市绿色矿业发展示范区建设、大力推进‘净矿’出让工作、做好矿产资源储备工作、实现矿产资源资产价值化”五个部分，</w:t>
            </w:r>
            <w:r>
              <w:rPr>
                <w:b/>
                <w:bCs/>
                <w:kern w:val="0"/>
                <w:szCs w:val="24"/>
              </w:rPr>
              <w:t>但绩效指标仅包含部分绩效目标的部分内容，</w:t>
            </w:r>
            <w:r>
              <w:rPr>
                <w:kern w:val="0"/>
                <w:szCs w:val="24"/>
              </w:rPr>
              <w:t>缺少“推进我市绿色矿业发展示范区建设、大力推进‘净矿’出让工作”相关的绩效指标。</w:t>
            </w:r>
            <w:r>
              <w:rPr>
                <w:kern w:val="0"/>
                <w:szCs w:val="24"/>
              </w:rPr>
              <w:br w:type="textWrapping"/>
            </w:r>
            <w:r>
              <w:rPr>
                <w:kern w:val="0"/>
                <w:szCs w:val="24"/>
              </w:rPr>
              <w:t>综上，指标得1分。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合理性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1.项目预期产出效益和效果符合正常的业绩水平，与预算确定的项目投资额或资金量相匹配，得2分。</w:t>
            </w:r>
            <w:r>
              <w:rPr>
                <w:kern w:val="0"/>
                <w:szCs w:val="24"/>
              </w:rPr>
              <w:br w:type="textWrapping"/>
            </w:r>
            <w:r>
              <w:rPr>
                <w:kern w:val="0"/>
                <w:szCs w:val="24"/>
              </w:rPr>
              <w:t>2.项目预期产出效益和效果低于正常的业绩水平，与预算确定的项目投资额或资金量不够匹配，得1分；</w:t>
            </w:r>
            <w:r>
              <w:rPr>
                <w:kern w:val="0"/>
                <w:szCs w:val="24"/>
              </w:rPr>
              <w:br w:type="textWrapping"/>
            </w:r>
            <w:r>
              <w:rPr>
                <w:kern w:val="0"/>
                <w:szCs w:val="24"/>
              </w:rPr>
              <w:t>3.项目预期产出效益和效果严重低于正常的业绩水平，远低于预算确定的项目投资额或资金量，得0分。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部分项目目标不够合理，指标整体的合理性存在不足，具体为：</w:t>
            </w:r>
            <w:r>
              <w:rPr>
                <w:kern w:val="0"/>
                <w:szCs w:val="24"/>
              </w:rPr>
              <w:br w:type="textWrapping"/>
            </w:r>
            <w:r>
              <w:rPr>
                <w:rFonts w:hint="eastAsia" w:ascii="宋体" w:hAnsi="宋体" w:eastAsia="宋体" w:cs="宋体"/>
                <w:kern w:val="0"/>
                <w:szCs w:val="24"/>
              </w:rPr>
              <w:t>①</w:t>
            </w:r>
            <w:r>
              <w:rPr>
                <w:b/>
                <w:bCs/>
                <w:kern w:val="0"/>
                <w:szCs w:val="24"/>
              </w:rPr>
              <w:t>部分指标的预期值难以佐证，无法判断是否符合正常业绩水平。</w:t>
            </w:r>
            <w:r>
              <w:rPr>
                <w:kern w:val="0"/>
                <w:szCs w:val="24"/>
              </w:rPr>
              <w:t>如经济效益指标“为当地经济发展提供帮助”的预期值“增长当地经济”，无法判断预期值是否与项目资金量是否匹配；经济效益指标“为矿产资源登记、资源资产化提供重要参考”的预期值“有参考价值”，无法判断预期值是否符合正常的业绩水平。</w:t>
            </w:r>
            <w:r>
              <w:rPr>
                <w:kern w:val="0"/>
                <w:szCs w:val="24"/>
              </w:rPr>
              <w:br w:type="textWrapping"/>
            </w:r>
            <w:r>
              <w:rPr>
                <w:rFonts w:hint="eastAsia" w:ascii="宋体" w:hAnsi="宋体" w:eastAsia="宋体" w:cs="宋体"/>
                <w:kern w:val="0"/>
                <w:szCs w:val="24"/>
              </w:rPr>
              <w:t>②</w:t>
            </w:r>
            <w:r>
              <w:rPr>
                <w:b/>
                <w:bCs/>
                <w:kern w:val="0"/>
                <w:szCs w:val="24"/>
              </w:rPr>
              <w:t>部分指标重复设置。</w:t>
            </w:r>
            <w:r>
              <w:rPr>
                <w:kern w:val="0"/>
                <w:szCs w:val="24"/>
              </w:rPr>
              <w:t>如时效指标“按时完成率”和时效指标“按时完成项目工作”，两个指标的考核内容均为“考核项目是否按时完成”，属于同一考核内容。</w:t>
            </w:r>
            <w:r>
              <w:rPr>
                <w:kern w:val="0"/>
                <w:szCs w:val="24"/>
              </w:rPr>
              <w:br w:type="textWrapping"/>
            </w:r>
            <w:r>
              <w:rPr>
                <w:kern w:val="0"/>
                <w:szCs w:val="24"/>
              </w:rPr>
              <w:t>综上，指标得1分。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可衡量性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1.绩效指标通过清晰、可衡量的指标值予以体现，得2分。</w:t>
            </w:r>
            <w:r>
              <w:rPr>
                <w:kern w:val="0"/>
                <w:szCs w:val="24"/>
              </w:rPr>
              <w:br w:type="textWrapping"/>
            </w:r>
            <w:r>
              <w:rPr>
                <w:kern w:val="0"/>
                <w:szCs w:val="24"/>
              </w:rPr>
              <w:t>2.绩效指标清晰，但难以衡量或相关性不够，得1分。</w:t>
            </w:r>
            <w:r>
              <w:rPr>
                <w:kern w:val="0"/>
                <w:szCs w:val="24"/>
              </w:rPr>
              <w:br w:type="textWrapping"/>
            </w:r>
            <w:r>
              <w:rPr>
                <w:kern w:val="0"/>
                <w:szCs w:val="24"/>
              </w:rPr>
              <w:t>3.绩效指标不清晰、难以衡量，得0分。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部分指标的可衡量性不足，具体为;</w:t>
            </w:r>
            <w:r>
              <w:rPr>
                <w:kern w:val="0"/>
                <w:szCs w:val="24"/>
              </w:rPr>
              <w:br w:type="textWrapping"/>
            </w:r>
            <w:r>
              <w:rPr>
                <w:rFonts w:hint="eastAsia" w:ascii="宋体" w:hAnsi="宋体" w:eastAsia="宋体" w:cs="宋体"/>
                <w:kern w:val="0"/>
                <w:szCs w:val="24"/>
              </w:rPr>
              <w:t>①</w:t>
            </w:r>
            <w:r>
              <w:rPr>
                <w:b/>
                <w:bCs/>
                <w:kern w:val="0"/>
                <w:szCs w:val="24"/>
              </w:rPr>
              <w:t>部分指标的指标值不清晰。</w:t>
            </w:r>
            <w:r>
              <w:rPr>
                <w:kern w:val="0"/>
                <w:szCs w:val="24"/>
              </w:rPr>
              <w:t>如数量指标“机械岩心钻探”的指标值“完成岩心钻探”和质量指标“完成年度收储”的指标值“完成年度收储”，无法判断如何量化衡量指标的完成情况。</w:t>
            </w:r>
            <w:r>
              <w:rPr>
                <w:kern w:val="0"/>
                <w:szCs w:val="24"/>
              </w:rPr>
              <w:br w:type="textWrapping"/>
            </w:r>
            <w:r>
              <w:rPr>
                <w:rFonts w:hint="eastAsia" w:ascii="宋体" w:hAnsi="宋体" w:eastAsia="宋体" w:cs="宋体"/>
                <w:kern w:val="0"/>
                <w:szCs w:val="24"/>
              </w:rPr>
              <w:t>②</w:t>
            </w:r>
            <w:r>
              <w:rPr>
                <w:b/>
                <w:bCs/>
                <w:kern w:val="0"/>
                <w:szCs w:val="24"/>
              </w:rPr>
              <w:t>个别指标的指标名称模糊。</w:t>
            </w:r>
            <w:r>
              <w:rPr>
                <w:kern w:val="0"/>
                <w:szCs w:val="24"/>
              </w:rPr>
              <w:t>如经济效益指标“为当地经济发展提供帮助”和经济效益指标“为矿产资源登记、资源资产化提供重要参考”，从指标名称无法判断指标考核的目标指向。</w:t>
            </w:r>
            <w:r>
              <w:rPr>
                <w:kern w:val="0"/>
                <w:szCs w:val="24"/>
              </w:rPr>
              <w:br w:type="textWrapping"/>
            </w:r>
            <w:r>
              <w:rPr>
                <w:kern w:val="0"/>
                <w:szCs w:val="24"/>
              </w:rPr>
              <w:t>综上，指标得1分。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保障措施</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制度完整性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1</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1、专项资金管理办法：执行省级或本级资金管理办法的，得1分，否则酌情扣分。</w:t>
            </w:r>
            <w:r>
              <w:rPr>
                <w:kern w:val="0"/>
                <w:szCs w:val="24"/>
              </w:rPr>
              <w:br w:type="textWrapping"/>
            </w:r>
            <w:r>
              <w:rPr>
                <w:kern w:val="0"/>
                <w:szCs w:val="24"/>
              </w:rPr>
              <w:t>2、财务管理制度：用款单位专门制定了（项目）财务管理制度或参照执行一般通用财务管理制度的，得0.5分；否则0分。</w:t>
            </w:r>
            <w:r>
              <w:rPr>
                <w:kern w:val="0"/>
                <w:szCs w:val="24"/>
              </w:rPr>
              <w:br w:type="textWrapping"/>
            </w:r>
            <w:r>
              <w:rPr>
                <w:kern w:val="0"/>
                <w:szCs w:val="24"/>
              </w:rPr>
              <w:t>3、其他管理制度（如项目管理制度、操作规程等文件、监督检查制度、绩效评价办法等）0.5分；否则0分。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项目依照《关于规范市级矿产资源勘查项目经费使用管理的通知》《关于进一步加强净矿出让收益资金管理的通知》等文件精神实施，项目经费按规定纳入韶关市自然资源局部门预算，专项用于市级地质勘查找矿，</w:t>
            </w:r>
            <w:r>
              <w:rPr>
                <w:b/>
                <w:bCs/>
                <w:kern w:val="0"/>
                <w:szCs w:val="24"/>
              </w:rPr>
              <w:t>项目资金制度完整，此项得1分。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计划安排合理性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1</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1、有机构有效运行的会议纪要、通知、简报，并能提供制度运行的相关记录材料，得1分；</w:t>
            </w:r>
            <w:r>
              <w:rPr>
                <w:kern w:val="0"/>
                <w:szCs w:val="24"/>
              </w:rPr>
              <w:br w:type="textWrapping"/>
            </w:r>
            <w:r>
              <w:rPr>
                <w:kern w:val="0"/>
                <w:szCs w:val="24"/>
              </w:rPr>
              <w:t>2、有机构有效运行的会议纪要、通知、简报，但提供的相关记录材料不够全面，得0.5分；</w:t>
            </w:r>
            <w:r>
              <w:rPr>
                <w:kern w:val="0"/>
                <w:szCs w:val="24"/>
              </w:rPr>
              <w:br w:type="textWrapping"/>
            </w:r>
            <w:r>
              <w:rPr>
                <w:kern w:val="0"/>
                <w:szCs w:val="24"/>
              </w:rPr>
              <w:t>3、不能提供以上要求的相关材料，0分。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b/>
                <w:bCs/>
                <w:kern w:val="0"/>
                <w:szCs w:val="24"/>
              </w:rPr>
              <w:t>项目计划安排按照</w:t>
            </w:r>
            <w:r>
              <w:rPr>
                <w:kern w:val="0"/>
                <w:szCs w:val="24"/>
              </w:rPr>
              <w:t>《韶关市人民政府办公室关于印发韶关市矿产资源“净矿”出让和绿色高效开发利用实施方案的通知》和《韶关市2023年矿产资源找矿计划》等指导文件设计，具体为：2022年推进三棵松、大旺山、黄龙岗3个试点矿为矿产资源“净矿”出让突破口和试点，2023年推进三棵松、大旺山2个矿区的详查和储量报告评审备案，此项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资金落实</w:t>
            </w:r>
          </w:p>
        </w:tc>
        <w:tc>
          <w:tcPr>
            <w:tcW w:w="8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资金到位</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资金到位率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1.各类来源的资金足额到位的，得3分；</w:t>
            </w:r>
            <w:r>
              <w:rPr>
                <w:kern w:val="0"/>
                <w:szCs w:val="24"/>
              </w:rPr>
              <w:br w:type="textWrapping"/>
            </w:r>
            <w:r>
              <w:rPr>
                <w:kern w:val="0"/>
                <w:szCs w:val="24"/>
              </w:rPr>
              <w:t>2.各类来源的资金未足额到位的，按实际到位金额/应到位金额*3分。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2.36</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2023年项目预算财政资金2000万元，实际到位资金1574.03万元，资金到位率为78.70%，指标得2.36分。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资金到位及时性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1.各类来源的资金及时到位的，得2分；</w:t>
            </w:r>
            <w:r>
              <w:rPr>
                <w:kern w:val="0"/>
                <w:szCs w:val="24"/>
              </w:rPr>
              <w:br w:type="textWrapping"/>
            </w:r>
            <w:r>
              <w:rPr>
                <w:kern w:val="0"/>
                <w:szCs w:val="24"/>
              </w:rPr>
              <w:t>2.各类来源的资金未及时到位的，按实际及时到位的金额/应及时到位的金额*2分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项目资金指标均在2023年下达到位，各矿区到位时间分别为：三棵松矿区2023年9月25日、大旺山矿区2023年9月27日、红尾坑矿区2023年11月14日、黄龙岗矿区2024年1月28日。此项得2分。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资金分配</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资金分配合理性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1、项目预算资金分配依据充分，与项目实施或地方情况相适应，得3分；</w:t>
            </w:r>
            <w:r>
              <w:rPr>
                <w:kern w:val="0"/>
                <w:szCs w:val="24"/>
              </w:rPr>
              <w:br w:type="textWrapping"/>
            </w:r>
            <w:r>
              <w:rPr>
                <w:kern w:val="0"/>
                <w:szCs w:val="24"/>
              </w:rPr>
              <w:t>2、项目预算资金分配依据不够充分，与实际情况存在偏离，得1-2分；</w:t>
            </w:r>
            <w:r>
              <w:rPr>
                <w:kern w:val="0"/>
                <w:szCs w:val="24"/>
              </w:rPr>
              <w:br w:type="textWrapping"/>
            </w:r>
            <w:r>
              <w:rPr>
                <w:kern w:val="0"/>
                <w:szCs w:val="24"/>
              </w:rPr>
              <w:t>3、项目预算资金分配无依据，随意性较大，与实际需求严重偏离，得0分。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4个矿区所需的地勘费用由地勘单位报价确定，主管单位未对地勘单位的报价进行评审，各矿区所需勘查费用的确认方式不科学。此外，4个矿区的地勘单位共申报1574.03万元的地勘费用，主管单位未对申报的资金规模进行复核，采用“地勘单位提议需要多少、主管部门就批复多少”的方式申报资金，资金分配使用随意，不够合理，扣2分。</w:t>
            </w:r>
          </w:p>
        </w:tc>
      </w:tr>
      <w:tr>
        <w:tblPrEx>
          <w:tblCellMar>
            <w:top w:w="0" w:type="dxa"/>
            <w:left w:w="108" w:type="dxa"/>
            <w:bottom w:w="0" w:type="dxa"/>
            <w:right w:w="108" w:type="dxa"/>
          </w:tblCellMar>
        </w:tblPrEx>
        <w:trPr>
          <w:trHeight w:val="340" w:hRule="atLeast"/>
          <w:jc w:val="center"/>
        </w:trPr>
        <w:tc>
          <w:tcPr>
            <w:tcW w:w="98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过程</w:t>
            </w: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资金管理</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资金支付</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资金支出率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6</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支出率=“支付额/预算额度*100%”计算核定得分，评分等于支出率*6分。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3.87</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2023年项目到位资金指标1574.03万元，实际支出资金1016.24万元，资金支出率为64.56%，指标得3.87分。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支出规范性</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支出规范性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6</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1.预算执行规范性2分，按规定履行调整报批手续或未发生调整的，且按事项完成进度支付资金的，得2分；否则，每发现1笔预算执行不规范扣1分，扣完为止。</w:t>
            </w:r>
            <w:r>
              <w:rPr>
                <w:kern w:val="0"/>
                <w:szCs w:val="24"/>
              </w:rPr>
              <w:br w:type="textWrapping"/>
            </w:r>
            <w:r>
              <w:rPr>
                <w:kern w:val="0"/>
                <w:szCs w:val="24"/>
              </w:rPr>
              <w:t>2.事项支出的合规性2分，资金管理、费用标准、支付符合有关制度规定的，得2分，超范围、超标准支出，虚列支出，截留、挤占、挪用资金的，以及其他不符合制度规定支出的，每发现1笔支出不合规扣1分，扣完为止。</w:t>
            </w:r>
            <w:r>
              <w:rPr>
                <w:kern w:val="0"/>
                <w:szCs w:val="24"/>
              </w:rPr>
              <w:br w:type="textWrapping"/>
            </w:r>
            <w:r>
              <w:rPr>
                <w:kern w:val="0"/>
                <w:szCs w:val="24"/>
              </w:rPr>
              <w:t>3.会计核算规范性2分，规范执行会计核算制度，得2分，未按规定设专账核算，或支出凭证不符合规定，或其他核算不规范的，每发现1笔会计核算不规范扣0.5分，扣完为止。</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0.00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现场核查发现，项目资金使用与规范文件不一致，如：</w:t>
            </w:r>
            <w:r>
              <w:rPr>
                <w:b/>
                <w:bCs/>
                <w:kern w:val="0"/>
                <w:szCs w:val="24"/>
              </w:rPr>
              <w:br w:type="textWrapping"/>
            </w:r>
            <w:r>
              <w:rPr>
                <w:b/>
                <w:bCs/>
                <w:kern w:val="0"/>
                <w:szCs w:val="24"/>
              </w:rPr>
              <w:t>一是部分矿区约定的资金拨付方式与《经费管理》指导不一致，</w:t>
            </w:r>
            <w:r>
              <w:rPr>
                <w:kern w:val="0"/>
                <w:szCs w:val="24"/>
              </w:rPr>
              <w:t>具体为：</w:t>
            </w:r>
            <w:r>
              <w:rPr>
                <w:kern w:val="0"/>
                <w:szCs w:val="24"/>
              </w:rPr>
              <w:br w:type="textWrapping"/>
            </w:r>
            <w:r>
              <w:rPr>
                <w:rFonts w:hint="eastAsia" w:ascii="宋体" w:hAnsi="宋体" w:eastAsia="宋体" w:cs="宋体"/>
                <w:kern w:val="0"/>
                <w:szCs w:val="24"/>
              </w:rPr>
              <w:t>①</w:t>
            </w:r>
            <w:r>
              <w:rPr>
                <w:kern w:val="0"/>
                <w:szCs w:val="24"/>
              </w:rPr>
              <w:t>大旺山和黄龙岗的合同约定支付方式是“挂牌出让后30天内一次性支付100%的勘察费用”，此约定资金支付方式相较于《经费管理》，增加企业垫资作业的压力和项目实施不稳定性。</w:t>
            </w:r>
            <w:r>
              <w:rPr>
                <w:kern w:val="0"/>
                <w:szCs w:val="24"/>
              </w:rPr>
              <w:br w:type="textWrapping"/>
            </w:r>
            <w:r>
              <w:rPr>
                <w:rFonts w:hint="eastAsia" w:ascii="宋体" w:hAnsi="宋体" w:eastAsia="宋体" w:cs="宋体"/>
                <w:kern w:val="0"/>
                <w:szCs w:val="24"/>
              </w:rPr>
              <w:t>②</w:t>
            </w:r>
            <w:r>
              <w:rPr>
                <w:kern w:val="0"/>
                <w:szCs w:val="24"/>
              </w:rPr>
              <w:t>三棵松第一阶段的合同约定支付方式是“野外工作量完成超过50%后支付50%的合同款、验收后支付50%的合同款”，此方式相较于《经费管理》，提高对财政资金流动性的要求、增加财政支付压力。</w:t>
            </w:r>
            <w:r>
              <w:rPr>
                <w:kern w:val="0"/>
                <w:szCs w:val="24"/>
              </w:rPr>
              <w:br w:type="textWrapping"/>
            </w:r>
            <w:r>
              <w:rPr>
                <w:b/>
                <w:bCs/>
                <w:kern w:val="0"/>
                <w:szCs w:val="24"/>
              </w:rPr>
              <w:t>二是部分矿区的资金拨付方式与合同约定不一致，存在“超前支付”。具体为：</w:t>
            </w:r>
            <w:r>
              <w:rPr>
                <w:kern w:val="0"/>
                <w:szCs w:val="24"/>
              </w:rPr>
              <w:br w:type="textWrapping"/>
            </w:r>
            <w:r>
              <w:rPr>
                <w:rFonts w:hint="eastAsia" w:ascii="宋体" w:hAnsi="宋体" w:eastAsia="宋体" w:cs="宋体"/>
                <w:kern w:val="0"/>
                <w:szCs w:val="24"/>
              </w:rPr>
              <w:t>①</w:t>
            </w:r>
            <w:r>
              <w:rPr>
                <w:kern w:val="0"/>
                <w:szCs w:val="24"/>
              </w:rPr>
              <w:t>大旺山合同约定“挂牌出让后30天内支付所495.80万元的勘察费用”，但在2024年挂牌出让前（2022年和2023年）已支付247万元的前期勘察费用。</w:t>
            </w:r>
            <w:r>
              <w:rPr>
                <w:kern w:val="0"/>
                <w:szCs w:val="24"/>
              </w:rPr>
              <w:br w:type="textWrapping"/>
            </w:r>
            <w:r>
              <w:rPr>
                <w:rFonts w:hint="eastAsia" w:ascii="宋体" w:hAnsi="宋体" w:eastAsia="宋体" w:cs="宋体"/>
                <w:kern w:val="0"/>
                <w:szCs w:val="24"/>
              </w:rPr>
              <w:t>②</w:t>
            </w:r>
            <w:r>
              <w:rPr>
                <w:kern w:val="0"/>
                <w:szCs w:val="24"/>
              </w:rPr>
              <w:t>三棵松的补充详尽调查合同约定“甲方完成财政审批流程后资金到账5个工作日内支付乙方30%合同款（112.398万元）”，但韶关市自然资源局申请拨付‘补充详查勘查费187.33万元’，实际申请拨付金额超出合同约定74.935万元。</w:t>
            </w:r>
            <w:r>
              <w:rPr>
                <w:kern w:val="0"/>
                <w:szCs w:val="24"/>
              </w:rPr>
              <w:br w:type="textWrapping"/>
            </w:r>
            <w:r>
              <w:rPr>
                <w:b/>
                <w:bCs/>
                <w:kern w:val="0"/>
                <w:szCs w:val="24"/>
              </w:rPr>
              <w:t>三是个别资金支出依据不充分，资金支出审核把控不严谨，具体为：</w:t>
            </w:r>
            <w:r>
              <w:rPr>
                <w:kern w:val="0"/>
                <w:szCs w:val="24"/>
              </w:rPr>
              <w:br w:type="textWrapping"/>
            </w:r>
            <w:r>
              <w:rPr>
                <w:rFonts w:hint="eastAsia" w:ascii="宋体" w:hAnsi="宋体" w:eastAsia="宋体" w:cs="宋体"/>
                <w:kern w:val="0"/>
                <w:szCs w:val="24"/>
              </w:rPr>
              <w:t>①</w:t>
            </w:r>
            <w:r>
              <w:rPr>
                <w:kern w:val="0"/>
                <w:szCs w:val="24"/>
              </w:rPr>
              <w:t>项目单位以《关于红尾坑项目前期工作费用专项审计报告》（以下简称《审计报告》）作为红尾坑的地勘费用支付依据。项目单位未采纳《审计报告》提出的“无法确认真实的11.5万元的前期工作经费”审计意见，仍向财政部门申请支付无法核实的11.5万元。该笔经费支出的依据存在矛盾。</w:t>
            </w:r>
            <w:r>
              <w:rPr>
                <w:kern w:val="0"/>
                <w:szCs w:val="24"/>
              </w:rPr>
              <w:br w:type="textWrapping"/>
            </w:r>
            <w:r>
              <w:rPr>
                <w:kern w:val="0"/>
                <w:szCs w:val="24"/>
              </w:rPr>
              <w:t>综上，项目预算执行存在多处不规范、部分支出不合规、个别支出依据不充分，指标得0分。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事项管理</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实施程序</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程序规范性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1.项目方案按规定程序实施,包括项目或方案调整按规定履行报批手续，得2分；否则，每发现1处实施程序不规范扣1分，扣完为止。</w:t>
            </w:r>
            <w:r>
              <w:rPr>
                <w:kern w:val="0"/>
                <w:szCs w:val="24"/>
              </w:rPr>
              <w:br w:type="textWrapping"/>
            </w:r>
            <w:r>
              <w:rPr>
                <w:kern w:val="0"/>
                <w:szCs w:val="24"/>
              </w:rPr>
              <w:t>2.项目招投标、建设、验收等或方案实施严格执行相关制度规定的，得2分；否则，每发现1处没有按相关制度规定执行扣1分，扣完为止。</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b/>
                <w:bCs/>
                <w:kern w:val="0"/>
                <w:szCs w:val="24"/>
              </w:rPr>
              <w:t>一是部分矿区的实施未按规定执行，具体为：</w:t>
            </w:r>
            <w:r>
              <w:rPr>
                <w:b/>
                <w:bCs/>
                <w:kern w:val="0"/>
                <w:szCs w:val="24"/>
              </w:rPr>
              <w:br w:type="textWrapping"/>
            </w:r>
            <w:r>
              <w:rPr>
                <w:rFonts w:hint="eastAsia" w:ascii="宋体" w:hAnsi="宋体" w:eastAsia="宋体" w:cs="宋体"/>
                <w:kern w:val="0"/>
                <w:szCs w:val="24"/>
              </w:rPr>
              <w:t>①</w:t>
            </w:r>
            <w:r>
              <w:rPr>
                <w:kern w:val="0"/>
                <w:szCs w:val="24"/>
              </w:rPr>
              <w:t>个别矿区的地勘费用收款主体变动未见申请调整。根据地勘合同，大旺山矿区的地勘收款主体为“广东省有色金属地质局九三二队”，但《大旺山采矿权出让合同》约定的地勘收款主体为“曲江区人民政府”，该矿区的地勘费用收款主体发生变动，但未见按规定申请调整的佐证依据。此项扣1分。</w:t>
            </w:r>
            <w:r>
              <w:rPr>
                <w:b/>
                <w:bCs/>
                <w:kern w:val="0"/>
                <w:szCs w:val="24"/>
              </w:rPr>
              <w:br w:type="textWrapping"/>
            </w:r>
            <w:r>
              <w:rPr>
                <w:b/>
                <w:bCs/>
                <w:kern w:val="0"/>
                <w:szCs w:val="24"/>
              </w:rPr>
              <w:t>二是项目招标实施不规范</w:t>
            </w:r>
            <w:r>
              <w:rPr>
                <w:kern w:val="0"/>
                <w:szCs w:val="24"/>
              </w:rPr>
              <w:t>，具体为：</w:t>
            </w:r>
            <w:r>
              <w:rPr>
                <w:kern w:val="0"/>
                <w:szCs w:val="24"/>
              </w:rPr>
              <w:br w:type="textWrapping"/>
            </w:r>
            <w:r>
              <w:rPr>
                <w:rFonts w:hint="eastAsia" w:ascii="宋体" w:hAnsi="宋体" w:eastAsia="宋体" w:cs="宋体"/>
                <w:kern w:val="0"/>
                <w:szCs w:val="24"/>
              </w:rPr>
              <w:t>①</w:t>
            </w:r>
            <w:r>
              <w:rPr>
                <w:kern w:val="0"/>
                <w:szCs w:val="24"/>
              </w:rPr>
              <w:t>部分矿区的招标形式不合规：黄龙岗矿区、大旺山矿区两个矿区采用“询价”和区政府党组会决策的方式采购地勘单位，违反了《政府采购法实施条例》和《广东省政府集中采购目录及标准（2020年版）》等政府采购规范的要求。此项扣1分。</w:t>
            </w:r>
            <w:r>
              <w:rPr>
                <w:kern w:val="0"/>
                <w:szCs w:val="24"/>
              </w:rPr>
              <w:br w:type="textWrapping"/>
            </w:r>
            <w:r>
              <w:rPr>
                <w:rFonts w:hint="eastAsia" w:ascii="宋体" w:hAnsi="宋体" w:eastAsia="宋体" w:cs="宋体"/>
                <w:kern w:val="0"/>
                <w:szCs w:val="24"/>
              </w:rPr>
              <w:t>②</w:t>
            </w:r>
            <w:r>
              <w:rPr>
                <w:kern w:val="0"/>
                <w:szCs w:val="24"/>
              </w:rPr>
              <w:t>三棵松矿区补充详查的招投代理工作审核不到位：投标单位“广东省核工业地质调查院”的投标代理机构在投标当日已不具备投标代理资质，但三棵松矿区补充详查的招标代理机构（广东诚合项目管理咨询有限公司）未对投标文件进行审核和拒收，并继续开展相关的评标工作。此项扣1分。</w:t>
            </w:r>
            <w:r>
              <w:rPr>
                <w:kern w:val="0"/>
                <w:szCs w:val="24"/>
              </w:rPr>
              <w:br w:type="textWrapping"/>
            </w:r>
            <w:r>
              <w:rPr>
                <w:kern w:val="0"/>
                <w:szCs w:val="24"/>
              </w:rPr>
              <w:t>综上，指标得1分。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管理情况</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监管有效性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1.机制方面：资金使用单位或基层资金管理单位建立有效管理机制，且执行情况良好，得2分；否则，每发现1处管理机制不健全扣1分，扣完为止。</w:t>
            </w:r>
            <w:r>
              <w:rPr>
                <w:kern w:val="0"/>
                <w:szCs w:val="24"/>
              </w:rPr>
              <w:br w:type="textWrapping"/>
            </w:r>
            <w:r>
              <w:rPr>
                <w:kern w:val="0"/>
                <w:szCs w:val="24"/>
              </w:rPr>
              <w:t>2.监管落实方面：主管部门按规定对项目建设或实施开展有效的检查、监控、督促整改的，得2分；否则，每发现1处监管落实不到位扣1分，扣完为止。</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b/>
                <w:bCs/>
                <w:kern w:val="0"/>
                <w:szCs w:val="24"/>
              </w:rPr>
              <w:t>项目实施根据《关于进一步加强净矿出让收益资金管理的通知》《关于规范市级矿产资源勘查项目经费使用管理的通知》等机制，但核查发现，部分工作未按照指导文件开展，具体为：</w:t>
            </w:r>
            <w:r>
              <w:rPr>
                <w:kern w:val="0"/>
                <w:szCs w:val="24"/>
              </w:rPr>
              <w:br w:type="textWrapping"/>
            </w:r>
            <w:r>
              <w:rPr>
                <w:rFonts w:hint="eastAsia" w:ascii="宋体" w:hAnsi="宋体" w:eastAsia="宋体" w:cs="宋体"/>
                <w:kern w:val="0"/>
                <w:szCs w:val="24"/>
              </w:rPr>
              <w:t>①</w:t>
            </w:r>
            <w:r>
              <w:rPr>
                <w:kern w:val="0"/>
                <w:szCs w:val="24"/>
              </w:rPr>
              <w:t>区局未采纳落实市局发布的个别矿区工作指导文件，增加项目实施成本。市局对“三棵松矿区详查工作”提出“2022年已完成招标和勘查工作部分预算标准八折进行最终结算、移除‘青苗补偿费20万’和‘机台搬迁及机台平整32.57万’两项费用”的工作指示。若按照市局工作指导，三棵松矿区2022年的地勘工作将节省67.81万元的财政资金。但区局未采取市局的工作指导，也未对不采纳市局工作指导进行回复，仍按照原合同金额结算。此项扣1分。</w:t>
            </w:r>
            <w:r>
              <w:rPr>
                <w:kern w:val="0"/>
                <w:szCs w:val="24"/>
              </w:rPr>
              <w:br w:type="textWrapping"/>
            </w:r>
            <w:r>
              <w:rPr>
                <w:rFonts w:hint="eastAsia" w:ascii="宋体" w:hAnsi="宋体" w:eastAsia="宋体" w:cs="宋体"/>
                <w:kern w:val="0"/>
                <w:szCs w:val="24"/>
              </w:rPr>
              <w:t>②</w:t>
            </w:r>
            <w:r>
              <w:rPr>
                <w:kern w:val="0"/>
                <w:szCs w:val="24"/>
              </w:rPr>
              <w:t>三棵松矿区详查阶段采购流程倒置：补充详尽调查的合同签订时间为2023年5月17日，合同约定野外工作的开始时间为2023年5月10日，即项目合同签订前已经开始野外资源勘查工作。此项扣1分。</w:t>
            </w:r>
            <w:r>
              <w:rPr>
                <w:kern w:val="0"/>
                <w:szCs w:val="24"/>
              </w:rPr>
              <w:br w:type="textWrapping"/>
            </w:r>
            <w:r>
              <w:rPr>
                <w:kern w:val="0"/>
                <w:szCs w:val="24"/>
              </w:rPr>
              <w:t>综上，指标得2分。</w:t>
            </w:r>
          </w:p>
        </w:tc>
      </w:tr>
      <w:tr>
        <w:tblPrEx>
          <w:tblCellMar>
            <w:top w:w="0" w:type="dxa"/>
            <w:left w:w="108" w:type="dxa"/>
            <w:bottom w:w="0" w:type="dxa"/>
            <w:right w:w="108" w:type="dxa"/>
          </w:tblCellMar>
        </w:tblPrEx>
        <w:trPr>
          <w:trHeight w:val="340" w:hRule="atLeast"/>
          <w:jc w:val="center"/>
        </w:trPr>
        <w:tc>
          <w:tcPr>
            <w:tcW w:w="98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产出</w:t>
            </w: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经济性</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预算控制</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预算控制</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5</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1.本指标综合得分=（1-预算调剂发生率）×分值×60%+（1-年中追加资金占比率）×分值×40%。</w:t>
            </w:r>
            <w:r>
              <w:rPr>
                <w:kern w:val="0"/>
                <w:szCs w:val="24"/>
              </w:rPr>
              <w:br w:type="textWrapping"/>
            </w:r>
            <w:r>
              <w:rPr>
                <w:kern w:val="0"/>
                <w:szCs w:val="24"/>
              </w:rPr>
              <w:t>2.预算调剂发生率，考核预算执行过程中,非因中央和省、市政策调整或发生自然灾害等不可抗力因素,部门要求调剂预算资金情况,包括预算科目、级次、项目调剂。</w:t>
            </w:r>
            <w:r>
              <w:rPr>
                <w:kern w:val="0"/>
                <w:szCs w:val="24"/>
              </w:rPr>
              <w:br w:type="textWrapping"/>
            </w:r>
            <w:r>
              <w:rPr>
                <w:kern w:val="0"/>
                <w:szCs w:val="24"/>
              </w:rPr>
              <w:t>3.年中追加资金占比率，考核非因新出台的统一政策（如年中增人增编经费、中央追加资金、非本部门主管的专项资金），当年度年中追加资金占比情况。</w:t>
            </w:r>
            <w:r>
              <w:rPr>
                <w:kern w:val="0"/>
                <w:szCs w:val="24"/>
              </w:rPr>
              <w:br w:type="textWrapping"/>
            </w:r>
            <w:r>
              <w:rPr>
                <w:kern w:val="0"/>
                <w:szCs w:val="24"/>
              </w:rPr>
              <w:t>4.各基础数据与机关绩效考核口径一致。</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5.00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项目以资金池的形式支持各矿区资源勘查开展，缩短了矿区申请预算开展工作的时间，提高了各矿区开展工作的便捷性。全年未见预算调整，按评分标准，此项得5分。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效率性</w:t>
            </w:r>
          </w:p>
        </w:tc>
        <w:tc>
          <w:tcPr>
            <w:tcW w:w="894"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完成数量</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机械岩心钻探（m）</w:t>
            </w:r>
          </w:p>
        </w:tc>
        <w:tc>
          <w:tcPr>
            <w:tcW w:w="78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完成机械岩心钻探14320m及以上，得满分；完成值在60%以上的，按完成比例得分，即实际完成米数/14320m*分值；完成值在60%以下的，不得分。</w:t>
            </w:r>
            <w:r>
              <w:rPr>
                <w:kern w:val="0"/>
                <w:szCs w:val="24"/>
              </w:rPr>
              <w:br w:type="textWrapping"/>
            </w:r>
            <w:r>
              <w:rPr>
                <w:kern w:val="0"/>
                <w:szCs w:val="24"/>
              </w:rPr>
              <w:t>(如因客观因素调整而未完成的子项目原计划工作量，不做扣分处理)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结合《净矿方案》工作布置，大旺山、黄龙岗和红尾坑三个矿区计划开展机械岩心钻探14320m（其中：大旺山4500m、三棵松6970m、黄龙岗2850m），实际完成机械岩心钻探12361.71m(其中：大旺山4621.51m、三棵松6984.58m、黄龙岗755.62m），综合考虑黄龙岗矿区因客观情况停止机械岩心钻探计划、大旺山矿区和三棵松矿区均完成机械岩心钻探计划工作量，指标不扣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开展勘查找矿（宗）</w:t>
            </w:r>
          </w:p>
        </w:tc>
        <w:tc>
          <w:tcPr>
            <w:tcW w:w="785"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开展勘查找矿4宗及以上，得满分；开展勘查找矿3宗，得2分；开展勘查找矿2宗，得1分；开展勘查找矿＜2宗，不得分。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3.00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根据《净矿方案》和市政府工作会议精神，项目资金共支持大旺山、三棵松、黄龙岗和红尾坑4个矿区开展勘查找矿。按评分标准，指标得3分。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新增采矿许可证（个）</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新增采矿许可证3个及以上，得满分；新增采矿许可证2个，得2分；新增采矿许可证1个，得1分；新增采矿许可证0个，不得分。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1.50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红尾坑矿区、三棵松矿区和大旺山矿区分别与2023年6月27日、2024年2月22日、2024年3月20日签订采矿区权出让合同，根据采矿区出让合同约定“矿权竞得企业应在签订合同6个月申请内采矿许可证”，三个矿区的竞得企业应于2023年12月24日、2024年8月20日、2024年9月16日向设区自然资源局申请采矿许可证。</w:t>
            </w:r>
            <w:r>
              <w:rPr>
                <w:kern w:val="0"/>
                <w:szCs w:val="24"/>
              </w:rPr>
              <w:br w:type="textWrapping"/>
            </w:r>
            <w:r>
              <w:rPr>
                <w:kern w:val="0"/>
                <w:szCs w:val="24"/>
              </w:rPr>
              <w:t>截至2024年7月31日，红尾坑矿区已在约定时间内获得采矿许可证、三棵松矿区和大旺山矿区尚未申请采矿许可证。综合考虑采矿许可证申报所需材料较多、未见申报材料、竞得企业按时履约能力影响出让收益等客观因素，指标酌情扣减1.5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新增采矿权出让（宗）</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新增采矿权出让3宗及以上，得满分；新增采矿权出让2宗，得2分；新增采矿权出让1宗，得1分；新增采矿权出让0宗，不得分。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3.00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红尾坑矿区、三棵松矿区和大旺山矿区分别与2023年6月27日、2024年2月22日、2024年3月20日完成采矿权出让。按评分标准，指标得3分。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新增矿床（个）</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新增矿床3个及以上，得满分；新增矿床2个，得2分；新增矿床1个，得1分；新增矿床0个，不得分。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3.00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红尾坑矿区、三棵松矿区和大旺山矿区，矿产资源量通过省内验收评审、并能挂牌出让开采，符合“矿床”的基本条件。按评分标准，指标得满分。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jc w:val="center"/>
              <w:rPr>
                <w:kern w:val="0"/>
                <w:szCs w:val="24"/>
              </w:rPr>
            </w:pPr>
            <w:r>
              <w:rPr>
                <w:kern w:val="0"/>
                <w:szCs w:val="24"/>
              </w:rPr>
              <w:t>完成质量</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“1:2000水文地质、工程地质、环境地质调查”任务完成率（%）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指标计算公式=实际“1:2000水文地质、工程地质、环境地质调查”调查数/5.7平方千米*100%。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1.50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结合《净矿方案》工作布置，大旺山、黄龙岗和红尾坑三个矿区计划开展“1:2000水文地质、工程地质、环境地质调查”5.7km（其中：大旺山2.0km、三棵松2.7km、黄龙岗1.0km），实际开展“1:2000水文地质、工程地质、环境地质调查”5.83km（其中：大旺山1.5km、三棵松3.33km、黄龙岗1.0km）。</w:t>
            </w:r>
            <w:r>
              <w:rPr>
                <w:kern w:val="0"/>
                <w:szCs w:val="24"/>
              </w:rPr>
              <w:br w:type="textWrapping"/>
            </w:r>
            <w:r>
              <w:rPr>
                <w:kern w:val="0"/>
                <w:szCs w:val="24"/>
              </w:rPr>
              <w:t>从总量看，指标计划完成率为102.28%；从子项看，大旺山计划完成率为75%、三棵松计划完成率为123.33%、黄龙岗计划完成率为100%。综合考虑大旺山未完成预期计划但仍支出原计划工作量的资金量，指标酌情扣减0.5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“1:2000地质测量”任务完成率（%）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指标计算公式=“1:2000地质测量”/7.2平方千米*100%。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1.50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结合《净矿方案》工作布置，大旺山、黄龙岗和红尾坑三个矿区计划开展“1:2000地质测量调查”7.2平方千米（其中：大旺山2.0平方千米，三棵松3.2平方千米，黄龙岗2.0平方千米），实际开展“1:2000地质测量调查”5.83平方千米（大旺山1.5平方千米，三棵松3.33平方千米，黄龙岗1.0平方千米）。</w:t>
            </w:r>
            <w:r>
              <w:rPr>
                <w:kern w:val="0"/>
                <w:szCs w:val="24"/>
              </w:rPr>
              <w:br w:type="textWrapping"/>
            </w:r>
            <w:r>
              <w:rPr>
                <w:kern w:val="0"/>
                <w:szCs w:val="24"/>
              </w:rPr>
              <w:t>从总量看，指标计划完成率为80.97%；从子项看，大旺山计划完成率为75%、三棵松计划完成率为104.06%、黄龙岗计划完成率为50%。综合考虑大旺山未完成预期计划但仍支出原计划工作量的资金量，指标酌情扣减0.5分（黄龙岗因客观情况暂停野外工作无法完成工作计划，不做扣分处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项目野外检查验收通</w:t>
            </w:r>
            <w:r>
              <w:rPr>
                <w:kern w:val="0"/>
                <w:szCs w:val="24"/>
              </w:rPr>
              <w:br w:type="textWrapping"/>
            </w:r>
            <w:r>
              <w:rPr>
                <w:kern w:val="0"/>
                <w:szCs w:val="24"/>
              </w:rPr>
              <w:t>过率（%）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指标计算公式=实际通过野外检查验收项目数/总项目数*100%。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根据各矿区的验收报告，大旺山、三棵松、黄龙岗和红尾坑4个矿区均通过野外勘探工作验收。按评分标准，指标得满分。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项目成果报告验收通</w:t>
            </w:r>
            <w:r>
              <w:rPr>
                <w:kern w:val="0"/>
                <w:szCs w:val="24"/>
              </w:rPr>
              <w:br w:type="textWrapping"/>
            </w:r>
            <w:r>
              <w:rPr>
                <w:kern w:val="0"/>
                <w:szCs w:val="24"/>
              </w:rPr>
              <w:t>过率（%）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指标计算公式=实际通过验收的项目成果报告数/总提交储量评审成果报告数*100%。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根据各矿区的储量评审报告，大旺山、三棵松、红尾坑3个矿区提交储量评审报告，并分别于2023年2月13日、2023年9月20日、2021年12月3日通过储量评审。按评分标准，指标得满分。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年度勘察计划完成率（%）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指标计算公式=实际完成勘察计划的矿区/计划勘察的总矿区数*100%。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2.25</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项目计划开展大旺山、三棵松、黄龙岗和红尾坑4个矿区的矿产资源勘查，实际完成大旺山、三棵松、红尾坑3个矿区的计划勘察量，指标完成率为75%，按评分标准，指标得2.25分。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地质勘查资料的有效性</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3</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指标计算公式=（探测前资源矿区的估算量-勘查后矿区的资源估算量）/勘查后矿区的资源估算量*100%。</w:t>
            </w:r>
            <w:r>
              <w:rPr>
                <w:kern w:val="0"/>
                <w:szCs w:val="24"/>
              </w:rPr>
              <w:br w:type="textWrapping"/>
            </w:r>
            <w:r>
              <w:rPr>
                <w:kern w:val="0"/>
                <w:szCs w:val="24"/>
              </w:rPr>
              <w:t>指标值≤50%属于合理，得满分；指标值＞50%属于不合理，不得分。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0.50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经计算，除了三棵松矿区，其余3个矿区勘查前的采矿权建议书提出的矿产资源量与勘察后的评审资源量相差较大，地勘前的材料有效性不足，指标酌情得0.5分，具体为：</w:t>
            </w:r>
            <w:r>
              <w:rPr>
                <w:kern w:val="0"/>
                <w:szCs w:val="24"/>
              </w:rPr>
              <w:br w:type="textWrapping"/>
            </w:r>
            <w:r>
              <w:rPr>
                <w:rFonts w:hint="eastAsia" w:ascii="宋体" w:hAnsi="宋体" w:eastAsia="宋体" w:cs="宋体"/>
                <w:kern w:val="0"/>
                <w:szCs w:val="24"/>
              </w:rPr>
              <w:t>①</w:t>
            </w:r>
            <w:r>
              <w:rPr>
                <w:kern w:val="0"/>
                <w:szCs w:val="24"/>
              </w:rPr>
              <w:t>黄龙岗：探测前估算玻璃用硅质岩资源量5000万吨，勘查后估算提交玻璃用硅质岩资源量储量约96.8万吨，该矿区的探测前资料有效性为-9.81%。</w:t>
            </w:r>
            <w:r>
              <w:rPr>
                <w:kern w:val="0"/>
                <w:szCs w:val="24"/>
              </w:rPr>
              <w:br w:type="textWrapping"/>
            </w:r>
            <w:r>
              <w:rPr>
                <w:rFonts w:hint="eastAsia" w:ascii="宋体" w:hAnsi="宋体" w:eastAsia="宋体" w:cs="宋体"/>
                <w:kern w:val="0"/>
                <w:szCs w:val="24"/>
              </w:rPr>
              <w:t>②</w:t>
            </w:r>
            <w:r>
              <w:rPr>
                <w:kern w:val="0"/>
                <w:szCs w:val="24"/>
              </w:rPr>
              <w:t>三棵松探测前多次估算调整后储量1.46亿立方米，勘查16444.7万立方米，该矿区的探测前资料有效性为12.63%。</w:t>
            </w:r>
            <w:r>
              <w:rPr>
                <w:kern w:val="0"/>
                <w:szCs w:val="24"/>
              </w:rPr>
              <w:br w:type="textWrapping"/>
            </w:r>
            <w:r>
              <w:rPr>
                <w:rFonts w:hint="eastAsia" w:ascii="宋体" w:hAnsi="宋体" w:eastAsia="宋体" w:cs="宋体"/>
                <w:kern w:val="0"/>
                <w:szCs w:val="24"/>
              </w:rPr>
              <w:t>③</w:t>
            </w:r>
            <w:r>
              <w:rPr>
                <w:kern w:val="0"/>
                <w:szCs w:val="24"/>
              </w:rPr>
              <w:t>大旺山：探测前估算保有推断建筑用石灰岩矿资源量28255万吨；勘查后拟设矿区查明水泥用灰岩矿控制资源量矿石量79026.96千吨，该矿区的探测前资料有效性为-72.03%。</w:t>
            </w:r>
            <w:r>
              <w:rPr>
                <w:kern w:val="0"/>
                <w:szCs w:val="24"/>
              </w:rPr>
              <w:br w:type="textWrapping"/>
            </w:r>
            <w:r>
              <w:rPr>
                <w:rFonts w:hint="eastAsia" w:ascii="宋体" w:hAnsi="宋体" w:eastAsia="宋体" w:cs="宋体"/>
                <w:kern w:val="0"/>
                <w:szCs w:val="24"/>
              </w:rPr>
              <w:t>④</w:t>
            </w:r>
            <w:r>
              <w:rPr>
                <w:kern w:val="0"/>
                <w:szCs w:val="24"/>
              </w:rPr>
              <w:t>红尾坑：探测前估算资源储量保有推断的熔剂用石灰岩矿矿石量42200.0kt;；勘查后拟设矿区查明保有熔制用石灰岩矿控制资源量矿石量26455.74kt，该矿区的探测前资料有效性为-37.31%。</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完成进度</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按时完成率（%）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2</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指标计算公式=（按时完成阶段任务数/计划阶段总数）*100%。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0.67</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根据《净矿方案》《韶关市2023年找矿计划》等工作指导文件和各矿区地勘工作合同、验收报告等材料复核，除黄龙岗因客观原因暂停推进，三棵松和大旺山两个矿区未能按工作计划按时完成，具体为：</w:t>
            </w:r>
            <w:r>
              <w:rPr>
                <w:rFonts w:hint="eastAsia" w:ascii="宋体" w:hAnsi="宋体" w:eastAsia="宋体" w:cs="宋体"/>
                <w:kern w:val="0"/>
                <w:szCs w:val="24"/>
              </w:rPr>
              <w:t>①</w:t>
            </w:r>
            <w:r>
              <w:rPr>
                <w:kern w:val="0"/>
                <w:szCs w:val="24"/>
              </w:rPr>
              <w:t>三棵松矿区的工作计划为“2023年7月完成详查和储量报告评审备案”，但实际工作进度为“2023年10月完成储量评审，2023年12月完成前期准备工作”，实际工作进度晚于计划进度约3个月。</w:t>
            </w:r>
            <w:r>
              <w:rPr>
                <w:rFonts w:hint="eastAsia" w:ascii="宋体" w:hAnsi="宋体" w:eastAsia="宋体" w:cs="宋体"/>
                <w:kern w:val="0"/>
                <w:szCs w:val="24"/>
              </w:rPr>
              <w:t>②</w:t>
            </w:r>
            <w:r>
              <w:rPr>
                <w:kern w:val="0"/>
                <w:szCs w:val="24"/>
              </w:rPr>
              <w:t>大旺山矿区的工作计划为“2023年6月底挂牌出让”，但实际工作进度为“2024年3月完成挂牌出让”，实际工作进度晚于计划进度约9个月。综上，按评分标准，指标得0.67分。</w:t>
            </w:r>
          </w:p>
        </w:tc>
      </w:tr>
      <w:tr>
        <w:tblPrEx>
          <w:tblCellMar>
            <w:top w:w="0" w:type="dxa"/>
            <w:left w:w="108" w:type="dxa"/>
            <w:bottom w:w="0" w:type="dxa"/>
            <w:right w:w="108" w:type="dxa"/>
          </w:tblCellMar>
        </w:tblPrEx>
        <w:trPr>
          <w:trHeight w:val="340" w:hRule="atLeast"/>
          <w:jc w:val="center"/>
        </w:trPr>
        <w:tc>
          <w:tcPr>
            <w:tcW w:w="989"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效益</w:t>
            </w:r>
          </w:p>
        </w:tc>
        <w:tc>
          <w:tcPr>
            <w:tcW w:w="992"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jc w:val="center"/>
              <w:rPr>
                <w:kern w:val="0"/>
                <w:szCs w:val="24"/>
              </w:rPr>
            </w:pPr>
            <w:r>
              <w:rPr>
                <w:kern w:val="0"/>
                <w:szCs w:val="24"/>
              </w:rPr>
              <w:t>效果性</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社会效益</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增加就业人次</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完成增加就业60人次以上，得满分；完成值在60%以上的，按完成比例得分，即实际增加就业人次/60人次*分值；完成值在60%以下的，不得分。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四个矿区地勘期间通过劳务分包的方式，</w:t>
            </w:r>
            <w:r>
              <w:rPr>
                <w:b/>
                <w:bCs/>
                <w:kern w:val="0"/>
                <w:szCs w:val="24"/>
              </w:rPr>
              <w:t>聘请超过161人</w:t>
            </w:r>
            <w:r>
              <w:rPr>
                <w:kern w:val="0"/>
                <w:szCs w:val="24"/>
              </w:rPr>
              <w:t>完成采样、搬运等勘探工作，按评分标准，指标得4分。各矿区带动就业情况为：</w:t>
            </w:r>
            <w:r>
              <w:rPr>
                <w:rFonts w:hint="eastAsia" w:ascii="宋体" w:hAnsi="宋体" w:eastAsia="宋体" w:cs="宋体"/>
                <w:kern w:val="0"/>
                <w:szCs w:val="24"/>
              </w:rPr>
              <w:t>①</w:t>
            </w:r>
            <w:r>
              <w:rPr>
                <w:kern w:val="0"/>
                <w:szCs w:val="24"/>
              </w:rPr>
              <w:t>三棵松第一阶段勘探带动就业20人次；</w:t>
            </w:r>
            <w:r>
              <w:rPr>
                <w:rFonts w:hint="eastAsia" w:ascii="宋体" w:hAnsi="宋体" w:eastAsia="宋体" w:cs="宋体"/>
                <w:kern w:val="0"/>
                <w:szCs w:val="24"/>
              </w:rPr>
              <w:t>②</w:t>
            </w:r>
            <w:r>
              <w:rPr>
                <w:kern w:val="0"/>
                <w:szCs w:val="24"/>
              </w:rPr>
              <w:t>三棵松补充详尽调查带动就业22人次；</w:t>
            </w:r>
            <w:r>
              <w:rPr>
                <w:rFonts w:hint="eastAsia" w:ascii="宋体" w:hAnsi="宋体" w:eastAsia="宋体" w:cs="宋体"/>
                <w:kern w:val="0"/>
                <w:szCs w:val="24"/>
              </w:rPr>
              <w:t>③</w:t>
            </w:r>
            <w:r>
              <w:rPr>
                <w:kern w:val="0"/>
                <w:szCs w:val="24"/>
              </w:rPr>
              <w:t>红尾坑带动就业19人次;</w:t>
            </w:r>
            <w:r>
              <w:rPr>
                <w:rFonts w:hint="eastAsia" w:ascii="宋体" w:hAnsi="宋体" w:eastAsia="宋体" w:cs="宋体"/>
                <w:kern w:val="0"/>
                <w:szCs w:val="24"/>
              </w:rPr>
              <w:t>④</w:t>
            </w:r>
            <w:r>
              <w:rPr>
                <w:kern w:val="0"/>
                <w:szCs w:val="24"/>
              </w:rPr>
              <w:t>大旺山和黄龙岗带动就业超过100人次。按评分标准，指标得满分。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894" w:type="dxa"/>
            <w:tcBorders>
              <w:top w:val="nil"/>
              <w:left w:val="nil"/>
              <w:bottom w:val="nil"/>
              <w:right w:val="single" w:color="auto" w:sz="4" w:space="0"/>
            </w:tcBorders>
            <w:shd w:val="clear" w:color="auto" w:fill="auto"/>
            <w:vAlign w:val="center"/>
          </w:tcPr>
          <w:p>
            <w:pPr>
              <w:widowControl/>
              <w:spacing w:line="240" w:lineRule="auto"/>
              <w:jc w:val="center"/>
              <w:rPr>
                <w:kern w:val="0"/>
                <w:szCs w:val="24"/>
              </w:rPr>
            </w:pPr>
            <w:r>
              <w:rPr>
                <w:kern w:val="0"/>
                <w:szCs w:val="24"/>
              </w:rPr>
              <w:t>经济效益</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“净矿”出让收入（亿元）</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实现“净矿”出让收入20亿以上，得满分；完成值在60%以上的，按完成比例得分，即实际“净矿”出让收入/20亿*分值；完成值在60%以下的，不得分。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根据出让合同约定，大旺山、三棵松、红尾坑3个矿区</w:t>
            </w:r>
            <w:r>
              <w:rPr>
                <w:b/>
                <w:bCs/>
                <w:kern w:val="0"/>
                <w:szCs w:val="24"/>
              </w:rPr>
              <w:t>的采矿权出让收益为22.7324亿元，其中：</w:t>
            </w:r>
            <w:r>
              <w:rPr>
                <w:rFonts w:hint="eastAsia" w:ascii="宋体" w:hAnsi="宋体" w:eastAsia="宋体" w:cs="宋体"/>
                <w:b/>
                <w:bCs/>
                <w:kern w:val="0"/>
                <w:szCs w:val="24"/>
              </w:rPr>
              <w:t>①</w:t>
            </w:r>
            <w:r>
              <w:rPr>
                <w:b/>
                <w:bCs/>
                <w:kern w:val="0"/>
                <w:szCs w:val="24"/>
              </w:rPr>
              <w:t>三棵松矿区的采矿权出让收益为102448万元、</w:t>
            </w:r>
            <w:r>
              <w:rPr>
                <w:rFonts w:hint="eastAsia" w:ascii="宋体" w:hAnsi="宋体" w:eastAsia="宋体" w:cs="宋体"/>
                <w:b/>
                <w:bCs/>
                <w:kern w:val="0"/>
                <w:szCs w:val="24"/>
              </w:rPr>
              <w:t>②</w:t>
            </w:r>
            <w:r>
              <w:rPr>
                <w:b/>
                <w:bCs/>
                <w:kern w:val="0"/>
                <w:szCs w:val="24"/>
              </w:rPr>
              <w:t>大旺山矿区的采矿权出让收益为71265万元、</w:t>
            </w:r>
            <w:r>
              <w:rPr>
                <w:rFonts w:hint="eastAsia" w:ascii="宋体" w:hAnsi="宋体" w:eastAsia="宋体" w:cs="宋体"/>
                <w:b/>
                <w:bCs/>
                <w:kern w:val="0"/>
                <w:szCs w:val="24"/>
              </w:rPr>
              <w:t>③</w:t>
            </w:r>
            <w:r>
              <w:rPr>
                <w:b/>
                <w:bCs/>
                <w:kern w:val="0"/>
                <w:szCs w:val="24"/>
              </w:rPr>
              <w:t>红尾坑矿区的采矿权出让收益为53611万元。</w:t>
            </w:r>
            <w:r>
              <w:rPr>
                <w:kern w:val="0"/>
                <w:szCs w:val="24"/>
              </w:rPr>
              <w:t>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894"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生态效益</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实施绿色勘查达标率（%）</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指标计算公式=（实际实施绿色勘查矿区数/探勘的矿区数）*100%。</w:t>
            </w:r>
            <w:r>
              <w:rPr>
                <w:kern w:val="0"/>
                <w:szCs w:val="24"/>
              </w:rPr>
              <w:br w:type="textWrapping"/>
            </w:r>
            <w:r>
              <w:rPr>
                <w:kern w:val="0"/>
                <w:szCs w:val="24"/>
              </w:rPr>
              <w:t>完成率为100%，得满分；完成值在60%以上的，按完成比例得分；完成值在60%以下的，不得分。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根据地勘方案等材料，大旺山、三棵松、红尾坑和黄龙岗4个矿区的地勘工作主要为机械岩心钻探取样，该方法对土质破坏面积小，属于绿色勘察方法。按评分标准，指标得满分。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894"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240" w:lineRule="auto"/>
              <w:jc w:val="center"/>
              <w:rPr>
                <w:kern w:val="0"/>
                <w:szCs w:val="24"/>
              </w:rPr>
            </w:pPr>
            <w:r>
              <w:rPr>
                <w:kern w:val="0"/>
                <w:szCs w:val="24"/>
              </w:rPr>
              <w:t>可持续发展</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项目持续发挥作用的期限</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指标得分按矿区数量分配权重计算得分，单个矿区权重=指标总分值/矿区数，最终得分=∑单个矿区得分。</w:t>
            </w:r>
            <w:r>
              <w:rPr>
                <w:kern w:val="0"/>
                <w:szCs w:val="24"/>
              </w:rPr>
              <w:br w:type="textWrapping"/>
            </w:r>
            <w:r>
              <w:rPr>
                <w:kern w:val="0"/>
                <w:szCs w:val="24"/>
              </w:rPr>
              <w:t>单个矿区按20年的可持续发挥作用时长标准计分，即单个矿区开采时间大于等于20年，单个矿区分值满分；单个矿区开采时间不足20年，单个矿区分值=实际开采年限/20*单个矿区权重。</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根据出让合同约定，</w:t>
            </w:r>
            <w:r>
              <w:rPr>
                <w:b/>
                <w:bCs/>
                <w:kern w:val="0"/>
                <w:szCs w:val="24"/>
              </w:rPr>
              <w:t>大旺山、三棵松、红尾坑3个矿区的采矿权出让时间均超过20年，且出让前20年每年均有出让收入，</w:t>
            </w:r>
            <w:r>
              <w:rPr>
                <w:kern w:val="0"/>
                <w:szCs w:val="24"/>
              </w:rPr>
              <w:t>项目对社会发展的影响超过20年，按评分标准，指标得4分。各矿区发挥影响时间为：</w:t>
            </w:r>
            <w:r>
              <w:rPr>
                <w:rFonts w:hint="eastAsia" w:ascii="宋体" w:hAnsi="宋体" w:eastAsia="宋体" w:cs="宋体"/>
                <w:kern w:val="0"/>
                <w:szCs w:val="24"/>
              </w:rPr>
              <w:t>①</w:t>
            </w:r>
            <w:r>
              <w:rPr>
                <w:kern w:val="0"/>
                <w:szCs w:val="24"/>
              </w:rPr>
              <w:t>三棵松矿区的采矿权出让时间为27.8年、矿权竞得企业分24年支付费用；</w:t>
            </w:r>
            <w:r>
              <w:rPr>
                <w:rFonts w:hint="eastAsia" w:ascii="宋体" w:hAnsi="宋体" w:eastAsia="宋体" w:cs="宋体"/>
                <w:kern w:val="0"/>
                <w:szCs w:val="24"/>
              </w:rPr>
              <w:t>②</w:t>
            </w:r>
            <w:r>
              <w:rPr>
                <w:kern w:val="0"/>
                <w:szCs w:val="24"/>
              </w:rPr>
              <w:t>大旺山矿区的采矿权出让时间为27年、矿权竞得企业分26年支付费用；</w:t>
            </w:r>
            <w:r>
              <w:rPr>
                <w:rFonts w:hint="eastAsia" w:ascii="宋体" w:hAnsi="宋体" w:eastAsia="宋体" w:cs="宋体"/>
                <w:kern w:val="0"/>
                <w:szCs w:val="24"/>
              </w:rPr>
              <w:t>③</w:t>
            </w:r>
            <w:r>
              <w:rPr>
                <w:kern w:val="0"/>
                <w:szCs w:val="24"/>
              </w:rPr>
              <w:t>红尾坑矿区的采矿权出让时间为24.5年、矿权竞得企业分12年支付费用。</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894" w:type="dxa"/>
            <w:vMerge w:val="continue"/>
            <w:tcBorders>
              <w:top w:val="nil"/>
              <w:left w:val="single" w:color="auto" w:sz="4" w:space="0"/>
              <w:bottom w:val="single" w:color="000000" w:sz="4" w:space="0"/>
              <w:right w:val="single" w:color="auto" w:sz="4" w:space="0"/>
            </w:tcBorders>
            <w:vAlign w:val="center"/>
          </w:tcPr>
          <w:p>
            <w:pPr>
              <w:widowControl/>
              <w:spacing w:line="240" w:lineRule="auto"/>
              <w:jc w:val="left"/>
              <w:rPr>
                <w:kern w:val="0"/>
                <w:szCs w:val="24"/>
              </w:rPr>
            </w:pP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勘察矿产的安全事故发生次数</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4</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实际发生勘察矿产的安全事故次数为0次，得满分；否则，不得分。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4.00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根据项目材料及官网数据，未发现大旺山、三棵松、红尾坑和黄龙岗4个矿区在地勘阶段出现安全事故。按评分标准，指标得满分。</w:t>
            </w:r>
          </w:p>
        </w:tc>
      </w:tr>
      <w:tr>
        <w:tblPrEx>
          <w:tblCellMar>
            <w:top w:w="0" w:type="dxa"/>
            <w:left w:w="108" w:type="dxa"/>
            <w:bottom w:w="0" w:type="dxa"/>
            <w:right w:w="108" w:type="dxa"/>
          </w:tblCellMar>
        </w:tblPrEx>
        <w:trPr>
          <w:trHeight w:val="340" w:hRule="atLeast"/>
          <w:jc w:val="center"/>
        </w:trPr>
        <w:tc>
          <w:tcPr>
            <w:tcW w:w="989" w:type="dxa"/>
            <w:vMerge w:val="continue"/>
            <w:tcBorders>
              <w:top w:val="nil"/>
              <w:left w:val="single" w:color="auto" w:sz="4" w:space="0"/>
              <w:bottom w:val="single" w:color="auto" w:sz="4" w:space="0"/>
              <w:right w:val="single" w:color="auto" w:sz="4" w:space="0"/>
            </w:tcBorders>
            <w:vAlign w:val="center"/>
          </w:tcPr>
          <w:p>
            <w:pPr>
              <w:widowControl/>
              <w:spacing w:line="240" w:lineRule="auto"/>
              <w:jc w:val="left"/>
              <w:rPr>
                <w:kern w:val="0"/>
                <w:szCs w:val="24"/>
              </w:rPr>
            </w:pPr>
          </w:p>
        </w:tc>
        <w:tc>
          <w:tcPr>
            <w:tcW w:w="992"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公平性</w:t>
            </w:r>
          </w:p>
        </w:tc>
        <w:tc>
          <w:tcPr>
            <w:tcW w:w="89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满意度</w:t>
            </w:r>
          </w:p>
        </w:tc>
        <w:tc>
          <w:tcPr>
            <w:tcW w:w="984"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受益对象满意度（%）</w:t>
            </w:r>
          </w:p>
        </w:tc>
        <w:tc>
          <w:tcPr>
            <w:tcW w:w="785" w:type="dxa"/>
            <w:tcBorders>
              <w:top w:val="nil"/>
              <w:left w:val="nil"/>
              <w:bottom w:val="single" w:color="auto" w:sz="4" w:space="0"/>
              <w:right w:val="single" w:color="auto" w:sz="4" w:space="0"/>
            </w:tcBorders>
            <w:shd w:val="clear" w:color="auto" w:fill="auto"/>
            <w:noWrap/>
            <w:vAlign w:val="center"/>
          </w:tcPr>
          <w:p>
            <w:pPr>
              <w:widowControl/>
              <w:spacing w:line="240" w:lineRule="auto"/>
              <w:jc w:val="center"/>
              <w:rPr>
                <w:kern w:val="0"/>
                <w:szCs w:val="24"/>
              </w:rPr>
            </w:pPr>
            <w:r>
              <w:rPr>
                <w:kern w:val="0"/>
                <w:szCs w:val="24"/>
              </w:rPr>
              <w:t>5</w:t>
            </w:r>
          </w:p>
        </w:tc>
        <w:tc>
          <w:tcPr>
            <w:tcW w:w="4234" w:type="dxa"/>
            <w:tcBorders>
              <w:top w:val="nil"/>
              <w:left w:val="nil"/>
              <w:bottom w:val="single" w:color="auto" w:sz="4" w:space="0"/>
              <w:right w:val="single" w:color="auto" w:sz="4" w:space="0"/>
            </w:tcBorders>
            <w:shd w:val="clear" w:color="auto" w:fill="auto"/>
            <w:vAlign w:val="center"/>
          </w:tcPr>
          <w:p>
            <w:pPr>
              <w:widowControl/>
              <w:spacing w:line="240" w:lineRule="auto"/>
              <w:jc w:val="left"/>
              <w:rPr>
                <w:kern w:val="0"/>
                <w:szCs w:val="24"/>
              </w:rPr>
            </w:pPr>
            <w:r>
              <w:rPr>
                <w:kern w:val="0"/>
                <w:szCs w:val="24"/>
              </w:rPr>
              <w:t>根据问卷调查获取指标数据，满意度90%；满意度在60%以上的，按完成比例得分，即实际满意度/90%*分值；完成值在60%以下的，不得分。</w:t>
            </w:r>
          </w:p>
        </w:tc>
        <w:tc>
          <w:tcPr>
            <w:tcW w:w="756" w:type="dxa"/>
            <w:tcBorders>
              <w:top w:val="nil"/>
              <w:left w:val="nil"/>
              <w:bottom w:val="single" w:color="auto" w:sz="4" w:space="0"/>
              <w:right w:val="single" w:color="auto" w:sz="4" w:space="0"/>
            </w:tcBorders>
            <w:shd w:val="clear" w:color="auto" w:fill="auto"/>
            <w:vAlign w:val="center"/>
          </w:tcPr>
          <w:p>
            <w:pPr>
              <w:widowControl/>
              <w:spacing w:line="240" w:lineRule="auto"/>
              <w:jc w:val="center"/>
              <w:rPr>
                <w:kern w:val="0"/>
                <w:szCs w:val="24"/>
              </w:rPr>
            </w:pPr>
            <w:r>
              <w:rPr>
                <w:kern w:val="0"/>
                <w:szCs w:val="24"/>
              </w:rPr>
              <w:t>5.00</w:t>
            </w:r>
          </w:p>
        </w:tc>
        <w:tc>
          <w:tcPr>
            <w:tcW w:w="4314" w:type="dxa"/>
            <w:tcBorders>
              <w:top w:val="nil"/>
              <w:left w:val="single" w:color="000000" w:sz="4" w:space="0"/>
              <w:bottom w:val="single" w:color="000000" w:sz="4" w:space="0"/>
              <w:right w:val="single" w:color="000000" w:sz="4" w:space="0"/>
            </w:tcBorders>
            <w:shd w:val="clear" w:color="auto" w:fill="auto"/>
            <w:vAlign w:val="center"/>
          </w:tcPr>
          <w:p>
            <w:pPr>
              <w:widowControl/>
              <w:spacing w:line="240" w:lineRule="auto"/>
              <w:jc w:val="left"/>
              <w:rPr>
                <w:kern w:val="0"/>
                <w:szCs w:val="24"/>
              </w:rPr>
            </w:pPr>
            <w:r>
              <w:rPr>
                <w:kern w:val="0"/>
                <w:szCs w:val="24"/>
              </w:rPr>
              <w:t>根据单位提供的满意度调查问卷，三个矿权竞拍企业对矿的质量和设区主管部门的服务质量均非常满意。按评分标准，此项得满分。</w:t>
            </w:r>
          </w:p>
        </w:tc>
      </w:tr>
      <w:tr>
        <w:tblPrEx>
          <w:tblCellMar>
            <w:top w:w="0" w:type="dxa"/>
            <w:left w:w="108" w:type="dxa"/>
            <w:bottom w:w="0" w:type="dxa"/>
            <w:right w:w="108" w:type="dxa"/>
          </w:tblCellMar>
        </w:tblPrEx>
        <w:trPr>
          <w:trHeight w:val="340" w:hRule="atLeast"/>
          <w:jc w:val="center"/>
        </w:trPr>
        <w:tc>
          <w:tcPr>
            <w:tcW w:w="989" w:type="dxa"/>
            <w:tcBorders>
              <w:top w:val="nil"/>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b/>
                <w:bCs/>
                <w:kern w:val="0"/>
                <w:szCs w:val="24"/>
              </w:rPr>
            </w:pPr>
            <w:r>
              <w:rPr>
                <w:b/>
                <w:bCs/>
                <w:kern w:val="0"/>
                <w:szCs w:val="24"/>
              </w:rPr>
              <w:t>总分</w:t>
            </w:r>
          </w:p>
        </w:tc>
        <w:tc>
          <w:tcPr>
            <w:tcW w:w="992" w:type="dxa"/>
            <w:tcBorders>
              <w:top w:val="nil"/>
              <w:left w:val="nil"/>
              <w:bottom w:val="single" w:color="000000" w:sz="4" w:space="0"/>
              <w:right w:val="single" w:color="000000" w:sz="4" w:space="0"/>
            </w:tcBorders>
            <w:shd w:val="clear" w:color="auto" w:fill="auto"/>
            <w:noWrap/>
            <w:vAlign w:val="center"/>
          </w:tcPr>
          <w:p>
            <w:pPr>
              <w:widowControl/>
              <w:spacing w:line="240" w:lineRule="auto"/>
              <w:jc w:val="center"/>
              <w:rPr>
                <w:kern w:val="0"/>
                <w:szCs w:val="24"/>
              </w:rPr>
            </w:pPr>
          </w:p>
        </w:tc>
        <w:tc>
          <w:tcPr>
            <w:tcW w:w="894" w:type="dxa"/>
            <w:tcBorders>
              <w:top w:val="nil"/>
              <w:left w:val="nil"/>
              <w:bottom w:val="single" w:color="000000" w:sz="4" w:space="0"/>
              <w:right w:val="single" w:color="000000" w:sz="4" w:space="0"/>
            </w:tcBorders>
            <w:shd w:val="clear" w:color="auto" w:fill="auto"/>
            <w:vAlign w:val="center"/>
          </w:tcPr>
          <w:p>
            <w:pPr>
              <w:widowControl/>
              <w:spacing w:line="240" w:lineRule="auto"/>
              <w:jc w:val="center"/>
              <w:rPr>
                <w:kern w:val="0"/>
                <w:szCs w:val="24"/>
              </w:rPr>
            </w:pPr>
          </w:p>
        </w:tc>
        <w:tc>
          <w:tcPr>
            <w:tcW w:w="98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center"/>
              <w:rPr>
                <w:kern w:val="0"/>
                <w:szCs w:val="24"/>
              </w:rPr>
            </w:pPr>
          </w:p>
        </w:tc>
        <w:tc>
          <w:tcPr>
            <w:tcW w:w="785" w:type="dxa"/>
            <w:tcBorders>
              <w:top w:val="nil"/>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b/>
                <w:bCs/>
                <w:kern w:val="0"/>
                <w:szCs w:val="24"/>
              </w:rPr>
            </w:pPr>
            <w:r>
              <w:rPr>
                <w:b/>
                <w:bCs/>
                <w:kern w:val="0"/>
                <w:szCs w:val="24"/>
              </w:rPr>
              <w:t>100</w:t>
            </w:r>
          </w:p>
        </w:tc>
        <w:tc>
          <w:tcPr>
            <w:tcW w:w="4234"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jc w:val="left"/>
              <w:rPr>
                <w:kern w:val="0"/>
                <w:szCs w:val="24"/>
              </w:rPr>
            </w:pPr>
          </w:p>
        </w:tc>
        <w:tc>
          <w:tcPr>
            <w:tcW w:w="756" w:type="dxa"/>
            <w:tcBorders>
              <w:top w:val="nil"/>
              <w:left w:val="single" w:color="000000" w:sz="4" w:space="0"/>
              <w:bottom w:val="single" w:color="000000" w:sz="4" w:space="0"/>
              <w:right w:val="single" w:color="000000" w:sz="4" w:space="0"/>
            </w:tcBorders>
            <w:shd w:val="clear" w:color="auto" w:fill="auto"/>
            <w:noWrap/>
            <w:vAlign w:val="center"/>
          </w:tcPr>
          <w:p>
            <w:pPr>
              <w:widowControl/>
              <w:spacing w:line="240" w:lineRule="auto"/>
              <w:jc w:val="center"/>
              <w:rPr>
                <w:b/>
                <w:bCs/>
                <w:kern w:val="0"/>
                <w:szCs w:val="24"/>
              </w:rPr>
            </w:pPr>
            <w:r>
              <w:rPr>
                <w:b/>
                <w:bCs/>
                <w:kern w:val="0"/>
                <w:szCs w:val="24"/>
              </w:rPr>
              <w:t>74.15</w:t>
            </w:r>
          </w:p>
        </w:tc>
        <w:tc>
          <w:tcPr>
            <w:tcW w:w="4314" w:type="dxa"/>
            <w:tcBorders>
              <w:top w:val="nil"/>
              <w:left w:val="nil"/>
              <w:bottom w:val="single" w:color="000000" w:sz="4" w:space="0"/>
              <w:right w:val="single" w:color="000000" w:sz="4" w:space="0"/>
            </w:tcBorders>
            <w:shd w:val="clear" w:color="auto" w:fill="auto"/>
            <w:vAlign w:val="center"/>
          </w:tcPr>
          <w:p>
            <w:pPr>
              <w:widowControl/>
              <w:spacing w:line="240" w:lineRule="auto"/>
              <w:jc w:val="left"/>
              <w:rPr>
                <w:kern w:val="0"/>
                <w:szCs w:val="24"/>
              </w:rPr>
            </w:pPr>
          </w:p>
        </w:tc>
      </w:tr>
    </w:tbl>
    <w:p>
      <w:pPr>
        <w:spacing w:line="500" w:lineRule="exact"/>
      </w:pPr>
    </w:p>
    <w:sectPr>
      <w:pgSz w:w="16838" w:h="11906" w:orient="landscape"/>
      <w:pgMar w:top="1800" w:right="1440" w:bottom="1800" w:left="1440" w:header="851" w:footer="992" w:gutter="0"/>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微软雅黑">
    <w:altName w:val="方正黑体_GBK"/>
    <w:panose1 w:val="020B0503020204020204"/>
    <w:charset w:val="86"/>
    <w:family w:val="swiss"/>
    <w:pitch w:val="default"/>
    <w:sig w:usb0="00000000" w:usb1="00000000" w:usb2="00000016" w:usb3="00000000" w:csb0="0004001F" w:csb1="00000000"/>
  </w:font>
  <w:font w:name="Segoe UI Symbol">
    <w:altName w:val="Noto Sans"/>
    <w:panose1 w:val="020B0502040204020203"/>
    <w:charset w:val="00"/>
    <w:family w:val="swiss"/>
    <w:pitch w:val="default"/>
    <w:sig w:usb0="00000000" w:usb1="00000000" w:usb2="00040000" w:usb3="00000000" w:csb0="00000001" w:csb1="00000000"/>
  </w:font>
  <w:font w:name="方正大标宋简体">
    <w:altName w:val="方正书宋_GBK"/>
    <w:panose1 w:val="03000509000000000000"/>
    <w:charset w:val="86"/>
    <w:family w:val="script"/>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6357944"/>
    </w:sdtPr>
    <w:sdtContent>
      <w:p>
        <w:pPr>
          <w:pStyle w:val="8"/>
          <w:ind w:firstLine="640"/>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6656598"/>
    </w:sdtPr>
    <w:sdtContent>
      <w:p>
        <w:pPr>
          <w:pStyle w:val="8"/>
          <w:ind w:firstLine="640"/>
          <w:jc w:val="center"/>
        </w:pPr>
        <w:r>
          <w:fldChar w:fldCharType="begin"/>
        </w:r>
        <w:r>
          <w:instrText xml:space="preserve">PAGE   \* MERGEFORMAT</w:instrText>
        </w:r>
        <w:r>
          <w:fldChar w:fldCharType="separate"/>
        </w:r>
        <w:r>
          <w:rPr>
            <w:lang w:val="zh-CN"/>
          </w:rPr>
          <w:t>2</w:t>
        </w:r>
        <w:r>
          <w:fldChar w:fldCharType="end"/>
        </w:r>
      </w:p>
    </w:sdtContent>
  </w:sdt>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14">
    <w:p>
      <w:pPr>
        <w:spacing w:line="240" w:lineRule="auto"/>
      </w:pPr>
      <w:r>
        <w:separator/>
      </w:r>
    </w:p>
  </w:footnote>
  <w:footnote w:type="continuationSeparator" w:id="15">
    <w:p>
      <w:pPr>
        <w:spacing w:line="240" w:lineRule="auto"/>
      </w:pPr>
      <w:r>
        <w:continuationSeparator/>
      </w:r>
    </w:p>
  </w:footnote>
  <w:footnote w:id="0">
    <w:p>
      <w:pPr>
        <w:pStyle w:val="11"/>
      </w:pPr>
      <w:r>
        <w:rPr>
          <w:rStyle w:val="21"/>
        </w:rPr>
        <w:footnoteRef/>
      </w:r>
      <w:r>
        <w:t xml:space="preserve"> </w:t>
      </w:r>
      <w:r>
        <w:rPr>
          <w:rFonts w:hint="eastAsia"/>
        </w:rPr>
        <w:t>以往矿区的资源勘查工作主力多为民间企业，工作模式多为：企业出资开展地质勘查并确定矿区资源量，若符合开采条件，该企业通过拍卖缴费的获得该矿区的开采权；若是不符合开采条件，前期勘查经费由该企业全额垫付。该运作模式受矿区的资源量存在不确定性、工作周期长等客观因素影响，对出资企业的资金要求高，往年有不少矿区因资金出现“未能完成地质勘查、无法按期完成挂牌出让拍卖”等情况。</w:t>
      </w:r>
    </w:p>
  </w:footnote>
  <w:footnote w:id="1">
    <w:p>
      <w:pPr>
        <w:pStyle w:val="11"/>
      </w:pPr>
      <w:r>
        <w:rPr>
          <w:rStyle w:val="21"/>
        </w:rPr>
        <w:footnoteRef/>
      </w:r>
      <w:r>
        <w:t xml:space="preserve"> </w:t>
      </w:r>
      <w:r>
        <w:rPr>
          <w:rFonts w:hint="eastAsia"/>
        </w:rPr>
        <w:t>包括：三棵松矿区</w:t>
      </w:r>
      <w:r>
        <w:t>16760.83万立方米</w:t>
      </w:r>
      <w:r>
        <w:rPr>
          <w:rFonts w:hint="eastAsia"/>
        </w:rPr>
        <w:t>、大旺山矿区</w:t>
      </w:r>
      <w:r>
        <w:t>5236.73万立方米</w:t>
      </w:r>
      <w:r>
        <w:rPr>
          <w:rFonts w:hint="eastAsia"/>
        </w:rPr>
        <w:t>、红尾坑矿区</w:t>
      </w:r>
      <w:r>
        <w:t>4532万立方米</w:t>
      </w:r>
    </w:p>
  </w:footnote>
  <w:footnote w:id="2">
    <w:p>
      <w:pPr>
        <w:pStyle w:val="11"/>
      </w:pPr>
      <w:r>
        <w:rPr>
          <w:rStyle w:val="21"/>
        </w:rPr>
        <w:footnoteRef/>
      </w:r>
      <w:r>
        <w:t xml:space="preserve"> </w:t>
      </w:r>
      <w:r>
        <w:rPr>
          <w:rFonts w:hint="eastAsia"/>
        </w:rPr>
        <w:t>根据《政府采购代理机构管理暂行办法》（财库〔</w:t>
      </w:r>
      <w:r>
        <w:t>2018</w:t>
      </w:r>
      <w:r>
        <w:rPr>
          <w:rFonts w:hint="eastAsia"/>
        </w:rPr>
        <w:t>〕</w:t>
      </w:r>
      <w:r>
        <w:t>2</w:t>
      </w:r>
      <w:r>
        <w:rPr>
          <w:rFonts w:hint="eastAsia"/>
        </w:rPr>
        <w:t>号）第十四条规定和《评标委员会和评标方法暂行规定》第二十二条，代理机构应当按照委托代理协议的约定</w:t>
      </w:r>
      <w:r>
        <w:rPr>
          <w:rFonts w:hint="eastAsia"/>
          <w:b/>
          <w:bCs/>
        </w:rPr>
        <w:t>依法依规</w:t>
      </w:r>
      <w:r>
        <w:rPr>
          <w:rFonts w:hint="eastAsia"/>
        </w:rPr>
        <w:t>开展政府采购代理业务，投标人不符合规定，评标委员会可以否决其投标</w:t>
      </w:r>
    </w:p>
  </w:footnote>
  <w:footnote w:id="3">
    <w:p>
      <w:pPr>
        <w:pStyle w:val="11"/>
      </w:pPr>
      <w:r>
        <w:rPr>
          <w:rStyle w:val="21"/>
        </w:rPr>
        <w:footnoteRef/>
      </w:r>
      <w:r>
        <w:rPr>
          <w:rFonts w:hint="eastAsia"/>
        </w:rPr>
        <w:t xml:space="preserve"> 根据《政府采购法实施条例》，除了二十三条、第二十九条（邀请招标方式）、第三十条（竞争性谈判方式）、第三十一条（单一来源方式）、第三十二条（询价方式）等特殊情况的，经设区的</w:t>
      </w:r>
      <w:r>
        <w:rPr>
          <w:rFonts w:hint="eastAsia"/>
          <w:b/>
          <w:bCs/>
        </w:rPr>
        <w:t>市级以上</w:t>
      </w:r>
      <w:r>
        <w:rPr>
          <w:rFonts w:hint="eastAsia"/>
        </w:rPr>
        <w:t>人民政府财政部门批准，可以依法采用公开招标以外的采购方式。</w:t>
      </w:r>
    </w:p>
  </w:footnote>
  <w:footnote w:id="4">
    <w:p>
      <w:pPr>
        <w:pStyle w:val="11"/>
      </w:pPr>
      <w:r>
        <w:rPr>
          <w:rStyle w:val="21"/>
        </w:rPr>
        <w:footnoteRef/>
      </w:r>
      <w:r>
        <w:t xml:space="preserve"> </w:t>
      </w:r>
      <w:r>
        <w:rPr>
          <w:rFonts w:hint="eastAsia"/>
        </w:rPr>
        <w:t>根据《关于规范市级矿产资源勘查项目经费使用管理的通知》，项目资金拨付要求为“资源储量核实报告评审备案后拨付勘查预算的50%、剩余的勘查经费待采矿权出让后再拨付”。</w:t>
      </w:r>
    </w:p>
  </w:footnote>
  <w:footnote w:id="5">
    <w:p>
      <w:pPr>
        <w:pStyle w:val="11"/>
      </w:pPr>
      <w:r>
        <w:rPr>
          <w:rStyle w:val="21"/>
        </w:rPr>
        <w:footnoteRef/>
      </w:r>
      <w:r>
        <w:t xml:space="preserve"> </w:t>
      </w:r>
      <w:r>
        <w:rPr>
          <w:rFonts w:hint="eastAsia"/>
        </w:rPr>
        <w:t>多退少补：测算后的费用＞已支付的费用，不需要追回；测算后的费用＜已支付的费用，追回差价</w:t>
      </w:r>
    </w:p>
  </w:footnote>
  <w:footnote w:id="6">
    <w:p>
      <w:pPr>
        <w:pStyle w:val="11"/>
      </w:pPr>
      <w:r>
        <w:rPr>
          <w:rStyle w:val="21"/>
        </w:rPr>
        <w:footnoteRef/>
      </w:r>
      <w:r>
        <w:t xml:space="preserve"> </w:t>
      </w:r>
      <w:r>
        <w:rPr>
          <w:rFonts w:hint="eastAsia"/>
        </w:rPr>
        <w:t>《中华人民共和国预算法实施条例》第三十七条、第六十二条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true"/>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14"/>
    <w:footnote w:id="1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236"/>
    <w:rsid w:val="00000697"/>
    <w:rsid w:val="000014AB"/>
    <w:rsid w:val="00003586"/>
    <w:rsid w:val="00003A1F"/>
    <w:rsid w:val="0000476B"/>
    <w:rsid w:val="000058E8"/>
    <w:rsid w:val="000074B6"/>
    <w:rsid w:val="00007B40"/>
    <w:rsid w:val="00010A74"/>
    <w:rsid w:val="00010ED8"/>
    <w:rsid w:val="000110EE"/>
    <w:rsid w:val="00012C17"/>
    <w:rsid w:val="00015058"/>
    <w:rsid w:val="000167A6"/>
    <w:rsid w:val="00016939"/>
    <w:rsid w:val="000176A2"/>
    <w:rsid w:val="00022DBB"/>
    <w:rsid w:val="00024F27"/>
    <w:rsid w:val="000252C6"/>
    <w:rsid w:val="00030159"/>
    <w:rsid w:val="0003036F"/>
    <w:rsid w:val="00033E63"/>
    <w:rsid w:val="00034579"/>
    <w:rsid w:val="000354DA"/>
    <w:rsid w:val="0003653A"/>
    <w:rsid w:val="000400C3"/>
    <w:rsid w:val="0004048C"/>
    <w:rsid w:val="000421EA"/>
    <w:rsid w:val="00042F20"/>
    <w:rsid w:val="000433BE"/>
    <w:rsid w:val="00046593"/>
    <w:rsid w:val="000471DB"/>
    <w:rsid w:val="00051848"/>
    <w:rsid w:val="00054320"/>
    <w:rsid w:val="000569DB"/>
    <w:rsid w:val="00057660"/>
    <w:rsid w:val="00061789"/>
    <w:rsid w:val="00061A1D"/>
    <w:rsid w:val="000628E2"/>
    <w:rsid w:val="0006351E"/>
    <w:rsid w:val="000705AC"/>
    <w:rsid w:val="00071912"/>
    <w:rsid w:val="0007567A"/>
    <w:rsid w:val="00077A86"/>
    <w:rsid w:val="00077B22"/>
    <w:rsid w:val="00081216"/>
    <w:rsid w:val="00082A80"/>
    <w:rsid w:val="00082BB9"/>
    <w:rsid w:val="00082E97"/>
    <w:rsid w:val="00083248"/>
    <w:rsid w:val="0008532A"/>
    <w:rsid w:val="00085B1E"/>
    <w:rsid w:val="00086020"/>
    <w:rsid w:val="00087514"/>
    <w:rsid w:val="00087C95"/>
    <w:rsid w:val="00091568"/>
    <w:rsid w:val="0009160F"/>
    <w:rsid w:val="00091A90"/>
    <w:rsid w:val="00092BA2"/>
    <w:rsid w:val="00094473"/>
    <w:rsid w:val="0009737C"/>
    <w:rsid w:val="0009763F"/>
    <w:rsid w:val="00097EF8"/>
    <w:rsid w:val="000A0522"/>
    <w:rsid w:val="000A13EA"/>
    <w:rsid w:val="000A23E5"/>
    <w:rsid w:val="000A3E08"/>
    <w:rsid w:val="000A678E"/>
    <w:rsid w:val="000B010A"/>
    <w:rsid w:val="000B0564"/>
    <w:rsid w:val="000B5511"/>
    <w:rsid w:val="000B5EC4"/>
    <w:rsid w:val="000B624F"/>
    <w:rsid w:val="000B7569"/>
    <w:rsid w:val="000B7C62"/>
    <w:rsid w:val="000C08F3"/>
    <w:rsid w:val="000C0E5A"/>
    <w:rsid w:val="000C116C"/>
    <w:rsid w:val="000C1369"/>
    <w:rsid w:val="000C1CBF"/>
    <w:rsid w:val="000C2537"/>
    <w:rsid w:val="000C2542"/>
    <w:rsid w:val="000C2E48"/>
    <w:rsid w:val="000C468F"/>
    <w:rsid w:val="000C69D4"/>
    <w:rsid w:val="000D0BE8"/>
    <w:rsid w:val="000D1798"/>
    <w:rsid w:val="000D2189"/>
    <w:rsid w:val="000D25A0"/>
    <w:rsid w:val="000D2BC3"/>
    <w:rsid w:val="000D3053"/>
    <w:rsid w:val="000D33CB"/>
    <w:rsid w:val="000D373A"/>
    <w:rsid w:val="000D5D67"/>
    <w:rsid w:val="000E0B6D"/>
    <w:rsid w:val="000E127E"/>
    <w:rsid w:val="000E6ABC"/>
    <w:rsid w:val="000E6EFA"/>
    <w:rsid w:val="000F0D63"/>
    <w:rsid w:val="000F1F95"/>
    <w:rsid w:val="000F2258"/>
    <w:rsid w:val="000F3AFA"/>
    <w:rsid w:val="000F3DF3"/>
    <w:rsid w:val="000F4BE1"/>
    <w:rsid w:val="000F53F4"/>
    <w:rsid w:val="000F5556"/>
    <w:rsid w:val="000F7181"/>
    <w:rsid w:val="00100593"/>
    <w:rsid w:val="00100819"/>
    <w:rsid w:val="00101784"/>
    <w:rsid w:val="00102084"/>
    <w:rsid w:val="00103035"/>
    <w:rsid w:val="001038C6"/>
    <w:rsid w:val="00104557"/>
    <w:rsid w:val="00105E46"/>
    <w:rsid w:val="00106071"/>
    <w:rsid w:val="00106436"/>
    <w:rsid w:val="001066B8"/>
    <w:rsid w:val="0010715B"/>
    <w:rsid w:val="001073B8"/>
    <w:rsid w:val="00107CF3"/>
    <w:rsid w:val="001106F7"/>
    <w:rsid w:val="00110828"/>
    <w:rsid w:val="00110906"/>
    <w:rsid w:val="00110B2D"/>
    <w:rsid w:val="00110C94"/>
    <w:rsid w:val="0011182D"/>
    <w:rsid w:val="001122D8"/>
    <w:rsid w:val="00112A07"/>
    <w:rsid w:val="00113851"/>
    <w:rsid w:val="00114777"/>
    <w:rsid w:val="00116731"/>
    <w:rsid w:val="00117202"/>
    <w:rsid w:val="00125B08"/>
    <w:rsid w:val="001266BF"/>
    <w:rsid w:val="00126B41"/>
    <w:rsid w:val="00126D29"/>
    <w:rsid w:val="00134BEE"/>
    <w:rsid w:val="0013596D"/>
    <w:rsid w:val="00135C81"/>
    <w:rsid w:val="00137401"/>
    <w:rsid w:val="001407DE"/>
    <w:rsid w:val="001414A9"/>
    <w:rsid w:val="001417B6"/>
    <w:rsid w:val="00142D15"/>
    <w:rsid w:val="001443A2"/>
    <w:rsid w:val="00145A5C"/>
    <w:rsid w:val="00146B13"/>
    <w:rsid w:val="0014738E"/>
    <w:rsid w:val="001503B9"/>
    <w:rsid w:val="0015139A"/>
    <w:rsid w:val="00153BE9"/>
    <w:rsid w:val="001545E8"/>
    <w:rsid w:val="001610F0"/>
    <w:rsid w:val="00161919"/>
    <w:rsid w:val="00162768"/>
    <w:rsid w:val="00162B96"/>
    <w:rsid w:val="0016681E"/>
    <w:rsid w:val="00170747"/>
    <w:rsid w:val="001714D0"/>
    <w:rsid w:val="00182677"/>
    <w:rsid w:val="001828B0"/>
    <w:rsid w:val="00190E3E"/>
    <w:rsid w:val="00192034"/>
    <w:rsid w:val="00193650"/>
    <w:rsid w:val="00195B14"/>
    <w:rsid w:val="00196430"/>
    <w:rsid w:val="001A06E9"/>
    <w:rsid w:val="001A1751"/>
    <w:rsid w:val="001A27DD"/>
    <w:rsid w:val="001A2C32"/>
    <w:rsid w:val="001A33E7"/>
    <w:rsid w:val="001A5E55"/>
    <w:rsid w:val="001A6CA7"/>
    <w:rsid w:val="001A703F"/>
    <w:rsid w:val="001A7179"/>
    <w:rsid w:val="001B1AFC"/>
    <w:rsid w:val="001B2021"/>
    <w:rsid w:val="001B4955"/>
    <w:rsid w:val="001B4EBE"/>
    <w:rsid w:val="001B60C9"/>
    <w:rsid w:val="001B7605"/>
    <w:rsid w:val="001B7C2F"/>
    <w:rsid w:val="001C0833"/>
    <w:rsid w:val="001C0A7A"/>
    <w:rsid w:val="001C0E8C"/>
    <w:rsid w:val="001C2E25"/>
    <w:rsid w:val="001C3C01"/>
    <w:rsid w:val="001C3F5A"/>
    <w:rsid w:val="001C667A"/>
    <w:rsid w:val="001C78C2"/>
    <w:rsid w:val="001D2067"/>
    <w:rsid w:val="001D2A44"/>
    <w:rsid w:val="001D3E36"/>
    <w:rsid w:val="001D693C"/>
    <w:rsid w:val="001D7B85"/>
    <w:rsid w:val="001E3224"/>
    <w:rsid w:val="001F1414"/>
    <w:rsid w:val="001F3771"/>
    <w:rsid w:val="001F60B7"/>
    <w:rsid w:val="001F7136"/>
    <w:rsid w:val="0020095F"/>
    <w:rsid w:val="002018BB"/>
    <w:rsid w:val="00202E8B"/>
    <w:rsid w:val="002037BC"/>
    <w:rsid w:val="002042D5"/>
    <w:rsid w:val="00204A8B"/>
    <w:rsid w:val="00205234"/>
    <w:rsid w:val="00205BEA"/>
    <w:rsid w:val="00206DCC"/>
    <w:rsid w:val="00211056"/>
    <w:rsid w:val="00214976"/>
    <w:rsid w:val="0021499E"/>
    <w:rsid w:val="002150A1"/>
    <w:rsid w:val="00215462"/>
    <w:rsid w:val="00215D77"/>
    <w:rsid w:val="002163D1"/>
    <w:rsid w:val="0021792B"/>
    <w:rsid w:val="00217D21"/>
    <w:rsid w:val="00221720"/>
    <w:rsid w:val="0022178B"/>
    <w:rsid w:val="002218F6"/>
    <w:rsid w:val="00222633"/>
    <w:rsid w:val="002233BC"/>
    <w:rsid w:val="00223A3C"/>
    <w:rsid w:val="002252E5"/>
    <w:rsid w:val="0022705E"/>
    <w:rsid w:val="00230942"/>
    <w:rsid w:val="0023329E"/>
    <w:rsid w:val="00233300"/>
    <w:rsid w:val="0023530C"/>
    <w:rsid w:val="00237B8C"/>
    <w:rsid w:val="00240E76"/>
    <w:rsid w:val="0024182E"/>
    <w:rsid w:val="00242EC4"/>
    <w:rsid w:val="00242FFE"/>
    <w:rsid w:val="00243306"/>
    <w:rsid w:val="002438A3"/>
    <w:rsid w:val="00244252"/>
    <w:rsid w:val="002444A0"/>
    <w:rsid w:val="00247177"/>
    <w:rsid w:val="0024745B"/>
    <w:rsid w:val="00251893"/>
    <w:rsid w:val="00255E0F"/>
    <w:rsid w:val="00260C52"/>
    <w:rsid w:val="00261087"/>
    <w:rsid w:val="00264A5D"/>
    <w:rsid w:val="00264F9F"/>
    <w:rsid w:val="00265AD3"/>
    <w:rsid w:val="00267245"/>
    <w:rsid w:val="00267836"/>
    <w:rsid w:val="00273B9F"/>
    <w:rsid w:val="00274AD3"/>
    <w:rsid w:val="00277DA1"/>
    <w:rsid w:val="0028098A"/>
    <w:rsid w:val="00282A09"/>
    <w:rsid w:val="00282E74"/>
    <w:rsid w:val="00286507"/>
    <w:rsid w:val="00292DCC"/>
    <w:rsid w:val="00295F17"/>
    <w:rsid w:val="002964C3"/>
    <w:rsid w:val="002971C9"/>
    <w:rsid w:val="002A075C"/>
    <w:rsid w:val="002A2DE5"/>
    <w:rsid w:val="002A4BD9"/>
    <w:rsid w:val="002A67D9"/>
    <w:rsid w:val="002A6A0D"/>
    <w:rsid w:val="002A6E9F"/>
    <w:rsid w:val="002A72AA"/>
    <w:rsid w:val="002A747D"/>
    <w:rsid w:val="002A7591"/>
    <w:rsid w:val="002B0085"/>
    <w:rsid w:val="002B1BE9"/>
    <w:rsid w:val="002B3E29"/>
    <w:rsid w:val="002B4232"/>
    <w:rsid w:val="002B5936"/>
    <w:rsid w:val="002B696E"/>
    <w:rsid w:val="002B751C"/>
    <w:rsid w:val="002C045D"/>
    <w:rsid w:val="002C084F"/>
    <w:rsid w:val="002C1724"/>
    <w:rsid w:val="002C392A"/>
    <w:rsid w:val="002C4546"/>
    <w:rsid w:val="002C4A0F"/>
    <w:rsid w:val="002C5169"/>
    <w:rsid w:val="002C57BC"/>
    <w:rsid w:val="002C5945"/>
    <w:rsid w:val="002C684B"/>
    <w:rsid w:val="002C759C"/>
    <w:rsid w:val="002D20CB"/>
    <w:rsid w:val="002D366A"/>
    <w:rsid w:val="002D45D5"/>
    <w:rsid w:val="002D5562"/>
    <w:rsid w:val="002E09B5"/>
    <w:rsid w:val="002E3649"/>
    <w:rsid w:val="002E53EB"/>
    <w:rsid w:val="002E59F1"/>
    <w:rsid w:val="002E6FFA"/>
    <w:rsid w:val="002E71A1"/>
    <w:rsid w:val="002F0FF2"/>
    <w:rsid w:val="002F303B"/>
    <w:rsid w:val="002F3E5B"/>
    <w:rsid w:val="002F3FBA"/>
    <w:rsid w:val="002F4EA4"/>
    <w:rsid w:val="002F6DE1"/>
    <w:rsid w:val="002F76EF"/>
    <w:rsid w:val="002F77A1"/>
    <w:rsid w:val="002F77DE"/>
    <w:rsid w:val="003015A9"/>
    <w:rsid w:val="003027F5"/>
    <w:rsid w:val="003036DC"/>
    <w:rsid w:val="00304784"/>
    <w:rsid w:val="003053F3"/>
    <w:rsid w:val="003078FE"/>
    <w:rsid w:val="003100E7"/>
    <w:rsid w:val="00311B3A"/>
    <w:rsid w:val="0031359F"/>
    <w:rsid w:val="003141A6"/>
    <w:rsid w:val="003157A7"/>
    <w:rsid w:val="00317CD4"/>
    <w:rsid w:val="00320EDA"/>
    <w:rsid w:val="003244D7"/>
    <w:rsid w:val="00325445"/>
    <w:rsid w:val="0032578F"/>
    <w:rsid w:val="003261E9"/>
    <w:rsid w:val="00326C41"/>
    <w:rsid w:val="00327EFC"/>
    <w:rsid w:val="0033113A"/>
    <w:rsid w:val="003343A9"/>
    <w:rsid w:val="003344B1"/>
    <w:rsid w:val="003346E1"/>
    <w:rsid w:val="00334B25"/>
    <w:rsid w:val="003403D8"/>
    <w:rsid w:val="00340CBA"/>
    <w:rsid w:val="00341277"/>
    <w:rsid w:val="003418C7"/>
    <w:rsid w:val="00342001"/>
    <w:rsid w:val="0034609B"/>
    <w:rsid w:val="003478BC"/>
    <w:rsid w:val="00351760"/>
    <w:rsid w:val="00351EAE"/>
    <w:rsid w:val="00352C82"/>
    <w:rsid w:val="00353655"/>
    <w:rsid w:val="0035493E"/>
    <w:rsid w:val="0035519D"/>
    <w:rsid w:val="00355E9A"/>
    <w:rsid w:val="00356458"/>
    <w:rsid w:val="00356A6D"/>
    <w:rsid w:val="0035755D"/>
    <w:rsid w:val="0035761A"/>
    <w:rsid w:val="003604DE"/>
    <w:rsid w:val="00360AC5"/>
    <w:rsid w:val="003611AF"/>
    <w:rsid w:val="00361378"/>
    <w:rsid w:val="00363E2B"/>
    <w:rsid w:val="00363E5A"/>
    <w:rsid w:val="00365113"/>
    <w:rsid w:val="00366431"/>
    <w:rsid w:val="00366B31"/>
    <w:rsid w:val="00367143"/>
    <w:rsid w:val="003729CF"/>
    <w:rsid w:val="0037334B"/>
    <w:rsid w:val="00373E2D"/>
    <w:rsid w:val="0037490A"/>
    <w:rsid w:val="00380589"/>
    <w:rsid w:val="003813EB"/>
    <w:rsid w:val="003821B6"/>
    <w:rsid w:val="00382DBE"/>
    <w:rsid w:val="00383851"/>
    <w:rsid w:val="00384FF9"/>
    <w:rsid w:val="00385005"/>
    <w:rsid w:val="003858BF"/>
    <w:rsid w:val="003877DD"/>
    <w:rsid w:val="003904DD"/>
    <w:rsid w:val="003905D7"/>
    <w:rsid w:val="003909A9"/>
    <w:rsid w:val="00391E14"/>
    <w:rsid w:val="00394A42"/>
    <w:rsid w:val="00396C38"/>
    <w:rsid w:val="00397772"/>
    <w:rsid w:val="00397D9B"/>
    <w:rsid w:val="00397E8C"/>
    <w:rsid w:val="003A00C2"/>
    <w:rsid w:val="003A05EF"/>
    <w:rsid w:val="003A1A27"/>
    <w:rsid w:val="003A2A94"/>
    <w:rsid w:val="003A395E"/>
    <w:rsid w:val="003B0472"/>
    <w:rsid w:val="003B0ECF"/>
    <w:rsid w:val="003B14DD"/>
    <w:rsid w:val="003B566A"/>
    <w:rsid w:val="003C007A"/>
    <w:rsid w:val="003C0C2E"/>
    <w:rsid w:val="003C17F8"/>
    <w:rsid w:val="003C3D7C"/>
    <w:rsid w:val="003C4DBE"/>
    <w:rsid w:val="003C4EBC"/>
    <w:rsid w:val="003C6C1F"/>
    <w:rsid w:val="003D0B26"/>
    <w:rsid w:val="003D101A"/>
    <w:rsid w:val="003D1956"/>
    <w:rsid w:val="003D292B"/>
    <w:rsid w:val="003D6444"/>
    <w:rsid w:val="003D7270"/>
    <w:rsid w:val="003D739C"/>
    <w:rsid w:val="003D7B35"/>
    <w:rsid w:val="003E0058"/>
    <w:rsid w:val="003E0E5D"/>
    <w:rsid w:val="003E10FD"/>
    <w:rsid w:val="003E341E"/>
    <w:rsid w:val="003F0E7A"/>
    <w:rsid w:val="003F2C5B"/>
    <w:rsid w:val="003F725F"/>
    <w:rsid w:val="003F7304"/>
    <w:rsid w:val="003F7587"/>
    <w:rsid w:val="003F7B23"/>
    <w:rsid w:val="00400218"/>
    <w:rsid w:val="004006D7"/>
    <w:rsid w:val="00400BC2"/>
    <w:rsid w:val="00402934"/>
    <w:rsid w:val="00407F94"/>
    <w:rsid w:val="00410485"/>
    <w:rsid w:val="00410BF5"/>
    <w:rsid w:val="00412657"/>
    <w:rsid w:val="00413367"/>
    <w:rsid w:val="004133EF"/>
    <w:rsid w:val="0041342B"/>
    <w:rsid w:val="00413481"/>
    <w:rsid w:val="004153B3"/>
    <w:rsid w:val="00415581"/>
    <w:rsid w:val="004164CC"/>
    <w:rsid w:val="00417198"/>
    <w:rsid w:val="00421C75"/>
    <w:rsid w:val="0042401F"/>
    <w:rsid w:val="00424475"/>
    <w:rsid w:val="00426F19"/>
    <w:rsid w:val="0043076C"/>
    <w:rsid w:val="00430F80"/>
    <w:rsid w:val="00431F4C"/>
    <w:rsid w:val="00432888"/>
    <w:rsid w:val="0043383C"/>
    <w:rsid w:val="004349C2"/>
    <w:rsid w:val="00435EF5"/>
    <w:rsid w:val="00435EF7"/>
    <w:rsid w:val="00436081"/>
    <w:rsid w:val="00436690"/>
    <w:rsid w:val="004368A3"/>
    <w:rsid w:val="00436D90"/>
    <w:rsid w:val="004372BC"/>
    <w:rsid w:val="0044215D"/>
    <w:rsid w:val="00442C2B"/>
    <w:rsid w:val="00443758"/>
    <w:rsid w:val="00444385"/>
    <w:rsid w:val="004455F7"/>
    <w:rsid w:val="004468AD"/>
    <w:rsid w:val="00447C8C"/>
    <w:rsid w:val="004505CA"/>
    <w:rsid w:val="0045087C"/>
    <w:rsid w:val="00452B30"/>
    <w:rsid w:val="004536B5"/>
    <w:rsid w:val="00456BF1"/>
    <w:rsid w:val="00457CBD"/>
    <w:rsid w:val="00457EEB"/>
    <w:rsid w:val="00461273"/>
    <w:rsid w:val="0046291D"/>
    <w:rsid w:val="004638C1"/>
    <w:rsid w:val="00464EE5"/>
    <w:rsid w:val="0047057F"/>
    <w:rsid w:val="004728A8"/>
    <w:rsid w:val="00475BA0"/>
    <w:rsid w:val="00477A56"/>
    <w:rsid w:val="00481B27"/>
    <w:rsid w:val="00482D3B"/>
    <w:rsid w:val="00484E52"/>
    <w:rsid w:val="00486961"/>
    <w:rsid w:val="00486D19"/>
    <w:rsid w:val="0048772B"/>
    <w:rsid w:val="004907D3"/>
    <w:rsid w:val="00492CDB"/>
    <w:rsid w:val="00493C7A"/>
    <w:rsid w:val="004953E7"/>
    <w:rsid w:val="00496637"/>
    <w:rsid w:val="004A05B9"/>
    <w:rsid w:val="004A10AE"/>
    <w:rsid w:val="004A18EC"/>
    <w:rsid w:val="004A42B3"/>
    <w:rsid w:val="004A4C86"/>
    <w:rsid w:val="004A4F85"/>
    <w:rsid w:val="004A7B3F"/>
    <w:rsid w:val="004B08A8"/>
    <w:rsid w:val="004B112A"/>
    <w:rsid w:val="004B1788"/>
    <w:rsid w:val="004B20D8"/>
    <w:rsid w:val="004B3A6E"/>
    <w:rsid w:val="004B3AB3"/>
    <w:rsid w:val="004B3F81"/>
    <w:rsid w:val="004C0258"/>
    <w:rsid w:val="004C148A"/>
    <w:rsid w:val="004C415B"/>
    <w:rsid w:val="004D03A4"/>
    <w:rsid w:val="004D1A65"/>
    <w:rsid w:val="004D65CD"/>
    <w:rsid w:val="004D716B"/>
    <w:rsid w:val="004E27F0"/>
    <w:rsid w:val="004E2CE2"/>
    <w:rsid w:val="004E2FDF"/>
    <w:rsid w:val="004E4CEE"/>
    <w:rsid w:val="004E62A6"/>
    <w:rsid w:val="004E67D0"/>
    <w:rsid w:val="004E7FC2"/>
    <w:rsid w:val="004F0868"/>
    <w:rsid w:val="004F0F75"/>
    <w:rsid w:val="004F1E0F"/>
    <w:rsid w:val="004F1EF7"/>
    <w:rsid w:val="004F1FB3"/>
    <w:rsid w:val="004F2280"/>
    <w:rsid w:val="004F2288"/>
    <w:rsid w:val="004F422D"/>
    <w:rsid w:val="004F45F2"/>
    <w:rsid w:val="004F59A3"/>
    <w:rsid w:val="004F768D"/>
    <w:rsid w:val="004F7803"/>
    <w:rsid w:val="0050100F"/>
    <w:rsid w:val="005040BD"/>
    <w:rsid w:val="00506F0E"/>
    <w:rsid w:val="00510D89"/>
    <w:rsid w:val="00513CA3"/>
    <w:rsid w:val="0051415E"/>
    <w:rsid w:val="00514CAC"/>
    <w:rsid w:val="00515107"/>
    <w:rsid w:val="00515237"/>
    <w:rsid w:val="00520250"/>
    <w:rsid w:val="00521BA1"/>
    <w:rsid w:val="0052271D"/>
    <w:rsid w:val="00522BEE"/>
    <w:rsid w:val="00526055"/>
    <w:rsid w:val="00531699"/>
    <w:rsid w:val="00532A21"/>
    <w:rsid w:val="00534411"/>
    <w:rsid w:val="0053444D"/>
    <w:rsid w:val="00534F65"/>
    <w:rsid w:val="0053603B"/>
    <w:rsid w:val="00541381"/>
    <w:rsid w:val="0054628D"/>
    <w:rsid w:val="00546C04"/>
    <w:rsid w:val="00552B9D"/>
    <w:rsid w:val="00553528"/>
    <w:rsid w:val="00553638"/>
    <w:rsid w:val="0055625C"/>
    <w:rsid w:val="005572E3"/>
    <w:rsid w:val="005634D8"/>
    <w:rsid w:val="00563BE5"/>
    <w:rsid w:val="00565C43"/>
    <w:rsid w:val="00565E8B"/>
    <w:rsid w:val="005667A9"/>
    <w:rsid w:val="00566FF6"/>
    <w:rsid w:val="005673B6"/>
    <w:rsid w:val="005701E7"/>
    <w:rsid w:val="00575755"/>
    <w:rsid w:val="00575888"/>
    <w:rsid w:val="00575A26"/>
    <w:rsid w:val="00581EC0"/>
    <w:rsid w:val="00583533"/>
    <w:rsid w:val="00583DF1"/>
    <w:rsid w:val="0058620F"/>
    <w:rsid w:val="00586CC3"/>
    <w:rsid w:val="00587996"/>
    <w:rsid w:val="005929C3"/>
    <w:rsid w:val="005969B6"/>
    <w:rsid w:val="00596A3E"/>
    <w:rsid w:val="005A2480"/>
    <w:rsid w:val="005A265A"/>
    <w:rsid w:val="005A3B45"/>
    <w:rsid w:val="005A663F"/>
    <w:rsid w:val="005A75CB"/>
    <w:rsid w:val="005A7B64"/>
    <w:rsid w:val="005B00A9"/>
    <w:rsid w:val="005B018F"/>
    <w:rsid w:val="005B1907"/>
    <w:rsid w:val="005B1FB7"/>
    <w:rsid w:val="005B21A8"/>
    <w:rsid w:val="005B2A54"/>
    <w:rsid w:val="005B358D"/>
    <w:rsid w:val="005B72A1"/>
    <w:rsid w:val="005C13A3"/>
    <w:rsid w:val="005C2487"/>
    <w:rsid w:val="005C2C8F"/>
    <w:rsid w:val="005C2E4F"/>
    <w:rsid w:val="005C3C4B"/>
    <w:rsid w:val="005C41E5"/>
    <w:rsid w:val="005C4B43"/>
    <w:rsid w:val="005D063C"/>
    <w:rsid w:val="005D1E5A"/>
    <w:rsid w:val="005D33CB"/>
    <w:rsid w:val="005D3420"/>
    <w:rsid w:val="005D527C"/>
    <w:rsid w:val="005D61FB"/>
    <w:rsid w:val="005D789F"/>
    <w:rsid w:val="005E0732"/>
    <w:rsid w:val="005E115B"/>
    <w:rsid w:val="005E211B"/>
    <w:rsid w:val="005E3D4C"/>
    <w:rsid w:val="005E49A2"/>
    <w:rsid w:val="005E50AD"/>
    <w:rsid w:val="005F0E15"/>
    <w:rsid w:val="005F3997"/>
    <w:rsid w:val="005F3999"/>
    <w:rsid w:val="005F6E69"/>
    <w:rsid w:val="005F71CE"/>
    <w:rsid w:val="005F7D62"/>
    <w:rsid w:val="005F7E66"/>
    <w:rsid w:val="00601F9B"/>
    <w:rsid w:val="00602AF2"/>
    <w:rsid w:val="00602BB5"/>
    <w:rsid w:val="00603EB5"/>
    <w:rsid w:val="00603ED1"/>
    <w:rsid w:val="00604576"/>
    <w:rsid w:val="00604A8B"/>
    <w:rsid w:val="00604AFB"/>
    <w:rsid w:val="00605396"/>
    <w:rsid w:val="00606823"/>
    <w:rsid w:val="006070C3"/>
    <w:rsid w:val="00607587"/>
    <w:rsid w:val="0060764B"/>
    <w:rsid w:val="00610666"/>
    <w:rsid w:val="006111EE"/>
    <w:rsid w:val="00611291"/>
    <w:rsid w:val="006119CF"/>
    <w:rsid w:val="00613E39"/>
    <w:rsid w:val="00615485"/>
    <w:rsid w:val="00615602"/>
    <w:rsid w:val="006176B4"/>
    <w:rsid w:val="006205D9"/>
    <w:rsid w:val="0062097C"/>
    <w:rsid w:val="00623935"/>
    <w:rsid w:val="00623CB0"/>
    <w:rsid w:val="00623EFF"/>
    <w:rsid w:val="0062790D"/>
    <w:rsid w:val="0063069A"/>
    <w:rsid w:val="00630EDB"/>
    <w:rsid w:val="00631BB6"/>
    <w:rsid w:val="00636812"/>
    <w:rsid w:val="00636880"/>
    <w:rsid w:val="006368E0"/>
    <w:rsid w:val="00637455"/>
    <w:rsid w:val="006375F2"/>
    <w:rsid w:val="00643175"/>
    <w:rsid w:val="006538C3"/>
    <w:rsid w:val="00654999"/>
    <w:rsid w:val="0065599F"/>
    <w:rsid w:val="00656693"/>
    <w:rsid w:val="00660FBD"/>
    <w:rsid w:val="00661AE2"/>
    <w:rsid w:val="00662B79"/>
    <w:rsid w:val="00663B80"/>
    <w:rsid w:val="006652EA"/>
    <w:rsid w:val="00666188"/>
    <w:rsid w:val="00667D93"/>
    <w:rsid w:val="006707F8"/>
    <w:rsid w:val="00671325"/>
    <w:rsid w:val="0067225C"/>
    <w:rsid w:val="006724A7"/>
    <w:rsid w:val="006729B9"/>
    <w:rsid w:val="00673135"/>
    <w:rsid w:val="006733AA"/>
    <w:rsid w:val="0067341A"/>
    <w:rsid w:val="00677211"/>
    <w:rsid w:val="00680BD1"/>
    <w:rsid w:val="0068182E"/>
    <w:rsid w:val="006831CD"/>
    <w:rsid w:val="00683C0B"/>
    <w:rsid w:val="00684D71"/>
    <w:rsid w:val="00686931"/>
    <w:rsid w:val="006870C8"/>
    <w:rsid w:val="00687553"/>
    <w:rsid w:val="00687E9B"/>
    <w:rsid w:val="00690AC4"/>
    <w:rsid w:val="00690F32"/>
    <w:rsid w:val="00694744"/>
    <w:rsid w:val="00695585"/>
    <w:rsid w:val="00696AF2"/>
    <w:rsid w:val="006971E1"/>
    <w:rsid w:val="00697CA1"/>
    <w:rsid w:val="006A1D01"/>
    <w:rsid w:val="006A2ADC"/>
    <w:rsid w:val="006A3214"/>
    <w:rsid w:val="006A69F6"/>
    <w:rsid w:val="006B037E"/>
    <w:rsid w:val="006B5EE0"/>
    <w:rsid w:val="006B5EEE"/>
    <w:rsid w:val="006B65A3"/>
    <w:rsid w:val="006B789B"/>
    <w:rsid w:val="006B7954"/>
    <w:rsid w:val="006B7C01"/>
    <w:rsid w:val="006B7D3E"/>
    <w:rsid w:val="006C147F"/>
    <w:rsid w:val="006C1A71"/>
    <w:rsid w:val="006C291C"/>
    <w:rsid w:val="006C2EBE"/>
    <w:rsid w:val="006C4163"/>
    <w:rsid w:val="006C55AC"/>
    <w:rsid w:val="006C57F8"/>
    <w:rsid w:val="006C6360"/>
    <w:rsid w:val="006C6BB3"/>
    <w:rsid w:val="006D1EDA"/>
    <w:rsid w:val="006D2191"/>
    <w:rsid w:val="006D3B42"/>
    <w:rsid w:val="006D762D"/>
    <w:rsid w:val="006D770E"/>
    <w:rsid w:val="006D797A"/>
    <w:rsid w:val="006E03B9"/>
    <w:rsid w:val="006E138B"/>
    <w:rsid w:val="006E1A36"/>
    <w:rsid w:val="006E2FCA"/>
    <w:rsid w:val="006E35E6"/>
    <w:rsid w:val="006E43DB"/>
    <w:rsid w:val="006E5D48"/>
    <w:rsid w:val="006E7C93"/>
    <w:rsid w:val="006F1639"/>
    <w:rsid w:val="006F30A8"/>
    <w:rsid w:val="006F4282"/>
    <w:rsid w:val="006F4765"/>
    <w:rsid w:val="006F49FB"/>
    <w:rsid w:val="006F4DDC"/>
    <w:rsid w:val="006F641F"/>
    <w:rsid w:val="006F64ED"/>
    <w:rsid w:val="006F6535"/>
    <w:rsid w:val="006F6A84"/>
    <w:rsid w:val="006F72A9"/>
    <w:rsid w:val="007002D4"/>
    <w:rsid w:val="00701162"/>
    <w:rsid w:val="0070130C"/>
    <w:rsid w:val="0070165B"/>
    <w:rsid w:val="00703A2F"/>
    <w:rsid w:val="00703C9D"/>
    <w:rsid w:val="00705795"/>
    <w:rsid w:val="00705C31"/>
    <w:rsid w:val="00706159"/>
    <w:rsid w:val="00707D26"/>
    <w:rsid w:val="007145A1"/>
    <w:rsid w:val="00715761"/>
    <w:rsid w:val="00715EB8"/>
    <w:rsid w:val="0071686D"/>
    <w:rsid w:val="0071715B"/>
    <w:rsid w:val="00724446"/>
    <w:rsid w:val="0072451D"/>
    <w:rsid w:val="007246E2"/>
    <w:rsid w:val="00724E05"/>
    <w:rsid w:val="00725AF8"/>
    <w:rsid w:val="00726C46"/>
    <w:rsid w:val="00726D73"/>
    <w:rsid w:val="00730FE0"/>
    <w:rsid w:val="00730FFB"/>
    <w:rsid w:val="007315D9"/>
    <w:rsid w:val="00734970"/>
    <w:rsid w:val="00736CC3"/>
    <w:rsid w:val="00737732"/>
    <w:rsid w:val="00741137"/>
    <w:rsid w:val="0074301A"/>
    <w:rsid w:val="00744601"/>
    <w:rsid w:val="00746F84"/>
    <w:rsid w:val="00750007"/>
    <w:rsid w:val="007513A1"/>
    <w:rsid w:val="007518A2"/>
    <w:rsid w:val="007537AA"/>
    <w:rsid w:val="00754B7C"/>
    <w:rsid w:val="00756600"/>
    <w:rsid w:val="00756BA2"/>
    <w:rsid w:val="00757112"/>
    <w:rsid w:val="0075798F"/>
    <w:rsid w:val="007629F6"/>
    <w:rsid w:val="007632B8"/>
    <w:rsid w:val="007633B0"/>
    <w:rsid w:val="0076389C"/>
    <w:rsid w:val="007649B8"/>
    <w:rsid w:val="007679C8"/>
    <w:rsid w:val="00767EA4"/>
    <w:rsid w:val="007744CB"/>
    <w:rsid w:val="00774945"/>
    <w:rsid w:val="00775AA8"/>
    <w:rsid w:val="00776347"/>
    <w:rsid w:val="00776B2D"/>
    <w:rsid w:val="00777942"/>
    <w:rsid w:val="00777D81"/>
    <w:rsid w:val="00780080"/>
    <w:rsid w:val="007836CB"/>
    <w:rsid w:val="00785DD7"/>
    <w:rsid w:val="00792B5B"/>
    <w:rsid w:val="00793D77"/>
    <w:rsid w:val="007950F9"/>
    <w:rsid w:val="00796A6A"/>
    <w:rsid w:val="00797A43"/>
    <w:rsid w:val="00797D5E"/>
    <w:rsid w:val="007A09D9"/>
    <w:rsid w:val="007A430A"/>
    <w:rsid w:val="007A5A38"/>
    <w:rsid w:val="007A71A3"/>
    <w:rsid w:val="007B1369"/>
    <w:rsid w:val="007B23B0"/>
    <w:rsid w:val="007B3368"/>
    <w:rsid w:val="007B513B"/>
    <w:rsid w:val="007B578E"/>
    <w:rsid w:val="007B62B5"/>
    <w:rsid w:val="007C2905"/>
    <w:rsid w:val="007C35B0"/>
    <w:rsid w:val="007C55A5"/>
    <w:rsid w:val="007C6C62"/>
    <w:rsid w:val="007D0736"/>
    <w:rsid w:val="007D08A3"/>
    <w:rsid w:val="007D4840"/>
    <w:rsid w:val="007D53DD"/>
    <w:rsid w:val="007D5F7B"/>
    <w:rsid w:val="007E2292"/>
    <w:rsid w:val="007E2408"/>
    <w:rsid w:val="007E2C94"/>
    <w:rsid w:val="007E4F12"/>
    <w:rsid w:val="007E512D"/>
    <w:rsid w:val="007E5729"/>
    <w:rsid w:val="007E604D"/>
    <w:rsid w:val="007F134C"/>
    <w:rsid w:val="007F40CD"/>
    <w:rsid w:val="007F47E1"/>
    <w:rsid w:val="007F5AAE"/>
    <w:rsid w:val="007F6B41"/>
    <w:rsid w:val="00800015"/>
    <w:rsid w:val="00800A2B"/>
    <w:rsid w:val="00801D08"/>
    <w:rsid w:val="00802CF0"/>
    <w:rsid w:val="00805BC4"/>
    <w:rsid w:val="008061A6"/>
    <w:rsid w:val="008078A8"/>
    <w:rsid w:val="00810201"/>
    <w:rsid w:val="00811201"/>
    <w:rsid w:val="00812296"/>
    <w:rsid w:val="00813775"/>
    <w:rsid w:val="008146C7"/>
    <w:rsid w:val="00814CD7"/>
    <w:rsid w:val="00815F79"/>
    <w:rsid w:val="00816004"/>
    <w:rsid w:val="008204A9"/>
    <w:rsid w:val="00822BD8"/>
    <w:rsid w:val="00822EE1"/>
    <w:rsid w:val="008254A5"/>
    <w:rsid w:val="00825742"/>
    <w:rsid w:val="00830366"/>
    <w:rsid w:val="008320FE"/>
    <w:rsid w:val="00832145"/>
    <w:rsid w:val="008323CA"/>
    <w:rsid w:val="0083242C"/>
    <w:rsid w:val="0083262F"/>
    <w:rsid w:val="00833B7D"/>
    <w:rsid w:val="00835870"/>
    <w:rsid w:val="00841FC5"/>
    <w:rsid w:val="00844745"/>
    <w:rsid w:val="00845CC7"/>
    <w:rsid w:val="00846364"/>
    <w:rsid w:val="00847342"/>
    <w:rsid w:val="00850890"/>
    <w:rsid w:val="00850EAC"/>
    <w:rsid w:val="0085115B"/>
    <w:rsid w:val="00855E30"/>
    <w:rsid w:val="008609B8"/>
    <w:rsid w:val="008611F9"/>
    <w:rsid w:val="008611FB"/>
    <w:rsid w:val="00861B6C"/>
    <w:rsid w:val="008622CA"/>
    <w:rsid w:val="008624AC"/>
    <w:rsid w:val="00862990"/>
    <w:rsid w:val="00863726"/>
    <w:rsid w:val="00863ADE"/>
    <w:rsid w:val="00863F58"/>
    <w:rsid w:val="00864F10"/>
    <w:rsid w:val="00865168"/>
    <w:rsid w:val="008654BA"/>
    <w:rsid w:val="00866510"/>
    <w:rsid w:val="0086729C"/>
    <w:rsid w:val="008700E0"/>
    <w:rsid w:val="008708C7"/>
    <w:rsid w:val="00870A21"/>
    <w:rsid w:val="00871916"/>
    <w:rsid w:val="008740AB"/>
    <w:rsid w:val="0087491F"/>
    <w:rsid w:val="008762A4"/>
    <w:rsid w:val="008766D5"/>
    <w:rsid w:val="00876A9C"/>
    <w:rsid w:val="00876EC6"/>
    <w:rsid w:val="008775FA"/>
    <w:rsid w:val="008805D5"/>
    <w:rsid w:val="00880A2B"/>
    <w:rsid w:val="00880E10"/>
    <w:rsid w:val="0088100B"/>
    <w:rsid w:val="008813F8"/>
    <w:rsid w:val="00881F00"/>
    <w:rsid w:val="00884382"/>
    <w:rsid w:val="008901E6"/>
    <w:rsid w:val="008917F4"/>
    <w:rsid w:val="0089409C"/>
    <w:rsid w:val="00894912"/>
    <w:rsid w:val="008949DC"/>
    <w:rsid w:val="008961E5"/>
    <w:rsid w:val="008969EC"/>
    <w:rsid w:val="00897431"/>
    <w:rsid w:val="008A0038"/>
    <w:rsid w:val="008A1185"/>
    <w:rsid w:val="008A1FDD"/>
    <w:rsid w:val="008A4A5A"/>
    <w:rsid w:val="008A50F7"/>
    <w:rsid w:val="008A668C"/>
    <w:rsid w:val="008B0C13"/>
    <w:rsid w:val="008B1C9E"/>
    <w:rsid w:val="008B2727"/>
    <w:rsid w:val="008B48B9"/>
    <w:rsid w:val="008B4BF5"/>
    <w:rsid w:val="008B4F74"/>
    <w:rsid w:val="008C0171"/>
    <w:rsid w:val="008C0CF9"/>
    <w:rsid w:val="008C1E5F"/>
    <w:rsid w:val="008C3361"/>
    <w:rsid w:val="008C41E3"/>
    <w:rsid w:val="008C6A98"/>
    <w:rsid w:val="008C7ECD"/>
    <w:rsid w:val="008D0725"/>
    <w:rsid w:val="008D4183"/>
    <w:rsid w:val="008D456C"/>
    <w:rsid w:val="008D60DE"/>
    <w:rsid w:val="008D6781"/>
    <w:rsid w:val="008D7620"/>
    <w:rsid w:val="008D79D5"/>
    <w:rsid w:val="008E02E9"/>
    <w:rsid w:val="008E2ED0"/>
    <w:rsid w:val="008E3A22"/>
    <w:rsid w:val="008E5DAF"/>
    <w:rsid w:val="008E75F9"/>
    <w:rsid w:val="008F2E3C"/>
    <w:rsid w:val="008F3209"/>
    <w:rsid w:val="008F3C48"/>
    <w:rsid w:val="008F40C7"/>
    <w:rsid w:val="009005DD"/>
    <w:rsid w:val="009026D6"/>
    <w:rsid w:val="00902875"/>
    <w:rsid w:val="00903E8F"/>
    <w:rsid w:val="009057C5"/>
    <w:rsid w:val="009062BA"/>
    <w:rsid w:val="00907BDD"/>
    <w:rsid w:val="009121CC"/>
    <w:rsid w:val="0091224E"/>
    <w:rsid w:val="00914270"/>
    <w:rsid w:val="00915EEC"/>
    <w:rsid w:val="00917BE5"/>
    <w:rsid w:val="009203CF"/>
    <w:rsid w:val="0092066C"/>
    <w:rsid w:val="00921211"/>
    <w:rsid w:val="00922E04"/>
    <w:rsid w:val="00923525"/>
    <w:rsid w:val="00924FBC"/>
    <w:rsid w:val="009255AF"/>
    <w:rsid w:val="00925F4A"/>
    <w:rsid w:val="009271C8"/>
    <w:rsid w:val="00927B61"/>
    <w:rsid w:val="0093023B"/>
    <w:rsid w:val="009322AF"/>
    <w:rsid w:val="0093353C"/>
    <w:rsid w:val="00934343"/>
    <w:rsid w:val="0093607D"/>
    <w:rsid w:val="0093771D"/>
    <w:rsid w:val="00937740"/>
    <w:rsid w:val="00940A75"/>
    <w:rsid w:val="00941824"/>
    <w:rsid w:val="0094282F"/>
    <w:rsid w:val="009437EE"/>
    <w:rsid w:val="009444F2"/>
    <w:rsid w:val="0094652E"/>
    <w:rsid w:val="009479F2"/>
    <w:rsid w:val="00955877"/>
    <w:rsid w:val="0095728E"/>
    <w:rsid w:val="00962805"/>
    <w:rsid w:val="00965EFF"/>
    <w:rsid w:val="00974716"/>
    <w:rsid w:val="00974A7E"/>
    <w:rsid w:val="009750F2"/>
    <w:rsid w:val="00975E21"/>
    <w:rsid w:val="00977ABA"/>
    <w:rsid w:val="00980434"/>
    <w:rsid w:val="009828D7"/>
    <w:rsid w:val="00984645"/>
    <w:rsid w:val="009847FE"/>
    <w:rsid w:val="00986703"/>
    <w:rsid w:val="0098683D"/>
    <w:rsid w:val="00986C41"/>
    <w:rsid w:val="00987174"/>
    <w:rsid w:val="00992228"/>
    <w:rsid w:val="009937D8"/>
    <w:rsid w:val="00993CE7"/>
    <w:rsid w:val="00994D41"/>
    <w:rsid w:val="0099534F"/>
    <w:rsid w:val="00996AD7"/>
    <w:rsid w:val="00997489"/>
    <w:rsid w:val="009A0134"/>
    <w:rsid w:val="009A3791"/>
    <w:rsid w:val="009B43C9"/>
    <w:rsid w:val="009B4880"/>
    <w:rsid w:val="009B5AF2"/>
    <w:rsid w:val="009C0BC0"/>
    <w:rsid w:val="009C21F8"/>
    <w:rsid w:val="009C37F0"/>
    <w:rsid w:val="009C38E8"/>
    <w:rsid w:val="009C47C3"/>
    <w:rsid w:val="009C4C13"/>
    <w:rsid w:val="009C71AD"/>
    <w:rsid w:val="009C73AD"/>
    <w:rsid w:val="009D0792"/>
    <w:rsid w:val="009D18F8"/>
    <w:rsid w:val="009D2E17"/>
    <w:rsid w:val="009D3D53"/>
    <w:rsid w:val="009D5EFE"/>
    <w:rsid w:val="009D68FB"/>
    <w:rsid w:val="009D7948"/>
    <w:rsid w:val="009E0110"/>
    <w:rsid w:val="009E33E2"/>
    <w:rsid w:val="009E5711"/>
    <w:rsid w:val="009E5CB5"/>
    <w:rsid w:val="009E6677"/>
    <w:rsid w:val="009F0073"/>
    <w:rsid w:val="009F12FA"/>
    <w:rsid w:val="009F314E"/>
    <w:rsid w:val="009F4AF3"/>
    <w:rsid w:val="009F6DC8"/>
    <w:rsid w:val="009F7D39"/>
    <w:rsid w:val="00A00663"/>
    <w:rsid w:val="00A00F19"/>
    <w:rsid w:val="00A035E8"/>
    <w:rsid w:val="00A05D3F"/>
    <w:rsid w:val="00A0719B"/>
    <w:rsid w:val="00A073DE"/>
    <w:rsid w:val="00A07D1C"/>
    <w:rsid w:val="00A12ED6"/>
    <w:rsid w:val="00A13644"/>
    <w:rsid w:val="00A1498F"/>
    <w:rsid w:val="00A159B0"/>
    <w:rsid w:val="00A22AA8"/>
    <w:rsid w:val="00A247DA"/>
    <w:rsid w:val="00A25DC8"/>
    <w:rsid w:val="00A26EAD"/>
    <w:rsid w:val="00A278BF"/>
    <w:rsid w:val="00A30812"/>
    <w:rsid w:val="00A311A9"/>
    <w:rsid w:val="00A313EE"/>
    <w:rsid w:val="00A341D5"/>
    <w:rsid w:val="00A34E57"/>
    <w:rsid w:val="00A362FE"/>
    <w:rsid w:val="00A3644A"/>
    <w:rsid w:val="00A401C3"/>
    <w:rsid w:val="00A425AC"/>
    <w:rsid w:val="00A43DA9"/>
    <w:rsid w:val="00A4525B"/>
    <w:rsid w:val="00A4634E"/>
    <w:rsid w:val="00A469F0"/>
    <w:rsid w:val="00A507F2"/>
    <w:rsid w:val="00A50876"/>
    <w:rsid w:val="00A51DC8"/>
    <w:rsid w:val="00A522EF"/>
    <w:rsid w:val="00A54118"/>
    <w:rsid w:val="00A55961"/>
    <w:rsid w:val="00A56E92"/>
    <w:rsid w:val="00A61D36"/>
    <w:rsid w:val="00A63563"/>
    <w:rsid w:val="00A63A4F"/>
    <w:rsid w:val="00A63E36"/>
    <w:rsid w:val="00A67151"/>
    <w:rsid w:val="00A67976"/>
    <w:rsid w:val="00A67C65"/>
    <w:rsid w:val="00A70844"/>
    <w:rsid w:val="00A71640"/>
    <w:rsid w:val="00A7335F"/>
    <w:rsid w:val="00A74218"/>
    <w:rsid w:val="00A75500"/>
    <w:rsid w:val="00A7629B"/>
    <w:rsid w:val="00A76CB6"/>
    <w:rsid w:val="00A8055E"/>
    <w:rsid w:val="00A810A5"/>
    <w:rsid w:val="00A82B35"/>
    <w:rsid w:val="00A84D97"/>
    <w:rsid w:val="00A84DB7"/>
    <w:rsid w:val="00A86C6B"/>
    <w:rsid w:val="00A874AD"/>
    <w:rsid w:val="00A90A8D"/>
    <w:rsid w:val="00A90F54"/>
    <w:rsid w:val="00A917BF"/>
    <w:rsid w:val="00A91BAD"/>
    <w:rsid w:val="00A91E80"/>
    <w:rsid w:val="00A92FD7"/>
    <w:rsid w:val="00A93CAC"/>
    <w:rsid w:val="00A9432A"/>
    <w:rsid w:val="00A950DD"/>
    <w:rsid w:val="00A95B69"/>
    <w:rsid w:val="00A95FB5"/>
    <w:rsid w:val="00AA0984"/>
    <w:rsid w:val="00AA1F27"/>
    <w:rsid w:val="00AA6DE9"/>
    <w:rsid w:val="00AB1FB3"/>
    <w:rsid w:val="00AB2A07"/>
    <w:rsid w:val="00AB3DCC"/>
    <w:rsid w:val="00AB52FC"/>
    <w:rsid w:val="00AB5BCB"/>
    <w:rsid w:val="00AB7764"/>
    <w:rsid w:val="00AC2909"/>
    <w:rsid w:val="00AC6164"/>
    <w:rsid w:val="00AC63F6"/>
    <w:rsid w:val="00AC7AF1"/>
    <w:rsid w:val="00AC7F83"/>
    <w:rsid w:val="00AD035A"/>
    <w:rsid w:val="00AD0D2C"/>
    <w:rsid w:val="00AD1D6A"/>
    <w:rsid w:val="00AD2716"/>
    <w:rsid w:val="00AD2ED9"/>
    <w:rsid w:val="00AD5969"/>
    <w:rsid w:val="00AD660F"/>
    <w:rsid w:val="00AD733B"/>
    <w:rsid w:val="00AE1EA0"/>
    <w:rsid w:val="00AE3559"/>
    <w:rsid w:val="00AE3F6A"/>
    <w:rsid w:val="00AE4E32"/>
    <w:rsid w:val="00AE5BE4"/>
    <w:rsid w:val="00AE7F45"/>
    <w:rsid w:val="00AE7F7B"/>
    <w:rsid w:val="00AF2CB2"/>
    <w:rsid w:val="00AF2F4B"/>
    <w:rsid w:val="00AF366D"/>
    <w:rsid w:val="00AF3B33"/>
    <w:rsid w:val="00AF6A95"/>
    <w:rsid w:val="00AF79F9"/>
    <w:rsid w:val="00B02715"/>
    <w:rsid w:val="00B037FC"/>
    <w:rsid w:val="00B04B7B"/>
    <w:rsid w:val="00B05839"/>
    <w:rsid w:val="00B068F5"/>
    <w:rsid w:val="00B06A6C"/>
    <w:rsid w:val="00B07477"/>
    <w:rsid w:val="00B111EE"/>
    <w:rsid w:val="00B13F8B"/>
    <w:rsid w:val="00B147E8"/>
    <w:rsid w:val="00B14AC1"/>
    <w:rsid w:val="00B14E4A"/>
    <w:rsid w:val="00B177FD"/>
    <w:rsid w:val="00B17B5F"/>
    <w:rsid w:val="00B2003E"/>
    <w:rsid w:val="00B212F4"/>
    <w:rsid w:val="00B2158C"/>
    <w:rsid w:val="00B22B6B"/>
    <w:rsid w:val="00B30883"/>
    <w:rsid w:val="00B35336"/>
    <w:rsid w:val="00B35474"/>
    <w:rsid w:val="00B41B18"/>
    <w:rsid w:val="00B41B63"/>
    <w:rsid w:val="00B439A7"/>
    <w:rsid w:val="00B44801"/>
    <w:rsid w:val="00B45938"/>
    <w:rsid w:val="00B4640D"/>
    <w:rsid w:val="00B47EE1"/>
    <w:rsid w:val="00B50F21"/>
    <w:rsid w:val="00B52697"/>
    <w:rsid w:val="00B52788"/>
    <w:rsid w:val="00B554F8"/>
    <w:rsid w:val="00B557A9"/>
    <w:rsid w:val="00B569D7"/>
    <w:rsid w:val="00B56F21"/>
    <w:rsid w:val="00B57707"/>
    <w:rsid w:val="00B6073D"/>
    <w:rsid w:val="00B61BC2"/>
    <w:rsid w:val="00B61D0C"/>
    <w:rsid w:val="00B62210"/>
    <w:rsid w:val="00B65827"/>
    <w:rsid w:val="00B6725E"/>
    <w:rsid w:val="00B70948"/>
    <w:rsid w:val="00B71D1B"/>
    <w:rsid w:val="00B740A8"/>
    <w:rsid w:val="00B757E6"/>
    <w:rsid w:val="00B76A47"/>
    <w:rsid w:val="00B772C0"/>
    <w:rsid w:val="00B77F53"/>
    <w:rsid w:val="00B80BFF"/>
    <w:rsid w:val="00B81A4E"/>
    <w:rsid w:val="00B82836"/>
    <w:rsid w:val="00B840FE"/>
    <w:rsid w:val="00B86D02"/>
    <w:rsid w:val="00B87984"/>
    <w:rsid w:val="00B90DAF"/>
    <w:rsid w:val="00B91CC1"/>
    <w:rsid w:val="00B933B9"/>
    <w:rsid w:val="00B9426D"/>
    <w:rsid w:val="00B9517F"/>
    <w:rsid w:val="00B9696C"/>
    <w:rsid w:val="00B97002"/>
    <w:rsid w:val="00BA03DE"/>
    <w:rsid w:val="00BA06F1"/>
    <w:rsid w:val="00BA168A"/>
    <w:rsid w:val="00BA57BA"/>
    <w:rsid w:val="00BB0D1E"/>
    <w:rsid w:val="00BB409A"/>
    <w:rsid w:val="00BB42E4"/>
    <w:rsid w:val="00BB67F2"/>
    <w:rsid w:val="00BC2788"/>
    <w:rsid w:val="00BC3D8E"/>
    <w:rsid w:val="00BD306C"/>
    <w:rsid w:val="00BD5141"/>
    <w:rsid w:val="00BD74D0"/>
    <w:rsid w:val="00BE3899"/>
    <w:rsid w:val="00BE7226"/>
    <w:rsid w:val="00BE754E"/>
    <w:rsid w:val="00BE7B9C"/>
    <w:rsid w:val="00BF1E8C"/>
    <w:rsid w:val="00BF405E"/>
    <w:rsid w:val="00BF4F44"/>
    <w:rsid w:val="00BF50EF"/>
    <w:rsid w:val="00BF5AA6"/>
    <w:rsid w:val="00BF6A59"/>
    <w:rsid w:val="00BF776F"/>
    <w:rsid w:val="00C00C88"/>
    <w:rsid w:val="00C01B43"/>
    <w:rsid w:val="00C020AE"/>
    <w:rsid w:val="00C028AE"/>
    <w:rsid w:val="00C03CCE"/>
    <w:rsid w:val="00C0534F"/>
    <w:rsid w:val="00C06E30"/>
    <w:rsid w:val="00C0791A"/>
    <w:rsid w:val="00C11624"/>
    <w:rsid w:val="00C119F4"/>
    <w:rsid w:val="00C16CD8"/>
    <w:rsid w:val="00C22DBA"/>
    <w:rsid w:val="00C22DBD"/>
    <w:rsid w:val="00C2571E"/>
    <w:rsid w:val="00C27253"/>
    <w:rsid w:val="00C31016"/>
    <w:rsid w:val="00C31302"/>
    <w:rsid w:val="00C328D7"/>
    <w:rsid w:val="00C34B8A"/>
    <w:rsid w:val="00C35726"/>
    <w:rsid w:val="00C41095"/>
    <w:rsid w:val="00C41923"/>
    <w:rsid w:val="00C43635"/>
    <w:rsid w:val="00C468BD"/>
    <w:rsid w:val="00C46D08"/>
    <w:rsid w:val="00C4748A"/>
    <w:rsid w:val="00C50A8B"/>
    <w:rsid w:val="00C50B1E"/>
    <w:rsid w:val="00C515D7"/>
    <w:rsid w:val="00C51A1D"/>
    <w:rsid w:val="00C528A2"/>
    <w:rsid w:val="00C548DB"/>
    <w:rsid w:val="00C54E8C"/>
    <w:rsid w:val="00C55201"/>
    <w:rsid w:val="00C5520A"/>
    <w:rsid w:val="00C56172"/>
    <w:rsid w:val="00C5675A"/>
    <w:rsid w:val="00C61F75"/>
    <w:rsid w:val="00C65562"/>
    <w:rsid w:val="00C65680"/>
    <w:rsid w:val="00C678F2"/>
    <w:rsid w:val="00C7162E"/>
    <w:rsid w:val="00C71D73"/>
    <w:rsid w:val="00C726A6"/>
    <w:rsid w:val="00C732B4"/>
    <w:rsid w:val="00C73AE1"/>
    <w:rsid w:val="00C76BD4"/>
    <w:rsid w:val="00C81982"/>
    <w:rsid w:val="00C82705"/>
    <w:rsid w:val="00C827ED"/>
    <w:rsid w:val="00C82880"/>
    <w:rsid w:val="00C833BB"/>
    <w:rsid w:val="00C83EEC"/>
    <w:rsid w:val="00C8546D"/>
    <w:rsid w:val="00C874DB"/>
    <w:rsid w:val="00C87924"/>
    <w:rsid w:val="00C87AA1"/>
    <w:rsid w:val="00C90C6D"/>
    <w:rsid w:val="00C92479"/>
    <w:rsid w:val="00C924FE"/>
    <w:rsid w:val="00C95108"/>
    <w:rsid w:val="00CA1439"/>
    <w:rsid w:val="00CA2299"/>
    <w:rsid w:val="00CA2F9D"/>
    <w:rsid w:val="00CA3071"/>
    <w:rsid w:val="00CA3DC1"/>
    <w:rsid w:val="00CA475A"/>
    <w:rsid w:val="00CA54AC"/>
    <w:rsid w:val="00CA7A9A"/>
    <w:rsid w:val="00CA7E39"/>
    <w:rsid w:val="00CB1FD7"/>
    <w:rsid w:val="00CB2619"/>
    <w:rsid w:val="00CB2ACF"/>
    <w:rsid w:val="00CB3760"/>
    <w:rsid w:val="00CB6EDD"/>
    <w:rsid w:val="00CB7939"/>
    <w:rsid w:val="00CC0B98"/>
    <w:rsid w:val="00CC33B9"/>
    <w:rsid w:val="00CC3B6A"/>
    <w:rsid w:val="00CC4DCA"/>
    <w:rsid w:val="00CC5F90"/>
    <w:rsid w:val="00CC6AC9"/>
    <w:rsid w:val="00CD0EE0"/>
    <w:rsid w:val="00CD2174"/>
    <w:rsid w:val="00CD2D84"/>
    <w:rsid w:val="00CD3BDF"/>
    <w:rsid w:val="00CD3F34"/>
    <w:rsid w:val="00CD404A"/>
    <w:rsid w:val="00CD4C5E"/>
    <w:rsid w:val="00CE2538"/>
    <w:rsid w:val="00CE45F5"/>
    <w:rsid w:val="00CE4A57"/>
    <w:rsid w:val="00CE4DF8"/>
    <w:rsid w:val="00CE6D4F"/>
    <w:rsid w:val="00CE7220"/>
    <w:rsid w:val="00CF0851"/>
    <w:rsid w:val="00CF0BBE"/>
    <w:rsid w:val="00CF1C66"/>
    <w:rsid w:val="00CF5772"/>
    <w:rsid w:val="00CF6418"/>
    <w:rsid w:val="00CF6B8F"/>
    <w:rsid w:val="00CF749C"/>
    <w:rsid w:val="00CF7514"/>
    <w:rsid w:val="00CF7DF2"/>
    <w:rsid w:val="00D00F1A"/>
    <w:rsid w:val="00D03875"/>
    <w:rsid w:val="00D05B6F"/>
    <w:rsid w:val="00D07439"/>
    <w:rsid w:val="00D07581"/>
    <w:rsid w:val="00D11962"/>
    <w:rsid w:val="00D16084"/>
    <w:rsid w:val="00D161AB"/>
    <w:rsid w:val="00D16386"/>
    <w:rsid w:val="00D1688A"/>
    <w:rsid w:val="00D169FD"/>
    <w:rsid w:val="00D16DC9"/>
    <w:rsid w:val="00D16F5C"/>
    <w:rsid w:val="00D17492"/>
    <w:rsid w:val="00D2079E"/>
    <w:rsid w:val="00D20881"/>
    <w:rsid w:val="00D217EC"/>
    <w:rsid w:val="00D21E60"/>
    <w:rsid w:val="00D221CD"/>
    <w:rsid w:val="00D22C17"/>
    <w:rsid w:val="00D22F0F"/>
    <w:rsid w:val="00D22FF9"/>
    <w:rsid w:val="00D2362F"/>
    <w:rsid w:val="00D23C48"/>
    <w:rsid w:val="00D23DBB"/>
    <w:rsid w:val="00D247B4"/>
    <w:rsid w:val="00D256E8"/>
    <w:rsid w:val="00D26F75"/>
    <w:rsid w:val="00D27E32"/>
    <w:rsid w:val="00D31330"/>
    <w:rsid w:val="00D31E6F"/>
    <w:rsid w:val="00D33DC4"/>
    <w:rsid w:val="00D36B52"/>
    <w:rsid w:val="00D3711F"/>
    <w:rsid w:val="00D41208"/>
    <w:rsid w:val="00D41DD8"/>
    <w:rsid w:val="00D42A98"/>
    <w:rsid w:val="00D44DBE"/>
    <w:rsid w:val="00D47689"/>
    <w:rsid w:val="00D50422"/>
    <w:rsid w:val="00D5164F"/>
    <w:rsid w:val="00D53015"/>
    <w:rsid w:val="00D54217"/>
    <w:rsid w:val="00D55303"/>
    <w:rsid w:val="00D55863"/>
    <w:rsid w:val="00D575C3"/>
    <w:rsid w:val="00D6095B"/>
    <w:rsid w:val="00D60DC9"/>
    <w:rsid w:val="00D657D5"/>
    <w:rsid w:val="00D66838"/>
    <w:rsid w:val="00D66EF7"/>
    <w:rsid w:val="00D70269"/>
    <w:rsid w:val="00D713B6"/>
    <w:rsid w:val="00D71831"/>
    <w:rsid w:val="00D728B9"/>
    <w:rsid w:val="00D72AA6"/>
    <w:rsid w:val="00D743F4"/>
    <w:rsid w:val="00D76EA6"/>
    <w:rsid w:val="00D777EF"/>
    <w:rsid w:val="00D8029E"/>
    <w:rsid w:val="00D858B8"/>
    <w:rsid w:val="00D8647D"/>
    <w:rsid w:val="00D91E22"/>
    <w:rsid w:val="00D91EAA"/>
    <w:rsid w:val="00D920AE"/>
    <w:rsid w:val="00D95CEE"/>
    <w:rsid w:val="00D960BC"/>
    <w:rsid w:val="00D9736A"/>
    <w:rsid w:val="00D978A5"/>
    <w:rsid w:val="00DA042C"/>
    <w:rsid w:val="00DA06D0"/>
    <w:rsid w:val="00DA534E"/>
    <w:rsid w:val="00DA5387"/>
    <w:rsid w:val="00DA612A"/>
    <w:rsid w:val="00DA6156"/>
    <w:rsid w:val="00DA72C2"/>
    <w:rsid w:val="00DB00F8"/>
    <w:rsid w:val="00DB19B9"/>
    <w:rsid w:val="00DB285D"/>
    <w:rsid w:val="00DB2BD4"/>
    <w:rsid w:val="00DB34FD"/>
    <w:rsid w:val="00DB38E4"/>
    <w:rsid w:val="00DB5D25"/>
    <w:rsid w:val="00DB60A4"/>
    <w:rsid w:val="00DB6367"/>
    <w:rsid w:val="00DB7444"/>
    <w:rsid w:val="00DC00DD"/>
    <w:rsid w:val="00DC01EF"/>
    <w:rsid w:val="00DC1237"/>
    <w:rsid w:val="00DC1498"/>
    <w:rsid w:val="00DC260E"/>
    <w:rsid w:val="00DC322A"/>
    <w:rsid w:val="00DC524A"/>
    <w:rsid w:val="00DC6B1D"/>
    <w:rsid w:val="00DD2353"/>
    <w:rsid w:val="00DD2A00"/>
    <w:rsid w:val="00DD2BAD"/>
    <w:rsid w:val="00DD7087"/>
    <w:rsid w:val="00DD75A2"/>
    <w:rsid w:val="00DE0314"/>
    <w:rsid w:val="00DE1018"/>
    <w:rsid w:val="00DE11D6"/>
    <w:rsid w:val="00DE1BA6"/>
    <w:rsid w:val="00DE2A98"/>
    <w:rsid w:val="00DE2D59"/>
    <w:rsid w:val="00DE2DCD"/>
    <w:rsid w:val="00DE317F"/>
    <w:rsid w:val="00DE3B18"/>
    <w:rsid w:val="00DE49D5"/>
    <w:rsid w:val="00DE4E12"/>
    <w:rsid w:val="00DE5129"/>
    <w:rsid w:val="00DE57F6"/>
    <w:rsid w:val="00DE59AC"/>
    <w:rsid w:val="00DE5A2E"/>
    <w:rsid w:val="00DE67E9"/>
    <w:rsid w:val="00DF142E"/>
    <w:rsid w:val="00DF1FA3"/>
    <w:rsid w:val="00DF31F2"/>
    <w:rsid w:val="00DF330F"/>
    <w:rsid w:val="00DF56EC"/>
    <w:rsid w:val="00DF5E93"/>
    <w:rsid w:val="00DF68DF"/>
    <w:rsid w:val="00E00D52"/>
    <w:rsid w:val="00E02236"/>
    <w:rsid w:val="00E02D6A"/>
    <w:rsid w:val="00E03911"/>
    <w:rsid w:val="00E03BD0"/>
    <w:rsid w:val="00E03E19"/>
    <w:rsid w:val="00E04F77"/>
    <w:rsid w:val="00E055B3"/>
    <w:rsid w:val="00E072ED"/>
    <w:rsid w:val="00E07C68"/>
    <w:rsid w:val="00E118B7"/>
    <w:rsid w:val="00E12FFA"/>
    <w:rsid w:val="00E1334F"/>
    <w:rsid w:val="00E15894"/>
    <w:rsid w:val="00E1632B"/>
    <w:rsid w:val="00E16484"/>
    <w:rsid w:val="00E17038"/>
    <w:rsid w:val="00E2065E"/>
    <w:rsid w:val="00E23F74"/>
    <w:rsid w:val="00E24960"/>
    <w:rsid w:val="00E24B6C"/>
    <w:rsid w:val="00E25297"/>
    <w:rsid w:val="00E25E01"/>
    <w:rsid w:val="00E26417"/>
    <w:rsid w:val="00E26735"/>
    <w:rsid w:val="00E26D59"/>
    <w:rsid w:val="00E2708C"/>
    <w:rsid w:val="00E27115"/>
    <w:rsid w:val="00E272AD"/>
    <w:rsid w:val="00E27302"/>
    <w:rsid w:val="00E31231"/>
    <w:rsid w:val="00E32AB3"/>
    <w:rsid w:val="00E3305C"/>
    <w:rsid w:val="00E3324E"/>
    <w:rsid w:val="00E34C2C"/>
    <w:rsid w:val="00E35DAE"/>
    <w:rsid w:val="00E36432"/>
    <w:rsid w:val="00E374B2"/>
    <w:rsid w:val="00E4140E"/>
    <w:rsid w:val="00E414EC"/>
    <w:rsid w:val="00E41783"/>
    <w:rsid w:val="00E4472E"/>
    <w:rsid w:val="00E45808"/>
    <w:rsid w:val="00E45CFB"/>
    <w:rsid w:val="00E478B9"/>
    <w:rsid w:val="00E5039F"/>
    <w:rsid w:val="00E51563"/>
    <w:rsid w:val="00E51945"/>
    <w:rsid w:val="00E52623"/>
    <w:rsid w:val="00E52BB5"/>
    <w:rsid w:val="00E547CB"/>
    <w:rsid w:val="00E57B0C"/>
    <w:rsid w:val="00E61710"/>
    <w:rsid w:val="00E638CD"/>
    <w:rsid w:val="00E63AE0"/>
    <w:rsid w:val="00E661E4"/>
    <w:rsid w:val="00E66752"/>
    <w:rsid w:val="00E6739B"/>
    <w:rsid w:val="00E70457"/>
    <w:rsid w:val="00E704E3"/>
    <w:rsid w:val="00E719A3"/>
    <w:rsid w:val="00E72301"/>
    <w:rsid w:val="00E73B03"/>
    <w:rsid w:val="00E75CE4"/>
    <w:rsid w:val="00E7609E"/>
    <w:rsid w:val="00E7617A"/>
    <w:rsid w:val="00E76E4F"/>
    <w:rsid w:val="00E776C7"/>
    <w:rsid w:val="00E81A62"/>
    <w:rsid w:val="00E844B2"/>
    <w:rsid w:val="00E851F9"/>
    <w:rsid w:val="00E86423"/>
    <w:rsid w:val="00E91415"/>
    <w:rsid w:val="00E93F66"/>
    <w:rsid w:val="00E944CA"/>
    <w:rsid w:val="00E95942"/>
    <w:rsid w:val="00E959EC"/>
    <w:rsid w:val="00E96384"/>
    <w:rsid w:val="00E96AFE"/>
    <w:rsid w:val="00EA01F7"/>
    <w:rsid w:val="00EA72F7"/>
    <w:rsid w:val="00EA73B0"/>
    <w:rsid w:val="00EA7794"/>
    <w:rsid w:val="00EA7B19"/>
    <w:rsid w:val="00EA7B78"/>
    <w:rsid w:val="00EB0A7D"/>
    <w:rsid w:val="00EB0FD1"/>
    <w:rsid w:val="00EB11C6"/>
    <w:rsid w:val="00EB26BE"/>
    <w:rsid w:val="00EB50B7"/>
    <w:rsid w:val="00EB5AA4"/>
    <w:rsid w:val="00EB73E0"/>
    <w:rsid w:val="00EC20A5"/>
    <w:rsid w:val="00EC442B"/>
    <w:rsid w:val="00EC695F"/>
    <w:rsid w:val="00EC6C43"/>
    <w:rsid w:val="00EC75A5"/>
    <w:rsid w:val="00EC7E54"/>
    <w:rsid w:val="00ED08DD"/>
    <w:rsid w:val="00ED0D92"/>
    <w:rsid w:val="00ED1C2E"/>
    <w:rsid w:val="00EE02D7"/>
    <w:rsid w:val="00EE0946"/>
    <w:rsid w:val="00EE17B0"/>
    <w:rsid w:val="00EE2C3C"/>
    <w:rsid w:val="00EE3DD3"/>
    <w:rsid w:val="00EE6FF5"/>
    <w:rsid w:val="00EF164E"/>
    <w:rsid w:val="00EF462B"/>
    <w:rsid w:val="00EF4D29"/>
    <w:rsid w:val="00F0249C"/>
    <w:rsid w:val="00F05A32"/>
    <w:rsid w:val="00F129D4"/>
    <w:rsid w:val="00F144E3"/>
    <w:rsid w:val="00F16555"/>
    <w:rsid w:val="00F16630"/>
    <w:rsid w:val="00F1787A"/>
    <w:rsid w:val="00F17D63"/>
    <w:rsid w:val="00F20C8C"/>
    <w:rsid w:val="00F20FA4"/>
    <w:rsid w:val="00F216FB"/>
    <w:rsid w:val="00F23D8C"/>
    <w:rsid w:val="00F30B03"/>
    <w:rsid w:val="00F30EE1"/>
    <w:rsid w:val="00F32357"/>
    <w:rsid w:val="00F33033"/>
    <w:rsid w:val="00F344FB"/>
    <w:rsid w:val="00F3489D"/>
    <w:rsid w:val="00F35E4A"/>
    <w:rsid w:val="00F37199"/>
    <w:rsid w:val="00F40E22"/>
    <w:rsid w:val="00F41CEA"/>
    <w:rsid w:val="00F424E5"/>
    <w:rsid w:val="00F42824"/>
    <w:rsid w:val="00F430AA"/>
    <w:rsid w:val="00F43A25"/>
    <w:rsid w:val="00F44C4E"/>
    <w:rsid w:val="00F44CB2"/>
    <w:rsid w:val="00F451C4"/>
    <w:rsid w:val="00F46082"/>
    <w:rsid w:val="00F50745"/>
    <w:rsid w:val="00F50CCD"/>
    <w:rsid w:val="00F53C34"/>
    <w:rsid w:val="00F543E4"/>
    <w:rsid w:val="00F55118"/>
    <w:rsid w:val="00F56441"/>
    <w:rsid w:val="00F60F79"/>
    <w:rsid w:val="00F611EC"/>
    <w:rsid w:val="00F61592"/>
    <w:rsid w:val="00F67F16"/>
    <w:rsid w:val="00F7092F"/>
    <w:rsid w:val="00F70C29"/>
    <w:rsid w:val="00F7178D"/>
    <w:rsid w:val="00F718D3"/>
    <w:rsid w:val="00F71B34"/>
    <w:rsid w:val="00F72486"/>
    <w:rsid w:val="00F73059"/>
    <w:rsid w:val="00F74F98"/>
    <w:rsid w:val="00F770C7"/>
    <w:rsid w:val="00F77388"/>
    <w:rsid w:val="00F83390"/>
    <w:rsid w:val="00F84ADE"/>
    <w:rsid w:val="00F85945"/>
    <w:rsid w:val="00F85D66"/>
    <w:rsid w:val="00F85D7F"/>
    <w:rsid w:val="00F91683"/>
    <w:rsid w:val="00F93B19"/>
    <w:rsid w:val="00F957C6"/>
    <w:rsid w:val="00F95ACD"/>
    <w:rsid w:val="00F961C8"/>
    <w:rsid w:val="00F96BA6"/>
    <w:rsid w:val="00F97CB4"/>
    <w:rsid w:val="00F97E35"/>
    <w:rsid w:val="00FA20E0"/>
    <w:rsid w:val="00FA33D0"/>
    <w:rsid w:val="00FA43A8"/>
    <w:rsid w:val="00FA451A"/>
    <w:rsid w:val="00FA4ED8"/>
    <w:rsid w:val="00FA5470"/>
    <w:rsid w:val="00FA73A9"/>
    <w:rsid w:val="00FA7EED"/>
    <w:rsid w:val="00FB00EB"/>
    <w:rsid w:val="00FB1FB4"/>
    <w:rsid w:val="00FB4034"/>
    <w:rsid w:val="00FB5AB6"/>
    <w:rsid w:val="00FB5E5C"/>
    <w:rsid w:val="00FB6239"/>
    <w:rsid w:val="00FB6C27"/>
    <w:rsid w:val="00FB7C6F"/>
    <w:rsid w:val="00FB7FE5"/>
    <w:rsid w:val="00FC226C"/>
    <w:rsid w:val="00FC2B0A"/>
    <w:rsid w:val="00FC341B"/>
    <w:rsid w:val="00FC4AE6"/>
    <w:rsid w:val="00FC5DB4"/>
    <w:rsid w:val="00FC6FA2"/>
    <w:rsid w:val="00FD1165"/>
    <w:rsid w:val="00FD270D"/>
    <w:rsid w:val="00FD4B3A"/>
    <w:rsid w:val="00FD4EC1"/>
    <w:rsid w:val="00FD5EFD"/>
    <w:rsid w:val="00FD7894"/>
    <w:rsid w:val="00FE1315"/>
    <w:rsid w:val="00FE2B0B"/>
    <w:rsid w:val="00FE2D7A"/>
    <w:rsid w:val="00FF4C64"/>
    <w:rsid w:val="00FF5C14"/>
    <w:rsid w:val="00FF65E6"/>
    <w:rsid w:val="00FF6713"/>
    <w:rsid w:val="00FF6CCB"/>
    <w:rsid w:val="43ED3FB5"/>
    <w:rsid w:val="74ACE1A8"/>
    <w:rsid w:val="774F5266"/>
    <w:rsid w:val="77FC17ED"/>
    <w:rsid w:val="7EDA795E"/>
    <w:rsid w:val="ED7DC2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29"/>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2"/>
    <w:qFormat/>
    <w:uiPriority w:val="0"/>
    <w:pPr>
      <w:keepNext/>
      <w:keepLines/>
      <w:outlineLvl w:val="1"/>
    </w:pPr>
    <w:rPr>
      <w:rFonts w:ascii="Arial" w:hAnsi="Arial"/>
      <w:b/>
      <w:sz w:val="28"/>
    </w:rPr>
  </w:style>
  <w:style w:type="paragraph" w:styleId="4">
    <w:name w:val="heading 3"/>
    <w:basedOn w:val="1"/>
    <w:next w:val="1"/>
    <w:link w:val="23"/>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7">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2"/>
    <w:unhideWhenUsed/>
    <w:qFormat/>
    <w:uiPriority w:val="99"/>
    <w:pPr>
      <w:jc w:val="left"/>
    </w:pPr>
  </w:style>
  <w:style w:type="paragraph" w:styleId="7">
    <w:name w:val="Balloon Text"/>
    <w:basedOn w:val="1"/>
    <w:link w:val="49"/>
    <w:semiHidden/>
    <w:unhideWhenUsed/>
    <w:qFormat/>
    <w:uiPriority w:val="99"/>
    <w:pPr>
      <w:spacing w:line="240" w:lineRule="auto"/>
    </w:pPr>
    <w:rPr>
      <w:sz w:val="18"/>
      <w:szCs w:val="18"/>
    </w:rPr>
  </w:style>
  <w:style w:type="paragraph" w:styleId="8">
    <w:name w:val="footer"/>
    <w:basedOn w:val="1"/>
    <w:link w:val="27"/>
    <w:unhideWhenUsed/>
    <w:qFormat/>
    <w:uiPriority w:val="99"/>
    <w:pPr>
      <w:tabs>
        <w:tab w:val="center" w:pos="4153"/>
        <w:tab w:val="right" w:pos="8306"/>
      </w:tabs>
      <w:snapToGrid w:val="0"/>
      <w:spacing w:line="240" w:lineRule="auto"/>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0">
    <w:name w:val="toc 1"/>
    <w:basedOn w:val="1"/>
    <w:next w:val="1"/>
    <w:unhideWhenUsed/>
    <w:qFormat/>
    <w:uiPriority w:val="39"/>
    <w:pPr>
      <w:tabs>
        <w:tab w:val="right" w:leader="dot" w:pos="8296"/>
      </w:tabs>
      <w:spacing w:line="560" w:lineRule="exact"/>
    </w:pPr>
    <w:rPr>
      <w:b/>
      <w:bCs/>
      <w:sz w:val="32"/>
    </w:rPr>
  </w:style>
  <w:style w:type="paragraph" w:styleId="11">
    <w:name w:val="footnote text"/>
    <w:basedOn w:val="1"/>
    <w:link w:val="31"/>
    <w:semiHidden/>
    <w:unhideWhenUsed/>
    <w:qFormat/>
    <w:uiPriority w:val="99"/>
    <w:pPr>
      <w:snapToGrid w:val="0"/>
      <w:jc w:val="left"/>
    </w:pPr>
    <w:rPr>
      <w:sz w:val="18"/>
      <w:szCs w:val="18"/>
    </w:rPr>
  </w:style>
  <w:style w:type="paragraph" w:styleId="12">
    <w:name w:val="toc 2"/>
    <w:basedOn w:val="1"/>
    <w:next w:val="1"/>
    <w:unhideWhenUsed/>
    <w:qFormat/>
    <w:uiPriority w:val="39"/>
    <w:pPr>
      <w:spacing w:line="560" w:lineRule="exact"/>
      <w:ind w:left="200" w:leftChars="200"/>
    </w:pPr>
    <w:rPr>
      <w:sz w:val="32"/>
    </w:rPr>
  </w:style>
  <w:style w:type="paragraph" w:styleId="13">
    <w:name w:val="Normal (Web)"/>
    <w:basedOn w:val="1"/>
    <w:semiHidden/>
    <w:unhideWhenUsed/>
    <w:qFormat/>
    <w:uiPriority w:val="99"/>
    <w:rPr>
      <w:szCs w:val="24"/>
    </w:rPr>
  </w:style>
  <w:style w:type="paragraph" w:styleId="14">
    <w:name w:val="annotation subject"/>
    <w:basedOn w:val="6"/>
    <w:next w:val="6"/>
    <w:link w:val="33"/>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FollowedHyperlink"/>
    <w:basedOn w:val="17"/>
    <w:semiHidden/>
    <w:unhideWhenUsed/>
    <w:qFormat/>
    <w:uiPriority w:val="99"/>
    <w:rPr>
      <w:color w:val="FF00FF"/>
      <w:u w:val="single"/>
    </w:rPr>
  </w:style>
  <w:style w:type="character" w:styleId="19">
    <w:name w:val="Hyperlink"/>
    <w:basedOn w:val="17"/>
    <w:unhideWhenUsed/>
    <w:qFormat/>
    <w:uiPriority w:val="99"/>
    <w:rPr>
      <w:color w:val="0563C1" w:themeColor="hyperlink"/>
      <w:u w:val="single"/>
      <w14:textFill>
        <w14:solidFill>
          <w14:schemeClr w14:val="hlink"/>
        </w14:solidFill>
      </w14:textFill>
    </w:rPr>
  </w:style>
  <w:style w:type="character" w:styleId="20">
    <w:name w:val="annotation reference"/>
    <w:basedOn w:val="17"/>
    <w:semiHidden/>
    <w:unhideWhenUsed/>
    <w:qFormat/>
    <w:uiPriority w:val="99"/>
    <w:rPr>
      <w:sz w:val="21"/>
      <w:szCs w:val="21"/>
    </w:rPr>
  </w:style>
  <w:style w:type="character" w:styleId="21">
    <w:name w:val="footnote reference"/>
    <w:basedOn w:val="17"/>
    <w:semiHidden/>
    <w:unhideWhenUsed/>
    <w:qFormat/>
    <w:uiPriority w:val="99"/>
    <w:rPr>
      <w:vertAlign w:val="superscript"/>
    </w:rPr>
  </w:style>
  <w:style w:type="character" w:customStyle="1" w:styleId="22">
    <w:name w:val="标题 2 字符"/>
    <w:basedOn w:val="17"/>
    <w:link w:val="3"/>
    <w:qFormat/>
    <w:uiPriority w:val="0"/>
    <w:rPr>
      <w:rFonts w:ascii="Arial" w:hAnsi="Arial" w:eastAsia="仿宋_GB2312" w:cs="Times New Roman"/>
      <w:b/>
      <w:sz w:val="28"/>
      <w:szCs w:val="20"/>
    </w:rPr>
  </w:style>
  <w:style w:type="character" w:customStyle="1" w:styleId="23">
    <w:name w:val="标题 3 字符"/>
    <w:basedOn w:val="17"/>
    <w:link w:val="4"/>
    <w:qFormat/>
    <w:uiPriority w:val="9"/>
    <w:rPr>
      <w:rFonts w:ascii="Times New Roman" w:hAnsi="Times New Roman" w:eastAsia="仿宋_GB2312" w:cs="Times New Roman"/>
      <w:b/>
      <w:bCs/>
      <w:sz w:val="32"/>
      <w:szCs w:val="32"/>
    </w:rPr>
  </w:style>
  <w:style w:type="paragraph" w:styleId="24">
    <w:name w:val="List Paragraph"/>
    <w:basedOn w:val="1"/>
    <w:qFormat/>
    <w:uiPriority w:val="34"/>
    <w:pPr>
      <w:spacing w:line="240" w:lineRule="auto"/>
      <w:ind w:firstLine="420"/>
    </w:pPr>
    <w:rPr>
      <w:rFonts w:ascii="Calibri" w:hAnsi="Calibri"/>
      <w:szCs w:val="22"/>
    </w:rPr>
  </w:style>
  <w:style w:type="paragraph" w:customStyle="1" w:styleId="25">
    <w:name w:val="正文1"/>
    <w:qFormat/>
    <w:uiPriority w:val="0"/>
    <w:pPr>
      <w:widowControl w:val="0"/>
      <w:snapToGrid w:val="0"/>
      <w:spacing w:line="360" w:lineRule="auto"/>
      <w:jc w:val="both"/>
    </w:pPr>
    <w:rPr>
      <w:rFonts w:hint="eastAsia" w:ascii="Times New Roman" w:hAnsi="Times New Roman" w:eastAsia="宋体" w:cs="Times New Roman"/>
      <w:sz w:val="21"/>
      <w:lang w:val="en-US" w:eastAsia="zh-CN" w:bidi="ar-SA"/>
    </w:rPr>
  </w:style>
  <w:style w:type="character" w:customStyle="1" w:styleId="26">
    <w:name w:val="页眉 字符"/>
    <w:basedOn w:val="17"/>
    <w:link w:val="9"/>
    <w:qFormat/>
    <w:uiPriority w:val="99"/>
    <w:rPr>
      <w:rFonts w:ascii="Times New Roman" w:hAnsi="Times New Roman" w:eastAsia="仿宋_GB2312" w:cs="Times New Roman"/>
      <w:sz w:val="18"/>
      <w:szCs w:val="18"/>
    </w:rPr>
  </w:style>
  <w:style w:type="character" w:customStyle="1" w:styleId="27">
    <w:name w:val="页脚 字符"/>
    <w:basedOn w:val="17"/>
    <w:link w:val="8"/>
    <w:qFormat/>
    <w:uiPriority w:val="99"/>
    <w:rPr>
      <w:rFonts w:ascii="Times New Roman" w:hAnsi="Times New Roman" w:eastAsia="仿宋_GB2312" w:cs="Times New Roman"/>
      <w:sz w:val="18"/>
      <w:szCs w:val="18"/>
    </w:rPr>
  </w:style>
  <w:style w:type="character" w:customStyle="1" w:styleId="28">
    <w:name w:val="标题 4 字符"/>
    <w:basedOn w:val="17"/>
    <w:link w:val="5"/>
    <w:semiHidden/>
    <w:qFormat/>
    <w:uiPriority w:val="9"/>
    <w:rPr>
      <w:rFonts w:asciiTheme="majorHAnsi" w:hAnsiTheme="majorHAnsi" w:eastAsiaTheme="majorEastAsia" w:cstheme="majorBidi"/>
      <w:b/>
      <w:bCs/>
      <w:kern w:val="2"/>
      <w:sz w:val="28"/>
      <w:szCs w:val="28"/>
    </w:rPr>
  </w:style>
  <w:style w:type="character" w:customStyle="1" w:styleId="29">
    <w:name w:val="标题 1 字符"/>
    <w:basedOn w:val="17"/>
    <w:link w:val="2"/>
    <w:qFormat/>
    <w:uiPriority w:val="9"/>
    <w:rPr>
      <w:rFonts w:ascii="Times New Roman" w:hAnsi="Times New Roman" w:eastAsia="仿宋_GB2312" w:cs="Times New Roman"/>
      <w:b/>
      <w:bCs/>
      <w:kern w:val="44"/>
      <w:sz w:val="44"/>
      <w:szCs w:val="44"/>
    </w:rPr>
  </w:style>
  <w:style w:type="paragraph" w:customStyle="1" w:styleId="30">
    <w:name w:val="修订1"/>
    <w:hidden/>
    <w:unhideWhenUsed/>
    <w:qFormat/>
    <w:uiPriority w:val="99"/>
    <w:rPr>
      <w:rFonts w:ascii="Times New Roman" w:hAnsi="Times New Roman" w:eastAsia="仿宋_GB2312" w:cs="Times New Roman"/>
      <w:kern w:val="2"/>
      <w:sz w:val="24"/>
      <w:lang w:val="en-US" w:eastAsia="zh-CN" w:bidi="ar-SA"/>
    </w:rPr>
  </w:style>
  <w:style w:type="character" w:customStyle="1" w:styleId="31">
    <w:name w:val="脚注文本 字符"/>
    <w:basedOn w:val="17"/>
    <w:link w:val="11"/>
    <w:semiHidden/>
    <w:qFormat/>
    <w:uiPriority w:val="99"/>
    <w:rPr>
      <w:rFonts w:ascii="Times New Roman" w:hAnsi="Times New Roman" w:eastAsia="仿宋_GB2312" w:cs="Times New Roman"/>
      <w:kern w:val="2"/>
      <w:sz w:val="18"/>
      <w:szCs w:val="18"/>
    </w:rPr>
  </w:style>
  <w:style w:type="character" w:customStyle="1" w:styleId="32">
    <w:name w:val="批注文字 字符"/>
    <w:basedOn w:val="17"/>
    <w:link w:val="6"/>
    <w:qFormat/>
    <w:uiPriority w:val="99"/>
    <w:rPr>
      <w:rFonts w:ascii="Times New Roman" w:hAnsi="Times New Roman" w:eastAsia="仿宋_GB2312" w:cs="Times New Roman"/>
      <w:kern w:val="2"/>
      <w:sz w:val="24"/>
    </w:rPr>
  </w:style>
  <w:style w:type="character" w:customStyle="1" w:styleId="33">
    <w:name w:val="批注主题 字符"/>
    <w:basedOn w:val="32"/>
    <w:link w:val="14"/>
    <w:semiHidden/>
    <w:qFormat/>
    <w:uiPriority w:val="99"/>
    <w:rPr>
      <w:rFonts w:ascii="Times New Roman" w:hAnsi="Times New Roman" w:eastAsia="仿宋_GB2312" w:cs="Times New Roman"/>
      <w:b/>
      <w:bCs/>
      <w:kern w:val="2"/>
      <w:sz w:val="24"/>
    </w:rPr>
  </w:style>
  <w:style w:type="paragraph" w:customStyle="1" w:styleId="34">
    <w:name w:val="5.SG 正文"/>
    <w:basedOn w:val="13"/>
    <w:link w:val="35"/>
    <w:qFormat/>
    <w:uiPriority w:val="0"/>
    <w:pPr>
      <w:spacing w:line="560" w:lineRule="exact"/>
      <w:ind w:firstLine="200" w:firstLineChars="200"/>
    </w:pPr>
    <w:rPr>
      <w:kern w:val="0"/>
      <w:sz w:val="32"/>
      <w:szCs w:val="32"/>
    </w:rPr>
  </w:style>
  <w:style w:type="character" w:customStyle="1" w:styleId="35">
    <w:name w:val="5.SG 正文 字符"/>
    <w:basedOn w:val="17"/>
    <w:link w:val="34"/>
    <w:qFormat/>
    <w:uiPriority w:val="0"/>
    <w:rPr>
      <w:rFonts w:ascii="Times New Roman" w:hAnsi="Times New Roman" w:eastAsia="仿宋_GB2312" w:cs="Times New Roman"/>
      <w:sz w:val="32"/>
      <w:szCs w:val="32"/>
    </w:rPr>
  </w:style>
  <w:style w:type="paragraph" w:customStyle="1" w:styleId="36">
    <w:name w:val="1.SG 一级标题"/>
    <w:basedOn w:val="2"/>
    <w:link w:val="38"/>
    <w:qFormat/>
    <w:uiPriority w:val="0"/>
    <w:pPr>
      <w:spacing w:before="0" w:after="0" w:line="560" w:lineRule="exact"/>
      <w:ind w:firstLine="200" w:firstLineChars="200"/>
    </w:pPr>
    <w:rPr>
      <w:rFonts w:eastAsia="黑体"/>
      <w:bCs w:val="0"/>
      <w:sz w:val="32"/>
      <w:szCs w:val="32"/>
    </w:rPr>
  </w:style>
  <w:style w:type="paragraph" w:customStyle="1" w:styleId="37">
    <w:name w:val="2.GS 二级标题"/>
    <w:basedOn w:val="3"/>
    <w:link w:val="40"/>
    <w:qFormat/>
    <w:uiPriority w:val="0"/>
    <w:pPr>
      <w:spacing w:line="560" w:lineRule="exact"/>
      <w:ind w:firstLine="200" w:firstLineChars="200"/>
    </w:pPr>
    <w:rPr>
      <w:rFonts w:ascii="Times New Roman" w:hAnsi="Times New Roman" w:eastAsia="楷体_GB2312"/>
      <w:b w:val="0"/>
      <w:kern w:val="0"/>
      <w:sz w:val="32"/>
      <w:szCs w:val="32"/>
    </w:rPr>
  </w:style>
  <w:style w:type="character" w:customStyle="1" w:styleId="38">
    <w:name w:val="1.SG 一级标题 字符"/>
    <w:basedOn w:val="29"/>
    <w:link w:val="36"/>
    <w:qFormat/>
    <w:uiPriority w:val="0"/>
    <w:rPr>
      <w:rFonts w:ascii="Times New Roman" w:hAnsi="Times New Roman" w:eastAsia="黑体" w:cs="Times New Roman"/>
      <w:bCs w:val="0"/>
      <w:kern w:val="44"/>
      <w:sz w:val="32"/>
      <w:szCs w:val="32"/>
    </w:rPr>
  </w:style>
  <w:style w:type="paragraph" w:customStyle="1" w:styleId="39">
    <w:name w:val="3.SG 三级标题"/>
    <w:basedOn w:val="4"/>
    <w:link w:val="42"/>
    <w:qFormat/>
    <w:uiPriority w:val="0"/>
    <w:pPr>
      <w:spacing w:before="0" w:after="0" w:line="560" w:lineRule="exact"/>
      <w:ind w:firstLine="200" w:firstLineChars="200"/>
      <w:outlineLvl w:val="3"/>
    </w:pPr>
  </w:style>
  <w:style w:type="character" w:customStyle="1" w:styleId="40">
    <w:name w:val="2.GS 二级标题 字符"/>
    <w:basedOn w:val="22"/>
    <w:link w:val="37"/>
    <w:qFormat/>
    <w:uiPriority w:val="0"/>
    <w:rPr>
      <w:rFonts w:ascii="Times New Roman" w:hAnsi="Times New Roman" w:eastAsia="楷体_GB2312" w:cs="Times New Roman"/>
      <w:b w:val="0"/>
      <w:sz w:val="32"/>
      <w:szCs w:val="32"/>
    </w:rPr>
  </w:style>
  <w:style w:type="paragraph" w:customStyle="1" w:styleId="41">
    <w:name w:val="4.SG 4级标题"/>
    <w:basedOn w:val="1"/>
    <w:link w:val="43"/>
    <w:qFormat/>
    <w:uiPriority w:val="0"/>
    <w:pPr>
      <w:spacing w:line="560" w:lineRule="exact"/>
      <w:ind w:firstLine="200" w:firstLineChars="200"/>
    </w:pPr>
    <w:rPr>
      <w:b/>
      <w:sz w:val="32"/>
      <w:szCs w:val="32"/>
    </w:rPr>
  </w:style>
  <w:style w:type="character" w:customStyle="1" w:styleId="42">
    <w:name w:val="3.SG 三级标题 字符"/>
    <w:basedOn w:val="17"/>
    <w:link w:val="39"/>
    <w:qFormat/>
    <w:uiPriority w:val="0"/>
    <w:rPr>
      <w:rFonts w:ascii="Times New Roman" w:hAnsi="Times New Roman" w:eastAsia="仿宋_GB2312" w:cs="Times New Roman"/>
      <w:b/>
      <w:bCs/>
      <w:kern w:val="2"/>
      <w:sz w:val="32"/>
      <w:szCs w:val="32"/>
    </w:rPr>
  </w:style>
  <w:style w:type="character" w:customStyle="1" w:styleId="43">
    <w:name w:val="4.SG 4级标题 字符"/>
    <w:basedOn w:val="17"/>
    <w:link w:val="41"/>
    <w:qFormat/>
    <w:uiPriority w:val="0"/>
    <w:rPr>
      <w:rFonts w:ascii="Times New Roman" w:hAnsi="Times New Roman" w:eastAsia="仿宋_GB2312" w:cs="Times New Roman"/>
      <w:b/>
      <w:kern w:val="2"/>
      <w:sz w:val="32"/>
      <w:szCs w:val="32"/>
    </w:rPr>
  </w:style>
  <w:style w:type="paragraph" w:customStyle="1" w:styleId="44">
    <w:name w:val="pf0"/>
    <w:basedOn w:val="1"/>
    <w:qFormat/>
    <w:uiPriority w:val="0"/>
    <w:pPr>
      <w:widowControl/>
      <w:spacing w:before="100" w:beforeAutospacing="1" w:after="100" w:afterAutospacing="1" w:line="240" w:lineRule="auto"/>
      <w:jc w:val="left"/>
    </w:pPr>
    <w:rPr>
      <w:rFonts w:ascii="宋体" w:hAnsi="宋体" w:eastAsia="宋体" w:cs="宋体"/>
      <w:kern w:val="0"/>
      <w:szCs w:val="24"/>
    </w:rPr>
  </w:style>
  <w:style w:type="character" w:customStyle="1" w:styleId="45">
    <w:name w:val="cf01"/>
    <w:basedOn w:val="17"/>
    <w:qFormat/>
    <w:uiPriority w:val="0"/>
    <w:rPr>
      <w:rFonts w:hint="eastAsia" w:ascii="Microsoft YaHei UI" w:hAnsi="Microsoft YaHei UI" w:eastAsia="Microsoft YaHei UI"/>
      <w:sz w:val="18"/>
      <w:szCs w:val="18"/>
    </w:rPr>
  </w:style>
  <w:style w:type="character" w:customStyle="1" w:styleId="46">
    <w:name w:val="cf21"/>
    <w:basedOn w:val="17"/>
    <w:qFormat/>
    <w:uiPriority w:val="0"/>
    <w:rPr>
      <w:rFonts w:hint="eastAsia" w:ascii="Microsoft YaHei UI" w:hAnsi="Microsoft YaHei UI" w:eastAsia="Microsoft YaHei UI"/>
      <w:color w:val="5F5E5E"/>
      <w:sz w:val="18"/>
      <w:szCs w:val="18"/>
      <w:shd w:val="clear" w:color="auto" w:fill="FFFFFF"/>
    </w:rPr>
  </w:style>
  <w:style w:type="character" w:customStyle="1" w:styleId="47">
    <w:name w:val="cf11"/>
    <w:basedOn w:val="17"/>
    <w:qFormat/>
    <w:uiPriority w:val="0"/>
    <w:rPr>
      <w:rFonts w:hint="eastAsia" w:ascii="Microsoft YaHei UI" w:hAnsi="Microsoft YaHei UI" w:eastAsia="Microsoft YaHei UI"/>
      <w:sz w:val="18"/>
      <w:szCs w:val="18"/>
    </w:rPr>
  </w:style>
  <w:style w:type="paragraph" w:customStyle="1" w:styleId="48">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49">
    <w:name w:val="批注框文本 字符"/>
    <w:basedOn w:val="17"/>
    <w:link w:val="7"/>
    <w:semiHidden/>
    <w:qFormat/>
    <w:uiPriority w:val="99"/>
    <w:rPr>
      <w:rFonts w:ascii="Times New Roman" w:hAnsi="Times New Roman" w:eastAsia="仿宋_GB2312" w:cs="Times New Roman"/>
      <w:kern w:val="2"/>
      <w:sz w:val="18"/>
      <w:szCs w:val="18"/>
    </w:rPr>
  </w:style>
  <w:style w:type="character" w:customStyle="1" w:styleId="50">
    <w:name w:val="未处理的提及1"/>
    <w:basedOn w:val="17"/>
    <w:semiHidden/>
    <w:unhideWhenUsed/>
    <w:qFormat/>
    <w:uiPriority w:val="99"/>
    <w:rPr>
      <w:color w:val="605E5C"/>
      <w:shd w:val="clear" w:color="auto" w:fill="E1DFDD"/>
    </w:rPr>
  </w:style>
  <w:style w:type="paragraph" w:customStyle="1" w:styleId="51">
    <w:name w:val="图标题"/>
    <w:basedOn w:val="1"/>
    <w:link w:val="52"/>
    <w:qFormat/>
    <w:uiPriority w:val="0"/>
    <w:pPr>
      <w:jc w:val="center"/>
    </w:pPr>
    <w:rPr>
      <w:rFonts w:eastAsia="黑体"/>
      <w:color w:val="000000" w:themeColor="text1"/>
      <w:sz w:val="28"/>
      <w:szCs w:val="28"/>
      <w14:textFill>
        <w14:solidFill>
          <w14:schemeClr w14:val="tx1"/>
        </w14:solidFill>
      </w14:textFill>
    </w:rPr>
  </w:style>
  <w:style w:type="character" w:customStyle="1" w:styleId="52">
    <w:name w:val="图标题 字符"/>
    <w:basedOn w:val="17"/>
    <w:link w:val="51"/>
    <w:qFormat/>
    <w:uiPriority w:val="0"/>
    <w:rPr>
      <w:rFonts w:ascii="Times New Roman" w:hAnsi="Times New Roman" w:eastAsia="黑体" w:cs="Times New Roman"/>
      <w:color w:val="000000" w:themeColor="text1"/>
      <w:kern w:val="2"/>
      <w:sz w:val="28"/>
      <w:szCs w:val="28"/>
      <w14:textFill>
        <w14:solidFill>
          <w14:schemeClr w14:val="tx1"/>
        </w14:solidFill>
      </w14:textFill>
    </w:rPr>
  </w:style>
  <w:style w:type="paragraph" w:customStyle="1" w:styleId="53">
    <w:name w:val="修订2"/>
    <w:hidden/>
    <w:unhideWhenUsed/>
    <w:qFormat/>
    <w:uiPriority w:val="99"/>
    <w:rPr>
      <w:rFonts w:ascii="Times New Roman" w:hAnsi="Times New Roman" w:eastAsia="仿宋_GB2312" w:cs="Times New Roman"/>
      <w:kern w:val="2"/>
      <w:sz w:val="24"/>
      <w:lang w:val="en-US" w:eastAsia="zh-CN" w:bidi="ar-SA"/>
    </w:rPr>
  </w:style>
  <w:style w:type="paragraph" w:customStyle="1" w:styleId="54">
    <w:name w:val="msonormal"/>
    <w:basedOn w:val="1"/>
    <w:qFormat/>
    <w:uiPriority w:val="0"/>
    <w:pPr>
      <w:widowControl/>
      <w:spacing w:before="100" w:beforeAutospacing="1" w:after="100" w:afterAutospacing="1" w:line="240" w:lineRule="auto"/>
      <w:jc w:val="left"/>
    </w:pPr>
    <w:rPr>
      <w:rFonts w:ascii="宋体" w:hAnsi="宋体" w:eastAsia="宋体" w:cs="宋体"/>
      <w:kern w:val="0"/>
      <w:szCs w:val="24"/>
    </w:rPr>
  </w:style>
  <w:style w:type="paragraph" w:customStyle="1" w:styleId="55">
    <w:name w:val="font5"/>
    <w:basedOn w:val="1"/>
    <w:qFormat/>
    <w:uiPriority w:val="0"/>
    <w:pPr>
      <w:widowControl/>
      <w:spacing w:before="100" w:beforeAutospacing="1" w:after="100" w:afterAutospacing="1" w:line="240" w:lineRule="auto"/>
      <w:jc w:val="left"/>
    </w:pPr>
    <w:rPr>
      <w:rFonts w:ascii="宋体" w:hAnsi="宋体" w:eastAsia="宋体" w:cs="宋体"/>
      <w:kern w:val="0"/>
      <w:sz w:val="18"/>
      <w:szCs w:val="18"/>
    </w:rPr>
  </w:style>
  <w:style w:type="paragraph" w:customStyle="1" w:styleId="56">
    <w:name w:val="font6"/>
    <w:basedOn w:val="1"/>
    <w:qFormat/>
    <w:uiPriority w:val="0"/>
    <w:pPr>
      <w:widowControl/>
      <w:spacing w:before="100" w:beforeAutospacing="1" w:after="100" w:afterAutospacing="1" w:line="240" w:lineRule="auto"/>
      <w:jc w:val="left"/>
    </w:pPr>
    <w:rPr>
      <w:rFonts w:ascii="仿宋_GB2312" w:hAnsi="宋体" w:cs="宋体"/>
      <w:kern w:val="0"/>
      <w:sz w:val="20"/>
    </w:rPr>
  </w:style>
  <w:style w:type="paragraph" w:customStyle="1" w:styleId="57">
    <w:name w:val="font7"/>
    <w:basedOn w:val="1"/>
    <w:qFormat/>
    <w:uiPriority w:val="0"/>
    <w:pPr>
      <w:widowControl/>
      <w:spacing w:before="100" w:beforeAutospacing="1" w:after="100" w:afterAutospacing="1" w:line="240" w:lineRule="auto"/>
      <w:jc w:val="left"/>
    </w:pPr>
    <w:rPr>
      <w:rFonts w:ascii="仿宋_GB2312" w:hAnsi="宋体" w:cs="宋体"/>
      <w:b/>
      <w:bCs/>
      <w:kern w:val="0"/>
      <w:sz w:val="20"/>
    </w:rPr>
  </w:style>
  <w:style w:type="paragraph" w:customStyle="1" w:styleId="58">
    <w:name w:val="font8"/>
    <w:basedOn w:val="1"/>
    <w:qFormat/>
    <w:uiPriority w:val="0"/>
    <w:pPr>
      <w:widowControl/>
      <w:spacing w:before="100" w:beforeAutospacing="1" w:after="100" w:afterAutospacing="1" w:line="240" w:lineRule="auto"/>
      <w:jc w:val="left"/>
    </w:pPr>
    <w:rPr>
      <w:rFonts w:eastAsia="宋体"/>
      <w:kern w:val="0"/>
      <w:sz w:val="20"/>
    </w:rPr>
  </w:style>
  <w:style w:type="paragraph" w:customStyle="1" w:styleId="59">
    <w:name w:val="font9"/>
    <w:basedOn w:val="1"/>
    <w:qFormat/>
    <w:uiPriority w:val="0"/>
    <w:pPr>
      <w:widowControl/>
      <w:spacing w:before="100" w:beforeAutospacing="1" w:after="100" w:afterAutospacing="1" w:line="240" w:lineRule="auto"/>
      <w:jc w:val="left"/>
    </w:pPr>
    <w:rPr>
      <w:rFonts w:eastAsia="宋体"/>
      <w:b/>
      <w:bCs/>
      <w:kern w:val="0"/>
      <w:sz w:val="20"/>
    </w:rPr>
  </w:style>
  <w:style w:type="paragraph" w:customStyle="1" w:styleId="60">
    <w:name w:val="font10"/>
    <w:basedOn w:val="1"/>
    <w:qFormat/>
    <w:uiPriority w:val="0"/>
    <w:pPr>
      <w:widowControl/>
      <w:spacing w:before="100" w:beforeAutospacing="1" w:after="100" w:afterAutospacing="1" w:line="240" w:lineRule="auto"/>
      <w:jc w:val="left"/>
    </w:pPr>
    <w:rPr>
      <w:rFonts w:ascii="仿宋_GB2312" w:hAnsi="宋体" w:cs="宋体"/>
      <w:b/>
      <w:bCs/>
      <w:kern w:val="0"/>
      <w:sz w:val="22"/>
      <w:szCs w:val="22"/>
    </w:rPr>
  </w:style>
  <w:style w:type="paragraph" w:customStyle="1" w:styleId="61">
    <w:name w:val="font11"/>
    <w:basedOn w:val="1"/>
    <w:qFormat/>
    <w:uiPriority w:val="0"/>
    <w:pPr>
      <w:widowControl/>
      <w:spacing w:before="100" w:beforeAutospacing="1" w:after="100" w:afterAutospacing="1" w:line="240" w:lineRule="auto"/>
      <w:jc w:val="left"/>
    </w:pPr>
    <w:rPr>
      <w:rFonts w:ascii="仿宋_GB2312" w:hAnsi="宋体" w:cs="宋体"/>
      <w:b/>
      <w:bCs/>
      <w:kern w:val="0"/>
      <w:szCs w:val="24"/>
    </w:rPr>
  </w:style>
  <w:style w:type="paragraph" w:customStyle="1" w:styleId="62">
    <w:name w:val="font12"/>
    <w:basedOn w:val="1"/>
    <w:qFormat/>
    <w:uiPriority w:val="0"/>
    <w:pPr>
      <w:widowControl/>
      <w:spacing w:before="100" w:beforeAutospacing="1" w:after="100" w:afterAutospacing="1" w:line="240" w:lineRule="auto"/>
      <w:jc w:val="left"/>
    </w:pPr>
    <w:rPr>
      <w:rFonts w:ascii="仿宋_GB2312" w:hAnsi="宋体" w:cs="宋体"/>
      <w:b/>
      <w:bCs/>
      <w:kern w:val="0"/>
      <w:sz w:val="21"/>
      <w:szCs w:val="21"/>
    </w:rPr>
  </w:style>
  <w:style w:type="paragraph" w:customStyle="1" w:styleId="63">
    <w:name w:val="font13"/>
    <w:basedOn w:val="1"/>
    <w:qFormat/>
    <w:uiPriority w:val="0"/>
    <w:pPr>
      <w:widowControl/>
      <w:spacing w:before="100" w:beforeAutospacing="1" w:after="100" w:afterAutospacing="1" w:line="240" w:lineRule="auto"/>
      <w:jc w:val="left"/>
    </w:pPr>
    <w:rPr>
      <w:rFonts w:ascii="仿宋_GB2312" w:hAnsi="宋体" w:cs="宋体"/>
      <w:kern w:val="0"/>
      <w:sz w:val="21"/>
      <w:szCs w:val="21"/>
    </w:rPr>
  </w:style>
  <w:style w:type="paragraph" w:customStyle="1" w:styleId="64">
    <w:name w:val="font14"/>
    <w:basedOn w:val="1"/>
    <w:qFormat/>
    <w:uiPriority w:val="0"/>
    <w:pPr>
      <w:widowControl/>
      <w:spacing w:before="100" w:beforeAutospacing="1" w:after="100" w:afterAutospacing="1" w:line="240" w:lineRule="auto"/>
      <w:jc w:val="left"/>
    </w:pPr>
    <w:rPr>
      <w:rFonts w:eastAsia="宋体"/>
      <w:b/>
      <w:bCs/>
      <w:kern w:val="0"/>
      <w:sz w:val="22"/>
      <w:szCs w:val="22"/>
    </w:rPr>
  </w:style>
  <w:style w:type="paragraph" w:customStyle="1" w:styleId="65">
    <w:name w:val="font15"/>
    <w:basedOn w:val="1"/>
    <w:qFormat/>
    <w:uiPriority w:val="0"/>
    <w:pPr>
      <w:widowControl/>
      <w:spacing w:before="100" w:beforeAutospacing="1" w:after="100" w:afterAutospacing="1" w:line="240" w:lineRule="auto"/>
      <w:jc w:val="left"/>
    </w:pPr>
    <w:rPr>
      <w:rFonts w:ascii="微软雅黑" w:hAnsi="微软雅黑" w:eastAsia="微软雅黑" w:cs="宋体"/>
      <w:kern w:val="0"/>
      <w:sz w:val="20"/>
    </w:rPr>
  </w:style>
  <w:style w:type="paragraph" w:customStyle="1" w:styleId="66">
    <w:name w:val="font16"/>
    <w:basedOn w:val="1"/>
    <w:qFormat/>
    <w:uiPriority w:val="0"/>
    <w:pPr>
      <w:widowControl/>
      <w:spacing w:before="100" w:beforeAutospacing="1" w:after="100" w:afterAutospacing="1" w:line="240" w:lineRule="auto"/>
      <w:jc w:val="left"/>
    </w:pPr>
    <w:rPr>
      <w:rFonts w:ascii="Segoe UI Symbol" w:hAnsi="Segoe UI Symbol" w:eastAsia="宋体" w:cs="宋体"/>
      <w:kern w:val="0"/>
      <w:sz w:val="20"/>
    </w:rPr>
  </w:style>
  <w:style w:type="paragraph" w:customStyle="1" w:styleId="67">
    <w:name w:val="font17"/>
    <w:basedOn w:val="1"/>
    <w:qFormat/>
    <w:uiPriority w:val="0"/>
    <w:pPr>
      <w:widowControl/>
      <w:spacing w:before="100" w:beforeAutospacing="1" w:after="100" w:afterAutospacing="1" w:line="240" w:lineRule="auto"/>
      <w:jc w:val="left"/>
    </w:pPr>
    <w:rPr>
      <w:rFonts w:eastAsia="宋体"/>
      <w:kern w:val="0"/>
      <w:sz w:val="20"/>
    </w:rPr>
  </w:style>
  <w:style w:type="paragraph" w:customStyle="1" w:styleId="68">
    <w:name w:val="font18"/>
    <w:basedOn w:val="1"/>
    <w:qFormat/>
    <w:uiPriority w:val="0"/>
    <w:pPr>
      <w:widowControl/>
      <w:spacing w:before="100" w:beforeAutospacing="1" w:after="100" w:afterAutospacing="1" w:line="240" w:lineRule="auto"/>
      <w:jc w:val="left"/>
    </w:pPr>
    <w:rPr>
      <w:rFonts w:ascii="仿宋_GB2312" w:hAnsi="宋体" w:cs="宋体"/>
      <w:kern w:val="0"/>
      <w:sz w:val="20"/>
    </w:rPr>
  </w:style>
  <w:style w:type="paragraph" w:customStyle="1" w:styleId="69">
    <w:name w:val="font19"/>
    <w:basedOn w:val="1"/>
    <w:qFormat/>
    <w:uiPriority w:val="0"/>
    <w:pPr>
      <w:widowControl/>
      <w:spacing w:before="100" w:beforeAutospacing="1" w:after="100" w:afterAutospacing="1" w:line="240" w:lineRule="auto"/>
      <w:jc w:val="left"/>
    </w:pPr>
    <w:rPr>
      <w:rFonts w:ascii="仿宋_GB2312" w:hAnsi="宋体" w:cs="宋体"/>
      <w:b/>
      <w:bCs/>
      <w:kern w:val="0"/>
      <w:sz w:val="20"/>
    </w:rPr>
  </w:style>
  <w:style w:type="paragraph" w:customStyle="1" w:styleId="70">
    <w:name w:val="font20"/>
    <w:basedOn w:val="1"/>
    <w:qFormat/>
    <w:uiPriority w:val="0"/>
    <w:pPr>
      <w:widowControl/>
      <w:spacing w:before="100" w:beforeAutospacing="1" w:after="100" w:afterAutospacing="1" w:line="240" w:lineRule="auto"/>
      <w:jc w:val="left"/>
    </w:pPr>
    <w:rPr>
      <w:rFonts w:ascii="Microsoft YaHei UI" w:hAnsi="Microsoft YaHei UI" w:eastAsia="Microsoft YaHei UI" w:cs="宋体"/>
      <w:kern w:val="0"/>
      <w:sz w:val="20"/>
    </w:rPr>
  </w:style>
  <w:style w:type="paragraph" w:customStyle="1" w:styleId="71">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ascii="仿宋_GB2312" w:hAnsi="宋体" w:cs="宋体"/>
      <w:kern w:val="0"/>
      <w:sz w:val="20"/>
    </w:rPr>
  </w:style>
  <w:style w:type="paragraph" w:customStyle="1" w:styleId="72">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7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74">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75">
    <w:name w:val="xl70"/>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76">
    <w:name w:val="xl71"/>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77">
    <w:name w:val="xl72"/>
    <w:basedOn w:val="1"/>
    <w:qFormat/>
    <w:uiPriority w:val="0"/>
    <w:pPr>
      <w:widowControl/>
      <w:spacing w:before="100" w:beforeAutospacing="1" w:after="100" w:afterAutospacing="1" w:line="240" w:lineRule="auto"/>
      <w:jc w:val="left"/>
    </w:pPr>
    <w:rPr>
      <w:rFonts w:eastAsia="宋体"/>
      <w:kern w:val="0"/>
      <w:szCs w:val="24"/>
    </w:rPr>
  </w:style>
  <w:style w:type="paragraph" w:customStyle="1" w:styleId="78">
    <w:name w:val="xl73"/>
    <w:basedOn w:val="1"/>
    <w:qFormat/>
    <w:uiPriority w:val="0"/>
    <w:pPr>
      <w:widowControl/>
      <w:spacing w:before="100" w:beforeAutospacing="1" w:after="100" w:afterAutospacing="1" w:line="240" w:lineRule="auto"/>
      <w:jc w:val="left"/>
    </w:pPr>
    <w:rPr>
      <w:rFonts w:eastAsia="宋体"/>
      <w:kern w:val="0"/>
      <w:sz w:val="22"/>
      <w:szCs w:val="22"/>
    </w:rPr>
  </w:style>
  <w:style w:type="paragraph" w:customStyle="1" w:styleId="79">
    <w:name w:val="xl74"/>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eastAsia="宋体"/>
      <w:b/>
      <w:bCs/>
      <w:kern w:val="0"/>
      <w:sz w:val="22"/>
      <w:szCs w:val="22"/>
    </w:rPr>
  </w:style>
  <w:style w:type="paragraph" w:customStyle="1" w:styleId="8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eastAsia="宋体"/>
      <w:kern w:val="0"/>
      <w:sz w:val="20"/>
    </w:rPr>
  </w:style>
  <w:style w:type="paragraph" w:customStyle="1" w:styleId="81">
    <w:name w:val="xl7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eastAsia="宋体"/>
      <w:kern w:val="0"/>
      <w:sz w:val="20"/>
    </w:rPr>
  </w:style>
  <w:style w:type="paragraph" w:customStyle="1" w:styleId="82">
    <w:name w:val="xl77"/>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left"/>
    </w:pPr>
    <w:rPr>
      <w:rFonts w:eastAsia="宋体"/>
      <w:kern w:val="0"/>
      <w:sz w:val="20"/>
    </w:rPr>
  </w:style>
  <w:style w:type="paragraph" w:customStyle="1" w:styleId="83">
    <w:name w:val="xl7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eastAsia="宋体"/>
      <w:kern w:val="0"/>
      <w:sz w:val="20"/>
    </w:rPr>
  </w:style>
  <w:style w:type="paragraph" w:customStyle="1" w:styleId="84">
    <w:name w:val="xl7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eastAsia="宋体"/>
      <w:kern w:val="0"/>
      <w:sz w:val="20"/>
    </w:rPr>
  </w:style>
  <w:style w:type="paragraph" w:customStyle="1" w:styleId="85">
    <w:name w:val="xl8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86">
    <w:name w:val="xl8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2"/>
      <w:szCs w:val="22"/>
    </w:rPr>
  </w:style>
  <w:style w:type="paragraph" w:customStyle="1" w:styleId="87">
    <w:name w:val="xl82"/>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88">
    <w:name w:val="xl83"/>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89">
    <w:name w:val="xl84"/>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kern w:val="0"/>
      <w:sz w:val="22"/>
      <w:szCs w:val="22"/>
    </w:rPr>
  </w:style>
  <w:style w:type="paragraph" w:customStyle="1" w:styleId="90">
    <w:name w:val="xl85"/>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kern w:val="0"/>
      <w:sz w:val="22"/>
      <w:szCs w:val="22"/>
    </w:rPr>
  </w:style>
  <w:style w:type="paragraph" w:customStyle="1" w:styleId="9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2"/>
      <w:szCs w:val="22"/>
    </w:rPr>
  </w:style>
  <w:style w:type="paragraph" w:customStyle="1" w:styleId="92">
    <w:name w:val="xl87"/>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93">
    <w:name w:val="xl88"/>
    <w:basedOn w:val="1"/>
    <w:qFormat/>
    <w:uiPriority w:val="0"/>
    <w:pPr>
      <w:widowControl/>
      <w:spacing w:before="100" w:beforeAutospacing="1" w:after="100" w:afterAutospacing="1" w:line="240" w:lineRule="auto"/>
      <w:jc w:val="center"/>
    </w:pPr>
    <w:rPr>
      <w:rFonts w:eastAsia="宋体"/>
      <w:kern w:val="0"/>
      <w:szCs w:val="24"/>
    </w:rPr>
  </w:style>
  <w:style w:type="paragraph" w:customStyle="1" w:styleId="94">
    <w:name w:val="xl89"/>
    <w:basedOn w:val="1"/>
    <w:qFormat/>
    <w:uiPriority w:val="0"/>
    <w:pPr>
      <w:widowControl/>
      <w:spacing w:before="100" w:beforeAutospacing="1" w:after="100" w:afterAutospacing="1" w:line="240" w:lineRule="auto"/>
      <w:jc w:val="left"/>
    </w:pPr>
    <w:rPr>
      <w:rFonts w:eastAsia="宋体"/>
      <w:kern w:val="0"/>
      <w:szCs w:val="24"/>
    </w:rPr>
  </w:style>
  <w:style w:type="paragraph" w:customStyle="1" w:styleId="95">
    <w:name w:val="xl90"/>
    <w:basedOn w:val="1"/>
    <w:qFormat/>
    <w:uiPriority w:val="0"/>
    <w:pPr>
      <w:widowControl/>
      <w:spacing w:before="100" w:beforeAutospacing="1" w:after="100" w:afterAutospacing="1" w:line="240" w:lineRule="auto"/>
      <w:jc w:val="left"/>
    </w:pPr>
    <w:rPr>
      <w:rFonts w:eastAsia="宋体"/>
      <w:kern w:val="0"/>
      <w:szCs w:val="24"/>
    </w:rPr>
  </w:style>
  <w:style w:type="paragraph" w:customStyle="1" w:styleId="96">
    <w:name w:val="xl91"/>
    <w:basedOn w:val="1"/>
    <w:qFormat/>
    <w:uiPriority w:val="0"/>
    <w:pPr>
      <w:widowControl/>
      <w:spacing w:before="100" w:beforeAutospacing="1" w:after="100" w:afterAutospacing="1" w:line="240" w:lineRule="auto"/>
      <w:jc w:val="center"/>
    </w:pPr>
    <w:rPr>
      <w:rFonts w:eastAsia="宋体"/>
      <w:kern w:val="0"/>
      <w:szCs w:val="24"/>
    </w:rPr>
  </w:style>
  <w:style w:type="paragraph" w:customStyle="1" w:styleId="97">
    <w:name w:val="xl92"/>
    <w:basedOn w:val="1"/>
    <w:qFormat/>
    <w:uiPriority w:val="0"/>
    <w:pPr>
      <w:widowControl/>
      <w:spacing w:before="100" w:beforeAutospacing="1" w:after="100" w:afterAutospacing="1" w:line="240" w:lineRule="auto"/>
      <w:jc w:val="left"/>
    </w:pPr>
    <w:rPr>
      <w:rFonts w:eastAsia="宋体"/>
      <w:kern w:val="0"/>
      <w:szCs w:val="24"/>
    </w:rPr>
  </w:style>
  <w:style w:type="paragraph" w:customStyle="1" w:styleId="98">
    <w:name w:val="xl93"/>
    <w:basedOn w:val="1"/>
    <w:qFormat/>
    <w:uiPriority w:val="0"/>
    <w:pPr>
      <w:widowControl/>
      <w:pBdr>
        <w:left w:val="single" w:color="000000" w:sz="4" w:space="0"/>
        <w:bottom w:val="single" w:color="000000" w:sz="4" w:space="0"/>
        <w:right w:val="single" w:color="000000" w:sz="4" w:space="0"/>
      </w:pBdr>
      <w:spacing w:before="100" w:beforeAutospacing="1" w:after="100" w:afterAutospacing="1" w:line="240" w:lineRule="auto"/>
      <w:jc w:val="left"/>
    </w:pPr>
    <w:rPr>
      <w:rFonts w:eastAsia="宋体"/>
      <w:kern w:val="0"/>
      <w:sz w:val="20"/>
    </w:rPr>
  </w:style>
  <w:style w:type="paragraph" w:customStyle="1" w:styleId="99">
    <w:name w:val="xl94"/>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eastAsia="宋体"/>
      <w:kern w:val="0"/>
      <w:sz w:val="20"/>
    </w:rPr>
  </w:style>
  <w:style w:type="paragraph" w:customStyle="1" w:styleId="100">
    <w:name w:val="xl95"/>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eastAsia="宋体"/>
      <w:kern w:val="0"/>
      <w:sz w:val="20"/>
    </w:rPr>
  </w:style>
  <w:style w:type="paragraph" w:customStyle="1" w:styleId="101">
    <w:name w:val="xl96"/>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left"/>
    </w:pPr>
    <w:rPr>
      <w:rFonts w:eastAsia="宋体"/>
      <w:kern w:val="0"/>
      <w:sz w:val="20"/>
    </w:rPr>
  </w:style>
  <w:style w:type="paragraph" w:customStyle="1" w:styleId="102">
    <w:name w:val="xl97"/>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left"/>
    </w:pPr>
    <w:rPr>
      <w:rFonts w:eastAsia="宋体"/>
      <w:kern w:val="0"/>
      <w:sz w:val="20"/>
    </w:rPr>
  </w:style>
  <w:style w:type="paragraph" w:customStyle="1" w:styleId="103">
    <w:name w:val="xl98"/>
    <w:basedOn w:val="1"/>
    <w:qFormat/>
    <w:uiPriority w:val="0"/>
    <w:pPr>
      <w:widowControl/>
      <w:pBdr>
        <w:top w:val="single" w:color="auto" w:sz="4" w:space="0"/>
        <w:left w:val="single" w:color="auto" w:sz="4" w:space="0"/>
        <w:bottom w:val="single" w:color="auto" w:sz="4" w:space="0"/>
        <w:right w:val="single" w:color="auto" w:sz="4" w:space="0"/>
      </w:pBdr>
      <w:shd w:val="clear" w:color="000000" w:fill="FFFF00"/>
      <w:spacing w:before="100" w:beforeAutospacing="1" w:after="100" w:afterAutospacing="1" w:line="240" w:lineRule="auto"/>
      <w:jc w:val="center"/>
    </w:pPr>
    <w:rPr>
      <w:rFonts w:eastAsia="宋体"/>
      <w:kern w:val="0"/>
      <w:sz w:val="20"/>
    </w:rPr>
  </w:style>
  <w:style w:type="paragraph" w:customStyle="1" w:styleId="104">
    <w:name w:val="xl99"/>
    <w:basedOn w:val="1"/>
    <w:qFormat/>
    <w:uiPriority w:val="0"/>
    <w:pPr>
      <w:widowControl/>
      <w:pBdr>
        <w:left w:val="single" w:color="000000" w:sz="4" w:space="0"/>
        <w:bottom w:val="single" w:color="000000" w:sz="4" w:space="0"/>
        <w:right w:val="single" w:color="000000" w:sz="4" w:space="0"/>
      </w:pBdr>
      <w:shd w:val="clear" w:color="000000" w:fill="FFFF00"/>
      <w:spacing w:before="100" w:beforeAutospacing="1" w:after="100" w:afterAutospacing="1" w:line="240" w:lineRule="auto"/>
      <w:jc w:val="left"/>
    </w:pPr>
    <w:rPr>
      <w:rFonts w:eastAsia="宋体"/>
      <w:kern w:val="0"/>
      <w:sz w:val="20"/>
    </w:rPr>
  </w:style>
  <w:style w:type="paragraph" w:customStyle="1" w:styleId="105">
    <w:name w:val="xl100"/>
    <w:basedOn w:val="1"/>
    <w:qFormat/>
    <w:uiPriority w:val="0"/>
    <w:pPr>
      <w:widowControl/>
      <w:shd w:val="clear" w:color="000000" w:fill="FFFF00"/>
      <w:spacing w:before="100" w:beforeAutospacing="1" w:after="100" w:afterAutospacing="1" w:line="240" w:lineRule="auto"/>
      <w:jc w:val="left"/>
    </w:pPr>
    <w:rPr>
      <w:rFonts w:eastAsia="宋体"/>
      <w:kern w:val="0"/>
      <w:sz w:val="22"/>
      <w:szCs w:val="22"/>
    </w:rPr>
  </w:style>
  <w:style w:type="paragraph" w:customStyle="1" w:styleId="106">
    <w:name w:val="xl10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left"/>
    </w:pPr>
    <w:rPr>
      <w:rFonts w:eastAsia="宋体"/>
      <w:kern w:val="0"/>
      <w:sz w:val="20"/>
    </w:rPr>
  </w:style>
  <w:style w:type="paragraph" w:customStyle="1" w:styleId="107">
    <w:name w:val="xl10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108">
    <w:name w:val="xl103"/>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09">
    <w:name w:val="xl104"/>
    <w:basedOn w:val="1"/>
    <w:qFormat/>
    <w:uiPriority w:val="0"/>
    <w:pPr>
      <w:widowControl/>
      <w:pBdr>
        <w:top w:val="single" w:color="000000" w:sz="4" w:space="0"/>
        <w:left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10">
    <w:name w:val="xl10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b/>
      <w:bCs/>
      <w:kern w:val="0"/>
      <w:szCs w:val="24"/>
    </w:rPr>
  </w:style>
  <w:style w:type="paragraph" w:customStyle="1" w:styleId="111">
    <w:name w:val="xl10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b/>
      <w:bCs/>
      <w:kern w:val="0"/>
      <w:szCs w:val="24"/>
    </w:rPr>
  </w:style>
  <w:style w:type="paragraph" w:customStyle="1" w:styleId="112">
    <w:name w:val="xl107"/>
    <w:basedOn w:val="1"/>
    <w:qFormat/>
    <w:uiPriority w:val="0"/>
    <w:pPr>
      <w:widowControl/>
      <w:pBdr>
        <w:top w:val="single" w:color="auto" w:sz="4" w:space="0"/>
        <w:left w:val="single" w:color="auto" w:sz="4" w:space="0"/>
        <w:right w:val="single" w:color="auto" w:sz="4" w:space="0"/>
      </w:pBdr>
      <w:spacing w:before="100" w:beforeAutospacing="1" w:after="100" w:afterAutospacing="1" w:line="240" w:lineRule="auto"/>
      <w:jc w:val="center"/>
    </w:pPr>
    <w:rPr>
      <w:rFonts w:eastAsia="宋体"/>
      <w:b/>
      <w:bCs/>
      <w:kern w:val="0"/>
      <w:szCs w:val="24"/>
    </w:rPr>
  </w:style>
  <w:style w:type="paragraph" w:customStyle="1" w:styleId="113">
    <w:name w:val="xl108"/>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114">
    <w:name w:val="xl109"/>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115">
    <w:name w:val="xl110"/>
    <w:basedOn w:val="1"/>
    <w:qFormat/>
    <w:uiPriority w:val="0"/>
    <w:pPr>
      <w:widowControl/>
      <w:pBdr>
        <w:left w:val="single" w:color="auto" w:sz="4" w:space="0"/>
        <w:bottom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116">
    <w:name w:val="xl111"/>
    <w:basedOn w:val="1"/>
    <w:qFormat/>
    <w:uiPriority w:val="0"/>
    <w:pPr>
      <w:widowControl/>
      <w:pBdr>
        <w:left w:val="single" w:color="auto" w:sz="4" w:space="0"/>
        <w:right w:val="single" w:color="auto" w:sz="4" w:space="0"/>
      </w:pBdr>
      <w:spacing w:before="100" w:beforeAutospacing="1" w:after="100" w:afterAutospacing="1" w:line="240" w:lineRule="auto"/>
      <w:jc w:val="center"/>
    </w:pPr>
    <w:rPr>
      <w:rFonts w:eastAsia="宋体"/>
      <w:kern w:val="0"/>
      <w:sz w:val="20"/>
    </w:rPr>
  </w:style>
  <w:style w:type="paragraph" w:customStyle="1" w:styleId="117">
    <w:name w:val="xl11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b/>
      <w:bCs/>
      <w:kern w:val="0"/>
      <w:sz w:val="22"/>
      <w:szCs w:val="22"/>
    </w:rPr>
  </w:style>
  <w:style w:type="paragraph" w:customStyle="1" w:styleId="118">
    <w:name w:val="xl11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line="240" w:lineRule="auto"/>
      <w:jc w:val="center"/>
    </w:pPr>
    <w:rPr>
      <w:rFonts w:eastAsia="宋体"/>
      <w:b/>
      <w:bCs/>
      <w:kern w:val="0"/>
      <w:sz w:val="22"/>
      <w:szCs w:val="22"/>
    </w:rPr>
  </w:style>
  <w:style w:type="paragraph" w:customStyle="1" w:styleId="119">
    <w:name w:val="xl114"/>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20">
    <w:name w:val="xl11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21">
    <w:name w:val="xl116"/>
    <w:basedOn w:val="1"/>
    <w:qFormat/>
    <w:uiPriority w:val="0"/>
    <w:pPr>
      <w:widowControl/>
      <w:pBdr>
        <w:top w:val="single" w:color="000000" w:sz="4" w:space="0"/>
        <w:left w:val="single" w:color="000000" w:sz="4" w:space="0"/>
        <w:right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22">
    <w:name w:val="xl117"/>
    <w:basedOn w:val="1"/>
    <w:qFormat/>
    <w:uiPriority w:val="0"/>
    <w:pPr>
      <w:widowControl/>
      <w:pBdr>
        <w:top w:val="single" w:color="000000" w:sz="4" w:space="0"/>
        <w:left w:val="single" w:color="000000" w:sz="4" w:space="0"/>
        <w:bottom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23">
    <w:name w:val="xl118"/>
    <w:basedOn w:val="1"/>
    <w:qFormat/>
    <w:uiPriority w:val="0"/>
    <w:pPr>
      <w:widowControl/>
      <w:pBdr>
        <w:top w:val="single" w:color="000000" w:sz="4" w:space="0"/>
        <w:left w:val="single" w:color="000000" w:sz="4" w:space="0"/>
        <w:bottom w:val="single" w:color="000000" w:sz="4" w:space="0"/>
      </w:pBdr>
      <w:spacing w:before="100" w:beforeAutospacing="1" w:after="100" w:afterAutospacing="1" w:line="240" w:lineRule="auto"/>
      <w:jc w:val="center"/>
    </w:pPr>
    <w:rPr>
      <w:rFonts w:eastAsia="宋体"/>
      <w:b/>
      <w:bCs/>
      <w:kern w:val="0"/>
      <w:sz w:val="22"/>
      <w:szCs w:val="22"/>
    </w:rPr>
  </w:style>
  <w:style w:type="paragraph" w:customStyle="1" w:styleId="124">
    <w:name w:val="xl119"/>
    <w:basedOn w:val="1"/>
    <w:qFormat/>
    <w:uiPriority w:val="0"/>
    <w:pPr>
      <w:widowControl/>
      <w:pBdr>
        <w:top w:val="single" w:color="000000" w:sz="4" w:space="0"/>
        <w:left w:val="single" w:color="000000" w:sz="4" w:space="0"/>
      </w:pBdr>
      <w:spacing w:before="100" w:beforeAutospacing="1" w:after="100" w:afterAutospacing="1" w:line="240" w:lineRule="auto"/>
      <w:jc w:val="center"/>
    </w:pPr>
    <w:rPr>
      <w:rFonts w:eastAsia="宋体"/>
      <w:b/>
      <w:bCs/>
      <w:kern w:val="0"/>
      <w:sz w:val="22"/>
      <w:szCs w:val="22"/>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1.xml"/><Relationship Id="rId17" Type="http://schemas.openxmlformats.org/officeDocument/2006/relationships/chart" Target="charts/chart10.xml"/><Relationship Id="rId16" Type="http://schemas.openxmlformats.org/officeDocument/2006/relationships/chart" Target="charts/chart9.xml"/><Relationship Id="rId15" Type="http://schemas.openxmlformats.org/officeDocument/2006/relationships/chart" Target="charts/chart8.xml"/><Relationship Id="rId14" Type="http://schemas.openxmlformats.org/officeDocument/2006/relationships/chart" Target="charts/chart7.xml"/><Relationship Id="rId13" Type="http://schemas.openxmlformats.org/officeDocument/2006/relationships/chart" Target="charts/chart6.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10.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7.xml"/><Relationship Id="rId2" Type="http://schemas.microsoft.com/office/2011/relationships/chartStyle" Target="style7.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5.xml.rels><?xml version="1.0" encoding="UTF-8" standalone="yes"?>
<Relationships xmlns="http://schemas.openxmlformats.org/package/2006/relationships"><Relationship Id="rId3" Type="http://schemas.microsoft.com/office/2011/relationships/chartColorStyle" Target="colors10.xml"/><Relationship Id="rId2" Type="http://schemas.microsoft.com/office/2011/relationships/chartStyle" Target="style10.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6.xml.rels><?xml version="1.0" encoding="UTF-8" standalone="yes"?>
<Relationships xmlns="http://schemas.openxmlformats.org/package/2006/relationships"><Relationship Id="rId3" Type="http://schemas.microsoft.com/office/2011/relationships/chartColorStyle" Target="colors9.xml"/><Relationship Id="rId2" Type="http://schemas.microsoft.com/office/2011/relationships/chartStyle" Target="style9.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7.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8.xml.rels><?xml version="1.0" encoding="UTF-8" standalone="yes"?>
<Relationships xmlns="http://schemas.openxmlformats.org/package/2006/relationships"><Relationship Id="rId3" Type="http://schemas.microsoft.com/office/2011/relationships/chartColorStyle" Target="colors8.xml"/><Relationship Id="rId2" Type="http://schemas.microsoft.com/office/2011/relationships/chartStyle" Target="style8.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_rels/chart9.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oleObject" Target="file:///D:\2024\7.2023&#24180;&#30719;&#20135;&#36164;&#28304;&#21208;&#26597;&#39033;&#30446;\6.&#35780;&#20998;&#34920;+&#25253;&#21578;\&#31532;&#20108;&#27425;&#25552;&#20132;&#25104;&#26524;\&#38468;&#20214;&#65306;2023&#24180;&#30719;&#20135;&#36164;&#28304;&#21208;&#23519;&#39033;&#30446;-&#32489;&#25928;&#35780;&#20215;&#35780;&#20998;&#34920;-&#20013;&#22823;&#21672;&#35810;-2024103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投入的二级指标得分率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二级指标图!$C$2:$C$3</c:f>
              <c:strCache>
                <c:ptCount val="2"/>
                <c:pt idx="0">
                  <c:v>项目立项</c:v>
                </c:pt>
                <c:pt idx="1">
                  <c:v>资金落实</c:v>
                </c:pt>
              </c:strCache>
            </c:strRef>
          </c:cat>
          <c:val>
            <c:numRef>
              <c:f>二级指标图!$D$2:$D$3</c:f>
              <c:numCache>
                <c:formatCode>0.00%</c:formatCode>
                <c:ptCount val="2"/>
                <c:pt idx="0">
                  <c:v>0.75</c:v>
                </c:pt>
                <c:pt idx="1">
                  <c:v>0.670125</c:v>
                </c:pt>
              </c:numCache>
            </c:numRef>
          </c:val>
        </c:ser>
        <c:dLbls>
          <c:showLegendKey val="false"/>
          <c:showVal val="true"/>
          <c:showCatName val="false"/>
          <c:showSerName val="false"/>
          <c:showPercent val="false"/>
          <c:showBubbleSize val="false"/>
        </c:dLbls>
        <c:gapWidth val="326"/>
        <c:overlap val="-58"/>
        <c:axId val="418584576"/>
        <c:axId val="418588416"/>
      </c:barChart>
      <c:catAx>
        <c:axId val="418584576"/>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588416"/>
        <c:crosses val="autoZero"/>
        <c:auto val="true"/>
        <c:lblAlgn val="ctr"/>
        <c:lblOffset val="100"/>
        <c:noMultiLvlLbl val="false"/>
      </c:catAx>
      <c:valAx>
        <c:axId val="418588416"/>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584576"/>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效果性的三级指标得分率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三级指标图!$C$67:$C$70</c:f>
              <c:strCache>
                <c:ptCount val="4"/>
                <c:pt idx="0">
                  <c:v>社会效益</c:v>
                </c:pt>
                <c:pt idx="1">
                  <c:v>经济效益</c:v>
                </c:pt>
                <c:pt idx="2">
                  <c:v>生态效益</c:v>
                </c:pt>
                <c:pt idx="3">
                  <c:v>可持续发展</c:v>
                </c:pt>
              </c:strCache>
            </c:strRef>
          </c:cat>
          <c:val>
            <c:numRef>
              <c:f>三级指标图!$D$67:$D$70</c:f>
              <c:numCache>
                <c:formatCode>0.00%</c:formatCode>
                <c:ptCount val="4"/>
                <c:pt idx="0">
                  <c:v>1</c:v>
                </c:pt>
                <c:pt idx="1">
                  <c:v>1</c:v>
                </c:pt>
                <c:pt idx="2">
                  <c:v>1</c:v>
                </c:pt>
                <c:pt idx="3">
                  <c:v>1</c:v>
                </c:pt>
              </c:numCache>
            </c:numRef>
          </c:val>
        </c:ser>
        <c:dLbls>
          <c:showLegendKey val="false"/>
          <c:showVal val="true"/>
          <c:showCatName val="false"/>
          <c:showSerName val="false"/>
          <c:showPercent val="false"/>
          <c:showBubbleSize val="false"/>
        </c:dLbls>
        <c:gapWidth val="326"/>
        <c:overlap val="-58"/>
        <c:axId val="526150304"/>
        <c:axId val="526153664"/>
      </c:barChart>
      <c:catAx>
        <c:axId val="52615030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53664"/>
        <c:crosses val="autoZero"/>
        <c:auto val="true"/>
        <c:lblAlgn val="ctr"/>
        <c:lblOffset val="100"/>
        <c:noMultiLvlLbl val="false"/>
      </c:catAx>
      <c:valAx>
        <c:axId val="52615366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5030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项目论证的三级指标得分率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三级指标图!$C$2:$C$4</c:f>
              <c:strCache>
                <c:ptCount val="3"/>
                <c:pt idx="0">
                  <c:v>论证决策</c:v>
                </c:pt>
                <c:pt idx="1">
                  <c:v>目标设置</c:v>
                </c:pt>
                <c:pt idx="2">
                  <c:v>保障措施</c:v>
                </c:pt>
              </c:strCache>
            </c:strRef>
          </c:cat>
          <c:val>
            <c:numRef>
              <c:f>三级指标图!$D$2:$D$4</c:f>
              <c:numCache>
                <c:formatCode>0.00%</c:formatCode>
                <c:ptCount val="3"/>
                <c:pt idx="0">
                  <c:v>1</c:v>
                </c:pt>
                <c:pt idx="1">
                  <c:v>0.5</c:v>
                </c:pt>
                <c:pt idx="2">
                  <c:v>1</c:v>
                </c:pt>
              </c:numCache>
            </c:numRef>
          </c:val>
        </c:ser>
        <c:dLbls>
          <c:showLegendKey val="false"/>
          <c:showVal val="true"/>
          <c:showCatName val="false"/>
          <c:showSerName val="false"/>
          <c:showPercent val="false"/>
          <c:showBubbleSize val="false"/>
        </c:dLbls>
        <c:gapWidth val="326"/>
        <c:overlap val="-58"/>
        <c:axId val="526103264"/>
        <c:axId val="526110944"/>
      </c:barChart>
      <c:catAx>
        <c:axId val="52610326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10944"/>
        <c:crosses val="autoZero"/>
        <c:auto val="true"/>
        <c:lblAlgn val="ctr"/>
        <c:lblOffset val="100"/>
        <c:noMultiLvlLbl val="false"/>
      </c:catAx>
      <c:valAx>
        <c:axId val="52611094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0326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资金落实的三级指标得分率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三级指标图!$C$15:$C$16</c:f>
              <c:strCache>
                <c:ptCount val="2"/>
                <c:pt idx="0">
                  <c:v>资金到位</c:v>
                </c:pt>
                <c:pt idx="1">
                  <c:v>资金分配</c:v>
                </c:pt>
              </c:strCache>
            </c:strRef>
          </c:cat>
          <c:val>
            <c:numRef>
              <c:f>三级指标图!$D$15:$D$16</c:f>
              <c:numCache>
                <c:formatCode>0.00%</c:formatCode>
                <c:ptCount val="2"/>
                <c:pt idx="0">
                  <c:v>0.8722</c:v>
                </c:pt>
                <c:pt idx="1">
                  <c:v>0.333333333333333</c:v>
                </c:pt>
              </c:numCache>
            </c:numRef>
          </c:val>
        </c:ser>
        <c:dLbls>
          <c:showLegendKey val="false"/>
          <c:showVal val="true"/>
          <c:showCatName val="false"/>
          <c:showSerName val="false"/>
          <c:showPercent val="false"/>
          <c:showBubbleSize val="false"/>
        </c:dLbls>
        <c:gapWidth val="326"/>
        <c:overlap val="-58"/>
        <c:axId val="526109024"/>
        <c:axId val="526096064"/>
      </c:barChart>
      <c:catAx>
        <c:axId val="52610902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096064"/>
        <c:crosses val="autoZero"/>
        <c:auto val="true"/>
        <c:lblAlgn val="ctr"/>
        <c:lblOffset val="100"/>
        <c:noMultiLvlLbl val="false"/>
      </c:catAx>
      <c:valAx>
        <c:axId val="52609606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0902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过程的二级指标得分率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二级指标图!$C$10:$C$11</c:f>
              <c:strCache>
                <c:ptCount val="2"/>
                <c:pt idx="0">
                  <c:v>资金管理</c:v>
                </c:pt>
                <c:pt idx="1">
                  <c:v>事项管理</c:v>
                </c:pt>
              </c:strCache>
            </c:strRef>
          </c:cat>
          <c:val>
            <c:numRef>
              <c:f>二级指标图!$D$10:$D$11</c:f>
              <c:numCache>
                <c:formatCode>0.00%</c:formatCode>
                <c:ptCount val="2"/>
                <c:pt idx="0">
                  <c:v>0.3228</c:v>
                </c:pt>
                <c:pt idx="1">
                  <c:v>0.375</c:v>
                </c:pt>
              </c:numCache>
            </c:numRef>
          </c:val>
        </c:ser>
        <c:dLbls>
          <c:showLegendKey val="false"/>
          <c:showVal val="true"/>
          <c:showCatName val="false"/>
          <c:showSerName val="false"/>
          <c:showPercent val="false"/>
          <c:showBubbleSize val="false"/>
        </c:dLbls>
        <c:gapWidth val="326"/>
        <c:overlap val="-58"/>
        <c:axId val="418599456"/>
        <c:axId val="418594656"/>
      </c:barChart>
      <c:catAx>
        <c:axId val="418599456"/>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594656"/>
        <c:crosses val="autoZero"/>
        <c:auto val="true"/>
        <c:lblAlgn val="ctr"/>
        <c:lblOffset val="100"/>
        <c:noMultiLvlLbl val="false"/>
      </c:catAx>
      <c:valAx>
        <c:axId val="418594656"/>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599456"/>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资金管理的三级指标得分率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三级指标图!$C$25:$C$26</c:f>
              <c:strCache>
                <c:ptCount val="2"/>
                <c:pt idx="0">
                  <c:v>资金支付</c:v>
                </c:pt>
                <c:pt idx="1">
                  <c:v>支出规范性</c:v>
                </c:pt>
              </c:strCache>
            </c:strRef>
          </c:cat>
          <c:val>
            <c:numRef>
              <c:f>三级指标图!$D$25:$D$26</c:f>
              <c:numCache>
                <c:formatCode>0.00%</c:formatCode>
                <c:ptCount val="2"/>
                <c:pt idx="0">
                  <c:v>0.6456</c:v>
                </c:pt>
                <c:pt idx="1">
                  <c:v>0</c:v>
                </c:pt>
              </c:numCache>
            </c:numRef>
          </c:val>
        </c:ser>
        <c:dLbls>
          <c:showLegendKey val="false"/>
          <c:showVal val="true"/>
          <c:showCatName val="false"/>
          <c:showSerName val="false"/>
          <c:showPercent val="false"/>
          <c:showBubbleSize val="false"/>
        </c:dLbls>
        <c:gapWidth val="326"/>
        <c:overlap val="-58"/>
        <c:axId val="526108544"/>
        <c:axId val="526111904"/>
      </c:barChart>
      <c:catAx>
        <c:axId val="52610854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11904"/>
        <c:crosses val="autoZero"/>
        <c:auto val="true"/>
        <c:lblAlgn val="ctr"/>
        <c:lblOffset val="100"/>
        <c:noMultiLvlLbl val="false"/>
      </c:catAx>
      <c:valAx>
        <c:axId val="52611190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0854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事项管理的三级指标得分率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三级指标图!$C$38:$C$39</c:f>
              <c:strCache>
                <c:ptCount val="2"/>
                <c:pt idx="0">
                  <c:v>实施程序</c:v>
                </c:pt>
                <c:pt idx="1">
                  <c:v>管理情况</c:v>
                </c:pt>
              </c:strCache>
            </c:strRef>
          </c:cat>
          <c:val>
            <c:numRef>
              <c:f>三级指标图!$D$38:$D$39</c:f>
              <c:numCache>
                <c:formatCode>0.00%</c:formatCode>
                <c:ptCount val="2"/>
                <c:pt idx="0">
                  <c:v>0.25</c:v>
                </c:pt>
                <c:pt idx="1">
                  <c:v>0.5</c:v>
                </c:pt>
              </c:numCache>
            </c:numRef>
          </c:val>
        </c:ser>
        <c:dLbls>
          <c:showLegendKey val="false"/>
          <c:showVal val="true"/>
          <c:showCatName val="false"/>
          <c:showSerName val="false"/>
          <c:showPercent val="false"/>
          <c:showBubbleSize val="false"/>
        </c:dLbls>
        <c:gapWidth val="326"/>
        <c:overlap val="-58"/>
        <c:axId val="526127264"/>
        <c:axId val="526141664"/>
      </c:barChart>
      <c:catAx>
        <c:axId val="52612726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41664"/>
        <c:crosses val="autoZero"/>
        <c:auto val="true"/>
        <c:lblAlgn val="ctr"/>
        <c:lblOffset val="100"/>
        <c:noMultiLvlLbl val="false"/>
      </c:catAx>
      <c:valAx>
        <c:axId val="52614166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2726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产出的二级指标得分率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二级指标图!$C$23:$C$24</c:f>
              <c:strCache>
                <c:ptCount val="2"/>
                <c:pt idx="0">
                  <c:v>经济性</c:v>
                </c:pt>
                <c:pt idx="1">
                  <c:v>效率性</c:v>
                </c:pt>
              </c:strCache>
            </c:strRef>
          </c:cat>
          <c:val>
            <c:numRef>
              <c:f>二级指标图!$D$23:$D$24</c:f>
              <c:numCache>
                <c:formatCode>0.00%</c:formatCode>
                <c:ptCount val="2"/>
                <c:pt idx="0">
                  <c:v>1</c:v>
                </c:pt>
                <c:pt idx="1">
                  <c:v>0.763888888888889</c:v>
                </c:pt>
              </c:numCache>
            </c:numRef>
          </c:val>
        </c:ser>
        <c:dLbls>
          <c:showLegendKey val="false"/>
          <c:showVal val="true"/>
          <c:showCatName val="false"/>
          <c:showSerName val="false"/>
          <c:showPercent val="false"/>
          <c:showBubbleSize val="false"/>
        </c:dLbls>
        <c:gapWidth val="326"/>
        <c:overlap val="-58"/>
        <c:axId val="418609056"/>
        <c:axId val="418587936"/>
      </c:barChart>
      <c:catAx>
        <c:axId val="418609056"/>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587936"/>
        <c:crosses val="autoZero"/>
        <c:auto val="true"/>
        <c:lblAlgn val="ctr"/>
        <c:lblOffset val="100"/>
        <c:noMultiLvlLbl val="false"/>
      </c:catAx>
      <c:valAx>
        <c:axId val="418587936"/>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609056"/>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效率性的三级指标得分率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三级指标图!$C$56:$C$58</c:f>
              <c:strCache>
                <c:ptCount val="3"/>
                <c:pt idx="0">
                  <c:v>完成数量</c:v>
                </c:pt>
                <c:pt idx="1">
                  <c:v>完成质量</c:v>
                </c:pt>
                <c:pt idx="2">
                  <c:v>完成进度</c:v>
                </c:pt>
              </c:strCache>
            </c:strRef>
          </c:cat>
          <c:val>
            <c:numRef>
              <c:f>三级指标图!$D$56:$D$58</c:f>
              <c:numCache>
                <c:formatCode>0.00%</c:formatCode>
                <c:ptCount val="3"/>
                <c:pt idx="0">
                  <c:v>0.892857142857143</c:v>
                </c:pt>
                <c:pt idx="1">
                  <c:v>0.696428571428571</c:v>
                </c:pt>
                <c:pt idx="2">
                  <c:v>0.333333333333333</c:v>
                </c:pt>
              </c:numCache>
            </c:numRef>
          </c:val>
        </c:ser>
        <c:dLbls>
          <c:showLegendKey val="false"/>
          <c:showVal val="true"/>
          <c:showCatName val="false"/>
          <c:showSerName val="false"/>
          <c:showPercent val="false"/>
          <c:showBubbleSize val="false"/>
        </c:dLbls>
        <c:gapWidth val="326"/>
        <c:overlap val="-58"/>
        <c:axId val="526151744"/>
        <c:axId val="526129664"/>
      </c:barChart>
      <c:catAx>
        <c:axId val="526151744"/>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29664"/>
        <c:crosses val="autoZero"/>
        <c:auto val="true"/>
        <c:lblAlgn val="ctr"/>
        <c:lblOffset val="100"/>
        <c:noMultiLvlLbl val="false"/>
      </c:catAx>
      <c:valAx>
        <c:axId val="526129664"/>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526151744"/>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800" b="1" i="0" u="none" strike="noStrike" kern="1200" cap="all" spc="50" baseline="0">
                <a:solidFill>
                  <a:schemeClr val="tx1">
                    <a:lumMod val="65000"/>
                    <a:lumOff val="35000"/>
                  </a:schemeClr>
                </a:solidFill>
                <a:latin typeface="+mn-lt"/>
                <a:ea typeface="+mn-ea"/>
                <a:cs typeface="+mn-cs"/>
              </a:defRPr>
            </a:pPr>
            <a:r>
              <a:rPr lang="zh-CN"/>
              <a:t>效益的二级指标得分率</a:t>
            </a:r>
            <a:endParaRPr lang="zh-CN"/>
          </a:p>
        </c:rich>
      </c:tx>
      <c:layout/>
      <c:overlay val="false"/>
      <c:spPr>
        <a:noFill/>
        <a:ln>
          <a:noFill/>
        </a:ln>
        <a:effectLst/>
      </c:spPr>
    </c:title>
    <c:autoTitleDeleted val="false"/>
    <c:plotArea>
      <c:layout/>
      <c:barChart>
        <c:barDir val="bar"/>
        <c:grouping val="clustered"/>
        <c:varyColors val="false"/>
        <c:ser>
          <c:idx val="0"/>
          <c:order val="0"/>
          <c:spPr>
            <a:gradFill flip="none" rotWithShape="true">
              <a:gsLst>
                <a:gs pos="0">
                  <a:schemeClr val="accent1"/>
                </a:gs>
                <a:gs pos="75000">
                  <a:schemeClr val="accent1">
                    <a:lumMod val="60000"/>
                    <a:lumOff val="40000"/>
                  </a:schemeClr>
                </a:gs>
                <a:gs pos="51000">
                  <a:schemeClr val="accent1">
                    <a:alpha val="75000"/>
                  </a:schemeClr>
                </a:gs>
                <a:gs pos="100000">
                  <a:schemeClr val="accent1">
                    <a:lumMod val="20000"/>
                    <a:lumOff val="80000"/>
                    <a:alpha val="15000"/>
                  </a:schemeClr>
                </a:gs>
              </a:gsLst>
              <a:lin ang="10800000" scaled="true"/>
              <a:tileRect/>
            </a:gradFill>
            <a:ln>
              <a:noFill/>
            </a:ln>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a:solidFill>
                        <a:schemeClr val="tx1">
                          <a:lumMod val="35000"/>
                          <a:lumOff val="65000"/>
                        </a:schemeClr>
                      </a:solidFill>
                    </a:ln>
                    <a:effectLst/>
                  </c:spPr>
                </c15:leaderLines>
              </c:ext>
            </c:extLst>
          </c:dLbls>
          <c:cat>
            <c:strRef>
              <c:f>二级指标图!$C$38:$C$39</c:f>
              <c:strCache>
                <c:ptCount val="2"/>
                <c:pt idx="0">
                  <c:v>效果性</c:v>
                </c:pt>
                <c:pt idx="1">
                  <c:v>公平性</c:v>
                </c:pt>
              </c:strCache>
            </c:strRef>
          </c:cat>
          <c:val>
            <c:numRef>
              <c:f>二级指标图!$D$38:$D$39</c:f>
              <c:numCache>
                <c:formatCode>0.00%</c:formatCode>
                <c:ptCount val="2"/>
                <c:pt idx="0">
                  <c:v>1</c:v>
                </c:pt>
                <c:pt idx="1">
                  <c:v>1</c:v>
                </c:pt>
              </c:numCache>
            </c:numRef>
          </c:val>
        </c:ser>
        <c:dLbls>
          <c:showLegendKey val="false"/>
          <c:showVal val="true"/>
          <c:showCatName val="false"/>
          <c:showSerName val="false"/>
          <c:showPercent val="false"/>
          <c:showBubbleSize val="false"/>
        </c:dLbls>
        <c:gapWidth val="326"/>
        <c:overlap val="-58"/>
        <c:axId val="418601376"/>
        <c:axId val="418610976"/>
      </c:barChart>
      <c:catAx>
        <c:axId val="418601376"/>
        <c:scaling>
          <c:orientation val="maxMin"/>
        </c:scaling>
        <c:delete val="false"/>
        <c:axPos val="l"/>
        <c:numFmt formatCode="General" sourceLinked="true"/>
        <c:majorTickMark val="none"/>
        <c:minorTickMark val="none"/>
        <c:tickLblPos val="nextTo"/>
        <c:spPr>
          <a:noFill/>
          <a:ln w="19050" cap="flat" cmpd="sng" algn="ctr">
            <a:solidFill>
              <a:schemeClr val="tx1">
                <a:lumMod val="15000"/>
                <a:lumOff val="85000"/>
              </a:schemeClr>
            </a:solidFill>
            <a:round/>
            <a:headEnd type="none" w="sm" len="sm"/>
            <a:tailEnd type="none" w="sm" len="sm"/>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610976"/>
        <c:crosses val="autoZero"/>
        <c:auto val="true"/>
        <c:lblAlgn val="ctr"/>
        <c:lblOffset val="100"/>
        <c:noMultiLvlLbl val="false"/>
      </c:catAx>
      <c:valAx>
        <c:axId val="418610976"/>
        <c:scaling>
          <c:orientation val="minMax"/>
        </c:scaling>
        <c:delete val="true"/>
        <c:axPos val="t"/>
        <c:majorGridlines>
          <c:spPr>
            <a:ln w="9525" cap="flat" cmpd="sng" algn="ctr">
              <a:gradFill>
                <a:gsLst>
                  <a:gs pos="99000">
                    <a:schemeClr val="tx1">
                      <a:lumMod val="25000"/>
                      <a:lumOff val="75000"/>
                    </a:schemeClr>
                  </a:gs>
                  <a:gs pos="0">
                    <a:schemeClr val="tx1">
                      <a:lumMod val="15000"/>
                      <a:lumOff val="85000"/>
                    </a:schemeClr>
                  </a:gs>
                </a:gsLst>
                <a:lin ang="5400000" scaled="false"/>
              </a:gra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418601376"/>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10.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3.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23">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19050" cap="flat" cmpd="sng" algn="ctr">
        <a:solidFill>
          <a:schemeClr val="tx1">
            <a:lumMod val="15000"/>
            <a:lumOff val="85000"/>
          </a:schemeClr>
        </a:solidFill>
        <a:round/>
        <a:headEnd type="none" w="sm" len="sm"/>
        <a:tailEnd type="none" w="sm" len="sm"/>
      </a:ln>
    </cs:spPr>
    <cs:defRPr sz="900" kern="120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bg1"/>
    </cs:fontRef>
    <cs:spPr>
      <a:solidFill>
        <a:schemeClr val="tx1">
          <a:lumMod val="50000"/>
          <a:lumOff val="50000"/>
        </a:schemeClr>
      </a:solidFill>
    </cs:spPr>
    <cs:defRPr sz="900" kern="1200"/>
    <cs:bodyPr rot="0" spcFirstLastPara="1" vertOverflow="clip" horzOverflow="clip" vert="horz" wrap="square" lIns="36576" tIns="18288" rIns="36576" bIns="18288" anchor="ctr" anchorCtr="true">
      <a:spAutoFit/>
    </cs:bodyPr>
  </cs:dataLabelCallout>
  <cs:dataPoint>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
  <cs:dataPoint3D>
    <cs:lnRef idx="0"/>
    <cs:fillRef idx="0">
      <cs:styleClr val="auto"/>
    </cs:fillRef>
    <cs:effectRef idx="0"/>
    <cs:fontRef idx="minor">
      <a:schemeClr val="dk1"/>
    </cs:fontRef>
    <cs:spPr>
      <a:gradFill flip="none" rotWithShape="true">
        <a:gsLst>
          <a:gs pos="0">
            <a:schemeClr val="phClr"/>
          </a:gs>
          <a:gs pos="75000">
            <a:schemeClr val="phClr">
              <a:lumMod val="60000"/>
              <a:lumOff val="40000"/>
            </a:schemeClr>
          </a:gs>
          <a:gs pos="51000">
            <a:schemeClr val="phClr">
              <a:alpha val="75000"/>
            </a:schemeClr>
          </a:gs>
          <a:gs pos="100000">
            <a:schemeClr val="phClr">
              <a:lumMod val="20000"/>
              <a:lumOff val="80000"/>
              <a:alpha val="15000"/>
            </a:schemeClr>
          </a:gs>
        </a:gsLst>
        <a:lin ang="10800000" scaled="true"/>
        <a:tileRect/>
      </a:gradFill>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styleClr val="auto"/>
    </cs:lnRef>
    <cs:fillRef idx="0">
      <cs:styleClr val="auto"/>
    </cs:fillRef>
    <cs:effectRef idx="0"/>
    <cs:fontRef idx="minor">
      <a:schemeClr val="dk1"/>
    </cs:fontRef>
    <cs:spPr>
      <a:gradFill>
        <a:gsLst>
          <a:gs pos="0">
            <a:schemeClr val="phClr"/>
          </a:gs>
          <a:gs pos="46000">
            <a:schemeClr val="phClr"/>
          </a:gs>
          <a:gs pos="100000">
            <a:schemeClr val="phClr">
              <a:lumMod val="20000"/>
              <a:lumOff val="80000"/>
              <a:alpha val="0"/>
            </a:schemeClr>
          </a:gs>
        </a:gsLst>
        <a:path path="circle">
          <a:fillToRect l="50000" t="-80000" r="50000" b="180000"/>
        </a:path>
      </a:gradFill>
      <a:ln w="9525" cap="flat" cmpd="sng" algn="ctr">
        <a:solidFill>
          <a:schemeClr val="phClr">
            <a:shade val="95000"/>
          </a:scheme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65000"/>
            <a:lumOff val="3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cap="flat" cmpd="sng" algn="ctr">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99000">
              <a:schemeClr val="tx1">
                <a:lumMod val="25000"/>
                <a:lumOff val="75000"/>
              </a:schemeClr>
            </a:gs>
            <a:gs pos="0">
              <a:schemeClr val="tx1">
                <a:lumMod val="15000"/>
                <a:lumOff val="85000"/>
              </a:schemeClr>
            </a:gs>
          </a:gsLst>
          <a:lin ang="5400000" scaled="false"/>
        </a:gradFill>
        <a:round/>
      </a:ln>
    </cs:spPr>
  </cs:gridlineMajor>
  <cs:gridlineMinor>
    <cs:lnRef idx="0"/>
    <cs:fillRef idx="0"/>
    <cs:effectRef idx="0"/>
    <cs:fontRef idx="minor">
      <a:schemeClr val="dk1"/>
    </cs:fontRef>
    <cs:spPr>
      <a:ln w="9525" cap="flat" cmpd="sng" algn="ctr">
        <a:gradFill>
          <a:gsLst>
            <a:gs pos="100000">
              <a:schemeClr val="tx1">
                <a:lumMod val="15000"/>
                <a:lumOff val="85000"/>
              </a:schemeClr>
            </a:gs>
            <a:gs pos="0">
              <a:schemeClr val="tx1">
                <a:lumMod val="5000"/>
                <a:lumOff val="95000"/>
              </a:schemeClr>
            </a:gs>
          </a:gsLst>
          <a:lin ang="5400000" scaled="false"/>
        </a:gradFill>
        <a:round/>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headEnd type="none" w="sm" len="sm"/>
        <a:tailEnd type="none" w="sm" len="sm"/>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800" b="1" kern="1200" cap="all" spc="50" baseline="0"/>
  </cs:title>
  <cs:trendline>
    <cs:lnRef idx="0">
      <cs:styleClr val="auto"/>
    </cs:lnRef>
    <cs:fillRef idx="0"/>
    <cs:effectRef idx="0"/>
    <cs:fontRef idx="minor">
      <a:schemeClr val="dk1"/>
    </cs:fontRef>
    <cs:spPr>
      <a:ln w="9525"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MPGROUP</Company>
  <Pages>55</Pages>
  <Words>4356</Words>
  <Characters>24830</Characters>
  <Lines>206</Lines>
  <Paragraphs>58</Paragraphs>
  <TotalTime>1014</TotalTime>
  <ScaleCrop>false</ScaleCrop>
  <LinksUpToDate>false</LinksUpToDate>
  <CharactersWithSpaces>29128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2024-10-31T13:49:00Z</dcterms:created>
  <dc:creator>中大咨询</dc:creator>
  <cp:lastModifiedBy>user</cp:lastModifiedBy>
  <cp:lastPrinted>2024-11-12T00:56:00Z</cp:lastPrinted>
  <dcterms:modified xsi:type="dcterms:W3CDTF">2025-02-17T10:00:35Z</dcterms:modified>
  <cp:revision>303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2932D5E532AF4F568FD4BA20E3F1EB89_13</vt:lpwstr>
  </property>
</Properties>
</file>