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sdt>
      <w:sdtPr>
        <w:rPr>
          <w:b/>
          <w:bCs/>
          <w:sz w:val="32"/>
          <w:lang w:val="zh-CN"/>
        </w:rPr>
        <w:id w:val="1065686842"/>
        <w:docPartObj>
          <w:docPartGallery w:val="Table of Contents"/>
          <w:docPartUnique/>
        </w:docPartObj>
      </w:sdtPr>
      <w:sdtEndPr>
        <w:rPr>
          <w:rFonts w:hint="eastAsia"/>
          <w:b/>
          <w:bCs/>
          <w:sz w:val="32"/>
          <w:lang w:val="zh-CN"/>
        </w:rPr>
      </w:sdtEndPr>
      <w:sdtContent>
        <w:p>
          <w:pPr>
            <w:spacing w:line="540" w:lineRule="exact"/>
            <w:ind w:left="0" w:leftChars="0" w:firstLine="0" w:firstLineChars="0"/>
            <w:jc w:val="left"/>
            <w:rPr>
              <w:rFonts w:hint="eastAsia" w:ascii="方正黑体_GBK" w:hAnsi="方正黑体_GBK" w:eastAsia="方正黑体_GBK" w:cs="方正黑体_GBK"/>
              <w:b w:val="0"/>
              <w:bCs w:val="0"/>
              <w:spacing w:val="10"/>
              <w:sz w:val="44"/>
              <w:lang w:val="en-US" w:eastAsia="zh-CN"/>
            </w:rPr>
          </w:pPr>
          <w:r>
            <w:rPr>
              <w:rFonts w:hint="eastAsia" w:ascii="方正黑体_GBK" w:hAnsi="方正黑体_GBK" w:eastAsia="方正黑体_GBK" w:cs="方正黑体_GBK"/>
              <w:b w:val="0"/>
              <w:bCs w:val="0"/>
              <w:sz w:val="32"/>
              <w:lang w:val="zh-CN"/>
            </w:rPr>
            <w:t>附件</w:t>
          </w:r>
        </w:p>
        <w:p>
          <w:pPr>
            <w:spacing w:line="540" w:lineRule="exact"/>
            <w:ind w:firstLine="920"/>
            <w:jc w:val="center"/>
            <w:rPr>
              <w:rFonts w:eastAsia="方正大标宋简体"/>
              <w:spacing w:val="10"/>
              <w:sz w:val="44"/>
            </w:rPr>
          </w:pPr>
        </w:p>
        <w:p>
          <w:pPr>
            <w:spacing w:line="540" w:lineRule="exact"/>
            <w:ind w:firstLine="920"/>
            <w:jc w:val="center"/>
            <w:rPr>
              <w:rFonts w:eastAsia="方正大标宋简体"/>
              <w:spacing w:val="10"/>
              <w:sz w:val="44"/>
            </w:rPr>
          </w:pPr>
        </w:p>
        <w:p>
          <w:pPr>
            <w:spacing w:line="540" w:lineRule="exact"/>
            <w:ind w:firstLine="920"/>
            <w:jc w:val="center"/>
            <w:rPr>
              <w:rFonts w:eastAsia="方正大标宋简体"/>
              <w:spacing w:val="10"/>
              <w:sz w:val="44"/>
            </w:rPr>
          </w:pPr>
        </w:p>
        <w:p>
          <w:pPr>
            <w:spacing w:line="540" w:lineRule="exact"/>
            <w:jc w:val="both"/>
            <w:rPr>
              <w:rFonts w:eastAsia="方正大标宋简体"/>
              <w:spacing w:val="10"/>
              <w:sz w:val="44"/>
            </w:rPr>
          </w:pPr>
        </w:p>
        <w:p>
          <w:pPr>
            <w:spacing w:line="540" w:lineRule="exact"/>
            <w:jc w:val="center"/>
            <w:rPr>
              <w:rFonts w:eastAsia="方正大标宋简体"/>
              <w:spacing w:val="10"/>
              <w:sz w:val="44"/>
            </w:rPr>
          </w:pPr>
        </w:p>
        <w:p>
          <w:pPr>
            <w:spacing w:line="54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韶关市市本级2023年省级涉农统筹整合</w:t>
          </w:r>
        </w:p>
        <w:p>
          <w:pPr>
            <w:spacing w:line="540" w:lineRule="exact"/>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转移支付项目绩效评价报告</w:t>
          </w:r>
        </w:p>
        <w:p>
          <w:pPr>
            <w:spacing w:line="540" w:lineRule="exact"/>
            <w:ind w:firstLine="88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 xml:space="preserve"> </w:t>
          </w:r>
        </w:p>
        <w:p>
          <w:pPr>
            <w:spacing w:line="540" w:lineRule="exact"/>
            <w:ind w:firstLine="880"/>
            <w:jc w:val="center"/>
            <w:rPr>
              <w:rFonts w:eastAsia="黑体"/>
              <w:sz w:val="44"/>
              <w:szCs w:val="44"/>
            </w:rPr>
          </w:pPr>
        </w:p>
        <w:p>
          <w:pPr>
            <w:spacing w:line="540" w:lineRule="exact"/>
            <w:ind w:firstLine="880"/>
            <w:jc w:val="center"/>
            <w:rPr>
              <w:rFonts w:eastAsia="黑体"/>
              <w:sz w:val="44"/>
              <w:szCs w:val="44"/>
            </w:rPr>
          </w:pPr>
        </w:p>
        <w:p>
          <w:pPr>
            <w:spacing w:line="540" w:lineRule="exact"/>
            <w:ind w:firstLine="880"/>
            <w:jc w:val="center"/>
            <w:rPr>
              <w:rFonts w:eastAsia="黑体"/>
              <w:sz w:val="44"/>
              <w:szCs w:val="44"/>
            </w:rPr>
          </w:pPr>
        </w:p>
        <w:p>
          <w:pPr>
            <w:pStyle w:val="35"/>
            <w:ind w:firstLine="640"/>
            <w:jc w:val="center"/>
          </w:pPr>
        </w:p>
        <w:p>
          <w:pPr>
            <w:pStyle w:val="35"/>
            <w:ind w:firstLine="640"/>
            <w:jc w:val="center"/>
          </w:pPr>
        </w:p>
        <w:p>
          <w:pPr>
            <w:pStyle w:val="35"/>
            <w:ind w:firstLine="640"/>
            <w:jc w:val="center"/>
          </w:pPr>
          <w:r>
            <w:t>委托单位：韶关市财政局</w:t>
          </w:r>
        </w:p>
        <w:p>
          <w:pPr>
            <w:pStyle w:val="35"/>
            <w:ind w:firstLine="640"/>
            <w:jc w:val="center"/>
          </w:pPr>
          <w:r>
            <w:t>评价机构：广东中大管理咨询集团股份有限公司</w:t>
          </w:r>
        </w:p>
        <w:p>
          <w:pPr>
            <w:pStyle w:val="35"/>
            <w:ind w:firstLine="640"/>
            <w:jc w:val="center"/>
          </w:pPr>
          <w:r>
            <w:t>二</w:t>
          </w:r>
          <w:r>
            <w:rPr>
              <w:rFonts w:eastAsia="微软雅黑"/>
            </w:rPr>
            <w:t>〇</w:t>
          </w:r>
          <w:r>
            <w:t>二四年</w:t>
          </w:r>
          <w:r>
            <w:rPr>
              <w:rFonts w:hint="eastAsia"/>
            </w:rPr>
            <w:t>十二</w:t>
          </w:r>
          <w:r>
            <w:t>月</w:t>
          </w:r>
        </w:p>
        <w:p>
          <w:pPr>
            <w:spacing w:after="200" w:line="276" w:lineRule="auto"/>
            <w:rPr>
              <w:szCs w:val="32"/>
            </w:rPr>
          </w:pPr>
          <w:r>
            <w:rPr>
              <w:szCs w:val="32"/>
            </w:rPr>
            <w:br w:type="page"/>
          </w:r>
        </w:p>
        <w:p>
          <w:pPr>
            <w:pStyle w:val="49"/>
            <w:pageBreakBefore w:val="0"/>
            <w:kinsoku/>
            <w:wordWrap/>
            <w:overflowPunct/>
            <w:topLinePunct w:val="0"/>
            <w:autoSpaceDE/>
            <w:autoSpaceDN/>
            <w:bidi w:val="0"/>
            <w:adjustRightInd/>
            <w:snapToGrid/>
            <w:spacing w:line="300" w:lineRule="exact"/>
            <w:jc w:val="center"/>
            <w:textAlignment w:val="auto"/>
            <w:rPr>
              <w:rStyle w:val="39"/>
              <w:b/>
              <w:bCs w:val="0"/>
              <w:color w:val="000000" w:themeColor="text1"/>
              <w:sz w:val="32"/>
              <w:szCs w:val="32"/>
              <w14:textFill>
                <w14:solidFill>
                  <w14:schemeClr w14:val="tx1"/>
                </w14:solidFill>
              </w14:textFill>
            </w:rPr>
          </w:pPr>
          <w:bookmarkStart w:id="0" w:name="_Toc181896170"/>
          <w:bookmarkStart w:id="1" w:name="_Toc179560378"/>
          <w:r>
            <w:rPr>
              <w:rStyle w:val="39"/>
              <w:b/>
              <w:bCs w:val="0"/>
              <w:color w:val="000000" w:themeColor="text1"/>
              <w:sz w:val="32"/>
              <w:szCs w:val="32"/>
              <w14:textFill>
                <w14:solidFill>
                  <w14:schemeClr w14:val="tx1"/>
                </w14:solidFill>
              </w14:textFill>
            </w:rPr>
            <w:t>目 录</w:t>
          </w:r>
          <w:bookmarkEnd w:id="0"/>
          <w:bookmarkEnd w:id="1"/>
        </w:p>
        <w:p>
          <w:pPr>
            <w:pStyle w:val="11"/>
            <w:pageBreakBefore w:val="0"/>
            <w:kinsoku/>
            <w:wordWrap/>
            <w:overflowPunct/>
            <w:topLinePunct w:val="0"/>
            <w:autoSpaceDE/>
            <w:autoSpaceDN/>
            <w:bidi w:val="0"/>
            <w:adjustRightInd/>
            <w:snapToGrid/>
            <w:spacing w:line="300" w:lineRule="exact"/>
            <w:textAlignment w:val="auto"/>
            <w:rPr>
              <w:rFonts w:asciiTheme="minorHAnsi" w:hAnsiTheme="minorHAnsi" w:eastAsiaTheme="minorEastAsia" w:cstheme="minorBidi"/>
              <w:sz w:val="28"/>
              <w:szCs w:val="28"/>
              <w14:ligatures w14:val="standardContextual"/>
            </w:rPr>
          </w:pPr>
          <w:r>
            <w:rPr>
              <w:rFonts w:hint="eastAsia" w:ascii="仿宋_GB2312"/>
              <w:sz w:val="30"/>
              <w:szCs w:val="30"/>
            </w:rPr>
            <w:fldChar w:fldCharType="begin"/>
          </w:r>
          <w:r>
            <w:rPr>
              <w:rFonts w:hint="eastAsia" w:ascii="仿宋_GB2312"/>
              <w:sz w:val="30"/>
              <w:szCs w:val="30"/>
            </w:rPr>
            <w:instrText xml:space="preserve"> TOC \o "1-3" \h \z \u </w:instrText>
          </w:r>
          <w:r>
            <w:rPr>
              <w:rFonts w:hint="eastAsia" w:ascii="仿宋_GB2312"/>
              <w:sz w:val="30"/>
              <w:szCs w:val="30"/>
            </w:rPr>
            <w:fldChar w:fldCharType="separate"/>
          </w:r>
          <w:r>
            <w:rPr>
              <w:sz w:val="28"/>
              <w:szCs w:val="28"/>
            </w:rPr>
            <w:fldChar w:fldCharType="begin"/>
          </w:r>
          <w:r>
            <w:rPr>
              <w:sz w:val="28"/>
              <w:szCs w:val="28"/>
            </w:rPr>
            <w:instrText xml:space="preserve"> HYPERLINK \l "_Toc181896170" </w:instrText>
          </w:r>
          <w:r>
            <w:rPr>
              <w:sz w:val="28"/>
              <w:szCs w:val="28"/>
            </w:rPr>
            <w:fldChar w:fldCharType="separate"/>
          </w:r>
          <w:r>
            <w:rPr>
              <w:rStyle w:val="20"/>
              <w:rFonts w:hint="eastAsia"/>
              <w:sz w:val="28"/>
              <w:szCs w:val="28"/>
            </w:rPr>
            <w:t>目 录</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_Toc181896170 \h</w:instrText>
          </w:r>
          <w:r>
            <w:rPr>
              <w:rFonts w:hint="eastAsia"/>
              <w:sz w:val="28"/>
              <w:szCs w:val="28"/>
            </w:rPr>
            <w:instrText xml:space="preserve"> </w:instrText>
          </w:r>
          <w:r>
            <w:rPr>
              <w:rFonts w:hint="eastAsia"/>
              <w:sz w:val="28"/>
              <w:szCs w:val="28"/>
            </w:rPr>
            <w:fldChar w:fldCharType="separate"/>
          </w:r>
          <w:r>
            <w:rPr>
              <w:sz w:val="28"/>
              <w:szCs w:val="28"/>
            </w:rPr>
            <w:t>II</w:t>
          </w:r>
          <w:r>
            <w:rPr>
              <w:rFonts w:hint="eastAsia"/>
              <w:sz w:val="28"/>
              <w:szCs w:val="28"/>
            </w:rPr>
            <w:fldChar w:fldCharType="end"/>
          </w:r>
          <w:r>
            <w:rPr>
              <w:rFonts w:hint="eastAsia"/>
              <w:sz w:val="28"/>
              <w:szCs w:val="28"/>
            </w:rPr>
            <w:fldChar w:fldCharType="end"/>
          </w:r>
        </w:p>
        <w:p>
          <w:pPr>
            <w:pStyle w:val="11"/>
            <w:pageBreakBefore w:val="0"/>
            <w:kinsoku/>
            <w:wordWrap/>
            <w:overflowPunct/>
            <w:topLinePunct w:val="0"/>
            <w:autoSpaceDE/>
            <w:autoSpaceDN/>
            <w:bidi w:val="0"/>
            <w:adjustRightInd/>
            <w:snapToGrid/>
            <w:spacing w:line="300" w:lineRule="exact"/>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"_Toc181896171" </w:instrText>
          </w:r>
          <w:r>
            <w:rPr>
              <w:sz w:val="28"/>
              <w:szCs w:val="28"/>
            </w:rPr>
            <w:fldChar w:fldCharType="separate"/>
          </w:r>
          <w:r>
            <w:rPr>
              <w:rStyle w:val="20"/>
              <w:rFonts w:hint="eastAsia"/>
              <w:sz w:val="28"/>
              <w:szCs w:val="28"/>
            </w:rPr>
            <w:t>一、基本情况</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_Toc181896171 \h</w:instrText>
          </w:r>
          <w:r>
            <w:rPr>
              <w:rFonts w:hint="eastAsia"/>
              <w:sz w:val="28"/>
              <w:szCs w:val="28"/>
            </w:rPr>
            <w:instrText xml:space="preserve"> </w:instrText>
          </w:r>
          <w:r>
            <w:rPr>
              <w:rFonts w:hint="eastAsia"/>
              <w:sz w:val="28"/>
              <w:szCs w:val="28"/>
            </w:rPr>
            <w:fldChar w:fldCharType="separate"/>
          </w:r>
          <w:r>
            <w:rPr>
              <w:sz w:val="28"/>
              <w:szCs w:val="28"/>
            </w:rPr>
            <w:t>1</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"_Toc181896172" </w:instrText>
          </w:r>
          <w:r>
            <w:rPr>
              <w:sz w:val="28"/>
              <w:szCs w:val="28"/>
            </w:rPr>
            <w:fldChar w:fldCharType="separate"/>
          </w:r>
          <w:r>
            <w:rPr>
              <w:rStyle w:val="20"/>
              <w:rFonts w:hint="eastAsia"/>
              <w:sz w:val="28"/>
              <w:szCs w:val="28"/>
            </w:rPr>
            <w:t>（一）项目背景</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_Toc181896172 \h</w:instrText>
          </w:r>
          <w:r>
            <w:rPr>
              <w:rFonts w:hint="eastAsia"/>
              <w:sz w:val="28"/>
              <w:szCs w:val="28"/>
            </w:rPr>
            <w:instrText xml:space="preserve"> </w:instrText>
          </w:r>
          <w:r>
            <w:rPr>
              <w:rFonts w:hint="eastAsia"/>
              <w:sz w:val="28"/>
              <w:szCs w:val="28"/>
            </w:rPr>
            <w:fldChar w:fldCharType="separate"/>
          </w:r>
          <w:r>
            <w:rPr>
              <w:sz w:val="28"/>
              <w:szCs w:val="28"/>
            </w:rPr>
            <w:t>1</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"_Toc181896173" </w:instrText>
          </w:r>
          <w:r>
            <w:rPr>
              <w:sz w:val="28"/>
              <w:szCs w:val="28"/>
            </w:rPr>
            <w:fldChar w:fldCharType="separate"/>
          </w:r>
          <w:r>
            <w:rPr>
              <w:rStyle w:val="20"/>
              <w:rFonts w:hint="eastAsia"/>
              <w:sz w:val="28"/>
              <w:szCs w:val="28"/>
            </w:rPr>
            <w:t>（二）项目实施情况</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_Toc181896173 \h</w:instrText>
          </w:r>
          <w:r>
            <w:rPr>
              <w:rFonts w:hint="eastAsia"/>
              <w:sz w:val="28"/>
              <w:szCs w:val="28"/>
            </w:rPr>
            <w:instrText xml:space="preserve"> </w:instrText>
          </w:r>
          <w:r>
            <w:rPr>
              <w:rFonts w:hint="eastAsia"/>
              <w:sz w:val="28"/>
              <w:szCs w:val="28"/>
            </w:rPr>
            <w:fldChar w:fldCharType="separate"/>
          </w:r>
          <w:r>
            <w:rPr>
              <w:sz w:val="28"/>
              <w:szCs w:val="28"/>
            </w:rPr>
            <w:t>2</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"_Toc181896176" </w:instrText>
          </w:r>
          <w:r>
            <w:rPr>
              <w:sz w:val="28"/>
              <w:szCs w:val="28"/>
            </w:rPr>
            <w:fldChar w:fldCharType="separate"/>
          </w:r>
          <w:r>
            <w:rPr>
              <w:rStyle w:val="20"/>
              <w:rFonts w:hint="eastAsia"/>
              <w:sz w:val="28"/>
              <w:szCs w:val="28"/>
            </w:rPr>
            <w:t>（三）资金到位及使用情况</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_Toc181896176 \h</w:instrText>
          </w:r>
          <w:r>
            <w:rPr>
              <w:rFonts w:hint="eastAsia"/>
              <w:sz w:val="28"/>
              <w:szCs w:val="28"/>
            </w:rPr>
            <w:instrText xml:space="preserve"> </w:instrText>
          </w:r>
          <w:r>
            <w:rPr>
              <w:rFonts w:hint="eastAsia"/>
              <w:sz w:val="28"/>
              <w:szCs w:val="28"/>
            </w:rPr>
            <w:fldChar w:fldCharType="separate"/>
          </w:r>
          <w:r>
            <w:rPr>
              <w:sz w:val="28"/>
              <w:szCs w:val="28"/>
            </w:rPr>
            <w:t>5</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"_Toc181896177" </w:instrText>
          </w:r>
          <w:r>
            <w:rPr>
              <w:sz w:val="28"/>
              <w:szCs w:val="28"/>
            </w:rPr>
            <w:fldChar w:fldCharType="separate"/>
          </w:r>
          <w:r>
            <w:rPr>
              <w:rStyle w:val="20"/>
              <w:rFonts w:hint="eastAsia"/>
              <w:sz w:val="28"/>
              <w:szCs w:val="28"/>
            </w:rPr>
            <w:t>（四）任务目标及实现情况</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_Toc181896177 \h</w:instrText>
          </w:r>
          <w:r>
            <w:rPr>
              <w:rFonts w:hint="eastAsia"/>
              <w:sz w:val="28"/>
              <w:szCs w:val="28"/>
            </w:rPr>
            <w:instrText xml:space="preserve"> </w:instrText>
          </w:r>
          <w:r>
            <w:rPr>
              <w:rFonts w:hint="eastAsia"/>
              <w:sz w:val="28"/>
              <w:szCs w:val="28"/>
            </w:rPr>
            <w:fldChar w:fldCharType="separate"/>
          </w:r>
          <w:r>
            <w:rPr>
              <w:sz w:val="28"/>
              <w:szCs w:val="28"/>
            </w:rPr>
            <w:t>6</w:t>
          </w:r>
          <w:r>
            <w:rPr>
              <w:rFonts w:hint="eastAsia"/>
              <w:sz w:val="28"/>
              <w:szCs w:val="28"/>
            </w:rPr>
            <w:fldChar w:fldCharType="end"/>
          </w:r>
          <w:r>
            <w:rPr>
              <w:rFonts w:hint="eastAsia"/>
              <w:sz w:val="28"/>
              <w:szCs w:val="28"/>
            </w:rPr>
            <w:fldChar w:fldCharType="end"/>
          </w:r>
          <w:bookmarkStart w:id="79" w:name="_GoBack"/>
          <w:bookmarkEnd w:id="79"/>
        </w:p>
        <w:p>
          <w:pPr>
            <w:pStyle w:val="11"/>
            <w:pageBreakBefore w:val="0"/>
            <w:kinsoku/>
            <w:wordWrap/>
            <w:overflowPunct/>
            <w:topLinePunct w:val="0"/>
            <w:autoSpaceDE/>
            <w:autoSpaceDN/>
            <w:bidi w:val="0"/>
            <w:adjustRightInd/>
            <w:snapToGrid/>
            <w:spacing w:line="300" w:lineRule="exact"/>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"_Toc181896188" </w:instrText>
          </w:r>
          <w:r>
            <w:rPr>
              <w:sz w:val="28"/>
              <w:szCs w:val="28"/>
            </w:rPr>
            <w:fldChar w:fldCharType="separate"/>
          </w:r>
          <w:r>
            <w:rPr>
              <w:rStyle w:val="20"/>
              <w:rFonts w:hint="eastAsia"/>
              <w:sz w:val="28"/>
              <w:szCs w:val="28"/>
            </w:rPr>
            <w:t>二、绩效分析</w:t>
          </w:r>
          <w:r>
            <w:rPr>
              <w:rFonts w:hint="eastAsia"/>
              <w:sz w:val="28"/>
              <w:szCs w:val="28"/>
            </w:rPr>
            <w:tab/>
          </w:r>
          <w:r>
            <w:rPr>
              <w:sz w:val="28"/>
              <w:szCs w:val="28"/>
            </w:rPr>
            <w:fldChar w:fldCharType="begin"/>
          </w:r>
          <w:r>
            <w:rPr>
              <w:sz w:val="28"/>
              <w:szCs w:val="28"/>
            </w:rPr>
            <w:instrText xml:space="preserve"> PAGEREF _Toc181896188 \h </w:instrText>
          </w:r>
          <w:r>
            <w:rPr>
              <w:sz w:val="28"/>
              <w:szCs w:val="28"/>
            </w:rPr>
            <w:fldChar w:fldCharType="separate"/>
          </w:r>
          <w:r>
            <w:rPr>
              <w:sz w:val="28"/>
              <w:szCs w:val="28"/>
            </w:rPr>
            <w:t>11</w:t>
          </w:r>
          <w:r>
            <w:rPr>
              <w:sz w:val="28"/>
              <w:szCs w:val="28"/>
            </w:rPr>
            <w:fldChar w:fldCharType="end"/>
          </w:r>
          <w:r>
            <w:rPr>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"_Toc181896189" </w:instrText>
          </w:r>
          <w:r>
            <w:rPr>
              <w:sz w:val="28"/>
              <w:szCs w:val="28"/>
            </w:rPr>
            <w:fldChar w:fldCharType="separate"/>
          </w:r>
          <w:r>
            <w:rPr>
              <w:rStyle w:val="20"/>
              <w:rFonts w:hint="eastAsia"/>
              <w:sz w:val="28"/>
              <w:szCs w:val="28"/>
            </w:rPr>
            <w:t>（一）投入</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_Toc181896189 \h</w:instrText>
          </w:r>
          <w:r>
            <w:rPr>
              <w:rFonts w:hint="eastAsia"/>
              <w:sz w:val="28"/>
              <w:szCs w:val="28"/>
            </w:rPr>
            <w:instrText xml:space="preserve"> </w:instrText>
          </w:r>
          <w:r>
            <w:rPr>
              <w:rFonts w:hint="eastAsia"/>
              <w:sz w:val="28"/>
              <w:szCs w:val="28"/>
            </w:rPr>
            <w:fldChar w:fldCharType="separate"/>
          </w:r>
          <w:r>
            <w:rPr>
              <w:sz w:val="28"/>
              <w:szCs w:val="28"/>
            </w:rPr>
            <w:t>11</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"_Toc181896192" </w:instrText>
          </w:r>
          <w:r>
            <w:rPr>
              <w:sz w:val="28"/>
              <w:szCs w:val="28"/>
            </w:rPr>
            <w:fldChar w:fldCharType="separate"/>
          </w:r>
          <w:r>
            <w:rPr>
              <w:rStyle w:val="20"/>
              <w:rFonts w:hint="eastAsia" w:ascii="楷体" w:hAnsi="楷体" w:eastAsia="楷体"/>
              <w:sz w:val="28"/>
              <w:szCs w:val="28"/>
            </w:rPr>
            <w:t>（二）</w:t>
          </w:r>
          <w:r>
            <w:rPr>
              <w:rStyle w:val="20"/>
              <w:rFonts w:hint="eastAsia"/>
              <w:sz w:val="28"/>
              <w:szCs w:val="28"/>
            </w:rPr>
            <w:t>过程</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_Toc181896192 \h</w:instrText>
          </w:r>
          <w:r>
            <w:rPr>
              <w:rFonts w:hint="eastAsia"/>
              <w:sz w:val="28"/>
              <w:szCs w:val="28"/>
            </w:rPr>
            <w:instrText xml:space="preserve"> </w:instrText>
          </w:r>
          <w:r>
            <w:rPr>
              <w:rFonts w:hint="eastAsia"/>
              <w:sz w:val="28"/>
              <w:szCs w:val="28"/>
            </w:rPr>
            <w:fldChar w:fldCharType="separate"/>
          </w:r>
          <w:r>
            <w:rPr>
              <w:sz w:val="28"/>
              <w:szCs w:val="28"/>
            </w:rPr>
            <w:t>13</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"_Toc181896195" </w:instrText>
          </w:r>
          <w:r>
            <w:rPr>
              <w:sz w:val="28"/>
              <w:szCs w:val="28"/>
            </w:rPr>
            <w:fldChar w:fldCharType="separate"/>
          </w:r>
          <w:r>
            <w:rPr>
              <w:rStyle w:val="20"/>
              <w:rFonts w:hint="eastAsia"/>
              <w:sz w:val="28"/>
              <w:szCs w:val="28"/>
            </w:rPr>
            <w:t>（三）产出</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_Toc181896195 \h</w:instrText>
          </w:r>
          <w:r>
            <w:rPr>
              <w:rFonts w:hint="eastAsia"/>
              <w:sz w:val="28"/>
              <w:szCs w:val="28"/>
            </w:rPr>
            <w:instrText xml:space="preserve"> </w:instrText>
          </w:r>
          <w:r>
            <w:rPr>
              <w:rFonts w:hint="eastAsia"/>
              <w:sz w:val="28"/>
              <w:szCs w:val="28"/>
            </w:rPr>
            <w:fldChar w:fldCharType="separate"/>
          </w:r>
          <w:r>
            <w:rPr>
              <w:sz w:val="28"/>
              <w:szCs w:val="28"/>
            </w:rPr>
            <w:t>16</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Style w:val="20"/>
              <w:sz w:val="28"/>
              <w:szCs w:val="28"/>
            </w:rPr>
          </w:pPr>
          <w:r>
            <w:rPr>
              <w:sz w:val="28"/>
              <w:szCs w:val="28"/>
            </w:rPr>
            <w:fldChar w:fldCharType="begin"/>
          </w:r>
          <w:r>
            <w:rPr>
              <w:sz w:val="28"/>
              <w:szCs w:val="28"/>
            </w:rPr>
            <w:instrText xml:space="preserve"> HYPERLINK \l "_Toc181896198" </w:instrText>
          </w:r>
          <w:r>
            <w:rPr>
              <w:sz w:val="28"/>
              <w:szCs w:val="28"/>
            </w:rPr>
            <w:fldChar w:fldCharType="separate"/>
          </w:r>
          <w:r>
            <w:rPr>
              <w:rStyle w:val="20"/>
              <w:rFonts w:hint="eastAsia"/>
              <w:sz w:val="28"/>
              <w:szCs w:val="28"/>
            </w:rPr>
            <w:t>（四）效益</w:t>
          </w:r>
          <w:r>
            <w:rPr>
              <w:rStyle w:val="20"/>
              <w:rFonts w:hint="eastAsia"/>
              <w:sz w:val="28"/>
              <w:szCs w:val="28"/>
            </w:rPr>
            <w:tab/>
          </w:r>
          <w:r>
            <w:rPr>
              <w:rStyle w:val="20"/>
              <w:rFonts w:hint="eastAsia"/>
              <w:sz w:val="28"/>
              <w:szCs w:val="28"/>
            </w:rPr>
            <w:fldChar w:fldCharType="begin"/>
          </w:r>
          <w:r>
            <w:rPr>
              <w:rStyle w:val="20"/>
              <w:rFonts w:hint="eastAsia"/>
              <w:sz w:val="28"/>
              <w:szCs w:val="28"/>
            </w:rPr>
            <w:instrText xml:space="preserve"> </w:instrText>
          </w:r>
          <w:r>
            <w:rPr>
              <w:rStyle w:val="20"/>
              <w:sz w:val="28"/>
              <w:szCs w:val="28"/>
            </w:rPr>
            <w:instrText xml:space="preserve">PAGEREF _Toc181896198 \h</w:instrText>
          </w:r>
          <w:r>
            <w:rPr>
              <w:rStyle w:val="20"/>
              <w:rFonts w:hint="eastAsia"/>
              <w:sz w:val="28"/>
              <w:szCs w:val="28"/>
            </w:rPr>
            <w:instrText xml:space="preserve"> </w:instrText>
          </w:r>
          <w:r>
            <w:rPr>
              <w:rStyle w:val="20"/>
              <w:rFonts w:hint="eastAsia"/>
              <w:sz w:val="28"/>
              <w:szCs w:val="28"/>
            </w:rPr>
            <w:fldChar w:fldCharType="separate"/>
          </w:r>
          <w:r>
            <w:rPr>
              <w:rStyle w:val="20"/>
              <w:sz w:val="28"/>
              <w:szCs w:val="28"/>
            </w:rPr>
            <w:t>19</w:t>
          </w:r>
          <w:r>
            <w:rPr>
              <w:rStyle w:val="20"/>
              <w:rFonts w:hint="eastAsia"/>
              <w:sz w:val="28"/>
              <w:szCs w:val="28"/>
            </w:rPr>
            <w:fldChar w:fldCharType="end"/>
          </w:r>
          <w:r>
            <w:rPr>
              <w:rStyle w:val="20"/>
              <w:rFonts w:hint="eastAsia"/>
              <w:sz w:val="28"/>
              <w:szCs w:val="28"/>
            </w:rPr>
            <w:fldChar w:fldCharType="end"/>
          </w:r>
        </w:p>
        <w:p>
          <w:pPr>
            <w:pStyle w:val="11"/>
            <w:pageBreakBefore w:val="0"/>
            <w:kinsoku/>
            <w:wordWrap/>
            <w:overflowPunct/>
            <w:topLinePunct w:val="0"/>
            <w:autoSpaceDE/>
            <w:autoSpaceDN/>
            <w:bidi w:val="0"/>
            <w:adjustRightInd/>
            <w:snapToGrid/>
            <w:spacing w:line="300" w:lineRule="exact"/>
            <w:textAlignment w:val="auto"/>
            <w:rPr>
              <w:rStyle w:val="20"/>
              <w:sz w:val="28"/>
              <w:szCs w:val="28"/>
            </w:rPr>
          </w:pPr>
          <w:r>
            <w:rPr>
              <w:sz w:val="28"/>
              <w:szCs w:val="28"/>
            </w:rPr>
            <w:fldChar w:fldCharType="begin"/>
          </w:r>
          <w:r>
            <w:rPr>
              <w:sz w:val="28"/>
              <w:szCs w:val="28"/>
            </w:rPr>
            <w:instrText xml:space="preserve"> HYPERLINK \l "_Toc181896201" </w:instrText>
          </w:r>
          <w:r>
            <w:rPr>
              <w:sz w:val="28"/>
              <w:szCs w:val="28"/>
            </w:rPr>
            <w:fldChar w:fldCharType="separate"/>
          </w:r>
          <w:r>
            <w:rPr>
              <w:rStyle w:val="20"/>
              <w:rFonts w:hint="eastAsia"/>
              <w:sz w:val="28"/>
              <w:szCs w:val="28"/>
            </w:rPr>
            <w:t>三、评价结论</w:t>
          </w:r>
          <w:r>
            <w:rPr>
              <w:rStyle w:val="20"/>
              <w:rFonts w:hint="eastAsia"/>
              <w:sz w:val="28"/>
              <w:szCs w:val="28"/>
            </w:rPr>
            <w:tab/>
          </w:r>
          <w:r>
            <w:rPr>
              <w:rStyle w:val="20"/>
              <w:rFonts w:hint="eastAsia"/>
              <w:sz w:val="28"/>
              <w:szCs w:val="28"/>
            </w:rPr>
            <w:fldChar w:fldCharType="begin"/>
          </w:r>
          <w:r>
            <w:rPr>
              <w:rStyle w:val="20"/>
              <w:rFonts w:hint="eastAsia"/>
              <w:sz w:val="28"/>
              <w:szCs w:val="28"/>
            </w:rPr>
            <w:instrText xml:space="preserve"> </w:instrText>
          </w:r>
          <w:r>
            <w:rPr>
              <w:rStyle w:val="20"/>
              <w:sz w:val="28"/>
              <w:szCs w:val="28"/>
            </w:rPr>
            <w:instrText xml:space="preserve">PAGEREF _Toc181896201 \h</w:instrText>
          </w:r>
          <w:r>
            <w:rPr>
              <w:rStyle w:val="20"/>
              <w:rFonts w:hint="eastAsia"/>
              <w:sz w:val="28"/>
              <w:szCs w:val="28"/>
            </w:rPr>
            <w:instrText xml:space="preserve"> </w:instrText>
          </w:r>
          <w:r>
            <w:rPr>
              <w:rStyle w:val="20"/>
              <w:rFonts w:hint="eastAsia"/>
              <w:sz w:val="28"/>
              <w:szCs w:val="28"/>
            </w:rPr>
            <w:fldChar w:fldCharType="separate"/>
          </w:r>
          <w:r>
            <w:rPr>
              <w:rStyle w:val="20"/>
              <w:sz w:val="28"/>
              <w:szCs w:val="28"/>
            </w:rPr>
            <w:t>22</w:t>
          </w:r>
          <w:r>
            <w:rPr>
              <w:rStyle w:val="20"/>
              <w:rFonts w:hint="eastAsia"/>
              <w:sz w:val="28"/>
              <w:szCs w:val="28"/>
            </w:rPr>
            <w:fldChar w:fldCharType="end"/>
          </w:r>
          <w:r>
            <w:rPr>
              <w:rStyle w:val="20"/>
              <w:rFonts w:hint="eastAsia"/>
              <w:sz w:val="28"/>
              <w:szCs w:val="28"/>
            </w:rPr>
            <w:fldChar w:fldCharType="end"/>
          </w:r>
        </w:p>
        <w:p>
          <w:pPr>
            <w:pStyle w:val="11"/>
            <w:pageBreakBefore w:val="0"/>
            <w:kinsoku/>
            <w:wordWrap/>
            <w:overflowPunct/>
            <w:topLinePunct w:val="0"/>
            <w:autoSpaceDE/>
            <w:autoSpaceDN/>
            <w:bidi w:val="0"/>
            <w:adjustRightInd/>
            <w:snapToGrid/>
            <w:spacing w:line="300" w:lineRule="exact"/>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"_Toc181896202" </w:instrText>
          </w:r>
          <w:r>
            <w:rPr>
              <w:sz w:val="28"/>
              <w:szCs w:val="28"/>
            </w:rPr>
            <w:fldChar w:fldCharType="separate"/>
          </w:r>
          <w:r>
            <w:rPr>
              <w:rStyle w:val="20"/>
              <w:rFonts w:hint="eastAsia"/>
              <w:sz w:val="28"/>
              <w:szCs w:val="28"/>
            </w:rPr>
            <w:t>四、主要绩效</w:t>
          </w:r>
          <w:r>
            <w:rPr>
              <w:rFonts w:hint="eastAsia"/>
              <w:sz w:val="28"/>
              <w:szCs w:val="28"/>
            </w:rPr>
            <w:tab/>
          </w:r>
          <w:r>
            <w:rPr>
              <w:sz w:val="28"/>
              <w:szCs w:val="28"/>
            </w:rPr>
            <w:fldChar w:fldCharType="begin"/>
          </w:r>
          <w:r>
            <w:rPr>
              <w:sz w:val="28"/>
              <w:szCs w:val="28"/>
            </w:rPr>
            <w:instrText xml:space="preserve"> PAGEREF _Toc181896202 \h </w:instrText>
          </w:r>
          <w:r>
            <w:rPr>
              <w:sz w:val="28"/>
              <w:szCs w:val="28"/>
            </w:rPr>
            <w:fldChar w:fldCharType="separate"/>
          </w:r>
          <w:r>
            <w:rPr>
              <w:sz w:val="28"/>
              <w:szCs w:val="28"/>
            </w:rPr>
            <w:t>23</w:t>
          </w:r>
          <w:r>
            <w:rPr>
              <w:sz w:val="28"/>
              <w:szCs w:val="28"/>
            </w:rPr>
            <w:fldChar w:fldCharType="end"/>
          </w:r>
          <w:r>
            <w:rPr>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"_Toc181896203" </w:instrText>
          </w:r>
          <w:r>
            <w:rPr>
              <w:sz w:val="28"/>
              <w:szCs w:val="28"/>
            </w:rPr>
            <w:fldChar w:fldCharType="separate"/>
          </w:r>
          <w:r>
            <w:rPr>
              <w:rStyle w:val="20"/>
              <w:rFonts w:hint="eastAsia"/>
              <w:sz w:val="28"/>
              <w:szCs w:val="28"/>
            </w:rPr>
            <w:t>（一）农业生产增效提质，人居整治巩固提升</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_Toc181896203 \h</w:instrText>
          </w:r>
          <w:r>
            <w:rPr>
              <w:rFonts w:hint="eastAsia"/>
              <w:sz w:val="28"/>
              <w:szCs w:val="28"/>
            </w:rPr>
            <w:instrText xml:space="preserve"> </w:instrText>
          </w:r>
          <w:r>
            <w:rPr>
              <w:rFonts w:hint="eastAsia"/>
              <w:sz w:val="28"/>
              <w:szCs w:val="28"/>
            </w:rPr>
            <w:fldChar w:fldCharType="separate"/>
          </w:r>
          <w:r>
            <w:rPr>
              <w:sz w:val="28"/>
              <w:szCs w:val="28"/>
            </w:rPr>
            <w:t>23</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"_Toc181896204" </w:instrText>
          </w:r>
          <w:r>
            <w:rPr>
              <w:sz w:val="28"/>
              <w:szCs w:val="28"/>
            </w:rPr>
            <w:fldChar w:fldCharType="separate"/>
          </w:r>
          <w:r>
            <w:rPr>
              <w:rStyle w:val="20"/>
              <w:rFonts w:hint="eastAsia"/>
              <w:sz w:val="28"/>
              <w:szCs w:val="28"/>
            </w:rPr>
            <w:t>（二）</w:t>
          </w:r>
          <w:r>
            <w:rPr>
              <w:rStyle w:val="20"/>
              <w:rFonts w:hint="eastAsia"/>
              <w:bCs/>
              <w:sz w:val="28"/>
              <w:szCs w:val="28"/>
            </w:rPr>
            <w:t>造林抚育优化生态，绿美韶关持续推进</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_Toc181896204 \h</w:instrText>
          </w:r>
          <w:r>
            <w:rPr>
              <w:rFonts w:hint="eastAsia"/>
              <w:sz w:val="28"/>
              <w:szCs w:val="28"/>
            </w:rPr>
            <w:instrText xml:space="preserve"> </w:instrText>
          </w:r>
          <w:r>
            <w:rPr>
              <w:rFonts w:hint="eastAsia"/>
              <w:sz w:val="28"/>
              <w:szCs w:val="28"/>
            </w:rPr>
            <w:fldChar w:fldCharType="separate"/>
          </w:r>
          <w:r>
            <w:rPr>
              <w:sz w:val="28"/>
              <w:szCs w:val="28"/>
            </w:rPr>
            <w:t>23</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"_Toc181896205" </w:instrText>
          </w:r>
          <w:r>
            <w:rPr>
              <w:sz w:val="28"/>
              <w:szCs w:val="28"/>
            </w:rPr>
            <w:fldChar w:fldCharType="separate"/>
          </w:r>
          <w:r>
            <w:rPr>
              <w:rStyle w:val="20"/>
              <w:rFonts w:hint="eastAsia"/>
              <w:sz w:val="28"/>
              <w:szCs w:val="28"/>
            </w:rPr>
            <w:t>（三）</w:t>
          </w:r>
          <w:r>
            <w:rPr>
              <w:rStyle w:val="20"/>
              <w:rFonts w:hint="eastAsia"/>
              <w:bCs/>
              <w:sz w:val="28"/>
              <w:szCs w:val="28"/>
            </w:rPr>
            <w:t>水资源强化管控力，防洪体系积极构建</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_Toc181896205 \h</w:instrText>
          </w:r>
          <w:r>
            <w:rPr>
              <w:rFonts w:hint="eastAsia"/>
              <w:sz w:val="28"/>
              <w:szCs w:val="28"/>
            </w:rPr>
            <w:instrText xml:space="preserve"> </w:instrText>
          </w:r>
          <w:r>
            <w:rPr>
              <w:rFonts w:hint="eastAsia"/>
              <w:sz w:val="28"/>
              <w:szCs w:val="28"/>
            </w:rPr>
            <w:fldChar w:fldCharType="separate"/>
          </w:r>
          <w:r>
            <w:rPr>
              <w:sz w:val="28"/>
              <w:szCs w:val="28"/>
            </w:rPr>
            <w:t>24</w:t>
          </w:r>
          <w:r>
            <w:rPr>
              <w:rFonts w:hint="eastAsia"/>
              <w:sz w:val="28"/>
              <w:szCs w:val="28"/>
            </w:rPr>
            <w:fldChar w:fldCharType="end"/>
          </w:r>
          <w:r>
            <w:rPr>
              <w:rFonts w:hint="eastAsia"/>
              <w:sz w:val="28"/>
              <w:szCs w:val="28"/>
            </w:rPr>
            <w:fldChar w:fldCharType="end"/>
          </w:r>
        </w:p>
        <w:p>
          <w:pPr>
            <w:pStyle w:val="11"/>
            <w:pageBreakBefore w:val="0"/>
            <w:kinsoku/>
            <w:wordWrap/>
            <w:overflowPunct/>
            <w:topLinePunct w:val="0"/>
            <w:autoSpaceDE/>
            <w:autoSpaceDN/>
            <w:bidi w:val="0"/>
            <w:adjustRightInd/>
            <w:snapToGrid/>
            <w:spacing w:line="300" w:lineRule="exact"/>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"_Toc181896206" </w:instrText>
          </w:r>
          <w:r>
            <w:rPr>
              <w:sz w:val="28"/>
              <w:szCs w:val="28"/>
            </w:rPr>
            <w:fldChar w:fldCharType="separate"/>
          </w:r>
          <w:r>
            <w:rPr>
              <w:rStyle w:val="20"/>
              <w:rFonts w:hint="eastAsia"/>
              <w:sz w:val="28"/>
              <w:szCs w:val="28"/>
            </w:rPr>
            <w:t>五、存在问题</w:t>
          </w:r>
          <w:r>
            <w:rPr>
              <w:rFonts w:hint="eastAsia"/>
              <w:sz w:val="28"/>
              <w:szCs w:val="28"/>
            </w:rPr>
            <w:tab/>
          </w:r>
          <w:r>
            <w:rPr>
              <w:sz w:val="28"/>
              <w:szCs w:val="28"/>
            </w:rPr>
            <w:fldChar w:fldCharType="begin"/>
          </w:r>
          <w:r>
            <w:rPr>
              <w:sz w:val="28"/>
              <w:szCs w:val="28"/>
            </w:rPr>
            <w:instrText xml:space="preserve"> PAGEREF _Toc181896206 \h </w:instrText>
          </w:r>
          <w:r>
            <w:rPr>
              <w:sz w:val="28"/>
              <w:szCs w:val="28"/>
            </w:rPr>
            <w:fldChar w:fldCharType="separate"/>
          </w:r>
          <w:r>
            <w:rPr>
              <w:sz w:val="28"/>
              <w:szCs w:val="28"/>
            </w:rPr>
            <w:t>24</w:t>
          </w:r>
          <w:r>
            <w:rPr>
              <w:sz w:val="28"/>
              <w:szCs w:val="28"/>
            </w:rPr>
            <w:fldChar w:fldCharType="end"/>
          </w:r>
          <w:r>
            <w:rPr>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Style w:val="20"/>
              <w:bCs/>
              <w:sz w:val="28"/>
              <w:szCs w:val="28"/>
            </w:rPr>
          </w:pPr>
          <w:r>
            <w:rPr>
              <w:sz w:val="28"/>
              <w:szCs w:val="28"/>
            </w:rPr>
            <w:fldChar w:fldCharType="begin"/>
          </w:r>
          <w:r>
            <w:rPr>
              <w:sz w:val="28"/>
              <w:szCs w:val="28"/>
            </w:rPr>
            <w:instrText xml:space="preserve"> HYPERLINK \l "_Toc181896207" </w:instrText>
          </w:r>
          <w:r>
            <w:rPr>
              <w:sz w:val="28"/>
              <w:szCs w:val="28"/>
            </w:rPr>
            <w:fldChar w:fldCharType="separate"/>
          </w:r>
          <w:r>
            <w:rPr>
              <w:rStyle w:val="20"/>
              <w:rFonts w:hint="eastAsia"/>
              <w:bCs/>
              <w:sz w:val="28"/>
              <w:szCs w:val="28"/>
            </w:rPr>
            <w:t>（一）资金分配机制不够清晰，资金统筹管理不够严谨</w:t>
          </w:r>
          <w:r>
            <w:rPr>
              <w:rStyle w:val="20"/>
              <w:rFonts w:hint="eastAsia"/>
              <w:bCs/>
              <w:sz w:val="28"/>
              <w:szCs w:val="28"/>
            </w:rPr>
            <w:tab/>
          </w:r>
          <w:r>
            <w:rPr>
              <w:rStyle w:val="20"/>
              <w:rFonts w:hint="eastAsia"/>
              <w:bCs/>
              <w:sz w:val="28"/>
              <w:szCs w:val="28"/>
            </w:rPr>
            <w:fldChar w:fldCharType="begin"/>
          </w:r>
          <w:r>
            <w:rPr>
              <w:rStyle w:val="20"/>
              <w:rFonts w:hint="eastAsia"/>
              <w:bCs/>
              <w:sz w:val="28"/>
              <w:szCs w:val="28"/>
            </w:rPr>
            <w:instrText xml:space="preserve"> </w:instrText>
          </w:r>
          <w:r>
            <w:rPr>
              <w:rStyle w:val="20"/>
              <w:bCs/>
              <w:sz w:val="28"/>
              <w:szCs w:val="28"/>
            </w:rPr>
            <w:instrText xml:space="preserve">PAGEREF _Toc181896207 \h</w:instrText>
          </w:r>
          <w:r>
            <w:rPr>
              <w:rStyle w:val="20"/>
              <w:rFonts w:hint="eastAsia"/>
              <w:bCs/>
              <w:sz w:val="28"/>
              <w:szCs w:val="28"/>
            </w:rPr>
            <w:instrText xml:space="preserve"> </w:instrText>
          </w:r>
          <w:r>
            <w:rPr>
              <w:rStyle w:val="20"/>
              <w:rFonts w:hint="eastAsia"/>
              <w:bCs/>
              <w:sz w:val="28"/>
              <w:szCs w:val="28"/>
            </w:rPr>
            <w:fldChar w:fldCharType="separate"/>
          </w:r>
          <w:r>
            <w:rPr>
              <w:rStyle w:val="20"/>
              <w:bCs/>
              <w:sz w:val="28"/>
              <w:szCs w:val="28"/>
            </w:rPr>
            <w:t>24</w:t>
          </w:r>
          <w:r>
            <w:rPr>
              <w:rStyle w:val="20"/>
              <w:rFonts w:hint="eastAsia"/>
              <w:bCs/>
              <w:sz w:val="28"/>
              <w:szCs w:val="28"/>
            </w:rPr>
            <w:fldChar w:fldCharType="end"/>
          </w:r>
          <w:r>
            <w:rPr>
              <w:rStyle w:val="20"/>
              <w:rFonts w:hint="eastAsia"/>
              <w:bCs/>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Style w:val="20"/>
              <w:bCs/>
              <w:sz w:val="28"/>
              <w:szCs w:val="28"/>
            </w:rPr>
          </w:pPr>
          <w:r>
            <w:rPr>
              <w:sz w:val="28"/>
              <w:szCs w:val="28"/>
            </w:rPr>
            <w:fldChar w:fldCharType="begin"/>
          </w:r>
          <w:r>
            <w:rPr>
              <w:sz w:val="28"/>
              <w:szCs w:val="28"/>
            </w:rPr>
            <w:instrText xml:space="preserve"> HYPERLINK \l "_Toc181896208" </w:instrText>
          </w:r>
          <w:r>
            <w:rPr>
              <w:sz w:val="28"/>
              <w:szCs w:val="28"/>
            </w:rPr>
            <w:fldChar w:fldCharType="separate"/>
          </w:r>
          <w:r>
            <w:rPr>
              <w:rStyle w:val="20"/>
              <w:rFonts w:hint="eastAsia"/>
              <w:bCs/>
              <w:sz w:val="28"/>
              <w:szCs w:val="28"/>
            </w:rPr>
            <w:t>（二）个别项目流程违规滞后，项目延期处理不恰当</w:t>
          </w:r>
          <w:r>
            <w:rPr>
              <w:rStyle w:val="20"/>
              <w:rFonts w:hint="eastAsia"/>
              <w:bCs/>
              <w:sz w:val="28"/>
              <w:szCs w:val="28"/>
            </w:rPr>
            <w:tab/>
          </w:r>
          <w:r>
            <w:rPr>
              <w:rStyle w:val="20"/>
              <w:rFonts w:hint="eastAsia"/>
              <w:bCs/>
              <w:sz w:val="28"/>
              <w:szCs w:val="28"/>
            </w:rPr>
            <w:fldChar w:fldCharType="begin"/>
          </w:r>
          <w:r>
            <w:rPr>
              <w:rStyle w:val="20"/>
              <w:rFonts w:hint="eastAsia"/>
              <w:bCs/>
              <w:sz w:val="28"/>
              <w:szCs w:val="28"/>
            </w:rPr>
            <w:instrText xml:space="preserve"> </w:instrText>
          </w:r>
          <w:r>
            <w:rPr>
              <w:rStyle w:val="20"/>
              <w:bCs/>
              <w:sz w:val="28"/>
              <w:szCs w:val="28"/>
            </w:rPr>
            <w:instrText xml:space="preserve">PAGEREF _Toc181896208 \h</w:instrText>
          </w:r>
          <w:r>
            <w:rPr>
              <w:rStyle w:val="20"/>
              <w:rFonts w:hint="eastAsia"/>
              <w:bCs/>
              <w:sz w:val="28"/>
              <w:szCs w:val="28"/>
            </w:rPr>
            <w:instrText xml:space="preserve"> </w:instrText>
          </w:r>
          <w:r>
            <w:rPr>
              <w:rStyle w:val="20"/>
              <w:rFonts w:hint="eastAsia"/>
              <w:bCs/>
              <w:sz w:val="28"/>
              <w:szCs w:val="28"/>
            </w:rPr>
            <w:fldChar w:fldCharType="separate"/>
          </w:r>
          <w:r>
            <w:rPr>
              <w:rStyle w:val="20"/>
              <w:bCs/>
              <w:sz w:val="28"/>
              <w:szCs w:val="28"/>
            </w:rPr>
            <w:t>26</w:t>
          </w:r>
          <w:r>
            <w:rPr>
              <w:rStyle w:val="20"/>
              <w:rFonts w:hint="eastAsia"/>
              <w:bCs/>
              <w:sz w:val="28"/>
              <w:szCs w:val="28"/>
            </w:rPr>
            <w:fldChar w:fldCharType="end"/>
          </w:r>
          <w:r>
            <w:rPr>
              <w:rStyle w:val="20"/>
              <w:rFonts w:hint="eastAsia"/>
              <w:bCs/>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Style w:val="20"/>
              <w:bCs/>
              <w:sz w:val="28"/>
              <w:szCs w:val="28"/>
            </w:rPr>
          </w:pPr>
          <w:r>
            <w:rPr>
              <w:sz w:val="28"/>
              <w:szCs w:val="28"/>
            </w:rPr>
            <w:fldChar w:fldCharType="begin"/>
          </w:r>
          <w:r>
            <w:rPr>
              <w:sz w:val="28"/>
              <w:szCs w:val="28"/>
            </w:rPr>
            <w:instrText xml:space="preserve"> HYPERLINK \l "_Toc181896209" </w:instrText>
          </w:r>
          <w:r>
            <w:rPr>
              <w:sz w:val="28"/>
              <w:szCs w:val="28"/>
            </w:rPr>
            <w:fldChar w:fldCharType="separate"/>
          </w:r>
          <w:r>
            <w:rPr>
              <w:rStyle w:val="20"/>
              <w:rFonts w:hint="eastAsia"/>
              <w:bCs/>
              <w:sz w:val="28"/>
              <w:szCs w:val="28"/>
            </w:rPr>
            <w:t>（三）项目过程监管不到位，资金监管力度不足</w:t>
          </w:r>
          <w:r>
            <w:rPr>
              <w:rStyle w:val="20"/>
              <w:rFonts w:hint="eastAsia"/>
              <w:bCs/>
              <w:sz w:val="28"/>
              <w:szCs w:val="28"/>
            </w:rPr>
            <w:tab/>
          </w:r>
          <w:r>
            <w:rPr>
              <w:rStyle w:val="20"/>
              <w:rFonts w:hint="eastAsia"/>
              <w:bCs/>
              <w:sz w:val="28"/>
              <w:szCs w:val="28"/>
            </w:rPr>
            <w:fldChar w:fldCharType="begin"/>
          </w:r>
          <w:r>
            <w:rPr>
              <w:rStyle w:val="20"/>
              <w:rFonts w:hint="eastAsia"/>
              <w:bCs/>
              <w:sz w:val="28"/>
              <w:szCs w:val="28"/>
            </w:rPr>
            <w:instrText xml:space="preserve"> </w:instrText>
          </w:r>
          <w:r>
            <w:rPr>
              <w:rStyle w:val="20"/>
              <w:bCs/>
              <w:sz w:val="28"/>
              <w:szCs w:val="28"/>
            </w:rPr>
            <w:instrText xml:space="preserve">PAGEREF _Toc181896209 \h</w:instrText>
          </w:r>
          <w:r>
            <w:rPr>
              <w:rStyle w:val="20"/>
              <w:rFonts w:hint="eastAsia"/>
              <w:bCs/>
              <w:sz w:val="28"/>
              <w:szCs w:val="28"/>
            </w:rPr>
            <w:instrText xml:space="preserve"> </w:instrText>
          </w:r>
          <w:r>
            <w:rPr>
              <w:rStyle w:val="20"/>
              <w:rFonts w:hint="eastAsia"/>
              <w:bCs/>
              <w:sz w:val="28"/>
              <w:szCs w:val="28"/>
            </w:rPr>
            <w:fldChar w:fldCharType="separate"/>
          </w:r>
          <w:r>
            <w:rPr>
              <w:rStyle w:val="20"/>
              <w:bCs/>
              <w:sz w:val="28"/>
              <w:szCs w:val="28"/>
            </w:rPr>
            <w:t>28</w:t>
          </w:r>
          <w:r>
            <w:rPr>
              <w:rStyle w:val="20"/>
              <w:rFonts w:hint="eastAsia"/>
              <w:bCs/>
              <w:sz w:val="28"/>
              <w:szCs w:val="28"/>
            </w:rPr>
            <w:fldChar w:fldCharType="end"/>
          </w:r>
          <w:r>
            <w:rPr>
              <w:rStyle w:val="20"/>
              <w:rFonts w:hint="eastAsia"/>
              <w:bCs/>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Style w:val="20"/>
              <w:bCs/>
              <w:sz w:val="28"/>
              <w:szCs w:val="28"/>
            </w:rPr>
          </w:pPr>
          <w:r>
            <w:rPr>
              <w:sz w:val="28"/>
              <w:szCs w:val="28"/>
            </w:rPr>
            <w:fldChar w:fldCharType="begin"/>
          </w:r>
          <w:r>
            <w:rPr>
              <w:sz w:val="28"/>
              <w:szCs w:val="28"/>
            </w:rPr>
            <w:instrText xml:space="preserve"> HYPERLINK \l "_Toc181896210" </w:instrText>
          </w:r>
          <w:r>
            <w:rPr>
              <w:sz w:val="28"/>
              <w:szCs w:val="28"/>
            </w:rPr>
            <w:fldChar w:fldCharType="separate"/>
          </w:r>
          <w:r>
            <w:rPr>
              <w:rStyle w:val="20"/>
              <w:rFonts w:hint="eastAsia"/>
              <w:bCs/>
              <w:sz w:val="28"/>
              <w:szCs w:val="28"/>
            </w:rPr>
            <w:t>（四）绩效目标设置不够合理，绩效管理工作不到位</w:t>
          </w:r>
          <w:r>
            <w:rPr>
              <w:rStyle w:val="20"/>
              <w:rFonts w:hint="eastAsia"/>
              <w:bCs/>
              <w:sz w:val="28"/>
              <w:szCs w:val="28"/>
            </w:rPr>
            <w:tab/>
          </w:r>
          <w:r>
            <w:rPr>
              <w:rStyle w:val="20"/>
              <w:rFonts w:hint="eastAsia"/>
              <w:bCs/>
              <w:sz w:val="28"/>
              <w:szCs w:val="28"/>
            </w:rPr>
            <w:fldChar w:fldCharType="begin"/>
          </w:r>
          <w:r>
            <w:rPr>
              <w:rStyle w:val="20"/>
              <w:rFonts w:hint="eastAsia"/>
              <w:bCs/>
              <w:sz w:val="28"/>
              <w:szCs w:val="28"/>
            </w:rPr>
            <w:instrText xml:space="preserve"> </w:instrText>
          </w:r>
          <w:r>
            <w:rPr>
              <w:rStyle w:val="20"/>
              <w:bCs/>
              <w:sz w:val="28"/>
              <w:szCs w:val="28"/>
            </w:rPr>
            <w:instrText xml:space="preserve">PAGEREF _Toc181896210 \h</w:instrText>
          </w:r>
          <w:r>
            <w:rPr>
              <w:rStyle w:val="20"/>
              <w:rFonts w:hint="eastAsia"/>
              <w:bCs/>
              <w:sz w:val="28"/>
              <w:szCs w:val="28"/>
            </w:rPr>
            <w:instrText xml:space="preserve"> </w:instrText>
          </w:r>
          <w:r>
            <w:rPr>
              <w:rStyle w:val="20"/>
              <w:rFonts w:hint="eastAsia"/>
              <w:bCs/>
              <w:sz w:val="28"/>
              <w:szCs w:val="28"/>
            </w:rPr>
            <w:fldChar w:fldCharType="separate"/>
          </w:r>
          <w:r>
            <w:rPr>
              <w:rStyle w:val="20"/>
              <w:bCs/>
              <w:sz w:val="28"/>
              <w:szCs w:val="28"/>
            </w:rPr>
            <w:t>29</w:t>
          </w:r>
          <w:r>
            <w:rPr>
              <w:rStyle w:val="20"/>
              <w:rFonts w:hint="eastAsia"/>
              <w:bCs/>
              <w:sz w:val="28"/>
              <w:szCs w:val="28"/>
            </w:rPr>
            <w:fldChar w:fldCharType="end"/>
          </w:r>
          <w:r>
            <w:rPr>
              <w:rStyle w:val="20"/>
              <w:rFonts w:hint="eastAsia"/>
              <w:bCs/>
              <w:sz w:val="28"/>
              <w:szCs w:val="28"/>
            </w:rPr>
            <w:fldChar w:fldCharType="end"/>
          </w:r>
        </w:p>
        <w:p>
          <w:pPr>
            <w:pStyle w:val="11"/>
            <w:pageBreakBefore w:val="0"/>
            <w:kinsoku/>
            <w:wordWrap/>
            <w:overflowPunct/>
            <w:topLinePunct w:val="0"/>
            <w:autoSpaceDE/>
            <w:autoSpaceDN/>
            <w:bidi w:val="0"/>
            <w:adjustRightInd/>
            <w:snapToGrid/>
            <w:spacing w:line="300" w:lineRule="exact"/>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"_Toc181896211" </w:instrText>
          </w:r>
          <w:r>
            <w:rPr>
              <w:sz w:val="28"/>
              <w:szCs w:val="28"/>
            </w:rPr>
            <w:fldChar w:fldCharType="separate"/>
          </w:r>
          <w:r>
            <w:rPr>
              <w:rStyle w:val="20"/>
              <w:rFonts w:hint="eastAsia"/>
              <w:sz w:val="28"/>
              <w:szCs w:val="28"/>
            </w:rPr>
            <w:t>六、改进建议</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_Toc181896211 \h</w:instrText>
          </w:r>
          <w:r>
            <w:rPr>
              <w:rFonts w:hint="eastAsia"/>
              <w:sz w:val="28"/>
              <w:szCs w:val="28"/>
            </w:rPr>
            <w:instrText xml:space="preserve"> </w:instrText>
          </w:r>
          <w:r>
            <w:rPr>
              <w:rFonts w:hint="eastAsia"/>
              <w:sz w:val="28"/>
              <w:szCs w:val="28"/>
            </w:rPr>
            <w:fldChar w:fldCharType="separate"/>
          </w:r>
          <w:r>
            <w:rPr>
              <w:sz w:val="28"/>
              <w:szCs w:val="28"/>
            </w:rPr>
            <w:t>32</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"_Toc181896212" </w:instrText>
          </w:r>
          <w:r>
            <w:rPr>
              <w:sz w:val="28"/>
              <w:szCs w:val="28"/>
            </w:rPr>
            <w:fldChar w:fldCharType="separate"/>
          </w:r>
          <w:r>
            <w:rPr>
              <w:rStyle w:val="20"/>
              <w:rFonts w:hint="eastAsia"/>
              <w:sz w:val="28"/>
              <w:szCs w:val="28"/>
            </w:rPr>
            <w:t>（一）优化资金管理模式，做好做实项目储备</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_Toc181896212 \h</w:instrText>
          </w:r>
          <w:r>
            <w:rPr>
              <w:rFonts w:hint="eastAsia"/>
              <w:sz w:val="28"/>
              <w:szCs w:val="28"/>
            </w:rPr>
            <w:instrText xml:space="preserve"> </w:instrText>
          </w:r>
          <w:r>
            <w:rPr>
              <w:rFonts w:hint="eastAsia"/>
              <w:sz w:val="28"/>
              <w:szCs w:val="28"/>
            </w:rPr>
            <w:fldChar w:fldCharType="separate"/>
          </w:r>
          <w:r>
            <w:rPr>
              <w:sz w:val="28"/>
              <w:szCs w:val="28"/>
            </w:rPr>
            <w:t>32</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"_Toc181896213" </w:instrText>
          </w:r>
          <w:r>
            <w:rPr>
              <w:sz w:val="28"/>
              <w:szCs w:val="28"/>
            </w:rPr>
            <w:fldChar w:fldCharType="separate"/>
          </w:r>
          <w:r>
            <w:rPr>
              <w:rStyle w:val="20"/>
              <w:rFonts w:hint="eastAsia"/>
              <w:sz w:val="28"/>
              <w:szCs w:val="28"/>
            </w:rPr>
            <w:t>（二）强化项目流程管理，确保合规性与时效性</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_Toc181896213 \h</w:instrText>
          </w:r>
          <w:r>
            <w:rPr>
              <w:rFonts w:hint="eastAsia"/>
              <w:sz w:val="28"/>
              <w:szCs w:val="28"/>
            </w:rPr>
            <w:instrText xml:space="preserve"> </w:instrText>
          </w:r>
          <w:r>
            <w:rPr>
              <w:rFonts w:hint="eastAsia"/>
              <w:sz w:val="28"/>
              <w:szCs w:val="28"/>
            </w:rPr>
            <w:fldChar w:fldCharType="separate"/>
          </w:r>
          <w:r>
            <w:rPr>
              <w:sz w:val="28"/>
              <w:szCs w:val="28"/>
            </w:rPr>
            <w:t>33</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"_Toc181896214" </w:instrText>
          </w:r>
          <w:r>
            <w:rPr>
              <w:sz w:val="28"/>
              <w:szCs w:val="28"/>
            </w:rPr>
            <w:fldChar w:fldCharType="separate"/>
          </w:r>
          <w:r>
            <w:rPr>
              <w:rStyle w:val="20"/>
              <w:rFonts w:hint="eastAsia"/>
              <w:sz w:val="28"/>
              <w:szCs w:val="28"/>
            </w:rPr>
            <w:t>（三）完善项目监管机制，强化监管执行力度</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_Toc181896214 \h</w:instrText>
          </w:r>
          <w:r>
            <w:rPr>
              <w:rFonts w:hint="eastAsia"/>
              <w:sz w:val="28"/>
              <w:szCs w:val="28"/>
            </w:rPr>
            <w:instrText xml:space="preserve"> </w:instrText>
          </w:r>
          <w:r>
            <w:rPr>
              <w:rFonts w:hint="eastAsia"/>
              <w:sz w:val="28"/>
              <w:szCs w:val="28"/>
            </w:rPr>
            <w:fldChar w:fldCharType="separate"/>
          </w:r>
          <w:r>
            <w:rPr>
              <w:sz w:val="28"/>
              <w:szCs w:val="28"/>
            </w:rPr>
            <w:t>33</w:t>
          </w:r>
          <w:r>
            <w:rPr>
              <w:rFonts w:hint="eastAsia"/>
              <w:sz w:val="28"/>
              <w:szCs w:val="28"/>
            </w:rPr>
            <w:fldChar w:fldCharType="end"/>
          </w:r>
          <w:r>
            <w:rPr>
              <w:rFonts w:hint="eastAsia"/>
              <w:sz w:val="28"/>
              <w:szCs w:val="28"/>
            </w:rPr>
            <w:fldChar w:fldCharType="end"/>
          </w:r>
        </w:p>
        <w:p>
          <w:pPr>
            <w:pStyle w:val="13"/>
            <w:pageBreakBefore w:val="0"/>
            <w:tabs>
              <w:tab w:val="right" w:leader="dot" w:pos="8296"/>
            </w:tabs>
            <w:kinsoku/>
            <w:wordWrap/>
            <w:overflowPunct/>
            <w:topLinePunct w:val="0"/>
            <w:autoSpaceDE/>
            <w:autoSpaceDN/>
            <w:bidi w:val="0"/>
            <w:adjustRightInd/>
            <w:snapToGrid/>
            <w:spacing w:line="300" w:lineRule="exact"/>
            <w:ind w:left="480"/>
            <w:textAlignment w:val="auto"/>
            <w:rPr>
              <w:rFonts w:asciiTheme="minorHAnsi" w:hAnsiTheme="minorHAnsi" w:eastAsiaTheme="minorEastAsia" w:cstheme="minorBidi"/>
              <w:sz w:val="28"/>
              <w:szCs w:val="28"/>
              <w14:ligatures w14:val="standardContextual"/>
            </w:rPr>
          </w:pPr>
          <w:r>
            <w:rPr>
              <w:sz w:val="28"/>
              <w:szCs w:val="28"/>
            </w:rPr>
            <w:fldChar w:fldCharType="begin"/>
          </w:r>
          <w:r>
            <w:rPr>
              <w:sz w:val="28"/>
              <w:szCs w:val="28"/>
            </w:rPr>
            <w:instrText xml:space="preserve"> HYPERLINK \l "_Toc181896215" </w:instrText>
          </w:r>
          <w:r>
            <w:rPr>
              <w:sz w:val="28"/>
              <w:szCs w:val="28"/>
            </w:rPr>
            <w:fldChar w:fldCharType="separate"/>
          </w:r>
          <w:r>
            <w:rPr>
              <w:rStyle w:val="20"/>
              <w:rFonts w:hint="eastAsia"/>
              <w:sz w:val="28"/>
              <w:szCs w:val="28"/>
            </w:rPr>
            <w:t>（四）</w:t>
          </w:r>
          <w:r>
            <w:rPr>
              <w:rStyle w:val="20"/>
              <w:rFonts w:hint="eastAsia"/>
              <w:bCs/>
              <w:sz w:val="28"/>
              <w:szCs w:val="28"/>
            </w:rPr>
            <w:t>优化绩效指标设置，强化项目效益评估</w:t>
          </w:r>
          <w:r>
            <w:rPr>
              <w:rFonts w:hint="eastAsia"/>
              <w:sz w:val="28"/>
              <w:szCs w:val="28"/>
            </w:rPr>
            <w:tab/>
          </w:r>
          <w:r>
            <w:rPr>
              <w:rFonts w:hint="eastAsia"/>
              <w:sz w:val="28"/>
              <w:szCs w:val="28"/>
            </w:rPr>
            <w:fldChar w:fldCharType="begin"/>
          </w:r>
          <w:r>
            <w:rPr>
              <w:rFonts w:hint="eastAsia"/>
              <w:sz w:val="28"/>
              <w:szCs w:val="28"/>
            </w:rPr>
            <w:instrText xml:space="preserve"> </w:instrText>
          </w:r>
          <w:r>
            <w:rPr>
              <w:sz w:val="28"/>
              <w:szCs w:val="28"/>
            </w:rPr>
            <w:instrText xml:space="preserve">PAGEREF _Toc181896215 \h</w:instrText>
          </w:r>
          <w:r>
            <w:rPr>
              <w:rFonts w:hint="eastAsia"/>
              <w:sz w:val="28"/>
              <w:szCs w:val="28"/>
            </w:rPr>
            <w:instrText xml:space="preserve"> </w:instrText>
          </w:r>
          <w:r>
            <w:rPr>
              <w:rFonts w:hint="eastAsia"/>
              <w:sz w:val="28"/>
              <w:szCs w:val="28"/>
            </w:rPr>
            <w:fldChar w:fldCharType="separate"/>
          </w:r>
          <w:r>
            <w:rPr>
              <w:sz w:val="28"/>
              <w:szCs w:val="28"/>
            </w:rPr>
            <w:t>34</w:t>
          </w:r>
          <w:r>
            <w:rPr>
              <w:rFonts w:hint="eastAsia"/>
              <w:sz w:val="28"/>
              <w:szCs w:val="28"/>
            </w:rPr>
            <w:fldChar w:fldCharType="end"/>
          </w:r>
          <w:r>
            <w:rPr>
              <w:rFonts w:hint="eastAsia"/>
              <w:sz w:val="28"/>
              <w:szCs w:val="28"/>
            </w:rPr>
            <w:fldChar w:fldCharType="end"/>
          </w:r>
        </w:p>
        <w:p>
          <w:pPr>
            <w:pStyle w:val="11"/>
            <w:pageBreakBefore w:val="0"/>
            <w:kinsoku/>
            <w:wordWrap/>
            <w:overflowPunct/>
            <w:topLinePunct w:val="0"/>
            <w:autoSpaceDE/>
            <w:autoSpaceDN/>
            <w:bidi w:val="0"/>
            <w:adjustRightInd/>
            <w:snapToGrid/>
            <w:spacing w:line="300" w:lineRule="exact"/>
            <w:textAlignment w:val="auto"/>
            <w:rPr>
              <w:rFonts w:asciiTheme="minorHAnsi" w:hAnsiTheme="minorHAnsi" w:eastAsiaTheme="minorEastAsia" w:cstheme="minorBidi"/>
              <w:sz w:val="30"/>
              <w:szCs w:val="30"/>
              <w14:ligatures w14:val="standardContextual"/>
            </w:rPr>
          </w:pPr>
          <w:r>
            <w:rPr>
              <w:sz w:val="28"/>
              <w:szCs w:val="28"/>
            </w:rPr>
            <w:fldChar w:fldCharType="begin"/>
          </w:r>
          <w:r>
            <w:rPr>
              <w:sz w:val="28"/>
              <w:szCs w:val="28"/>
            </w:rPr>
            <w:instrText xml:space="preserve"> HYPERLINK \l "_Toc181896216" </w:instrText>
          </w:r>
          <w:r>
            <w:rPr>
              <w:sz w:val="28"/>
              <w:szCs w:val="28"/>
            </w:rPr>
            <w:fldChar w:fldCharType="separate"/>
          </w:r>
          <w:r>
            <w:rPr>
              <w:rStyle w:val="20"/>
              <w:rFonts w:hint="eastAsia"/>
              <w:sz w:val="28"/>
              <w:szCs w:val="28"/>
            </w:rPr>
            <w:t>七、附件</w:t>
          </w:r>
          <w:r>
            <w:rPr>
              <w:rFonts w:hint="eastAsia"/>
              <w:sz w:val="28"/>
              <w:szCs w:val="28"/>
            </w:rPr>
            <w:tab/>
          </w:r>
          <w:r>
            <w:rPr>
              <w:sz w:val="28"/>
              <w:szCs w:val="28"/>
            </w:rPr>
            <w:fldChar w:fldCharType="begin"/>
          </w:r>
          <w:r>
            <w:rPr>
              <w:sz w:val="28"/>
              <w:szCs w:val="28"/>
            </w:rPr>
            <w:instrText xml:space="preserve"> PAGEREF _Toc181896216 \h </w:instrText>
          </w:r>
          <w:r>
            <w:rPr>
              <w:sz w:val="28"/>
              <w:szCs w:val="28"/>
            </w:rPr>
            <w:fldChar w:fldCharType="separate"/>
          </w:r>
          <w:r>
            <w:rPr>
              <w:sz w:val="28"/>
              <w:szCs w:val="28"/>
            </w:rPr>
            <w:t>35</w:t>
          </w:r>
          <w:r>
            <w:rPr>
              <w:sz w:val="28"/>
              <w:szCs w:val="28"/>
            </w:rPr>
            <w:fldChar w:fldCharType="end"/>
          </w:r>
          <w:r>
            <w:rPr>
              <w:sz w:val="28"/>
              <w:szCs w:val="28"/>
            </w:rPr>
            <w:fldChar w:fldCharType="end"/>
          </w:r>
        </w:p>
        <w:p>
          <w:pPr>
            <w:pStyle w:val="11"/>
            <w:pageBreakBefore w:val="0"/>
            <w:kinsoku/>
            <w:wordWrap/>
            <w:overflowPunct/>
            <w:topLinePunct w:val="0"/>
            <w:autoSpaceDE/>
            <w:autoSpaceDN/>
            <w:bidi w:val="0"/>
            <w:adjustRightInd/>
            <w:snapToGrid/>
            <w:spacing w:line="300" w:lineRule="exact"/>
            <w:textAlignment w:val="auto"/>
          </w:pPr>
          <w:r>
            <w:rPr>
              <w:rFonts w:hint="eastAsia"/>
              <w:sz w:val="30"/>
              <w:szCs w:val="30"/>
            </w:rPr>
            <w:fldChar w:fldCharType="end"/>
          </w:r>
        </w:p>
      </w:sdtContent>
    </w:sdt>
    <w:p>
      <w:pPr>
        <w:pStyle w:val="37"/>
        <w:ind w:firstLine="643"/>
        <w:jc w:val="center"/>
        <w:sectPr>
          <w:footerReference r:id="rId5" w:type="default"/>
          <w:pgSz w:w="11906" w:h="16838"/>
          <w:pgMar w:top="1440" w:right="1800" w:bottom="1440" w:left="1800" w:header="851" w:footer="992" w:gutter="0"/>
          <w:pgNumType w:fmt="upperRoman" w:start="1"/>
          <w:cols w:space="425" w:num="1"/>
          <w:docGrid w:type="lines" w:linePitch="312" w:charSpace="0"/>
        </w:sectPr>
      </w:pPr>
    </w:p>
    <w:p>
      <w:pPr>
        <w:pStyle w:val="37"/>
        <w:ind w:firstLine="0" w:firstLineChars="0"/>
        <w:jc w:val="center"/>
        <w:outlineLvl w:val="9"/>
        <w:rPr>
          <w:b w:val="0"/>
          <w:bCs/>
          <w:sz w:val="32"/>
          <w:szCs w:val="32"/>
        </w:rPr>
      </w:pPr>
      <w:bookmarkStart w:id="2" w:name="_Toc174548806"/>
      <w:r>
        <w:rPr>
          <w:b w:val="0"/>
          <w:bCs/>
          <w:sz w:val="32"/>
          <w:szCs w:val="32"/>
        </w:rPr>
        <w:t>摘 要</w:t>
      </w:r>
      <w:bookmarkEnd w:id="2"/>
    </w:p>
    <w:p>
      <w:pPr>
        <w:pStyle w:val="35"/>
        <w:ind w:firstLine="640"/>
      </w:pPr>
      <w:r>
        <w:t>为深入了解“</w:t>
      </w:r>
      <w:r>
        <w:rPr>
          <w:rFonts w:hint="eastAsia"/>
        </w:rPr>
        <w:t>韶关市市本级2023年省级涉农统筹整合转移支付项目</w:t>
      </w:r>
      <w:r>
        <w:t>”的资金使用效益，分析当前</w:t>
      </w:r>
      <w:r>
        <w:rPr>
          <w:rFonts w:hint="eastAsia"/>
        </w:rPr>
        <w:t>考核任务</w:t>
      </w:r>
      <w:r>
        <w:t>的完成情况与项目执行情况，受韶关市财政局委托，广东中大管理咨询集团股份有限公司组织绩效评价工作组，对</w:t>
      </w:r>
      <w:r>
        <w:rPr>
          <w:rFonts w:hint="eastAsia"/>
        </w:rPr>
        <w:t>韶关市市本级2023年省级涉农统筹整合转移支付项目</w:t>
      </w:r>
      <w:r>
        <w:t>（以下简称“项目”）开展绩效评价，评价基准日为2023年12月31日。</w:t>
      </w:r>
    </w:p>
    <w:p>
      <w:pPr>
        <w:pStyle w:val="35"/>
        <w:ind w:firstLine="640"/>
      </w:pPr>
      <w:r>
        <w:rPr>
          <w:rFonts w:hint="eastAsia"/>
        </w:rPr>
        <w:t>根据《关于印发韶关市涉农资金统筹整合实施方案的通知》（韶财农〔2018〕36号）</w:t>
      </w:r>
      <w:r>
        <w:t>等文件精神</w:t>
      </w:r>
      <w:r>
        <w:rPr>
          <w:rFonts w:hint="eastAsia"/>
        </w:rPr>
        <w:t>，</w:t>
      </w:r>
      <w:r>
        <w:t>韶关市在省级资金的支持与市级统筹安排的基础上，对本级省级涉农资金的使用进行了规划。这笔资金主要聚焦于农业农村、林业</w:t>
      </w:r>
      <w:r>
        <w:rPr>
          <w:rFonts w:hint="eastAsia"/>
        </w:rPr>
        <w:t>、</w:t>
      </w:r>
      <w:r>
        <w:t>水利等关键领域，旨在通过实施一系列相关项目，有力推动农业的持续发展和乡村振兴战略的深入实施。2023年项目预算资金2,</w:t>
      </w:r>
      <w:r>
        <w:rPr>
          <w:rFonts w:hint="eastAsia"/>
        </w:rPr>
        <w:t>381</w:t>
      </w:r>
      <w:r>
        <w:t>万元，实际下达资金指标</w:t>
      </w:r>
      <w:r>
        <w:rPr>
          <w:rFonts w:hint="eastAsia"/>
        </w:rPr>
        <w:t>2,381</w:t>
      </w:r>
      <w:r>
        <w:t>万元，实际支付资金</w:t>
      </w:r>
      <w:r>
        <w:rPr>
          <w:rFonts w:hint="eastAsia"/>
        </w:rPr>
        <w:t>2</w:t>
      </w:r>
      <w:r>
        <w:t>,</w:t>
      </w:r>
      <w:r>
        <w:rPr>
          <w:rFonts w:hint="eastAsia"/>
        </w:rPr>
        <w:t>127.75</w:t>
      </w:r>
      <w:r>
        <w:t>万元，资金到位率为</w:t>
      </w:r>
      <w:r>
        <w:rPr>
          <w:rFonts w:hint="eastAsia"/>
        </w:rPr>
        <w:t>100</w:t>
      </w:r>
      <w:r>
        <w:t>%</w:t>
      </w:r>
      <w:r>
        <w:rPr>
          <w:rFonts w:hint="eastAsia"/>
        </w:rPr>
        <w:t>，</w:t>
      </w:r>
      <w:r>
        <w:t>支付率为</w:t>
      </w:r>
      <w:r>
        <w:rPr>
          <w:rFonts w:hint="eastAsia"/>
        </w:rPr>
        <w:t>89.36</w:t>
      </w:r>
      <w:r>
        <w:t>%。</w:t>
      </w:r>
    </w:p>
    <w:p>
      <w:pPr>
        <w:pStyle w:val="35"/>
        <w:ind w:firstLine="640"/>
      </w:pPr>
      <w:r>
        <w:rPr>
          <w:szCs w:val="22"/>
        </w:rPr>
        <w:t>综合评价表明，项目总体得分</w:t>
      </w:r>
      <w:r>
        <w:rPr>
          <w:rFonts w:hint="eastAsia"/>
          <w:szCs w:val="22"/>
        </w:rPr>
        <w:t>82.69</w:t>
      </w:r>
      <w:r>
        <w:rPr>
          <w:szCs w:val="22"/>
        </w:rPr>
        <w:t>分，绩效评价等级为</w:t>
      </w:r>
      <w:r>
        <w:t>“</w:t>
      </w:r>
      <w:r>
        <w:rPr>
          <w:rFonts w:hint="eastAsia"/>
        </w:rPr>
        <w:t>良</w:t>
      </w:r>
      <w:r>
        <w:t>”。该项目立项依据充分，</w:t>
      </w:r>
      <w:r>
        <w:rPr>
          <w:rFonts w:hint="eastAsia"/>
        </w:rPr>
        <w:t>除个别项目未完成或进度滞后，</w:t>
      </w:r>
      <w:r>
        <w:t>基本完成了2023年</w:t>
      </w:r>
      <w:r>
        <w:rPr>
          <w:rFonts w:hint="eastAsia"/>
        </w:rPr>
        <w:t>韶关市市本级考核任务要求以及省级涉农资金支持的子项目的实施，有效推进农业农村、林业、水利等领域的工作开展，</w:t>
      </w:r>
      <w:r>
        <w:t>为韶关市的农业发展和乡村振兴提供了有力支持。</w:t>
      </w:r>
    </w:p>
    <w:p>
      <w:pPr>
        <w:pStyle w:val="35"/>
        <w:ind w:firstLine="640"/>
      </w:pPr>
      <w:r>
        <w:t>但项目整体还存在一些不足：</w:t>
      </w:r>
      <w:r>
        <w:rPr>
          <w:rFonts w:hint="eastAsia"/>
          <w:b/>
          <w:bCs/>
        </w:rPr>
        <w:t>一是资金分配计划不够清晰，资金统筹管理不够严谨。</w:t>
      </w:r>
      <w:r>
        <w:rPr>
          <w:rFonts w:hint="eastAsia"/>
        </w:rPr>
        <w:t>一方面市本级涉农资金分配的方案不清晰，未提供相应材料佐证资金分配依据。另一方面资金分配整体呈“分配项目数量多、项目资金体量小”形态，未能充分发挥资金使用的“叠加效应和规模效应”。</w:t>
      </w:r>
      <w:r>
        <w:rPr>
          <w:rFonts w:hint="eastAsia"/>
          <w:b/>
          <w:bCs/>
        </w:rPr>
        <w:t>二是个别项目流程违规滞后，项目延期处理不恰当。</w:t>
      </w:r>
      <w:r>
        <w:rPr>
          <w:rFonts w:hint="eastAsia"/>
          <w:bCs/>
        </w:rPr>
        <w:t>个别项目合同执行流程不规范，合同未签订日期，个别项目开具发票时间早于合同签订时间；个别项目采购合同备案时间滞后；</w:t>
      </w:r>
      <w:r>
        <w:rPr>
          <w:rFonts w:hint="eastAsia"/>
        </w:rPr>
        <w:t>部分项目流程严重滞后且未进行延期审批。</w:t>
      </w:r>
      <w:r>
        <w:rPr>
          <w:rFonts w:hint="eastAsia"/>
          <w:b/>
          <w:bCs/>
        </w:rPr>
        <w:t>三是项目过程监管不到位，资金监管力度不足。</w:t>
      </w:r>
      <w:r>
        <w:rPr>
          <w:rFonts w:hint="eastAsia"/>
        </w:rPr>
        <w:t>部分项目缺少过程监管，个别项目虽进行不定期抽查，但未形成书面记录。</w:t>
      </w:r>
      <w:r>
        <w:rPr>
          <w:rFonts w:hint="eastAsia"/>
          <w:b/>
          <w:bCs/>
        </w:rPr>
        <w:t>四是绩效目标设置不够合理，绩效管理工作不到位。</w:t>
      </w:r>
      <w:r>
        <w:rPr>
          <w:rFonts w:hint="eastAsia"/>
        </w:rPr>
        <w:t>部分项目未结合项目实际产生的效益设置指标，部分指标考核内容重复且考核标准不明确，可衡量性不高。</w:t>
      </w:r>
    </w:p>
    <w:p>
      <w:pPr>
        <w:pStyle w:val="35"/>
        <w:ind w:firstLine="640"/>
        <w:rPr>
          <w:b/>
          <w:bCs/>
        </w:rPr>
        <w:sectPr>
          <w:pgSz w:w="11906" w:h="16838"/>
          <w:pgMar w:top="1440" w:right="1800" w:bottom="1440" w:left="1800" w:header="851" w:footer="992" w:gutter="0"/>
          <w:pgNumType w:start="1"/>
          <w:cols w:space="425" w:num="1"/>
          <w:docGrid w:type="lines" w:linePitch="312" w:charSpace="0"/>
        </w:sectPr>
      </w:pPr>
      <w:r>
        <w:t>针对以上问题，建议为：</w:t>
      </w:r>
      <w:r>
        <w:rPr>
          <w:b/>
          <w:bCs/>
        </w:rPr>
        <w:t>第一，</w:t>
      </w:r>
      <w:r>
        <w:rPr>
          <w:rFonts w:hint="eastAsia"/>
          <w:b/>
          <w:bCs/>
        </w:rPr>
        <w:t>优化资金管理模式，做好做实项目储备。</w:t>
      </w:r>
      <w:r>
        <w:rPr>
          <w:rFonts w:hint="eastAsia"/>
        </w:rPr>
        <w:t>结合上一年涉农任务</w:t>
      </w:r>
      <w:r>
        <w:t>评估</w:t>
      </w:r>
      <w:r>
        <w:rPr>
          <w:rFonts w:hint="eastAsia"/>
        </w:rPr>
        <w:t>成果以及考核任务清单，进一步明确资金分配的具体依据和计算方法。优化资金管理，积极引导涉农资金向重点领域、重大工程、主导产业倾斜，发挥有限资金的集群效应。</w:t>
      </w:r>
      <w:r>
        <w:rPr>
          <w:b/>
          <w:bCs/>
        </w:rPr>
        <w:t>第二，</w:t>
      </w:r>
      <w:r>
        <w:rPr>
          <w:rFonts w:hint="eastAsia"/>
          <w:b/>
          <w:bCs/>
        </w:rPr>
        <w:t>强化项目流程管理，确保合规性与时效性。</w:t>
      </w:r>
      <w:r>
        <w:rPr>
          <w:rFonts w:hint="eastAsia"/>
        </w:rPr>
        <w:t>严格规范合同签订、合同备案、项目实施等流程，加强项目延期管理，如建立严格的延期审批流程。</w:t>
      </w:r>
      <w:r>
        <w:rPr>
          <w:b/>
          <w:bCs/>
        </w:rPr>
        <w:t>第三，</w:t>
      </w:r>
      <w:r>
        <w:rPr>
          <w:rFonts w:hint="eastAsia"/>
          <w:b/>
          <w:bCs/>
        </w:rPr>
        <w:t>完善项目监管机制，强化监管执行力度。</w:t>
      </w:r>
      <w:r>
        <w:rPr>
          <w:rFonts w:hint="eastAsia"/>
        </w:rPr>
        <w:t>制定项目过程监管计划或方案，采取各种措施对项目进行定期或不定期抽查，加强项目过程性监管。</w:t>
      </w:r>
      <w:r>
        <w:rPr>
          <w:rFonts w:hint="eastAsia"/>
          <w:b/>
          <w:bCs/>
        </w:rPr>
        <w:t>第四，优化绩效指标设置，强化项目效益评估。</w:t>
      </w:r>
      <w:r>
        <w:rPr>
          <w:rFonts w:hint="eastAsia"/>
        </w:rPr>
        <w:t>按照“确定项目绩效目标、分解细化指标、设置指标值”的思路，逐步分解设置绩效指标和可量化的指标值，同时加强绩效目标和绩效指标设置的交叉审核，提高绩效指标设置的完整性和代表性。</w:t>
      </w:r>
    </w:p>
    <w:p>
      <w:pPr>
        <w:pStyle w:val="37"/>
        <w:ind w:firstLine="643"/>
        <w:rPr>
          <w:b w:val="0"/>
        </w:rPr>
      </w:pPr>
      <w:bookmarkStart w:id="3" w:name="_Toc181896171"/>
      <w:r>
        <w:t>一、基本情况</w:t>
      </w:r>
      <w:bookmarkEnd w:id="3"/>
    </w:p>
    <w:p>
      <w:pPr>
        <w:pStyle w:val="38"/>
        <w:ind w:firstLine="643"/>
        <w:rPr>
          <w:rFonts w:ascii="Times New Roman" w:hAnsi="Times New Roman"/>
          <w:b w:val="0"/>
        </w:rPr>
      </w:pPr>
      <w:bookmarkStart w:id="4" w:name="_Toc181896172"/>
      <w:r>
        <w:rPr>
          <w:rFonts w:ascii="Times New Roman" w:hAnsi="Times New Roman"/>
        </w:rPr>
        <w:t>（一）项目背景</w:t>
      </w:r>
      <w:bookmarkEnd w:id="4"/>
    </w:p>
    <w:p>
      <w:pPr>
        <w:pStyle w:val="35"/>
        <w:ind w:firstLine="640"/>
      </w:pPr>
      <w:r>
        <w:rPr>
          <w:rFonts w:hint="eastAsia"/>
        </w:rPr>
        <w:t>为加强涉农资金的管理与使用效率，进一步推动农业现代化与乡村振兴的发展，国务院印发实施《国务院关于探索建立涉农资金统筹整合长效机制的意见》（国发〔2017〕54号），提出“</w:t>
      </w:r>
      <w:r>
        <w:t>探索建立涉农资金统筹整合长效机制</w:t>
      </w:r>
      <w:r>
        <w:rPr>
          <w:rFonts w:hint="eastAsia"/>
        </w:rPr>
        <w:t>”。</w:t>
      </w:r>
      <w:r>
        <w:t>根据省委、省政府乡村振兴战略决策部署，</w:t>
      </w:r>
      <w:r>
        <w:rPr>
          <w:rFonts w:hint="eastAsia"/>
        </w:rPr>
        <w:t>广东省印发实施《广东省涉农资金统筹整合实施方案（试行）》（粤府〔2018〕123号）《广东省涉农资金统筹整合领导小组办公室关于印发深化涉农资金统筹整合改革实施意见的通知》（</w:t>
      </w:r>
      <w:r>
        <w:t>粤涉农办〔2019〕18</w:t>
      </w:r>
      <w:r>
        <w:rPr>
          <w:rFonts w:hint="eastAsia"/>
        </w:rPr>
        <w:t>号）《广东省财政厅关于印发&lt;广东省涉农资金统筹整合管理办法（2020年修订）&gt;的通知》（粤财农〔2020〕106号）等相关政策文件，</w:t>
      </w:r>
      <w:r>
        <w:t>对涉农资金的统筹整合</w:t>
      </w:r>
      <w:r>
        <w:rPr>
          <w:rFonts w:hint="eastAsia"/>
        </w:rPr>
        <w:t>工作流程</w:t>
      </w:r>
      <w:r>
        <w:t>、</w:t>
      </w:r>
      <w:r>
        <w:rPr>
          <w:rFonts w:hint="eastAsia"/>
        </w:rPr>
        <w:t>管理机制</w:t>
      </w:r>
      <w:r>
        <w:t>、</w:t>
      </w:r>
      <w:r>
        <w:rPr>
          <w:rFonts w:hint="eastAsia"/>
        </w:rPr>
        <w:t>职责分工、</w:t>
      </w:r>
      <w:r>
        <w:t>绩效评价等方面</w:t>
      </w:r>
      <w:r>
        <w:rPr>
          <w:rFonts w:hint="eastAsia"/>
        </w:rPr>
        <w:t>作出</w:t>
      </w:r>
      <w:r>
        <w:t>详细规定与指导</w:t>
      </w:r>
      <w:r>
        <w:rPr>
          <w:rFonts w:hint="eastAsia"/>
        </w:rPr>
        <w:t>。</w:t>
      </w:r>
    </w:p>
    <w:p>
      <w:pPr>
        <w:pStyle w:val="35"/>
        <w:ind w:firstLine="640"/>
      </w:pPr>
      <w:r>
        <w:rPr>
          <w:rFonts w:hint="eastAsia"/>
        </w:rPr>
        <w:t>为贯彻落实国家和广东省的政策要求，韶关市发布《关于印发韶关市涉农资金统筹整合实施方案的通知》（韶财农〔2018〕36号），文件详细规定了涉农资金统筹整合的总体要求、整合范围、目标任务、实施步骤和责任分配等，用以指导韶关市涉农统筹整合转移支付资金项目的开展，</w:t>
      </w:r>
      <w:r>
        <w:t>统筹</w:t>
      </w:r>
      <w:r>
        <w:rPr>
          <w:rFonts w:hint="eastAsia"/>
        </w:rPr>
        <w:t>资金</w:t>
      </w:r>
      <w:r>
        <w:t>用于农业生产发展和农村工作、林业改革发展</w:t>
      </w:r>
      <w:r>
        <w:rPr>
          <w:rFonts w:hint="eastAsia"/>
        </w:rPr>
        <w:t>、</w:t>
      </w:r>
      <w:r>
        <w:t>水利发展</w:t>
      </w:r>
      <w:r>
        <w:rPr>
          <w:rFonts w:hint="eastAsia"/>
        </w:rPr>
        <w:t>、</w:t>
      </w:r>
      <w:r>
        <w:t>乡村振兴战略</w:t>
      </w:r>
      <w:r>
        <w:rPr>
          <w:rFonts w:hint="eastAsia"/>
        </w:rPr>
        <w:t>和</w:t>
      </w:r>
      <w:r>
        <w:t>扶贫开发领域工作</w:t>
      </w:r>
      <w:r>
        <w:rPr>
          <w:rFonts w:hint="eastAsia"/>
        </w:rPr>
        <w:t>等领域</w:t>
      </w:r>
      <w:r>
        <w:t>。</w:t>
      </w:r>
    </w:p>
    <w:p>
      <w:pPr>
        <w:pStyle w:val="35"/>
        <w:ind w:firstLine="640"/>
      </w:pPr>
      <w:r>
        <w:rPr>
          <w:rFonts w:hint="eastAsia"/>
        </w:rPr>
        <w:t>本次评价对象为：韶关市2023年省级涉农统筹整合转移支付项目（以下简称“项目”）。评价范围为市本级资金，评价周期为2</w:t>
      </w:r>
      <w:r>
        <w:t>023</w:t>
      </w:r>
      <w:r>
        <w:rPr>
          <w:rFonts w:hint="eastAsia"/>
        </w:rPr>
        <w:t>年1月1日至</w:t>
      </w:r>
      <w:r>
        <w:t>20</w:t>
      </w:r>
      <w:r>
        <w:rPr>
          <w:rFonts w:hint="eastAsia"/>
        </w:rPr>
        <w:t>23年1</w:t>
      </w:r>
      <w:r>
        <w:t>2</w:t>
      </w:r>
      <w:r>
        <w:rPr>
          <w:rFonts w:hint="eastAsia"/>
        </w:rPr>
        <w:t>月3</w:t>
      </w:r>
      <w:r>
        <w:t>1</w:t>
      </w:r>
      <w:r>
        <w:rPr>
          <w:rFonts w:hint="eastAsia"/>
        </w:rPr>
        <w:t>日。</w:t>
      </w:r>
    </w:p>
    <w:p>
      <w:pPr>
        <w:pStyle w:val="38"/>
        <w:ind w:firstLine="643"/>
        <w:rPr>
          <w:rFonts w:ascii="Times New Roman" w:hAnsi="Times New Roman"/>
        </w:rPr>
      </w:pPr>
      <w:bookmarkStart w:id="5" w:name="_Toc181896173"/>
      <w:r>
        <w:rPr>
          <w:rFonts w:ascii="Times New Roman" w:hAnsi="Times New Roman"/>
        </w:rPr>
        <w:t>（二）项目实施情况</w:t>
      </w:r>
      <w:bookmarkEnd w:id="5"/>
    </w:p>
    <w:p>
      <w:pPr>
        <w:pStyle w:val="54"/>
        <w:ind w:firstLine="643"/>
      </w:pPr>
      <w:bookmarkStart w:id="6" w:name="_Toc181261779"/>
      <w:bookmarkStart w:id="7" w:name="_Toc181896174"/>
      <w:bookmarkStart w:id="8" w:name="_Toc181367341"/>
      <w:bookmarkStart w:id="9" w:name="_Toc181259023"/>
      <w:r>
        <w:rPr>
          <w:rFonts w:hint="eastAsia"/>
        </w:rPr>
        <w:t>1.项目工作机制</w:t>
      </w:r>
      <w:bookmarkEnd w:id="6"/>
      <w:bookmarkEnd w:id="7"/>
      <w:bookmarkEnd w:id="8"/>
      <w:bookmarkEnd w:id="9"/>
    </w:p>
    <w:p>
      <w:pPr>
        <w:pStyle w:val="56"/>
        <w:ind w:firstLine="640"/>
      </w:pPr>
      <w:r>
        <w:rPr>
          <w:rFonts w:hint="eastAsia"/>
        </w:rPr>
        <w:t>（1）工作职责与分工</w:t>
      </w:r>
    </w:p>
    <w:p>
      <w:pPr>
        <w:pStyle w:val="56"/>
        <w:ind w:firstLine="640"/>
      </w:pPr>
      <w:r>
        <w:rPr>
          <w:rFonts w:hint="eastAsia"/>
        </w:rPr>
        <w:t>根据《广东省涉农资金统筹整合领导小组办公室关于印发省级涉农资金统筹整合工作指引的通知》（粤涉农办〔2021〕1号），市县按照省统一部署开展涉农资金统筹整合工作。韶关市成立以市政府主要领导为组长的市涉农资金整合优化工作领导小组（以下简称“涉农领导小组”），负责审定市本级涉农资金整合方案以及资金的分配。下设由市财政局牵头的市领导小组办公室（以下简称“涉农办”），牵头开展市本级涉农资金整合，</w:t>
      </w:r>
      <w:r>
        <w:t>协调督促</w:t>
      </w:r>
      <w:r>
        <w:rPr>
          <w:rFonts w:hint="eastAsia"/>
        </w:rPr>
        <w:t>项目</w:t>
      </w:r>
      <w:r>
        <w:t>实施，跟踪项目进展</w:t>
      </w:r>
      <w:r>
        <w:rPr>
          <w:rFonts w:hint="eastAsia"/>
        </w:rPr>
        <w:t>。县（市、区）同步成立涉农资金整合领导小组和领导小组办公室负责本区域涉农资金整合优化。各乡镇负责筹划本区域项目，建立完善镇村级涉农资金项目库，组织指导各镇村级项目实施。同时，韶关市制定了《韶关市涉农资金统筹整合领导小组工作规则》、《韶关市涉农资金统筹整合领导小组办公室工作规则》、《韶关市涉农资金统筹整合资金管理办法》等，负责全市涉农资金统筹整合工作的总体设计、统筹协调、指导推进、督促落实。</w:t>
      </w:r>
    </w:p>
    <w:p>
      <w:pPr>
        <w:pStyle w:val="56"/>
        <w:ind w:firstLine="640"/>
      </w:pPr>
      <w:r>
        <w:rPr>
          <w:rFonts w:hint="eastAsia"/>
        </w:rPr>
        <w:t>（2）涉农资金统筹与分配方式</w:t>
      </w:r>
    </w:p>
    <w:p>
      <w:pPr>
        <w:pStyle w:val="56"/>
        <w:ind w:firstLine="640"/>
      </w:pPr>
      <w:r>
        <w:rPr>
          <w:rFonts w:hint="eastAsia"/>
        </w:rPr>
        <w:t>项目资金主要由农业农村、林业、水务部门进行统筹分配。具体分配围绕三大原则进行，一是围绕省委省政府、市委市政府下达的涉农考核任务进行资金分配；二是根据涉农考核任务清单，结合乡村振兴战略、驻镇帮镇扶村、现代农业产业发展进行资金分配；三是2023年涉农资金统筹整合政策进行调整，涉农资金大部分转为专项化，资金安排方向由省级确定。</w:t>
      </w:r>
    </w:p>
    <w:p>
      <w:pPr>
        <w:pStyle w:val="56"/>
        <w:ind w:firstLine="640"/>
      </w:pPr>
      <w:r>
        <w:rPr>
          <w:rFonts w:hint="eastAsia"/>
        </w:rPr>
        <w:t>（3）项目库管理</w:t>
      </w:r>
      <w:bookmarkStart w:id="10" w:name="_Hlk181090112"/>
    </w:p>
    <w:p>
      <w:pPr>
        <w:pStyle w:val="56"/>
        <w:ind w:firstLine="640"/>
      </w:pPr>
      <w:r>
        <w:rPr>
          <w:rFonts w:hint="eastAsia"/>
        </w:rPr>
        <w:t>项目储备、遴选上报、报备、实施在省级涉农统筹整合资金项目库管理平台（以下简称项目库系统）实行动态管理。其中，省级涉农统筹整合资金项目库分设储备项目库、拟建项目库和在建项目库。每年7月至9月份，</w:t>
      </w:r>
      <w:r>
        <w:t>市县</w:t>
      </w:r>
      <w:bookmarkEnd w:id="10"/>
      <w:r>
        <w:t>根据省涉农办</w:t>
      </w:r>
      <w:r>
        <w:rPr>
          <w:rFonts w:hint="eastAsia"/>
        </w:rPr>
        <w:t>下达</w:t>
      </w:r>
      <w:r>
        <w:t>的</w:t>
      </w:r>
      <w:r>
        <w:rPr>
          <w:rFonts w:hint="eastAsia"/>
        </w:rPr>
        <w:t>项目申报</w:t>
      </w:r>
      <w:r>
        <w:t>通知</w:t>
      </w:r>
      <w:r>
        <w:rPr>
          <w:rFonts w:hint="eastAsia"/>
        </w:rPr>
        <w:t>从储备项目库中遴选</w:t>
      </w:r>
      <w:r>
        <w:t>项目并上报作为申请省级涉农资金的依据</w:t>
      </w:r>
      <w:r>
        <w:rPr>
          <w:rFonts w:hint="eastAsia"/>
        </w:rPr>
        <w:t>，经省级审查通过后纳入拟建项目库。在省级下达</w:t>
      </w:r>
      <w:r>
        <w:t>各</w:t>
      </w:r>
      <w:r>
        <w:rPr>
          <w:rFonts w:hint="eastAsia"/>
        </w:rPr>
        <w:t>市</w:t>
      </w:r>
      <w:r>
        <w:t>县项目申请补助控制额度后，</w:t>
      </w:r>
      <w:r>
        <w:rPr>
          <w:rFonts w:hint="eastAsia"/>
        </w:rPr>
        <w:t>各市</w:t>
      </w:r>
      <w:r>
        <w:t>县根据要求从</w:t>
      </w:r>
      <w:r>
        <w:rPr>
          <w:rFonts w:hint="eastAsia"/>
        </w:rPr>
        <w:t>拟建</w:t>
      </w:r>
      <w:r>
        <w:t>项目库中</w:t>
      </w:r>
      <w:r>
        <w:rPr>
          <w:rFonts w:hint="eastAsia"/>
        </w:rPr>
        <w:t>挑选</w:t>
      </w:r>
      <w:r>
        <w:t>项目并排序</w:t>
      </w:r>
      <w:r>
        <w:rPr>
          <w:rFonts w:hint="eastAsia"/>
        </w:rPr>
        <w:t>，</w:t>
      </w:r>
      <w:r>
        <w:t>公示无异议后</w:t>
      </w:r>
      <w:r>
        <w:rPr>
          <w:rFonts w:hint="eastAsia"/>
        </w:rPr>
        <w:t>依次</w:t>
      </w:r>
      <w:r>
        <w:t>报送市级</w:t>
      </w:r>
      <w:r>
        <w:rPr>
          <w:rFonts w:hint="eastAsia"/>
        </w:rPr>
        <w:t>涉农办和涉农领导小组进行审议</w:t>
      </w:r>
      <w:r>
        <w:t>，最终报送省涉农办进行联合审查</w:t>
      </w:r>
      <w:r>
        <w:rPr>
          <w:rFonts w:hint="eastAsia"/>
        </w:rPr>
        <w:t>，最终确定实施并安排资金的项目纳入在建项目库。</w:t>
      </w:r>
    </w:p>
    <w:p>
      <w:pPr>
        <w:pStyle w:val="56"/>
        <w:ind w:firstLine="640"/>
      </w:pPr>
      <w:r>
        <w:rPr>
          <w:rFonts w:hint="eastAsia"/>
        </w:rPr>
        <w:t>（4）项目实施和监督管理</w:t>
      </w:r>
    </w:p>
    <w:p>
      <w:pPr>
        <w:pStyle w:val="56"/>
        <w:ind w:firstLine="640"/>
      </w:pPr>
      <w:r>
        <w:rPr>
          <w:rFonts w:hint="eastAsia"/>
        </w:rPr>
        <w:t>在收到省级下达的涉农资金和考核事项任务目标后，市县将资金、任务细化分解并确定拟实施项目、设定区域绩效目标并向省级报备。</w:t>
      </w:r>
      <w:r>
        <w:t>市县在完成向省级报备后，按照报备内容开展项目建设（实施）。其中，市县业务主管部门对在建项目库中项目的实施进度、资金支出进度、绩效目标实现情况进行监控，加强对下级业务主管部门的指导、监督，并定期向同级涉农领导小组、省级业务主管部门报送工作进展情况。</w:t>
      </w:r>
      <w:r>
        <w:rPr>
          <w:rFonts w:hint="eastAsia"/>
        </w:rPr>
        <w:t>期间，若涉及项目调整，则需市级涉农领导小组办公室进行汇总至涉农领导小组审批，之后报省备案；若调整比例高于20%，则需报省级进行审批。</w:t>
      </w:r>
    </w:p>
    <w:p>
      <w:pPr>
        <w:ind w:firstLine="643" w:firstLineChars="200"/>
        <w:outlineLvl w:val="2"/>
        <w:rPr>
          <w:rFonts w:ascii="仿宋_GB2312"/>
          <w:b/>
          <w:bCs/>
          <w:kern w:val="0"/>
          <w:sz w:val="32"/>
          <w:szCs w:val="32"/>
        </w:rPr>
      </w:pPr>
      <w:bookmarkStart w:id="11" w:name="_Toc181261780"/>
      <w:bookmarkStart w:id="12" w:name="_Toc181367342"/>
      <w:bookmarkStart w:id="13" w:name="_Toc181259024"/>
      <w:bookmarkStart w:id="14" w:name="_Toc181896175"/>
      <w:r>
        <w:rPr>
          <w:b/>
          <w:bCs/>
          <w:sz w:val="32"/>
          <w:szCs w:val="32"/>
        </w:rPr>
        <w:t>2.</w:t>
      </w:r>
      <w:r>
        <w:rPr>
          <w:rFonts w:hint="eastAsia" w:ascii="仿宋_GB2312"/>
          <w:b/>
          <w:bCs/>
          <w:sz w:val="32"/>
          <w:szCs w:val="32"/>
        </w:rPr>
        <w:t>项目实施情况</w:t>
      </w:r>
      <w:bookmarkEnd w:id="11"/>
      <w:bookmarkEnd w:id="12"/>
      <w:bookmarkEnd w:id="13"/>
      <w:bookmarkEnd w:id="14"/>
    </w:p>
    <w:p>
      <w:pPr>
        <w:pStyle w:val="56"/>
        <w:ind w:firstLine="640"/>
      </w:pPr>
      <w:r>
        <w:rPr>
          <w:rFonts w:hint="eastAsia"/>
        </w:rPr>
        <w:t>根据《关于下达韶关市本级2023年省级涉农统筹整合转移支付资金的通知》（韶财农〔2023〕8号）、《关于下达韶关市本级2023年省级涉农统筹整合转移支付资金（第二批）的通知》（韶财农〔2023〕68号），韶关市市本级涉农资金支持43个项目的实施。依据《关于调整2022-2023年省级涉农项目（市本级）资金的通知》（韶财农〔2023〕101号），经预算调整，林业部门6个政策性森林保险省级财政保费补贴项目</w:t>
      </w:r>
      <w:r>
        <w:rPr>
          <w:rStyle w:val="22"/>
        </w:rPr>
        <w:footnoteReference w:id="0"/>
      </w:r>
      <w:r>
        <w:rPr>
          <w:rFonts w:hint="eastAsia"/>
        </w:rPr>
        <w:t>资金调整至“韶关市国有韶关林场2023年松材线虫病等有害生物预防与除治”项目。调整后，2023年韶关市市本级涉农资金实际支持37个项目的实施，内容覆盖农业生产发展和农村工作、林业改革发展、水利发展等方面，37个子项目具体实施情况见附件1。各部门负责项目个数及目标完成情况统计如下表所示。</w:t>
      </w:r>
    </w:p>
    <w:p>
      <w:pPr>
        <w:pStyle w:val="56"/>
        <w:ind w:firstLine="560"/>
        <w:jc w:val="center"/>
        <w:rPr>
          <w:rFonts w:hint="eastAsia" w:ascii="黑体" w:hAnsi="黑体" w:eastAsia="黑体"/>
          <w:sz w:val="28"/>
          <w:szCs w:val="28"/>
        </w:rPr>
      </w:pPr>
      <w:r>
        <w:rPr>
          <w:rFonts w:hint="eastAsia" w:ascii="黑体" w:hAnsi="黑体" w:eastAsia="黑体"/>
          <w:sz w:val="28"/>
          <w:szCs w:val="28"/>
        </w:rPr>
        <w:t>表1-1 各部门负责项目个数及目标完成统计表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2410"/>
        <w:gridCol w:w="2268"/>
        <w:gridCol w:w="234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71" w:type="dxa"/>
            <w:shd w:val="clear" w:color="auto" w:fill="FEF2CC" w:themeFill="accent4" w:themeFillTint="33"/>
            <w:vAlign w:val="center"/>
          </w:tcPr>
          <w:p>
            <w:pPr>
              <w:pStyle w:val="56"/>
              <w:ind w:firstLine="0" w:firstLineChars="0"/>
              <w:jc w:val="center"/>
              <w:rPr>
                <w:rFonts w:ascii="仿宋_GB2312"/>
                <w:b/>
                <w:bCs w:val="0"/>
                <w:sz w:val="24"/>
                <w:szCs w:val="24"/>
              </w:rPr>
            </w:pPr>
            <w:r>
              <w:rPr>
                <w:rFonts w:hint="eastAsia" w:ascii="仿宋_GB2312"/>
                <w:b/>
                <w:bCs w:val="0"/>
                <w:sz w:val="24"/>
                <w:szCs w:val="24"/>
              </w:rPr>
              <w:t>主管部门</w:t>
            </w:r>
          </w:p>
        </w:tc>
        <w:tc>
          <w:tcPr>
            <w:tcW w:w="2410" w:type="dxa"/>
            <w:shd w:val="clear" w:color="auto" w:fill="FEF2CC" w:themeFill="accent4" w:themeFillTint="33"/>
            <w:vAlign w:val="center"/>
          </w:tcPr>
          <w:p>
            <w:pPr>
              <w:pStyle w:val="56"/>
              <w:ind w:firstLine="0" w:firstLineChars="0"/>
              <w:jc w:val="center"/>
              <w:rPr>
                <w:rFonts w:ascii="仿宋_GB2312"/>
                <w:b/>
                <w:bCs w:val="0"/>
                <w:sz w:val="24"/>
                <w:szCs w:val="24"/>
              </w:rPr>
            </w:pPr>
            <w:r>
              <w:rPr>
                <w:rFonts w:hint="eastAsia" w:ascii="仿宋_GB2312"/>
                <w:b/>
                <w:bCs w:val="0"/>
                <w:sz w:val="24"/>
                <w:szCs w:val="24"/>
              </w:rPr>
              <w:t>年初预算项目个数</w:t>
            </w:r>
          </w:p>
        </w:tc>
        <w:tc>
          <w:tcPr>
            <w:tcW w:w="2268" w:type="dxa"/>
            <w:shd w:val="clear" w:color="auto" w:fill="FEF2CC" w:themeFill="accent4" w:themeFillTint="33"/>
            <w:vAlign w:val="center"/>
          </w:tcPr>
          <w:p>
            <w:pPr>
              <w:pStyle w:val="56"/>
              <w:ind w:firstLine="0" w:firstLineChars="0"/>
              <w:jc w:val="center"/>
              <w:rPr>
                <w:rFonts w:ascii="仿宋_GB2312"/>
                <w:b/>
                <w:bCs w:val="0"/>
                <w:sz w:val="24"/>
                <w:szCs w:val="24"/>
              </w:rPr>
            </w:pPr>
            <w:r>
              <w:rPr>
                <w:rFonts w:hint="eastAsia" w:ascii="仿宋_GB2312"/>
                <w:b/>
                <w:bCs w:val="0"/>
                <w:sz w:val="24"/>
                <w:szCs w:val="24"/>
              </w:rPr>
              <w:t>实际实施项目个数</w:t>
            </w:r>
          </w:p>
        </w:tc>
        <w:tc>
          <w:tcPr>
            <w:tcW w:w="2347" w:type="dxa"/>
            <w:shd w:val="clear" w:color="auto" w:fill="FEF2CC" w:themeFill="accent4" w:themeFillTint="33"/>
            <w:vAlign w:val="center"/>
          </w:tcPr>
          <w:p>
            <w:pPr>
              <w:pStyle w:val="56"/>
              <w:ind w:firstLine="0" w:firstLineChars="0"/>
              <w:jc w:val="center"/>
              <w:rPr>
                <w:rFonts w:ascii="仿宋_GB2312"/>
                <w:b/>
                <w:bCs w:val="0"/>
                <w:sz w:val="24"/>
                <w:szCs w:val="24"/>
              </w:rPr>
            </w:pPr>
            <w:r>
              <w:rPr>
                <w:rFonts w:hint="eastAsia" w:ascii="仿宋_GB2312"/>
                <w:b/>
                <w:bCs w:val="0"/>
                <w:sz w:val="24"/>
                <w:szCs w:val="24"/>
              </w:rPr>
              <w:t>目标完成项目个数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pStyle w:val="56"/>
              <w:ind w:firstLine="0" w:firstLineChars="0"/>
              <w:jc w:val="center"/>
              <w:rPr>
                <w:rFonts w:ascii="仿宋_GB2312"/>
                <w:sz w:val="24"/>
                <w:szCs w:val="24"/>
              </w:rPr>
            </w:pPr>
            <w:r>
              <w:rPr>
                <w:rFonts w:hint="eastAsia" w:ascii="仿宋_GB2312"/>
                <w:sz w:val="24"/>
                <w:szCs w:val="24"/>
              </w:rPr>
              <w:t>农业农村</w:t>
            </w:r>
          </w:p>
        </w:tc>
        <w:tc>
          <w:tcPr>
            <w:tcW w:w="2410" w:type="dxa"/>
          </w:tcPr>
          <w:p>
            <w:pPr>
              <w:pStyle w:val="56"/>
              <w:ind w:firstLine="0" w:firstLineChars="0"/>
              <w:jc w:val="center"/>
              <w:rPr>
                <w:sz w:val="24"/>
                <w:szCs w:val="24"/>
              </w:rPr>
            </w:pPr>
            <w:r>
              <w:rPr>
                <w:sz w:val="24"/>
                <w:szCs w:val="24"/>
              </w:rPr>
              <w:t>14</w:t>
            </w:r>
          </w:p>
        </w:tc>
        <w:tc>
          <w:tcPr>
            <w:tcW w:w="2268" w:type="dxa"/>
          </w:tcPr>
          <w:p>
            <w:pPr>
              <w:pStyle w:val="56"/>
              <w:ind w:firstLine="0" w:firstLineChars="0"/>
              <w:jc w:val="center"/>
              <w:rPr>
                <w:sz w:val="24"/>
                <w:szCs w:val="24"/>
              </w:rPr>
            </w:pPr>
            <w:r>
              <w:rPr>
                <w:sz w:val="24"/>
                <w:szCs w:val="24"/>
              </w:rPr>
              <w:t>14</w:t>
            </w:r>
          </w:p>
        </w:tc>
        <w:tc>
          <w:tcPr>
            <w:tcW w:w="2347" w:type="dxa"/>
          </w:tcPr>
          <w:p>
            <w:pPr>
              <w:pStyle w:val="56"/>
              <w:ind w:firstLine="0" w:firstLineChars="0"/>
              <w:jc w:val="center"/>
              <w:rPr>
                <w:sz w:val="24"/>
                <w:szCs w:val="24"/>
              </w:rPr>
            </w:pPr>
            <w:r>
              <w:rPr>
                <w:sz w:val="24"/>
                <w:szCs w:val="24"/>
              </w:rPr>
              <w:t>1</w:t>
            </w:r>
            <w:r>
              <w:rPr>
                <w:rFonts w:hint="eastAsia"/>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pStyle w:val="56"/>
              <w:ind w:firstLine="0" w:firstLineChars="0"/>
              <w:jc w:val="center"/>
              <w:rPr>
                <w:rFonts w:ascii="仿宋_GB2312"/>
                <w:sz w:val="24"/>
                <w:szCs w:val="24"/>
              </w:rPr>
            </w:pPr>
            <w:r>
              <w:rPr>
                <w:rFonts w:hint="eastAsia" w:ascii="仿宋_GB2312"/>
                <w:sz w:val="24"/>
                <w:szCs w:val="24"/>
              </w:rPr>
              <w:t>林业</w:t>
            </w:r>
          </w:p>
        </w:tc>
        <w:tc>
          <w:tcPr>
            <w:tcW w:w="2410" w:type="dxa"/>
          </w:tcPr>
          <w:p>
            <w:pPr>
              <w:pStyle w:val="56"/>
              <w:ind w:firstLine="0" w:firstLineChars="0"/>
              <w:jc w:val="center"/>
              <w:rPr>
                <w:sz w:val="24"/>
                <w:szCs w:val="24"/>
              </w:rPr>
            </w:pPr>
            <w:r>
              <w:rPr>
                <w:sz w:val="24"/>
                <w:szCs w:val="24"/>
              </w:rPr>
              <w:t>15</w:t>
            </w:r>
          </w:p>
        </w:tc>
        <w:tc>
          <w:tcPr>
            <w:tcW w:w="2268" w:type="dxa"/>
          </w:tcPr>
          <w:p>
            <w:pPr>
              <w:pStyle w:val="56"/>
              <w:ind w:firstLine="0" w:firstLineChars="0"/>
              <w:jc w:val="center"/>
              <w:rPr>
                <w:sz w:val="24"/>
                <w:szCs w:val="24"/>
              </w:rPr>
            </w:pPr>
            <w:r>
              <w:rPr>
                <w:sz w:val="24"/>
                <w:szCs w:val="24"/>
              </w:rPr>
              <w:t>9</w:t>
            </w:r>
          </w:p>
        </w:tc>
        <w:tc>
          <w:tcPr>
            <w:tcW w:w="2347" w:type="dxa"/>
          </w:tcPr>
          <w:p>
            <w:pPr>
              <w:pStyle w:val="56"/>
              <w:ind w:firstLine="0" w:firstLineChars="0"/>
              <w:jc w:val="center"/>
              <w:rPr>
                <w:sz w:val="24"/>
                <w:szCs w:val="24"/>
              </w:rPr>
            </w:pPr>
            <w:r>
              <w:rPr>
                <w:rFonts w:hint="eastAsia"/>
                <w:sz w:val="24"/>
                <w:szCs w:val="24"/>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pStyle w:val="56"/>
              <w:ind w:firstLine="0" w:firstLineChars="0"/>
              <w:jc w:val="center"/>
              <w:rPr>
                <w:rFonts w:ascii="仿宋_GB2312"/>
                <w:sz w:val="24"/>
                <w:szCs w:val="24"/>
              </w:rPr>
            </w:pPr>
            <w:r>
              <w:rPr>
                <w:rFonts w:hint="eastAsia" w:ascii="仿宋_GB2312"/>
                <w:sz w:val="24"/>
                <w:szCs w:val="24"/>
              </w:rPr>
              <w:t>水务</w:t>
            </w:r>
          </w:p>
        </w:tc>
        <w:tc>
          <w:tcPr>
            <w:tcW w:w="2410" w:type="dxa"/>
          </w:tcPr>
          <w:p>
            <w:pPr>
              <w:pStyle w:val="56"/>
              <w:ind w:firstLine="0" w:firstLineChars="0"/>
              <w:jc w:val="center"/>
              <w:rPr>
                <w:sz w:val="24"/>
                <w:szCs w:val="24"/>
              </w:rPr>
            </w:pPr>
            <w:r>
              <w:rPr>
                <w:sz w:val="24"/>
                <w:szCs w:val="24"/>
              </w:rPr>
              <w:t>14</w:t>
            </w:r>
          </w:p>
        </w:tc>
        <w:tc>
          <w:tcPr>
            <w:tcW w:w="2268" w:type="dxa"/>
          </w:tcPr>
          <w:p>
            <w:pPr>
              <w:pStyle w:val="56"/>
              <w:ind w:firstLine="0" w:firstLineChars="0"/>
              <w:jc w:val="center"/>
              <w:rPr>
                <w:sz w:val="24"/>
                <w:szCs w:val="24"/>
              </w:rPr>
            </w:pPr>
            <w:r>
              <w:rPr>
                <w:sz w:val="24"/>
                <w:szCs w:val="24"/>
              </w:rPr>
              <w:t>14</w:t>
            </w:r>
          </w:p>
        </w:tc>
        <w:tc>
          <w:tcPr>
            <w:tcW w:w="2347" w:type="dxa"/>
          </w:tcPr>
          <w:p>
            <w:pPr>
              <w:pStyle w:val="56"/>
              <w:ind w:firstLine="0" w:firstLineChars="0"/>
              <w:jc w:val="center"/>
              <w:rPr>
                <w:sz w:val="24"/>
                <w:szCs w:val="24"/>
              </w:rPr>
            </w:pPr>
            <w:r>
              <w:rPr>
                <w:sz w:val="24"/>
                <w:szCs w:val="24"/>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tcPr>
          <w:p>
            <w:pPr>
              <w:pStyle w:val="56"/>
              <w:ind w:firstLine="0" w:firstLineChars="0"/>
              <w:jc w:val="center"/>
              <w:rPr>
                <w:rFonts w:ascii="仿宋_GB2312"/>
                <w:b/>
                <w:bCs w:val="0"/>
                <w:sz w:val="24"/>
                <w:szCs w:val="24"/>
              </w:rPr>
            </w:pPr>
            <w:r>
              <w:rPr>
                <w:rFonts w:hint="eastAsia" w:ascii="仿宋_GB2312"/>
                <w:b/>
                <w:bCs w:val="0"/>
                <w:sz w:val="24"/>
                <w:szCs w:val="24"/>
              </w:rPr>
              <w:t>合计</w:t>
            </w:r>
          </w:p>
        </w:tc>
        <w:tc>
          <w:tcPr>
            <w:tcW w:w="2410" w:type="dxa"/>
          </w:tcPr>
          <w:p>
            <w:pPr>
              <w:pStyle w:val="56"/>
              <w:ind w:firstLine="0" w:firstLineChars="0"/>
              <w:jc w:val="center"/>
              <w:rPr>
                <w:sz w:val="24"/>
                <w:szCs w:val="24"/>
              </w:rPr>
            </w:pPr>
            <w:r>
              <w:rPr>
                <w:sz w:val="24"/>
                <w:szCs w:val="24"/>
              </w:rPr>
              <w:t>43</w:t>
            </w:r>
          </w:p>
        </w:tc>
        <w:tc>
          <w:tcPr>
            <w:tcW w:w="2268" w:type="dxa"/>
          </w:tcPr>
          <w:p>
            <w:pPr>
              <w:pStyle w:val="56"/>
              <w:ind w:firstLine="0" w:firstLineChars="0"/>
              <w:jc w:val="center"/>
              <w:rPr>
                <w:sz w:val="24"/>
                <w:szCs w:val="24"/>
              </w:rPr>
            </w:pPr>
            <w:r>
              <w:rPr>
                <w:sz w:val="24"/>
                <w:szCs w:val="24"/>
              </w:rPr>
              <w:t>37</w:t>
            </w:r>
          </w:p>
        </w:tc>
        <w:tc>
          <w:tcPr>
            <w:tcW w:w="2347" w:type="dxa"/>
          </w:tcPr>
          <w:p>
            <w:pPr>
              <w:pStyle w:val="56"/>
              <w:ind w:firstLine="0" w:firstLineChars="0"/>
              <w:jc w:val="center"/>
              <w:rPr>
                <w:sz w:val="24"/>
                <w:szCs w:val="24"/>
              </w:rPr>
            </w:pPr>
            <w:r>
              <w:rPr>
                <w:sz w:val="24"/>
                <w:szCs w:val="24"/>
              </w:rPr>
              <w:t>3</w:t>
            </w:r>
            <w:r>
              <w:rPr>
                <w:rFonts w:hint="eastAsia"/>
                <w:sz w:val="24"/>
                <w:szCs w:val="24"/>
              </w:rPr>
              <w:t>2</w:t>
            </w:r>
          </w:p>
        </w:tc>
      </w:tr>
    </w:tbl>
    <w:p>
      <w:pPr>
        <w:pStyle w:val="38"/>
        <w:ind w:left="0" w:leftChars="0" w:firstLine="643" w:firstLineChars="200"/>
        <w:rPr>
          <w:rFonts w:ascii="Times New Roman" w:hAnsi="Times New Roman"/>
        </w:rPr>
      </w:pPr>
      <w:bookmarkStart w:id="15" w:name="_Toc181896176"/>
      <w:r>
        <w:rPr>
          <w:rFonts w:ascii="Times New Roman" w:hAnsi="Times New Roman"/>
        </w:rPr>
        <w:t>（三）资金到位及使用情况</w:t>
      </w:r>
      <w:bookmarkEnd w:id="15"/>
    </w:p>
    <w:p>
      <w:pPr>
        <w:pStyle w:val="56"/>
        <w:ind w:firstLine="640"/>
      </w:pPr>
      <w:r>
        <w:rPr>
          <w:rFonts w:hint="eastAsia"/>
        </w:rPr>
        <w:t>根据《关于下达韶关市本级2023年省级涉农统筹整合转移支付资金的通知》（韶财农〔2023〕8号）、《关于下达韶关市本级2023年省级涉农统筹整合转移支付资金（第二批）的通知》（韶财农〔2023〕68号），项目年初预算资金共2,381万元，分两批下达（第一批2,160元，第二批221万元）。项目实施过程中进行预算调剂，结合《关于调整2022-2023年省级涉农项目（市本级）资金的通知》（韶财农〔2023〕101号），林业部门6个政策性森林保险省级财政保费补贴项目资金共</w:t>
      </w:r>
      <w:r>
        <w:t>373</w:t>
      </w:r>
      <w:r>
        <w:rPr>
          <w:rFonts w:hint="eastAsia"/>
        </w:rPr>
        <w:t>,</w:t>
      </w:r>
      <w:r>
        <w:t>149.48元</w:t>
      </w:r>
      <w:r>
        <w:rPr>
          <w:rFonts w:hint="eastAsia"/>
        </w:rPr>
        <w:t>被全额收回，韶关市国有韶关林场2023年松材线虫病等有害生物预防与除治项目预算调整安排了</w:t>
      </w:r>
      <w:r>
        <w:t>373</w:t>
      </w:r>
      <w:r>
        <w:rPr>
          <w:rFonts w:hint="eastAsia"/>
        </w:rPr>
        <w:t>,</w:t>
      </w:r>
      <w:r>
        <w:t>149.48元。</w:t>
      </w:r>
    </w:p>
    <w:p>
      <w:pPr>
        <w:pStyle w:val="56"/>
        <w:ind w:firstLine="640"/>
      </w:pPr>
      <w:r>
        <w:t>2023年项目预算资金2,381万元，实际下达资金2,381万元，实际支出资金</w:t>
      </w:r>
      <w:r>
        <w:rPr>
          <w:rFonts w:hint="eastAsia"/>
        </w:rPr>
        <w:t>2</w:t>
      </w:r>
      <w:r>
        <w:t>,</w:t>
      </w:r>
      <w:r>
        <w:rPr>
          <w:rFonts w:hint="eastAsia"/>
        </w:rPr>
        <w:t>127.75</w:t>
      </w:r>
      <w:r>
        <w:t>万元，资金到位率为100%，</w:t>
      </w:r>
      <w:r>
        <w:rPr>
          <w:rFonts w:hint="eastAsia"/>
        </w:rPr>
        <w:t>资金</w:t>
      </w:r>
      <w:r>
        <w:t>支出率为</w:t>
      </w:r>
      <w:r>
        <w:rPr>
          <w:rFonts w:hint="eastAsia"/>
        </w:rPr>
        <w:t>89.36</w:t>
      </w:r>
      <w:r>
        <w:t>%。其中</w:t>
      </w:r>
      <w:r>
        <w:rPr>
          <w:rFonts w:hint="eastAsia"/>
        </w:rPr>
        <w:t>农业农村部门下达资金1,129.90万元，资金支出</w:t>
      </w:r>
      <w:r>
        <w:t>1</w:t>
      </w:r>
      <w:r>
        <w:rPr>
          <w:rFonts w:hint="eastAsia"/>
        </w:rPr>
        <w:t>,</w:t>
      </w:r>
      <w:r>
        <w:t>056</w:t>
      </w:r>
      <w:r>
        <w:rPr>
          <w:rFonts w:hint="eastAsia"/>
        </w:rPr>
        <w:t>.</w:t>
      </w:r>
      <w:r>
        <w:t>17</w:t>
      </w:r>
      <w:r>
        <w:rPr>
          <w:rFonts w:hint="eastAsia"/>
        </w:rPr>
        <w:t>万元，资金支出率达</w:t>
      </w:r>
      <w:r>
        <w:t>93.47%；</w:t>
      </w:r>
      <w:r>
        <w:rPr>
          <w:rFonts w:hint="eastAsia"/>
        </w:rPr>
        <w:t>林业部门下达资金781万元，资金支出66</w:t>
      </w:r>
      <w:r>
        <w:t>6.</w:t>
      </w:r>
      <w:r>
        <w:rPr>
          <w:rFonts w:hint="eastAsia"/>
        </w:rPr>
        <w:t>85</w:t>
      </w:r>
      <w:r>
        <w:t>万元</w:t>
      </w:r>
      <w:r>
        <w:rPr>
          <w:rStyle w:val="22"/>
        </w:rPr>
        <w:footnoteReference w:id="1"/>
      </w:r>
      <w:r>
        <w:t>，资金支出率达</w:t>
      </w:r>
      <w:r>
        <w:rPr>
          <w:rFonts w:hint="eastAsia"/>
        </w:rPr>
        <w:t>85.38</w:t>
      </w:r>
      <w:r>
        <w:t>%</w:t>
      </w:r>
      <w:r>
        <w:rPr>
          <w:rFonts w:hint="eastAsia"/>
        </w:rPr>
        <w:t>；水务部门下达资金470.10万元，资金支出404.72万元，资金支出率达86.09%。</w:t>
      </w:r>
      <w:r>
        <w:t>各部门及各项目的资金使用情况</w:t>
      </w:r>
      <w:r>
        <w:rPr>
          <w:rFonts w:hint="eastAsia"/>
        </w:rPr>
        <w:t>见附件1。</w:t>
      </w:r>
    </w:p>
    <w:p>
      <w:pPr>
        <w:pStyle w:val="38"/>
        <w:ind w:firstLine="643"/>
        <w:rPr>
          <w:rFonts w:ascii="Times New Roman" w:hAnsi="Times New Roman"/>
        </w:rPr>
      </w:pPr>
      <w:bookmarkStart w:id="16" w:name="_Toc181896177"/>
      <w:r>
        <w:rPr>
          <w:rFonts w:ascii="Times New Roman" w:hAnsi="Times New Roman"/>
        </w:rPr>
        <w:t>（</w:t>
      </w:r>
      <w:r>
        <w:rPr>
          <w:rFonts w:hint="eastAsia" w:ascii="Times New Roman" w:hAnsi="Times New Roman"/>
        </w:rPr>
        <w:t>四</w:t>
      </w:r>
      <w:r>
        <w:rPr>
          <w:rFonts w:ascii="Times New Roman" w:hAnsi="Times New Roman"/>
        </w:rPr>
        <w:t>）</w:t>
      </w:r>
      <w:r>
        <w:rPr>
          <w:rFonts w:hint="eastAsia" w:ascii="Times New Roman" w:hAnsi="Times New Roman"/>
        </w:rPr>
        <w:t>任务</w:t>
      </w:r>
      <w:r>
        <w:rPr>
          <w:rFonts w:ascii="Times New Roman" w:hAnsi="Times New Roman"/>
        </w:rPr>
        <w:t>目标及实现情况</w:t>
      </w:r>
      <w:bookmarkEnd w:id="16"/>
    </w:p>
    <w:p>
      <w:pPr>
        <w:pStyle w:val="56"/>
        <w:ind w:firstLine="640"/>
      </w:pPr>
      <w:r>
        <w:rPr>
          <w:rFonts w:hint="eastAsia"/>
        </w:rPr>
        <w:t>根据《广东省财政厅关于下达2023年省级涉农统筹整合转移支付资金的通知》（粤财农〔2023〕39号），省下达韶关市市本级考核工作任务共7项</w:t>
      </w:r>
      <w:r>
        <w:rPr>
          <w:rStyle w:val="22"/>
        </w:rPr>
        <w:footnoteReference w:id="2"/>
      </w:r>
      <w:r>
        <w:rPr>
          <w:rFonts w:hint="eastAsia"/>
        </w:rPr>
        <w:t>，7项任务均已完成。具体情况见附件2。7项考核任务完成情况如下：</w:t>
      </w:r>
    </w:p>
    <w:p>
      <w:pPr>
        <w:pStyle w:val="54"/>
        <w:ind w:firstLine="643"/>
      </w:pPr>
      <w:bookmarkStart w:id="17" w:name="_Toc181896178"/>
      <w:bookmarkStart w:id="18" w:name="_Toc181259028"/>
      <w:bookmarkStart w:id="19" w:name="_Toc181261784"/>
      <w:bookmarkStart w:id="20" w:name="_Toc181367346"/>
      <w:r>
        <w:rPr>
          <w:rFonts w:hint="eastAsia"/>
        </w:rPr>
        <w:t>1</w:t>
      </w:r>
      <w:r>
        <w:t>.</w:t>
      </w:r>
      <w:r>
        <w:rPr>
          <w:rFonts w:hint="eastAsia"/>
        </w:rPr>
        <w:t>食用林产品和农产品质量安全监测</w:t>
      </w:r>
      <w:bookmarkEnd w:id="17"/>
      <w:bookmarkEnd w:id="18"/>
      <w:bookmarkEnd w:id="19"/>
      <w:bookmarkEnd w:id="20"/>
    </w:p>
    <w:p>
      <w:pPr>
        <w:pStyle w:val="35"/>
        <w:ind w:firstLine="640"/>
      </w:pPr>
      <w:r>
        <w:t>（</w:t>
      </w:r>
      <w:r>
        <w:rPr>
          <w:rFonts w:hint="eastAsia"/>
        </w:rPr>
        <w:t>1</w:t>
      </w:r>
      <w:r>
        <w:t>）</w:t>
      </w:r>
      <w:r>
        <w:rPr>
          <w:rFonts w:hint="eastAsia"/>
        </w:rPr>
        <w:t>开展农产品质量安全监测数量</w:t>
      </w:r>
    </w:p>
    <w:p>
      <w:pPr>
        <w:pStyle w:val="56"/>
        <w:ind w:firstLine="640"/>
      </w:pPr>
      <w:r>
        <w:rPr>
          <w:rFonts w:hint="eastAsia"/>
        </w:rPr>
        <w:t>根据《关于印发2023年韶关市市级农产品质量安全风险监测工作方案的通知》，</w:t>
      </w:r>
      <w:r>
        <w:t>2023年韶关市</w:t>
      </w:r>
      <w:r>
        <w:rPr>
          <w:rFonts w:hint="eastAsia"/>
        </w:rPr>
        <w:t>市</w:t>
      </w:r>
      <w:r>
        <w:t>本级计划开展农产品质量安全监测数量1</w:t>
      </w:r>
      <w:r>
        <w:rPr>
          <w:rFonts w:hint="eastAsia"/>
        </w:rPr>
        <w:t>,</w:t>
      </w:r>
      <w:r>
        <w:t>500批次，</w:t>
      </w:r>
      <w:r>
        <w:rPr>
          <w:rFonts w:hint="eastAsia"/>
        </w:rPr>
        <w:t>开展农产品质量安全监督抽查样品量280次。</w:t>
      </w:r>
      <w:r>
        <w:t>实际</w:t>
      </w:r>
      <w:r>
        <w:rPr>
          <w:rFonts w:hint="eastAsia"/>
        </w:rPr>
        <w:t>已开展农产品质量安全监测1,801批次，其中例行监测1,312批次，专项监测489批次，开展农产品质量安全监督抽查样品282批，完成目标任务值。</w:t>
      </w:r>
    </w:p>
    <w:p>
      <w:pPr>
        <w:pStyle w:val="35"/>
        <w:ind w:firstLine="640"/>
      </w:pPr>
      <w:r>
        <w:t>（</w:t>
      </w:r>
      <w:r>
        <w:rPr>
          <w:rFonts w:hint="eastAsia"/>
        </w:rPr>
        <w:t>2</w:t>
      </w:r>
      <w:r>
        <w:t>）</w:t>
      </w:r>
      <w:r>
        <w:rPr>
          <w:rFonts w:hint="eastAsia"/>
        </w:rPr>
        <w:t>开展食用林产品质量安全监测数量</w:t>
      </w:r>
    </w:p>
    <w:p>
      <w:pPr>
        <w:pStyle w:val="56"/>
        <w:ind w:firstLine="640"/>
      </w:pPr>
      <w:bookmarkStart w:id="21" w:name="_Toc181259029"/>
      <w:bookmarkStart w:id="22" w:name="_Toc181261785"/>
      <w:bookmarkStart w:id="23" w:name="_Toc181896179"/>
      <w:bookmarkStart w:id="24" w:name="_Toc181367347"/>
      <w:r>
        <w:rPr>
          <w:rFonts w:hint="eastAsia"/>
        </w:rPr>
        <w:t>2023年韶关市市本级涉农资金无该项考核任务。</w:t>
      </w:r>
    </w:p>
    <w:bookmarkEnd w:id="21"/>
    <w:bookmarkEnd w:id="22"/>
    <w:bookmarkEnd w:id="23"/>
    <w:bookmarkEnd w:id="24"/>
    <w:p>
      <w:pPr>
        <w:pStyle w:val="54"/>
        <w:ind w:firstLine="643"/>
      </w:pPr>
      <w:bookmarkStart w:id="25" w:name="_Toc181259032"/>
      <w:bookmarkStart w:id="26" w:name="_Toc181261788"/>
      <w:bookmarkStart w:id="27" w:name="_Toc181367350"/>
      <w:bookmarkStart w:id="28" w:name="_Toc181896181"/>
      <w:r>
        <w:rPr>
          <w:rFonts w:hint="eastAsia"/>
        </w:rPr>
        <w:t>2</w:t>
      </w:r>
      <w:r>
        <w:t>.</w:t>
      </w:r>
      <w:r>
        <w:rPr>
          <w:rFonts w:hint="eastAsia"/>
        </w:rPr>
        <w:t>动物防疫</w:t>
      </w:r>
      <w:bookmarkEnd w:id="25"/>
      <w:bookmarkEnd w:id="26"/>
      <w:bookmarkEnd w:id="27"/>
      <w:bookmarkEnd w:id="28"/>
    </w:p>
    <w:p>
      <w:pPr>
        <w:pStyle w:val="35"/>
        <w:ind w:firstLine="640"/>
      </w:pPr>
      <w:r>
        <w:t>（</w:t>
      </w:r>
      <w:r>
        <w:rPr>
          <w:rFonts w:hint="eastAsia"/>
        </w:rPr>
        <w:t>1</w:t>
      </w:r>
      <w:r>
        <w:t>）</w:t>
      </w:r>
      <w:r>
        <w:rPr>
          <w:rFonts w:hint="eastAsia"/>
        </w:rPr>
        <w:t>重大动物疫情处置率</w:t>
      </w:r>
    </w:p>
    <w:p>
      <w:pPr>
        <w:pStyle w:val="56"/>
        <w:ind w:firstLine="640"/>
      </w:pPr>
      <w:r>
        <w:rPr>
          <w:rFonts w:hint="eastAsia"/>
        </w:rPr>
        <w:t>2023年韶关市市本级计划重大动物疫情处置率达到100%，结合2023年广东省动物疫病防控工作会议内容，2023年全省未发生区域性重大动物疫情，故该项任务实际完成值为100%。</w:t>
      </w:r>
    </w:p>
    <w:p>
      <w:pPr>
        <w:pStyle w:val="35"/>
        <w:ind w:firstLine="640"/>
      </w:pPr>
      <w:r>
        <w:rPr>
          <w:rFonts w:hint="eastAsia"/>
        </w:rPr>
        <w:t>（2）大规模随意抛弃病死猪事件</w:t>
      </w:r>
    </w:p>
    <w:p>
      <w:pPr>
        <w:pStyle w:val="35"/>
        <w:ind w:firstLine="640"/>
      </w:pPr>
      <w:r>
        <w:rPr>
          <w:rFonts w:hint="eastAsia"/>
        </w:rPr>
        <w:t>2023年韶关市市本级涉农资金无该项考核任务。</w:t>
      </w:r>
    </w:p>
    <w:p>
      <w:pPr>
        <w:pStyle w:val="35"/>
        <w:ind w:firstLine="640"/>
      </w:pPr>
      <w:r>
        <w:rPr>
          <w:rFonts w:hint="eastAsia"/>
        </w:rPr>
        <w:t>（3）强制免疫病种应免畜禽的免疫密度</w:t>
      </w:r>
    </w:p>
    <w:p>
      <w:pPr>
        <w:pStyle w:val="56"/>
        <w:ind w:firstLine="640"/>
      </w:pPr>
      <w:r>
        <w:rPr>
          <w:rFonts w:hint="eastAsia"/>
        </w:rPr>
        <w:t>2023年韶关市市本级计划强制免疫病种应免畜禽的免疫密度达到90%以上，结合2023年春季和秋季动物防疫免疫进度表，免疫密度实际完成值均达到90%以上。</w:t>
      </w:r>
    </w:p>
    <w:p>
      <w:pPr>
        <w:pStyle w:val="35"/>
        <w:ind w:firstLine="640"/>
      </w:pPr>
      <w:r>
        <w:rPr>
          <w:rFonts w:hint="eastAsia"/>
        </w:rPr>
        <w:t>（4）免疫抗体合格率</w:t>
      </w:r>
    </w:p>
    <w:p>
      <w:pPr>
        <w:pStyle w:val="35"/>
        <w:ind w:firstLine="640"/>
        <w:rPr>
          <w:rStyle w:val="57"/>
          <w:kern w:val="0"/>
        </w:rPr>
      </w:pPr>
      <w:r>
        <w:rPr>
          <w:rFonts w:hint="eastAsia"/>
        </w:rPr>
        <w:t>2</w:t>
      </w:r>
      <w:r>
        <w:rPr>
          <w:rStyle w:val="57"/>
          <w:rFonts w:hint="eastAsia"/>
        </w:rPr>
        <w:t>023年韶关市市本级计划免疫抗体合格率达到70%以上，结合</w:t>
      </w:r>
      <w:r>
        <w:rPr>
          <w:rFonts w:hint="eastAsia"/>
          <w:bCs/>
        </w:rPr>
        <w:t>2023年春季和秋季重大动物疫病免疫</w:t>
      </w:r>
      <w:r>
        <w:rPr>
          <w:rFonts w:hint="eastAsia"/>
          <w:bCs/>
          <w:kern w:val="2"/>
        </w:rPr>
        <w:t>效果评估简报，免疫抗体合格率实际完成值均达到70%以上。</w:t>
      </w:r>
    </w:p>
    <w:p>
      <w:pPr>
        <w:pStyle w:val="54"/>
        <w:ind w:firstLine="643"/>
      </w:pPr>
      <w:bookmarkStart w:id="29" w:name="_Toc181896182"/>
      <w:bookmarkStart w:id="30" w:name="_Toc181261790"/>
      <w:bookmarkStart w:id="31" w:name="_Toc181259034"/>
      <w:bookmarkStart w:id="32" w:name="_Toc181367352"/>
      <w:r>
        <w:rPr>
          <w:rFonts w:hint="eastAsia"/>
        </w:rPr>
        <w:t>3</w:t>
      </w:r>
      <w:r>
        <w:t>.第三次全国土壤普查</w:t>
      </w:r>
      <w:bookmarkEnd w:id="29"/>
      <w:bookmarkEnd w:id="30"/>
      <w:bookmarkEnd w:id="31"/>
      <w:bookmarkEnd w:id="32"/>
    </w:p>
    <w:p>
      <w:pPr>
        <w:pStyle w:val="56"/>
        <w:ind w:firstLine="640"/>
      </w:pPr>
      <w:r>
        <w:t>（1）外业调查采样工作完成率</w:t>
      </w:r>
    </w:p>
    <w:p>
      <w:pPr>
        <w:pStyle w:val="56"/>
        <w:ind w:firstLine="640"/>
      </w:pPr>
      <w:r>
        <w:t>2023年韶关市市本级涉农资金计划外业调查采样工作完成率为20%，</w:t>
      </w:r>
      <w:r>
        <w:rPr>
          <w:rFonts w:hint="eastAsia"/>
        </w:rPr>
        <w:t>实际外业调查采样完成率为96%，远超指标目标值。</w:t>
      </w:r>
    </w:p>
    <w:p>
      <w:pPr>
        <w:pStyle w:val="56"/>
        <w:ind w:firstLine="640"/>
      </w:pPr>
      <w:r>
        <w:t>（2）内业样品检测工作完成率</w:t>
      </w:r>
    </w:p>
    <w:p>
      <w:pPr>
        <w:pStyle w:val="56"/>
        <w:spacing w:line="360" w:lineRule="auto"/>
        <w:ind w:firstLine="640"/>
      </w:pPr>
      <w:r>
        <w:t>2023年韶关市市本级涉农资金计划内业样品检测工作完成率为1</w:t>
      </w:r>
      <w:r>
        <w:rPr>
          <w:rFonts w:hint="eastAsia"/>
        </w:rPr>
        <w:t>5</w:t>
      </w:r>
      <w:r>
        <w:t>%，</w:t>
      </w:r>
      <w:bookmarkStart w:id="33" w:name="_Toc181367355"/>
      <w:bookmarkStart w:id="34" w:name="_Toc181261793"/>
      <w:bookmarkStart w:id="35" w:name="_Toc181259037"/>
      <w:bookmarkStart w:id="36" w:name="_Toc181896183"/>
      <w:r>
        <w:rPr>
          <w:rFonts w:hint="eastAsia"/>
        </w:rPr>
        <w:t>实际外业调查采样完成率为52%，远超指标目标值。</w:t>
      </w:r>
    </w:p>
    <w:p>
      <w:pPr>
        <w:pStyle w:val="54"/>
        <w:ind w:firstLine="643"/>
      </w:pPr>
      <w:r>
        <w:rPr>
          <w:rFonts w:hint="eastAsia"/>
        </w:rPr>
        <w:t>4.</w:t>
      </w:r>
      <w:r>
        <w:t>水土保持</w:t>
      </w:r>
      <w:bookmarkEnd w:id="33"/>
      <w:bookmarkEnd w:id="34"/>
      <w:bookmarkEnd w:id="35"/>
      <w:bookmarkEnd w:id="36"/>
    </w:p>
    <w:p>
      <w:pPr>
        <w:pStyle w:val="56"/>
        <w:ind w:firstLine="640"/>
      </w:pPr>
      <w:r>
        <w:t>根据《韶关市水务局转发广东省水利厅关于印发2023年广东省水土保持工作要点的通知》，2023年</w:t>
      </w:r>
      <w:r>
        <w:rPr>
          <w:rFonts w:hint="eastAsia"/>
        </w:rPr>
        <w:t>韶关市计划新增水土流失治理面积47.45平方公里，</w:t>
      </w:r>
      <w:r>
        <w:t>韶关市市本级涉农资金计划新增水土流失治理面积</w:t>
      </w:r>
      <w:r>
        <w:rPr>
          <w:rFonts w:hint="eastAsia"/>
        </w:rPr>
        <w:t>因未提供佐证材料</w:t>
      </w:r>
      <w:r>
        <w:t>，</w:t>
      </w:r>
      <w:r>
        <w:rPr>
          <w:rFonts w:hint="eastAsia"/>
        </w:rPr>
        <w:t>计划值无法核实，</w:t>
      </w:r>
      <w:r>
        <w:t>实际完成水土流失治理面积55.82平方公里</w:t>
      </w:r>
      <w:r>
        <w:rPr>
          <w:rFonts w:hint="eastAsia"/>
        </w:rPr>
        <w:t>，指标完成率为100%。</w:t>
      </w:r>
    </w:p>
    <w:p>
      <w:pPr>
        <w:pStyle w:val="54"/>
        <w:ind w:firstLine="643"/>
      </w:pPr>
      <w:bookmarkStart w:id="37" w:name="_Toc181259040"/>
      <w:bookmarkStart w:id="38" w:name="_Toc181896184"/>
      <w:bookmarkStart w:id="39" w:name="_Toc181367358"/>
      <w:bookmarkStart w:id="40" w:name="_Toc181261796"/>
      <w:r>
        <w:rPr>
          <w:rFonts w:hint="eastAsia"/>
        </w:rPr>
        <w:t>5</w:t>
      </w:r>
      <w:r>
        <w:t>.造林及抚育</w:t>
      </w:r>
      <w:bookmarkEnd w:id="37"/>
      <w:bookmarkEnd w:id="38"/>
      <w:bookmarkEnd w:id="39"/>
      <w:bookmarkEnd w:id="40"/>
    </w:p>
    <w:p>
      <w:pPr>
        <w:pStyle w:val="35"/>
        <w:ind w:firstLine="640"/>
      </w:pPr>
      <w:r>
        <w:t>（1）森林质量精准提升面积</w:t>
      </w:r>
    </w:p>
    <w:p>
      <w:pPr>
        <w:pStyle w:val="56"/>
        <w:ind w:firstLine="640"/>
      </w:pPr>
      <w:r>
        <w:t>根据《广东省财政厅关于下达2023年省级涉农统筹整合转移支付资金的通知》(粤财农〔2023〕39号)、《广东省林业局关于下达2023年营造林生产计划的通知</w:t>
      </w:r>
      <w:r>
        <w:rPr>
          <w:rFonts w:hint="eastAsia"/>
        </w:rPr>
        <w:t>》（</w:t>
      </w:r>
      <w:r>
        <w:t>粤林函</w:t>
      </w:r>
      <w:bookmarkStart w:id="41" w:name="_Hlk180675156"/>
      <w:r>
        <w:rPr>
          <w:rFonts w:hint="eastAsia"/>
        </w:rPr>
        <w:t>〔2023〕</w:t>
      </w:r>
      <w:bookmarkEnd w:id="41"/>
      <w:r>
        <w:t>26号）和《关于下达韶关市2023年营造林生产计划的通知》（韶林函</w:t>
      </w:r>
      <w:r>
        <w:rPr>
          <w:rFonts w:hint="eastAsia"/>
        </w:rPr>
        <w:t>〔2023〕</w:t>
      </w:r>
      <w:r>
        <w:t>20号）等文件精神，2023年韶关市市本级涉农资金计划“森林质量精准提升面积42</w:t>
      </w:r>
      <w:r>
        <w:rPr>
          <w:rFonts w:hint="eastAsia"/>
        </w:rPr>
        <w:t>,</w:t>
      </w:r>
      <w:r>
        <w:t>917亩”，实际森林质量精准提升完成42</w:t>
      </w:r>
      <w:r>
        <w:rPr>
          <w:rFonts w:hint="eastAsia"/>
        </w:rPr>
        <w:t>,</w:t>
      </w:r>
      <w:r>
        <w:t>917亩，计划完成率为100%。</w:t>
      </w:r>
    </w:p>
    <w:p>
      <w:pPr>
        <w:pStyle w:val="56"/>
        <w:ind w:firstLine="640"/>
      </w:pPr>
      <w:r>
        <w:t>其中：低质低效林分计划改造面积为13</w:t>
      </w:r>
      <w:r>
        <w:rPr>
          <w:rFonts w:hint="eastAsia"/>
        </w:rPr>
        <w:t>,</w:t>
      </w:r>
      <w:r>
        <w:t>600亩，实际完成低质低效林分改造13</w:t>
      </w:r>
      <w:r>
        <w:rPr>
          <w:rFonts w:hint="eastAsia"/>
        </w:rPr>
        <w:t>,</w:t>
      </w:r>
      <w:r>
        <w:t>600亩，低质低效林分改造指标完成率为100%。森林抚育面积计划面积为23</w:t>
      </w:r>
      <w:r>
        <w:rPr>
          <w:rFonts w:hint="eastAsia"/>
        </w:rPr>
        <w:t>,</w:t>
      </w:r>
      <w:r>
        <w:t>800亩，实际完成森林抚育面积2</w:t>
      </w:r>
      <w:r>
        <w:rPr>
          <w:rFonts w:hint="eastAsia"/>
        </w:rPr>
        <w:t>3,</w:t>
      </w:r>
      <w:r>
        <w:t>800亩，森林抚育面积指标完成率为100%。新造林抚育面积计划面积为5</w:t>
      </w:r>
      <w:r>
        <w:rPr>
          <w:rFonts w:hint="eastAsia"/>
        </w:rPr>
        <w:t>,</w:t>
      </w:r>
      <w:r>
        <w:t>517亩，实际完成新造林抚育5</w:t>
      </w:r>
      <w:r>
        <w:rPr>
          <w:rFonts w:hint="eastAsia"/>
        </w:rPr>
        <w:t>,</w:t>
      </w:r>
      <w:r>
        <w:t>517亩，新造林抚育指标完成率为100%。</w:t>
      </w:r>
    </w:p>
    <w:p>
      <w:pPr>
        <w:pStyle w:val="35"/>
        <w:ind w:firstLine="640"/>
      </w:pPr>
      <w:r>
        <w:t>（2）红树林造林面积</w:t>
      </w:r>
    </w:p>
    <w:p>
      <w:pPr>
        <w:pStyle w:val="35"/>
        <w:ind w:firstLine="640"/>
      </w:pPr>
      <w:r>
        <w:rPr>
          <w:rFonts w:hint="eastAsia"/>
        </w:rPr>
        <w:t>2023年韶关市市本级涉农资金无该项考核任务。</w:t>
      </w:r>
    </w:p>
    <w:p>
      <w:pPr>
        <w:pStyle w:val="54"/>
        <w:ind w:firstLine="643"/>
      </w:pPr>
      <w:bookmarkStart w:id="42" w:name="_Toc181259041"/>
      <w:bookmarkStart w:id="43" w:name="_Toc181261797"/>
      <w:bookmarkStart w:id="44" w:name="_Toc181896185"/>
      <w:bookmarkStart w:id="45" w:name="_Toc181367359"/>
      <w:r>
        <w:rPr>
          <w:rFonts w:hint="eastAsia"/>
        </w:rPr>
        <w:t>6</w:t>
      </w:r>
      <w:r>
        <w:t>.自然保护地整合优化</w:t>
      </w:r>
      <w:bookmarkEnd w:id="42"/>
      <w:bookmarkEnd w:id="43"/>
      <w:bookmarkEnd w:id="44"/>
      <w:bookmarkEnd w:id="45"/>
    </w:p>
    <w:p>
      <w:pPr>
        <w:pStyle w:val="35"/>
        <w:ind w:firstLine="640"/>
      </w:pPr>
      <w:r>
        <w:t>（1）自然保护地范围边界矢量化数据制作工作量完成率</w:t>
      </w:r>
    </w:p>
    <w:p>
      <w:pPr>
        <w:pStyle w:val="56"/>
        <w:ind w:firstLine="640"/>
      </w:pPr>
      <w:r>
        <w:t>根据《韶关市全面推行林长制工作领导小组关于印发&lt;韶关市2023年度全面推行林长制和绿美韶关生态建设工作考核实施细则&gt;的通知》，2023年韶关市市本级涉农资金计划“自然保护地范围边界矢量化数据制作工作量完成率为70%”，实际完成率为100%，超额完成预期目标。</w:t>
      </w:r>
    </w:p>
    <w:p>
      <w:pPr>
        <w:pStyle w:val="35"/>
        <w:ind w:firstLine="640"/>
      </w:pPr>
      <w:r>
        <w:t>（2）自然保护区总体规划、综合科学考察工作量完成率</w:t>
      </w:r>
    </w:p>
    <w:p>
      <w:pPr>
        <w:pStyle w:val="56"/>
        <w:ind w:firstLine="640"/>
      </w:pPr>
      <w:r>
        <w:t>2023年韶关市市本级涉农资金计划“自然保护区总体规划、综合科学考察工作量完成率为70%”，实际完成率为100%，超额完成预期目标。</w:t>
      </w:r>
    </w:p>
    <w:p>
      <w:pPr>
        <w:pStyle w:val="35"/>
        <w:ind w:firstLine="640"/>
      </w:pPr>
      <w:r>
        <w:t>（3）自然公园总体规划和综合科学考察工作量完成率</w:t>
      </w:r>
    </w:p>
    <w:p>
      <w:pPr>
        <w:pStyle w:val="35"/>
        <w:ind w:firstLine="640"/>
      </w:pPr>
      <w:r>
        <w:rPr>
          <w:rFonts w:hint="eastAsia"/>
        </w:rPr>
        <w:t>2023年韶关市市本级涉农资金无该项考核任务。</w:t>
      </w:r>
    </w:p>
    <w:p>
      <w:pPr>
        <w:pStyle w:val="54"/>
        <w:ind w:firstLine="643"/>
      </w:pPr>
      <w:bookmarkStart w:id="46" w:name="_Toc181367360"/>
      <w:bookmarkStart w:id="47" w:name="_Toc181261798"/>
      <w:bookmarkStart w:id="48" w:name="_Toc181259042"/>
      <w:bookmarkStart w:id="49" w:name="_Toc181896186"/>
      <w:r>
        <w:rPr>
          <w:rFonts w:hint="eastAsia"/>
        </w:rPr>
        <w:t>7</w:t>
      </w:r>
      <w:r>
        <w:t>.森林灾害防控</w:t>
      </w:r>
      <w:bookmarkEnd w:id="46"/>
      <w:bookmarkEnd w:id="47"/>
      <w:bookmarkEnd w:id="48"/>
      <w:bookmarkEnd w:id="49"/>
    </w:p>
    <w:p>
      <w:pPr>
        <w:pStyle w:val="35"/>
        <w:ind w:firstLine="640"/>
      </w:pPr>
      <w:r>
        <w:t>（1）林业有害生物防治作业面积</w:t>
      </w:r>
    </w:p>
    <w:p>
      <w:pPr>
        <w:pStyle w:val="56"/>
        <w:ind w:firstLine="640"/>
      </w:pPr>
      <w:r>
        <w:t>根据《广东省林业局关于下达2023年度重大林业有害生物防治任务的通知》（粤林函〔2023〕51号）和《韶关市林业局关于下达2023年度重大林业有害生物防治任务的通知》（韶林函〔2023〕37号）等文件精神，2023年韶关市市本级涉农资金对应“林业有害生物防治作业面积”的工作任务为1.3221万亩（其中，松材线虫病防治作业面积1.2981万亩），实际完成6.1534万亩林业有害生物防治作业（其中，松材线虫病防治作业完成5.9884万亩），指标完成率为465.43%（其中，松材线虫病防治作业任务指标完成率为461.32%）。</w:t>
      </w:r>
    </w:p>
    <w:p>
      <w:pPr>
        <w:pStyle w:val="35"/>
        <w:ind w:firstLine="640"/>
      </w:pPr>
      <w:r>
        <w:t>（2）林业有害生物成灾率</w:t>
      </w:r>
    </w:p>
    <w:p>
      <w:pPr>
        <w:pStyle w:val="56"/>
        <w:ind w:firstLine="640"/>
      </w:pPr>
      <w:r>
        <w:rPr>
          <w:rFonts w:hint="eastAsia"/>
        </w:rPr>
        <w:t>2023年韶关市市本级涉农资金无该项考核任务。</w:t>
      </w:r>
    </w:p>
    <w:p>
      <w:pPr>
        <w:pStyle w:val="35"/>
        <w:ind w:firstLine="640"/>
      </w:pPr>
      <w:r>
        <w:t>（3）森林火灾受害率</w:t>
      </w:r>
    </w:p>
    <w:p>
      <w:pPr>
        <w:pStyle w:val="56"/>
        <w:ind w:firstLine="640"/>
      </w:pPr>
      <w:r>
        <w:t>2023年韶关市市本级涉农资金对应“森林火灾受害率”的工作计划值为“≤0.9‰”，实际2023年市本级无森林火灾发生，完成目标任务值。</w:t>
      </w:r>
    </w:p>
    <w:p>
      <w:pPr>
        <w:pStyle w:val="37"/>
        <w:ind w:firstLine="643"/>
      </w:pPr>
      <w:bookmarkStart w:id="50" w:name="_Toc181896188"/>
      <w:r>
        <w:t>二、绩效分析</w:t>
      </w:r>
      <w:bookmarkEnd w:id="50"/>
    </w:p>
    <w:p>
      <w:pPr>
        <w:pStyle w:val="38"/>
        <w:ind w:firstLine="643"/>
        <w:rPr>
          <w:rFonts w:ascii="Times New Roman" w:hAnsi="Times New Roman"/>
        </w:rPr>
      </w:pPr>
      <w:bookmarkStart w:id="51" w:name="_Toc181896189"/>
      <w:r>
        <w:rPr>
          <w:rFonts w:ascii="Times New Roman" w:hAnsi="Times New Roman"/>
        </w:rPr>
        <w:t>（一）投入</w:t>
      </w:r>
      <w:bookmarkEnd w:id="51"/>
    </w:p>
    <w:p>
      <w:pPr>
        <w:pStyle w:val="42"/>
        <w:ind w:firstLine="640"/>
      </w:pPr>
      <w:r>
        <w:t>项目投入的5项三级指标得分率如下（图2-1）：</w:t>
      </w:r>
    </w:p>
    <w:p>
      <w:pPr>
        <w:pStyle w:val="42"/>
        <w:spacing w:line="240" w:lineRule="auto"/>
        <w:ind w:firstLine="640"/>
        <w:jc w:val="center"/>
      </w:pPr>
      <w:r>
        <w:drawing>
          <wp:inline distT="0" distB="0" distL="0" distR="0">
            <wp:extent cx="4045585" cy="1703705"/>
            <wp:effectExtent l="0" t="0" r="12065" b="10795"/>
            <wp:docPr id="59163042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pStyle w:val="52"/>
      </w:pPr>
      <w:r>
        <w:t>图2-1投入的5项三级指标各指标得分率</w:t>
      </w:r>
    </w:p>
    <w:p>
      <w:pPr>
        <w:pStyle w:val="42"/>
        <w:ind w:firstLine="643"/>
        <w:outlineLvl w:val="2"/>
        <w:rPr>
          <w:b/>
          <w:bCs/>
        </w:rPr>
      </w:pPr>
      <w:bookmarkStart w:id="52" w:name="_Toc181896190"/>
      <w:r>
        <w:rPr>
          <w:b/>
          <w:bCs/>
        </w:rPr>
        <w:t>1.项目立项</w:t>
      </w:r>
      <w:bookmarkEnd w:id="52"/>
    </w:p>
    <w:p>
      <w:pPr>
        <w:pStyle w:val="42"/>
        <w:ind w:firstLine="640"/>
        <w:rPr>
          <w:b/>
          <w:bCs/>
        </w:rPr>
      </w:pPr>
      <w:r>
        <w:rPr>
          <w:rFonts w:hint="eastAsia"/>
        </w:rPr>
        <w:t>项目立项包括论证决策、目标设置和保障措施3个三级指标。指标分值12分，评价得分9分，得分率为75%。</w:t>
      </w:r>
    </w:p>
    <w:p>
      <w:pPr>
        <w:pStyle w:val="56"/>
        <w:ind w:firstLine="643"/>
      </w:pPr>
      <w:r>
        <w:rPr>
          <w:b/>
          <w:bCs w:val="0"/>
        </w:rPr>
        <w:t>（1）</w:t>
      </w:r>
      <w:r>
        <w:rPr>
          <w:rFonts w:hint="eastAsia"/>
          <w:b/>
          <w:bCs w:val="0"/>
        </w:rPr>
        <w:t>论证决策。</w:t>
      </w:r>
      <w:r>
        <w:rPr>
          <w:rFonts w:hint="eastAsia"/>
        </w:rPr>
        <w:t>根据《广东省财政厅关于提前下达2023年省级涉农统筹整合转移支付资金的通知》（粤财农〔2022〕189号）等文件精神，2023年韶关市市本级涉农资金项目申报文件和材料基本符合要求，项目获得上级政府资金支持实施，项目论证充分。根据评分标准，指标分值4分，得满分。</w:t>
      </w:r>
    </w:p>
    <w:p>
      <w:pPr>
        <w:pStyle w:val="56"/>
        <w:ind w:firstLine="643"/>
      </w:pPr>
      <w:r>
        <w:rPr>
          <w:b/>
          <w:bCs w:val="0"/>
        </w:rPr>
        <w:t>（2）</w:t>
      </w:r>
      <w:r>
        <w:rPr>
          <w:rFonts w:hint="eastAsia"/>
          <w:b/>
          <w:bCs w:val="0"/>
        </w:rPr>
        <w:t>目标设置。</w:t>
      </w:r>
      <w:r>
        <w:rPr>
          <w:rFonts w:hint="eastAsia"/>
        </w:rPr>
        <w:t>部分项目的绩效指标设置不够完整，绩效指标设置未能全面覆盖项目实施产生的效益，缺少反映项目实施效果的关键指标。部分项目指标重复设置，多个指标同时考核同一内容。部分项目指标属性归类错误，指标设置合理性有待提高。部分指标目标值设置难以量化衡量，部分指标名称设置模糊，指标考核内容不明确，绩效指标设置可衡量性有待提高。根据评分标准，指标分值6分，完整性扣0.5分、合理性扣1分、可衡量性扣1分，共扣2.5分。</w:t>
      </w:r>
    </w:p>
    <w:p>
      <w:pPr>
        <w:pStyle w:val="56"/>
        <w:ind w:firstLine="643"/>
      </w:pPr>
      <w:r>
        <w:rPr>
          <w:b/>
          <w:bCs w:val="0"/>
        </w:rPr>
        <w:t>（3）</w:t>
      </w:r>
      <w:r>
        <w:rPr>
          <w:rFonts w:hint="eastAsia"/>
          <w:b/>
          <w:bCs w:val="0"/>
        </w:rPr>
        <w:t>保障措施。</w:t>
      </w:r>
      <w:r>
        <w:rPr>
          <w:rFonts w:hint="eastAsia"/>
        </w:rPr>
        <w:t>项目依据省级《广东省涉农资金统筹整合领导小组办公室关于印发省级涉农资金统筹整合工作指引的通知》（粤涉农办〔2021〕1号）和《广东省涉农资金统筹整合管理办法（2020年修订）》（粤财农〔2020〕106号）等专项资金管理办法开展工作，并结合地方需求制定了《韶关市涉农资金统筹整合实施方案》(韶财农〔2018〕36号)，项目制度相对完整。根据《广东省财政厅关于提前下达2023年省级涉农统筹整合转移支付资金的通知》（粤财农〔2022〕189号）文件精神，韶关市存在“部分上报项目不符合当年涉农资金支持范围、部分申报项目超出资金支持范围或项目成熟度材料不完整等”等情况，涉农部分工作事项的项目谋划储备仍需进一步加强。但未有材料可论证韶关市结合省级联合审查意见进一步优化完善2023年涉农项目计划，计划安排合理性不清晰。根据评分标准，指标分值2分，计划安排合理性扣0.5分，共扣0.5分。</w:t>
      </w:r>
    </w:p>
    <w:p>
      <w:pPr>
        <w:pStyle w:val="56"/>
        <w:outlineLvl w:val="2"/>
        <w:rPr>
          <w:b/>
        </w:rPr>
      </w:pPr>
      <w:bookmarkStart w:id="53" w:name="_Toc181896191"/>
      <w:r>
        <w:rPr>
          <w:b/>
        </w:rPr>
        <w:t>2.资金落实</w:t>
      </w:r>
      <w:bookmarkEnd w:id="53"/>
    </w:p>
    <w:p>
      <w:pPr>
        <w:pStyle w:val="56"/>
        <w:ind w:firstLine="640"/>
        <w:rPr>
          <w:bCs w:val="0"/>
        </w:rPr>
      </w:pPr>
      <w:r>
        <w:rPr>
          <w:rFonts w:hint="eastAsia"/>
          <w:bCs w:val="0"/>
        </w:rPr>
        <w:t>资金落实包括资金到位和资金分配2个三级指标。指标分值8分，评价得分6分，得分率为75%。</w:t>
      </w:r>
    </w:p>
    <w:p>
      <w:pPr>
        <w:pStyle w:val="42"/>
        <w:ind w:firstLine="643"/>
        <w:rPr>
          <w:b/>
          <w:bCs/>
        </w:rPr>
      </w:pPr>
      <w:r>
        <w:rPr>
          <w:b/>
          <w:bCs/>
        </w:rPr>
        <w:t>（1）资金</w:t>
      </w:r>
      <w:r>
        <w:rPr>
          <w:rFonts w:hint="eastAsia"/>
          <w:b/>
          <w:bCs/>
        </w:rPr>
        <w:t>到位。</w:t>
      </w:r>
      <w:r>
        <w:t>2023年项目预算2,</w:t>
      </w:r>
      <w:r>
        <w:rPr>
          <w:rFonts w:hint="eastAsia"/>
        </w:rPr>
        <w:t>381</w:t>
      </w:r>
      <w:r>
        <w:t>万元，实际到位资金</w:t>
      </w:r>
      <w:r>
        <w:rPr>
          <w:rFonts w:hint="eastAsia"/>
        </w:rPr>
        <w:t>2</w:t>
      </w:r>
      <w:r>
        <w:t>,</w:t>
      </w:r>
      <w:r>
        <w:rPr>
          <w:rFonts w:hint="eastAsia"/>
        </w:rPr>
        <w:t>381</w:t>
      </w:r>
      <w:r>
        <w:t>万元，资金到位率为</w:t>
      </w:r>
      <w:r>
        <w:rPr>
          <w:rFonts w:hint="eastAsia"/>
        </w:rPr>
        <w:t>100</w:t>
      </w:r>
      <w:r>
        <w:t>%</w:t>
      </w:r>
      <w:r>
        <w:rPr>
          <w:rFonts w:hint="eastAsia"/>
        </w:rPr>
        <w:t>。项目资金共分两批下达，根据《关于下达韶关市本级2023年省级涉农统筹整合转移支付资金的通知》（韶财农〔2023〕8号）和《关于下达韶关市本级2023年省级涉农统筹整合转移支付资金（第二批）的通知》（韶财农〔2023〕68号），2023年2月8日下达第一批市本级涉农资金2,160万元，2023年7月27日下达第二批市本级涉农资金221万元，资金</w:t>
      </w:r>
      <w:r>
        <w:t>均在规范时间内下达到位</w:t>
      </w:r>
      <w:r>
        <w:rPr>
          <w:rFonts w:hint="eastAsia"/>
        </w:rPr>
        <w:t>。根据评分标准，指标分值5分，得满分。</w:t>
      </w:r>
    </w:p>
    <w:p>
      <w:pPr>
        <w:pStyle w:val="42"/>
        <w:ind w:firstLine="643"/>
        <w:rPr>
          <w:b/>
          <w:bCs/>
        </w:rPr>
      </w:pPr>
      <w:r>
        <w:rPr>
          <w:rFonts w:hint="eastAsia"/>
          <w:b/>
          <w:bCs/>
        </w:rPr>
        <w:t>（2）资金分配。</w:t>
      </w:r>
      <w:r>
        <w:rPr>
          <w:rFonts w:hint="eastAsia"/>
        </w:rPr>
        <w:t>涉农资金分配机制不明晰，2023年涉农资金在考核任务以及各部门的资金分配上缺乏分配标准和依据，无法判断资金分配是否参考上一年考核结果以及综合考虑项目的实际需求、优先级或效益等因素，由此导致部分资金分配呈现出“分配项目数量多、项目资金体量小”、资金使用形式多为“工作经费”的情况，项目预算资金分配的依据不充分、不清晰。根据评分标准，指标分值3分，资金分配合理性扣2分，共扣2分。</w:t>
      </w:r>
    </w:p>
    <w:p>
      <w:pPr>
        <w:pStyle w:val="35"/>
        <w:ind w:firstLine="643"/>
        <w:outlineLvl w:val="1"/>
        <w:rPr>
          <w:rFonts w:hint="eastAsia" w:ascii="楷体" w:hAnsi="楷体" w:eastAsia="楷体"/>
          <w:b/>
          <w:bCs/>
        </w:rPr>
      </w:pPr>
      <w:bookmarkStart w:id="54" w:name="_Toc181896192"/>
      <w:r>
        <w:rPr>
          <w:rFonts w:ascii="楷体" w:hAnsi="楷体" w:eastAsia="楷体"/>
          <w:b/>
          <w:bCs/>
        </w:rPr>
        <w:t>（二）过程</w:t>
      </w:r>
      <w:bookmarkEnd w:id="54"/>
    </w:p>
    <w:p>
      <w:pPr>
        <w:pStyle w:val="42"/>
        <w:ind w:firstLine="640"/>
      </w:pPr>
      <w:r>
        <w:t>项目过程的4项三级指标得分率如下（图2-2）：</w:t>
      </w:r>
    </w:p>
    <w:p>
      <w:pPr>
        <w:pStyle w:val="38"/>
        <w:spacing w:line="240" w:lineRule="auto"/>
        <w:ind w:firstLine="0" w:firstLineChars="0"/>
        <w:jc w:val="center"/>
        <w:outlineLvl w:val="9"/>
        <w:rPr>
          <w:rFonts w:ascii="Times New Roman" w:hAnsi="Times New Roman"/>
        </w:rPr>
      </w:pPr>
      <w:r>
        <w:drawing>
          <wp:inline distT="0" distB="0" distL="0" distR="0">
            <wp:extent cx="4525010" cy="1597660"/>
            <wp:effectExtent l="0" t="0" r="8890" b="2540"/>
            <wp:docPr id="128247877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pStyle w:val="52"/>
      </w:pPr>
      <w:r>
        <w:t>图2-2 投入的4项三级指标各指标得分</w:t>
      </w:r>
    </w:p>
    <w:p>
      <w:pPr>
        <w:pStyle w:val="42"/>
        <w:ind w:firstLine="641" w:firstLineChars="0"/>
        <w:outlineLvl w:val="2"/>
        <w:rPr>
          <w:b/>
          <w:bCs/>
        </w:rPr>
      </w:pPr>
      <w:bookmarkStart w:id="55" w:name="_Toc181896193"/>
      <w:r>
        <w:rPr>
          <w:b/>
          <w:bCs/>
        </w:rPr>
        <w:t>1.资金管理</w:t>
      </w:r>
      <w:bookmarkEnd w:id="55"/>
    </w:p>
    <w:p>
      <w:pPr>
        <w:pStyle w:val="42"/>
        <w:ind w:firstLine="643" w:firstLineChars="0"/>
        <w:rPr>
          <w:b/>
          <w:bCs/>
        </w:rPr>
      </w:pPr>
      <w:r>
        <w:rPr>
          <w:rFonts w:hint="eastAsia"/>
        </w:rPr>
        <w:t>资金管理包括资金支付和支出规范性2个三级指标。指标分值12分，评价得分10.86分，得分率为90.5%。</w:t>
      </w:r>
    </w:p>
    <w:p>
      <w:pPr>
        <w:pStyle w:val="35"/>
        <w:ind w:firstLine="643"/>
      </w:pPr>
      <w:r>
        <w:rPr>
          <w:b/>
          <w:bCs/>
        </w:rPr>
        <w:t>（1）</w:t>
      </w:r>
      <w:r>
        <w:rPr>
          <w:rFonts w:hint="eastAsia"/>
          <w:b/>
          <w:bCs/>
        </w:rPr>
        <w:t>资金支付。</w:t>
      </w:r>
      <w:r>
        <w:t>2023年项目到位资金</w:t>
      </w:r>
      <w:r>
        <w:rPr>
          <w:rFonts w:hint="eastAsia"/>
        </w:rPr>
        <w:t>2</w:t>
      </w:r>
      <w:r>
        <w:t>,</w:t>
      </w:r>
      <w:r>
        <w:rPr>
          <w:rFonts w:hint="eastAsia"/>
        </w:rPr>
        <w:t>381</w:t>
      </w:r>
      <w:r>
        <w:t>万元，支出资金2,127.75万元，预算执行率为89.36%</w:t>
      </w:r>
      <w:r>
        <w:rPr>
          <w:rFonts w:hint="eastAsia"/>
        </w:rPr>
        <w:t>。根据评分标准，指标分值6分，资金支出率扣0.64分，共扣0.64分。</w:t>
      </w:r>
    </w:p>
    <w:p>
      <w:pPr>
        <w:pStyle w:val="35"/>
        <w:ind w:firstLine="643"/>
      </w:pPr>
      <w:r>
        <w:rPr>
          <w:rFonts w:hint="eastAsia"/>
          <w:b/>
          <w:bCs/>
        </w:rPr>
        <w:t>（2）</w:t>
      </w:r>
      <w:r>
        <w:rPr>
          <w:b/>
          <w:bCs/>
        </w:rPr>
        <w:t>支出规范性</w:t>
      </w:r>
      <w:r>
        <w:rPr>
          <w:rFonts w:hint="eastAsia"/>
          <w:b/>
          <w:bCs/>
        </w:rPr>
        <w:t>。</w:t>
      </w:r>
      <w:r>
        <w:rPr>
          <w:rFonts w:hint="eastAsia"/>
        </w:rPr>
        <w:t>个别项目如韶关市重要饮用水源地安全保障达标建设实施方案修编项目等合同中关于支付的约定有待完善，未考虑项目验收等关键支付因素，资金约定支付方式不够严谨，具体情况如下表所示。根据评分标准，指标分值6分，支出规范性扣0.5分，共扣0.5分。</w:t>
      </w:r>
    </w:p>
    <w:p>
      <w:pPr>
        <w:pStyle w:val="42"/>
        <w:ind w:firstLine="643"/>
        <w:outlineLvl w:val="2"/>
        <w:rPr>
          <w:b/>
          <w:bCs/>
        </w:rPr>
      </w:pPr>
      <w:bookmarkStart w:id="56" w:name="_Toc181896194"/>
      <w:r>
        <w:rPr>
          <w:b/>
          <w:bCs/>
        </w:rPr>
        <w:t>2.事项管理</w:t>
      </w:r>
      <w:bookmarkEnd w:id="56"/>
    </w:p>
    <w:p>
      <w:pPr>
        <w:pStyle w:val="42"/>
        <w:ind w:firstLine="640"/>
        <w:rPr>
          <w:b/>
          <w:bCs/>
        </w:rPr>
      </w:pPr>
      <w:r>
        <w:rPr>
          <w:rFonts w:hint="eastAsia"/>
        </w:rPr>
        <w:t>事项管理包括实施程序和管理情况2个三级指标。指标分值8分，评价得分4.5分，得分率为56.25%。</w:t>
      </w:r>
    </w:p>
    <w:p>
      <w:pPr>
        <w:pStyle w:val="35"/>
        <w:ind w:firstLine="643"/>
      </w:pPr>
      <w:r>
        <w:rPr>
          <w:b/>
          <w:bCs/>
        </w:rPr>
        <w:t>（1）实施程序</w:t>
      </w:r>
      <w:r>
        <w:rPr>
          <w:rFonts w:hint="eastAsia"/>
          <w:b/>
          <w:bCs/>
        </w:rPr>
        <w:t>。</w:t>
      </w:r>
      <w:r>
        <w:rPr>
          <w:rFonts w:hint="eastAsia"/>
        </w:rPr>
        <w:t>个别项目实施程序有待进一步规范。一是个别项目合同执行流程不规范，如韶关市小型水库安全鉴定成果核查采购项目服务费用发票开具日期（2023年1月10日）早于合同签订日期（2023年3月20日），发票的开具未与合同的签订和执行进度保持一致。部分项目服务合同未注明合同订立日期。个别项目政府采购合同备案时间滞后。二是个别项目流程严重滞后且未进行延期审批。根据评分标准，指标分值4分，程序规范性扣2分，共扣2分。</w:t>
      </w:r>
    </w:p>
    <w:p>
      <w:pPr>
        <w:pStyle w:val="35"/>
        <w:ind w:firstLine="643"/>
      </w:pPr>
      <w:r>
        <w:rPr>
          <w:b/>
          <w:bCs/>
        </w:rPr>
        <w:t>（2）</w:t>
      </w:r>
      <w:r>
        <w:rPr>
          <w:rFonts w:hint="eastAsia"/>
          <w:b/>
          <w:bCs/>
        </w:rPr>
        <w:t>管理情况。</w:t>
      </w:r>
      <w:r>
        <w:rPr>
          <w:rFonts w:hint="eastAsia"/>
        </w:rPr>
        <w:t>单位通过制定《韶关市涉农资金统筹整合领导小组工作规则》、《韶关市涉农资金统筹整合领导小组办公室工作规则》、《韶关市涉农资金统筹整合资金管理办法》等文件指导涉农资金统筹整合工作的实施，且《关于印发韶关市涉农资金统筹整合实施方案的通知》中规定涉农资金统筹整合项目保障措施，其中就包括对涉农资金整合、审批、使用、绩效评价等环节加大监督和检查力度。涉农资金管理机制较为健全。根据《韶关市2023年度绿美广东生态建设重点任务总结报告》，韶关市林业局相关业务科室、市级专家、电视台工作人员等对全市（含市本级）造林抚育等项目实施进展情况进行了实地检查，但报告中提出的问题相关单位并未给出整改意见。农业部门和水务部门大部分项目基本没有过程监管要求或相关机制，部分项目负责人会不定期抽查了解项目实施情况，但未形成书面记录，现有材料无法论证“项目实施过程有监管”。根据评分标准，指标分值4分，监管有效性扣1.5分，共扣1.5分。</w:t>
      </w:r>
    </w:p>
    <w:p>
      <w:pPr>
        <w:pStyle w:val="35"/>
        <w:ind w:firstLine="643"/>
        <w:outlineLvl w:val="1"/>
        <w:rPr>
          <w:b/>
          <w:bCs/>
        </w:rPr>
      </w:pPr>
      <w:bookmarkStart w:id="57" w:name="_Toc181896195"/>
      <w:r>
        <w:rPr>
          <w:b/>
          <w:bCs/>
        </w:rPr>
        <w:t>（三）产出</w:t>
      </w:r>
      <w:bookmarkEnd w:id="57"/>
    </w:p>
    <w:p>
      <w:pPr>
        <w:pStyle w:val="42"/>
        <w:ind w:firstLine="640"/>
      </w:pPr>
      <w:r>
        <w:t>项目产出的4项三级指标得分率如下（图2-3）：</w:t>
      </w:r>
    </w:p>
    <w:p>
      <w:pPr>
        <w:pStyle w:val="42"/>
        <w:spacing w:line="240" w:lineRule="auto"/>
        <w:ind w:firstLine="640"/>
        <w:jc w:val="center"/>
      </w:pPr>
      <w:r>
        <w:drawing>
          <wp:inline distT="0" distB="0" distL="0" distR="0">
            <wp:extent cx="4159250" cy="1684020"/>
            <wp:effectExtent l="0" t="0" r="12700" b="11430"/>
            <wp:docPr id="1816452243"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pStyle w:val="52"/>
      </w:pPr>
      <w:r>
        <w:t>图2-3 产出的4项三级指标各指标得分率</w:t>
      </w:r>
    </w:p>
    <w:p>
      <w:pPr>
        <w:pStyle w:val="35"/>
        <w:ind w:firstLine="641" w:firstLineChars="0"/>
        <w:outlineLvl w:val="2"/>
        <w:rPr>
          <w:b/>
          <w:bCs/>
        </w:rPr>
      </w:pPr>
      <w:bookmarkStart w:id="58" w:name="_Toc181896196"/>
      <w:r>
        <w:rPr>
          <w:rFonts w:hint="eastAsia"/>
          <w:b/>
          <w:bCs/>
        </w:rPr>
        <w:t>1.</w:t>
      </w:r>
      <w:r>
        <w:rPr>
          <w:b/>
          <w:bCs/>
        </w:rPr>
        <w:t>经济性</w:t>
      </w:r>
      <w:bookmarkEnd w:id="58"/>
    </w:p>
    <w:p>
      <w:pPr>
        <w:pStyle w:val="35"/>
        <w:ind w:firstLine="643" w:firstLineChars="0"/>
      </w:pPr>
      <w:r>
        <w:rPr>
          <w:rFonts w:hint="eastAsia"/>
        </w:rPr>
        <w:t>经济性包括预算控制1个三级指标。指标分值5分，评价得分5分，得分率为100%。</w:t>
      </w:r>
    </w:p>
    <w:p>
      <w:pPr>
        <w:pStyle w:val="35"/>
        <w:ind w:firstLine="643"/>
      </w:pPr>
      <w:r>
        <w:rPr>
          <w:rFonts w:hint="eastAsia"/>
          <w:b/>
          <w:bCs/>
        </w:rPr>
        <w:t>（1）预算控制。</w:t>
      </w:r>
      <w:r>
        <w:rPr>
          <w:rFonts w:hint="eastAsia"/>
        </w:rPr>
        <w:t>考虑到涉农统筹整合资金涉及多个部门，不同项目，实际操作中可能需要根据实际情况进行合理规划与调整，预算调剂可以在一定程度上提高项目管理的灵活性和适应性。同时根据《关于调整2022-2023年省级涉农项目（市本级）资金的通知》（韶财农〔2023〕101号），2023年韶关市国有九曲水林场、曲江、韶关、河口、华溪、仁化6个林场政策性森林保险省级财政保费补贴项目共373,149.48元全额收回，韶关市国有韶关林场2023年松材线虫病等有害生物预防与除治项目2023年调整安排金额共373,149.48元，故韶关市市本级涉农资金年初预算总额不变，预算得到有效控制。根据评分标准，指标分值5分，得满分。</w:t>
      </w:r>
    </w:p>
    <w:p>
      <w:pPr>
        <w:pStyle w:val="35"/>
        <w:ind w:firstLine="643"/>
        <w:outlineLvl w:val="2"/>
        <w:rPr>
          <w:rStyle w:val="36"/>
          <w:b/>
          <w:bCs/>
        </w:rPr>
      </w:pPr>
      <w:bookmarkStart w:id="59" w:name="_Toc181896197"/>
      <w:r>
        <w:rPr>
          <w:b/>
          <w:bCs/>
        </w:rPr>
        <w:t>2.</w:t>
      </w:r>
      <w:r>
        <w:rPr>
          <w:rStyle w:val="36"/>
          <w:b/>
          <w:bCs/>
        </w:rPr>
        <w:t>效率性</w:t>
      </w:r>
      <w:bookmarkEnd w:id="59"/>
    </w:p>
    <w:p>
      <w:pPr>
        <w:pStyle w:val="35"/>
        <w:ind w:firstLine="640"/>
      </w:pPr>
      <w:r>
        <w:rPr>
          <w:rStyle w:val="36"/>
          <w:rFonts w:hint="eastAsia"/>
        </w:rPr>
        <w:t>效率性</w:t>
      </w:r>
      <w:r>
        <w:rPr>
          <w:rFonts w:hint="eastAsia"/>
        </w:rPr>
        <w:t>包括完成数量、完成质量和完成进度3个三级指标。指标分值29分，评价得分26.83分，得分率为92.52%。</w:t>
      </w:r>
    </w:p>
    <w:p>
      <w:pPr>
        <w:pStyle w:val="35"/>
        <w:ind w:firstLine="643"/>
      </w:pPr>
      <w:r>
        <w:rPr>
          <w:b/>
          <w:bCs/>
        </w:rPr>
        <w:t>（1）</w:t>
      </w:r>
      <w:r>
        <w:rPr>
          <w:rFonts w:hint="eastAsia"/>
          <w:b/>
          <w:bCs/>
        </w:rPr>
        <w:t>完成数量。</w:t>
      </w:r>
      <w:r>
        <w:rPr>
          <w:rFonts w:hint="eastAsia"/>
        </w:rPr>
        <w:t>项目资金共支持农业资源管理及生产、农业质量保障及风险管理、农业技术应用及营销推广、农村人居环境改善、水利工程建设及审核评级、水利发展、林业改革发展等方向共37个项目的建设实施，其中5个项目未按时完成，具体各类别项目完成情况如下表所示。根据评分标准，指标分值19分，农业技术应用及营销推广工作完工率扣0.75分、水利工程建设及审核评级工作完工率扣0.5分、水利发展工作完成率扣0.33分、林业改革发展工作完成率扣0.2分，共扣1.78分。</w:t>
      </w:r>
    </w:p>
    <w:p>
      <w:pPr>
        <w:pStyle w:val="56"/>
        <w:keepNext/>
        <w:keepLines/>
        <w:ind w:firstLine="560"/>
        <w:jc w:val="center"/>
        <w:rPr>
          <w:rFonts w:hint="eastAsia" w:ascii="黑体" w:hAnsi="黑体" w:eastAsia="黑体"/>
          <w:sz w:val="28"/>
          <w:szCs w:val="28"/>
        </w:rPr>
      </w:pPr>
      <w:r>
        <w:rPr>
          <w:rFonts w:hint="eastAsia" w:ascii="黑体" w:hAnsi="黑体" w:eastAsia="黑体"/>
          <w:sz w:val="28"/>
          <w:szCs w:val="28"/>
        </w:rPr>
        <w:t>表2-2 各类涉农子项目标完成统计表</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1"/>
        <w:gridCol w:w="851"/>
        <w:gridCol w:w="708"/>
        <w:gridCol w:w="54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271" w:type="dxa"/>
            <w:shd w:val="clear" w:color="auto" w:fill="FEF2CC" w:themeFill="accent4" w:themeFillTint="33"/>
            <w:vAlign w:val="center"/>
          </w:tcPr>
          <w:p>
            <w:pPr>
              <w:pStyle w:val="56"/>
              <w:spacing w:line="240" w:lineRule="auto"/>
              <w:ind w:firstLine="0" w:firstLineChars="0"/>
              <w:jc w:val="center"/>
              <w:rPr>
                <w:rFonts w:ascii="仿宋_GB2312"/>
                <w:b/>
                <w:bCs w:val="0"/>
                <w:sz w:val="24"/>
                <w:szCs w:val="24"/>
              </w:rPr>
            </w:pPr>
            <w:r>
              <w:rPr>
                <w:rFonts w:hint="eastAsia" w:ascii="仿宋_GB2312"/>
                <w:b/>
                <w:bCs w:val="0"/>
                <w:sz w:val="24"/>
                <w:szCs w:val="24"/>
              </w:rPr>
              <w:t>项目类别</w:t>
            </w:r>
          </w:p>
        </w:tc>
        <w:tc>
          <w:tcPr>
            <w:tcW w:w="851" w:type="dxa"/>
            <w:shd w:val="clear" w:color="auto" w:fill="FEF2CC" w:themeFill="accent4" w:themeFillTint="33"/>
            <w:vAlign w:val="center"/>
          </w:tcPr>
          <w:p>
            <w:pPr>
              <w:pStyle w:val="56"/>
              <w:spacing w:line="240" w:lineRule="auto"/>
              <w:ind w:firstLine="0" w:firstLineChars="0"/>
              <w:jc w:val="center"/>
              <w:rPr>
                <w:rFonts w:ascii="仿宋_GB2312"/>
                <w:b/>
                <w:bCs w:val="0"/>
                <w:sz w:val="24"/>
                <w:szCs w:val="24"/>
              </w:rPr>
            </w:pPr>
            <w:r>
              <w:rPr>
                <w:rFonts w:hint="eastAsia" w:ascii="仿宋_GB2312"/>
                <w:b/>
                <w:bCs w:val="0"/>
                <w:sz w:val="24"/>
                <w:szCs w:val="24"/>
              </w:rPr>
              <w:t>涉及项目个数</w:t>
            </w:r>
            <w:r>
              <w:rPr>
                <w:rStyle w:val="22"/>
                <w:rFonts w:ascii="仿宋_GB2312"/>
                <w:b/>
                <w:bCs w:val="0"/>
                <w:sz w:val="24"/>
                <w:szCs w:val="24"/>
              </w:rPr>
              <w:footnoteReference w:id="3"/>
            </w:r>
          </w:p>
        </w:tc>
        <w:tc>
          <w:tcPr>
            <w:tcW w:w="708" w:type="dxa"/>
            <w:shd w:val="clear" w:color="auto" w:fill="FEF2CC" w:themeFill="accent4" w:themeFillTint="33"/>
            <w:vAlign w:val="center"/>
          </w:tcPr>
          <w:p>
            <w:pPr>
              <w:pStyle w:val="56"/>
              <w:spacing w:line="240" w:lineRule="auto"/>
              <w:ind w:firstLine="0" w:firstLineChars="0"/>
              <w:jc w:val="center"/>
              <w:rPr>
                <w:rFonts w:ascii="仿宋_GB2312"/>
                <w:b/>
                <w:bCs w:val="0"/>
                <w:sz w:val="24"/>
                <w:szCs w:val="24"/>
              </w:rPr>
            </w:pPr>
            <w:r>
              <w:rPr>
                <w:rFonts w:hint="eastAsia" w:ascii="仿宋_GB2312"/>
                <w:b/>
                <w:bCs w:val="0"/>
                <w:sz w:val="24"/>
                <w:szCs w:val="24"/>
              </w:rPr>
              <w:t>完成项目个数</w:t>
            </w:r>
          </w:p>
        </w:tc>
        <w:tc>
          <w:tcPr>
            <w:tcW w:w="5466" w:type="dxa"/>
            <w:shd w:val="clear" w:color="auto" w:fill="FEF2CC" w:themeFill="accent4" w:themeFillTint="33"/>
            <w:vAlign w:val="center"/>
          </w:tcPr>
          <w:p>
            <w:pPr>
              <w:pStyle w:val="56"/>
              <w:spacing w:line="240" w:lineRule="auto"/>
              <w:ind w:firstLine="0" w:firstLineChars="0"/>
              <w:jc w:val="center"/>
              <w:rPr>
                <w:rFonts w:ascii="仿宋_GB2312"/>
                <w:b/>
                <w:bCs w:val="0"/>
                <w:sz w:val="24"/>
                <w:szCs w:val="24"/>
              </w:rPr>
            </w:pPr>
            <w:r>
              <w:rPr>
                <w:rFonts w:hint="eastAsia" w:ascii="仿宋_GB2312"/>
                <w:b/>
                <w:bCs w:val="0"/>
                <w:sz w:val="24"/>
                <w:szCs w:val="24"/>
              </w:rPr>
              <w:t>未完成情况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pStyle w:val="56"/>
              <w:spacing w:line="240" w:lineRule="auto"/>
              <w:ind w:firstLine="0" w:firstLineChars="0"/>
              <w:jc w:val="center"/>
              <w:rPr>
                <w:rFonts w:ascii="仿宋_GB2312"/>
                <w:sz w:val="24"/>
                <w:szCs w:val="24"/>
              </w:rPr>
            </w:pPr>
            <w:r>
              <w:rPr>
                <w:rFonts w:hint="eastAsia" w:ascii="仿宋_GB2312"/>
                <w:sz w:val="24"/>
                <w:szCs w:val="24"/>
              </w:rPr>
              <w:t>农业技术应用及营销推广工作</w:t>
            </w:r>
          </w:p>
        </w:tc>
        <w:tc>
          <w:tcPr>
            <w:tcW w:w="851" w:type="dxa"/>
            <w:vAlign w:val="center"/>
          </w:tcPr>
          <w:p>
            <w:pPr>
              <w:pStyle w:val="56"/>
              <w:spacing w:line="240" w:lineRule="auto"/>
              <w:ind w:firstLine="0" w:firstLineChars="0"/>
              <w:jc w:val="center"/>
              <w:rPr>
                <w:sz w:val="24"/>
                <w:szCs w:val="24"/>
              </w:rPr>
            </w:pPr>
            <w:r>
              <w:rPr>
                <w:rFonts w:hint="eastAsia"/>
                <w:sz w:val="24"/>
                <w:szCs w:val="24"/>
              </w:rPr>
              <w:t>5</w:t>
            </w:r>
          </w:p>
        </w:tc>
        <w:tc>
          <w:tcPr>
            <w:tcW w:w="708" w:type="dxa"/>
            <w:vAlign w:val="center"/>
          </w:tcPr>
          <w:p>
            <w:pPr>
              <w:pStyle w:val="56"/>
              <w:spacing w:line="240" w:lineRule="auto"/>
              <w:ind w:firstLine="0" w:firstLineChars="0"/>
              <w:jc w:val="center"/>
              <w:rPr>
                <w:sz w:val="24"/>
                <w:szCs w:val="24"/>
              </w:rPr>
            </w:pPr>
            <w:r>
              <w:rPr>
                <w:rFonts w:hint="eastAsia"/>
                <w:sz w:val="24"/>
                <w:szCs w:val="24"/>
              </w:rPr>
              <w:t>3</w:t>
            </w:r>
          </w:p>
        </w:tc>
        <w:tc>
          <w:tcPr>
            <w:tcW w:w="5466" w:type="dxa"/>
            <w:vAlign w:val="center"/>
          </w:tcPr>
          <w:p>
            <w:pPr>
              <w:pStyle w:val="56"/>
              <w:spacing w:line="240" w:lineRule="auto"/>
              <w:ind w:firstLine="0" w:firstLineChars="0"/>
              <w:rPr>
                <w:sz w:val="24"/>
                <w:szCs w:val="24"/>
              </w:rPr>
            </w:pPr>
            <w:r>
              <w:rPr>
                <w:rFonts w:hint="eastAsia"/>
                <w:sz w:val="24"/>
                <w:szCs w:val="24"/>
              </w:rPr>
              <w:t>农产品营销工作：</w:t>
            </w:r>
          </w:p>
          <w:p>
            <w:pPr>
              <w:pStyle w:val="56"/>
              <w:spacing w:line="240" w:lineRule="auto"/>
              <w:ind w:firstLine="0" w:firstLineChars="0"/>
              <w:rPr>
                <w:sz w:val="24"/>
                <w:szCs w:val="24"/>
              </w:rPr>
            </w:pPr>
            <w:r>
              <w:rPr>
                <w:rFonts w:hint="eastAsia"/>
                <w:sz w:val="24"/>
                <w:szCs w:val="24"/>
              </w:rPr>
              <w:t>1.韶关市创建国家农产品质量安全项目计划2023年建设韶关市农产品质量安全云展厅，截至2023年12月31日，展厅建设未完成；</w:t>
            </w:r>
          </w:p>
          <w:p>
            <w:pPr>
              <w:pStyle w:val="56"/>
              <w:spacing w:line="240" w:lineRule="auto"/>
              <w:ind w:firstLine="0" w:firstLineChars="0"/>
              <w:rPr>
                <w:sz w:val="24"/>
                <w:szCs w:val="24"/>
              </w:rPr>
            </w:pPr>
            <w:r>
              <w:rPr>
                <w:rFonts w:hint="eastAsia"/>
                <w:sz w:val="24"/>
                <w:szCs w:val="24"/>
              </w:rPr>
              <w:t>2.2023年韶关市农产品宣传营销推广项目计划于2023年12月31日前举办农产品宣传、推广、农产品产销对接等活动，实际项目于2024年5月基本完成工作，2024年6月10日项目完成结案。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pStyle w:val="56"/>
              <w:spacing w:line="240" w:lineRule="auto"/>
              <w:ind w:firstLine="0" w:firstLineChars="0"/>
              <w:jc w:val="center"/>
              <w:rPr>
                <w:rFonts w:ascii="仿宋_GB2312"/>
                <w:sz w:val="24"/>
                <w:szCs w:val="24"/>
              </w:rPr>
            </w:pPr>
            <w:r>
              <w:rPr>
                <w:rFonts w:hint="eastAsia" w:ascii="仿宋_GB2312"/>
                <w:sz w:val="24"/>
                <w:szCs w:val="24"/>
              </w:rPr>
              <w:t>农村人居环境改善工作</w:t>
            </w:r>
          </w:p>
        </w:tc>
        <w:tc>
          <w:tcPr>
            <w:tcW w:w="851" w:type="dxa"/>
            <w:vAlign w:val="center"/>
          </w:tcPr>
          <w:p>
            <w:pPr>
              <w:pStyle w:val="56"/>
              <w:spacing w:line="240" w:lineRule="auto"/>
              <w:ind w:firstLine="0" w:firstLineChars="0"/>
              <w:jc w:val="center"/>
              <w:rPr>
                <w:sz w:val="24"/>
                <w:szCs w:val="24"/>
              </w:rPr>
            </w:pPr>
            <w:r>
              <w:rPr>
                <w:rFonts w:hint="eastAsia"/>
                <w:sz w:val="24"/>
                <w:szCs w:val="24"/>
              </w:rPr>
              <w:t>2</w:t>
            </w:r>
          </w:p>
        </w:tc>
        <w:tc>
          <w:tcPr>
            <w:tcW w:w="708" w:type="dxa"/>
            <w:vAlign w:val="center"/>
          </w:tcPr>
          <w:p>
            <w:pPr>
              <w:pStyle w:val="56"/>
              <w:spacing w:line="240" w:lineRule="auto"/>
              <w:ind w:firstLine="0" w:firstLineChars="0"/>
              <w:jc w:val="center"/>
              <w:rPr>
                <w:sz w:val="24"/>
                <w:szCs w:val="24"/>
              </w:rPr>
            </w:pPr>
            <w:r>
              <w:rPr>
                <w:rFonts w:hint="eastAsia"/>
                <w:sz w:val="24"/>
                <w:szCs w:val="24"/>
              </w:rPr>
              <w:t>2</w:t>
            </w:r>
          </w:p>
        </w:tc>
        <w:tc>
          <w:tcPr>
            <w:tcW w:w="5466" w:type="dxa"/>
            <w:vAlign w:val="center"/>
          </w:tcPr>
          <w:p>
            <w:pPr>
              <w:pStyle w:val="56"/>
              <w:spacing w:line="240" w:lineRule="auto"/>
              <w:ind w:firstLine="0" w:firstLineChars="0"/>
              <w:jc w:val="center"/>
              <w:rPr>
                <w:sz w:val="24"/>
                <w:szCs w:val="24"/>
              </w:rPr>
            </w:pPr>
            <w:r>
              <w:rPr>
                <w:rFonts w:hint="eastAsia"/>
                <w:sz w:val="24"/>
                <w:szCs w:val="24"/>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271" w:type="dxa"/>
            <w:vAlign w:val="center"/>
          </w:tcPr>
          <w:p>
            <w:pPr>
              <w:pStyle w:val="56"/>
              <w:spacing w:line="240" w:lineRule="auto"/>
              <w:ind w:firstLine="0" w:firstLineChars="0"/>
              <w:jc w:val="center"/>
              <w:rPr>
                <w:rFonts w:ascii="仿宋_GB2312"/>
                <w:sz w:val="24"/>
                <w:szCs w:val="24"/>
              </w:rPr>
            </w:pPr>
            <w:r>
              <w:rPr>
                <w:rFonts w:hint="eastAsia" w:ascii="仿宋_GB2312"/>
                <w:sz w:val="24"/>
                <w:szCs w:val="24"/>
              </w:rPr>
              <w:t>水利工程建设及审核评级工作</w:t>
            </w:r>
          </w:p>
        </w:tc>
        <w:tc>
          <w:tcPr>
            <w:tcW w:w="851" w:type="dxa"/>
            <w:vAlign w:val="center"/>
          </w:tcPr>
          <w:p>
            <w:pPr>
              <w:pStyle w:val="56"/>
              <w:spacing w:line="240" w:lineRule="auto"/>
              <w:ind w:firstLine="0" w:firstLineChars="0"/>
              <w:jc w:val="center"/>
              <w:rPr>
                <w:sz w:val="24"/>
                <w:szCs w:val="24"/>
              </w:rPr>
            </w:pPr>
            <w:r>
              <w:rPr>
                <w:rFonts w:hint="eastAsia"/>
                <w:sz w:val="24"/>
                <w:szCs w:val="24"/>
              </w:rPr>
              <w:t>8</w:t>
            </w:r>
          </w:p>
        </w:tc>
        <w:tc>
          <w:tcPr>
            <w:tcW w:w="708" w:type="dxa"/>
            <w:vAlign w:val="center"/>
          </w:tcPr>
          <w:p>
            <w:pPr>
              <w:pStyle w:val="56"/>
              <w:spacing w:line="240" w:lineRule="auto"/>
              <w:ind w:firstLine="0" w:firstLineChars="0"/>
              <w:jc w:val="center"/>
              <w:rPr>
                <w:sz w:val="24"/>
                <w:szCs w:val="24"/>
              </w:rPr>
            </w:pPr>
            <w:r>
              <w:rPr>
                <w:rFonts w:hint="eastAsia"/>
                <w:sz w:val="24"/>
                <w:szCs w:val="24"/>
              </w:rPr>
              <w:t>7</w:t>
            </w:r>
          </w:p>
        </w:tc>
        <w:tc>
          <w:tcPr>
            <w:tcW w:w="5466" w:type="dxa"/>
            <w:vAlign w:val="center"/>
          </w:tcPr>
          <w:p>
            <w:pPr>
              <w:pStyle w:val="56"/>
              <w:spacing w:line="240" w:lineRule="auto"/>
              <w:ind w:firstLine="0" w:firstLineChars="0"/>
              <w:rPr>
                <w:sz w:val="24"/>
                <w:szCs w:val="24"/>
              </w:rPr>
            </w:pPr>
            <w:r>
              <w:rPr>
                <w:rFonts w:hint="eastAsia"/>
                <w:sz w:val="24"/>
                <w:szCs w:val="24"/>
              </w:rPr>
              <w:t>智慧城市防洪信息系统建设工作：截至评价基准日，智慧城市防洪信息系统建设工作总进度52%。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pStyle w:val="56"/>
              <w:spacing w:line="240" w:lineRule="auto"/>
              <w:ind w:firstLine="0" w:firstLineChars="0"/>
              <w:jc w:val="center"/>
              <w:rPr>
                <w:rFonts w:ascii="仿宋_GB2312"/>
                <w:sz w:val="24"/>
                <w:szCs w:val="24"/>
              </w:rPr>
            </w:pPr>
            <w:r>
              <w:rPr>
                <w:rFonts w:hint="eastAsia" w:ascii="仿宋_GB2312"/>
                <w:sz w:val="24"/>
                <w:szCs w:val="24"/>
              </w:rPr>
              <w:t>水利发展工作</w:t>
            </w:r>
          </w:p>
        </w:tc>
        <w:tc>
          <w:tcPr>
            <w:tcW w:w="851" w:type="dxa"/>
            <w:vAlign w:val="center"/>
          </w:tcPr>
          <w:p>
            <w:pPr>
              <w:pStyle w:val="56"/>
              <w:spacing w:line="240" w:lineRule="auto"/>
              <w:ind w:firstLine="0" w:firstLineChars="0"/>
              <w:jc w:val="center"/>
              <w:rPr>
                <w:sz w:val="24"/>
                <w:szCs w:val="24"/>
              </w:rPr>
            </w:pPr>
            <w:r>
              <w:rPr>
                <w:rFonts w:hint="eastAsia"/>
                <w:sz w:val="24"/>
                <w:szCs w:val="24"/>
              </w:rPr>
              <w:t>6</w:t>
            </w:r>
          </w:p>
        </w:tc>
        <w:tc>
          <w:tcPr>
            <w:tcW w:w="708" w:type="dxa"/>
            <w:vAlign w:val="center"/>
          </w:tcPr>
          <w:p>
            <w:pPr>
              <w:pStyle w:val="56"/>
              <w:spacing w:line="240" w:lineRule="auto"/>
              <w:ind w:firstLine="0" w:firstLineChars="0"/>
              <w:jc w:val="center"/>
              <w:rPr>
                <w:sz w:val="24"/>
                <w:szCs w:val="24"/>
              </w:rPr>
            </w:pPr>
            <w:r>
              <w:rPr>
                <w:rFonts w:hint="eastAsia"/>
                <w:sz w:val="24"/>
                <w:szCs w:val="24"/>
              </w:rPr>
              <w:t>5</w:t>
            </w:r>
          </w:p>
        </w:tc>
        <w:tc>
          <w:tcPr>
            <w:tcW w:w="5466" w:type="dxa"/>
            <w:vAlign w:val="center"/>
          </w:tcPr>
          <w:p>
            <w:pPr>
              <w:pStyle w:val="56"/>
              <w:spacing w:line="240" w:lineRule="auto"/>
              <w:ind w:firstLine="0" w:firstLineChars="0"/>
              <w:rPr>
                <w:sz w:val="24"/>
                <w:szCs w:val="24"/>
              </w:rPr>
            </w:pPr>
            <w:r>
              <w:rPr>
                <w:rFonts w:hint="eastAsia"/>
                <w:sz w:val="24"/>
                <w:szCs w:val="24"/>
              </w:rPr>
              <w:t>水资源管理制度修编工作：2023年实行最严格水资源管理制度补短板项目计划完成《韶关市县级以上应急备用水源地规划》和《韶关市主要跨县级河流水量分配方案》编制印发工作。截至评价基准日，两份报告未完成印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1" w:type="dxa"/>
            <w:vAlign w:val="center"/>
          </w:tcPr>
          <w:p>
            <w:pPr>
              <w:pStyle w:val="56"/>
              <w:spacing w:line="240" w:lineRule="auto"/>
              <w:ind w:firstLine="0" w:firstLineChars="0"/>
              <w:jc w:val="center"/>
              <w:rPr>
                <w:rFonts w:ascii="仿宋_GB2312"/>
                <w:sz w:val="24"/>
                <w:szCs w:val="24"/>
              </w:rPr>
            </w:pPr>
            <w:r>
              <w:rPr>
                <w:rFonts w:hint="eastAsia" w:ascii="仿宋_GB2312"/>
                <w:sz w:val="24"/>
                <w:szCs w:val="24"/>
              </w:rPr>
              <w:t>林业改革发展工作</w:t>
            </w:r>
          </w:p>
        </w:tc>
        <w:tc>
          <w:tcPr>
            <w:tcW w:w="851" w:type="dxa"/>
            <w:vAlign w:val="center"/>
          </w:tcPr>
          <w:p>
            <w:pPr>
              <w:pStyle w:val="56"/>
              <w:spacing w:line="240" w:lineRule="auto"/>
              <w:ind w:firstLine="0" w:firstLineChars="0"/>
              <w:jc w:val="center"/>
              <w:rPr>
                <w:sz w:val="24"/>
                <w:szCs w:val="24"/>
              </w:rPr>
            </w:pPr>
            <w:r>
              <w:rPr>
                <w:rFonts w:hint="eastAsia"/>
                <w:sz w:val="24"/>
                <w:szCs w:val="24"/>
              </w:rPr>
              <w:t>9</w:t>
            </w:r>
          </w:p>
        </w:tc>
        <w:tc>
          <w:tcPr>
            <w:tcW w:w="708" w:type="dxa"/>
            <w:vAlign w:val="center"/>
          </w:tcPr>
          <w:p>
            <w:pPr>
              <w:pStyle w:val="56"/>
              <w:spacing w:line="240" w:lineRule="auto"/>
              <w:ind w:firstLine="0" w:firstLineChars="0"/>
              <w:jc w:val="center"/>
              <w:rPr>
                <w:sz w:val="24"/>
                <w:szCs w:val="24"/>
              </w:rPr>
            </w:pPr>
            <w:r>
              <w:rPr>
                <w:rFonts w:hint="eastAsia"/>
                <w:sz w:val="24"/>
                <w:szCs w:val="24"/>
              </w:rPr>
              <w:t>8</w:t>
            </w:r>
          </w:p>
        </w:tc>
        <w:tc>
          <w:tcPr>
            <w:tcW w:w="5466" w:type="dxa"/>
            <w:vAlign w:val="center"/>
          </w:tcPr>
          <w:p>
            <w:pPr>
              <w:pStyle w:val="56"/>
              <w:spacing w:line="240" w:lineRule="auto"/>
              <w:ind w:firstLine="0" w:firstLineChars="0"/>
              <w:rPr>
                <w:sz w:val="24"/>
                <w:szCs w:val="24"/>
              </w:rPr>
            </w:pPr>
            <w:r>
              <w:rPr>
                <w:rFonts w:hint="eastAsia"/>
                <w:sz w:val="24"/>
                <w:szCs w:val="24"/>
              </w:rPr>
              <w:t>韶关国家森林公园绿美广东生态建设示范点建设项目计划完成森林保育4,151亩，森林步道维护3公里，支付前期费用（勘察设计费）54.45万元</w:t>
            </w:r>
            <w:r>
              <w:rPr>
                <w:rStyle w:val="22"/>
                <w:sz w:val="24"/>
                <w:szCs w:val="24"/>
              </w:rPr>
              <w:footnoteReference w:id="4"/>
            </w:r>
            <w:r>
              <w:rPr>
                <w:rFonts w:hint="eastAsia"/>
                <w:sz w:val="24"/>
                <w:szCs w:val="24"/>
              </w:rPr>
              <w:t>。截至评价基准日，实际完成森林步道773米；森林保育4151亩，标准5元/亩未完成；前期费用（勘察设计费）（实际支付36.018万元）、森林保育任务未完成。</w:t>
            </w:r>
          </w:p>
        </w:tc>
      </w:tr>
    </w:tbl>
    <w:p>
      <w:pPr>
        <w:pStyle w:val="56"/>
        <w:ind w:firstLine="640"/>
      </w:pPr>
    </w:p>
    <w:p>
      <w:pPr>
        <w:pStyle w:val="35"/>
        <w:ind w:firstLine="643"/>
      </w:pPr>
      <w:r>
        <w:rPr>
          <w:rFonts w:hint="eastAsia"/>
          <w:b/>
          <w:bCs/>
        </w:rPr>
        <w:t>（2）完成质量。</w:t>
      </w:r>
      <w:r>
        <w:t>通过项目</w:t>
      </w:r>
      <w:r>
        <w:rPr>
          <w:rFonts w:hint="eastAsia"/>
        </w:rPr>
        <w:t>的实施，农业生产发展与农村工作方面，土地产出率较上一年有所提高，农产品质量安全例行监测合格率达到99.60%，农业生产技术普及率达到100%；水利发展方面，各水利工程均验收合格，水资源管理相关报告均通过专家评审；林业改革发展方面，林业种植质量合格率达到100%，韶关市林业有害成灾率为24.18‰，低于预期目标值。根据评分标准，指标分值7分，得满分。</w:t>
      </w:r>
    </w:p>
    <w:p>
      <w:pPr>
        <w:pStyle w:val="35"/>
        <w:ind w:firstLine="643"/>
      </w:pPr>
      <w:r>
        <w:rPr>
          <w:rFonts w:hint="eastAsia"/>
          <w:b/>
          <w:bCs/>
        </w:rPr>
        <w:t>（3）完成进度。</w:t>
      </w:r>
      <w:r>
        <w:rPr>
          <w:rFonts w:hint="eastAsia"/>
        </w:rPr>
        <w:t>农业农村部门实施项目共14个，其中2个项目未及时完成，分别是2023年韶关市农产品宣传营销推广项目于2024年5月基本完成工作，韶关市创建国家农产品质量安全市项目子项目农产品质量安全云展厅项目于2024年7月进行验收；水务部门实施项目14个，其中2个项目未及时完成，分别是韶关市区智慧城市防洪信息系统建设项目实施总进度52%，2023年实行最严格水资源管理制度补短板项目报告未完成印发工作；林业部门实施项目共9个，其中除韶关国家森林公园绿美广东生态建设示范点建设项目部分工作未完成，其余项目均按时完成。根据评分标准，指标分值3分，农业子项目按时完成率扣0.39分，共扣0.39分。</w:t>
      </w:r>
    </w:p>
    <w:p>
      <w:pPr>
        <w:pStyle w:val="35"/>
        <w:ind w:firstLine="643"/>
        <w:outlineLvl w:val="1"/>
        <w:rPr>
          <w:rFonts w:hint="eastAsia" w:ascii="楷体" w:hAnsi="楷体" w:eastAsia="楷体"/>
          <w:b/>
          <w:bCs/>
        </w:rPr>
      </w:pPr>
      <w:bookmarkStart w:id="60" w:name="_Toc181896198"/>
      <w:r>
        <w:rPr>
          <w:rFonts w:ascii="楷体" w:hAnsi="楷体" w:eastAsia="楷体"/>
          <w:b/>
          <w:bCs/>
        </w:rPr>
        <w:t>（四）效益</w:t>
      </w:r>
      <w:bookmarkEnd w:id="60"/>
    </w:p>
    <w:p>
      <w:pPr>
        <w:pStyle w:val="42"/>
        <w:ind w:firstLine="640"/>
      </w:pPr>
      <w:r>
        <w:t>项目效益的5项三级指标得分率如下（图2-4）：</w:t>
      </w:r>
    </w:p>
    <w:p>
      <w:pPr>
        <w:pStyle w:val="42"/>
        <w:spacing w:line="240" w:lineRule="auto"/>
        <w:ind w:firstLine="640"/>
        <w:jc w:val="center"/>
      </w:pPr>
      <w:r>
        <w:drawing>
          <wp:inline distT="0" distB="0" distL="0" distR="0">
            <wp:extent cx="4522470" cy="1839595"/>
            <wp:effectExtent l="0" t="0" r="11430" b="8255"/>
            <wp:docPr id="94378506"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pStyle w:val="52"/>
      </w:pPr>
      <w:r>
        <w:t>图2-4 效益的5项三级指标各指标得分率</w:t>
      </w:r>
    </w:p>
    <w:p>
      <w:pPr>
        <w:pStyle w:val="35"/>
        <w:ind w:firstLine="641" w:firstLineChars="0"/>
        <w:outlineLvl w:val="2"/>
        <w:rPr>
          <w:b/>
          <w:bCs/>
        </w:rPr>
      </w:pPr>
      <w:bookmarkStart w:id="61" w:name="_Toc181896199"/>
      <w:r>
        <w:rPr>
          <w:b/>
          <w:bCs/>
        </w:rPr>
        <w:t>1.效果性</w:t>
      </w:r>
      <w:bookmarkEnd w:id="61"/>
    </w:p>
    <w:p>
      <w:pPr>
        <w:pStyle w:val="35"/>
        <w:ind w:firstLine="643" w:firstLineChars="0"/>
      </w:pPr>
      <w:r>
        <w:rPr>
          <w:rFonts w:hint="eastAsia"/>
        </w:rPr>
        <w:t>效果性包括社会效益、经济效益、生态效益、可持续影响4个三级指标。指标分值21分，评价得分17.5分，得分率为83.33%。</w:t>
      </w:r>
    </w:p>
    <w:p>
      <w:pPr>
        <w:pStyle w:val="35"/>
        <w:ind w:firstLine="643"/>
      </w:pPr>
      <w:r>
        <w:rPr>
          <w:b/>
          <w:bCs/>
        </w:rPr>
        <w:t>（1）</w:t>
      </w:r>
      <w:r>
        <w:rPr>
          <w:rFonts w:hint="eastAsia"/>
          <w:b/>
          <w:bCs/>
        </w:rPr>
        <w:t>社会效益。</w:t>
      </w:r>
      <w:r>
        <w:rPr>
          <w:rFonts w:hint="eastAsia"/>
        </w:rPr>
        <w:t>通过项目的实施，农业农村方面，农村卫生厕所普及率达到99.8%，农村人居环境得到有效改善。水利工作方面，年度供水保障率已达到100%。林业工作方面，辖区内未发生林业有害生物安全事故，但绿美广东生态建设示范点年度任务部分工作未完成。“水利工程安全运行率”、“水务工作制度完整程度”指标未提供相关佐证材料，无法全面了解项目所产生的社会效益，暂按50%的指标得分进行了扣分处理。根据评分标准，指标分值8分，水利工作社会效益扣1分、林业工作社会效益扣0.5分，共扣1.5分。</w:t>
      </w:r>
    </w:p>
    <w:p>
      <w:pPr>
        <w:pStyle w:val="35"/>
        <w:ind w:firstLine="643"/>
        <w:rPr>
          <w:b/>
          <w:bCs/>
        </w:rPr>
      </w:pPr>
      <w:r>
        <w:rPr>
          <w:rFonts w:hint="eastAsia"/>
          <w:b/>
          <w:bCs/>
        </w:rPr>
        <w:t>（2）经济效益。</w:t>
      </w:r>
      <w:r>
        <w:rPr>
          <w:rFonts w:hint="eastAsia"/>
        </w:rPr>
        <w:t>2023年韶关市农林牧渔总产值和农村居民人均可支配收入均较上一年有所增加，但未提供指标“防洪系统工作便利程度”相关佐证材料，无法完全了解项目所产生的经济效益，暂按50%的指标得分进行了扣分处理。根据评分标准，指标分值5分，风险保障能力扣0.5分，共扣0.5分。</w:t>
      </w:r>
    </w:p>
    <w:p>
      <w:pPr>
        <w:pStyle w:val="35"/>
        <w:ind w:firstLine="643"/>
      </w:pPr>
      <w:r>
        <w:rPr>
          <w:rFonts w:hint="eastAsia"/>
          <w:b/>
          <w:bCs/>
        </w:rPr>
        <w:t>（3）生态效益。</w:t>
      </w:r>
      <w:r>
        <w:rPr>
          <w:rFonts w:hint="eastAsia"/>
        </w:rPr>
        <w:t>根据《关于2023年全市农产品质量安全监管工作情况的通报》，全年没有发生重大农产品质量安全事件；结合广东省2023年动物疫病防控工作会议内容，2023年全省未发生区域性重大动物疫情；森林面积较上一年有所增长。未提供农作物重大病虫害暴发成灾次数、重大植物疫情恶性蔓延次数、2022年和2023年韶关市森林面积和水源储备能力相关数据，无法全面判断项目所产生的生态效益，暂按50%的指标得分进行了扣分处理。根据评分标准，指标分值6分，农业和林业生态效益扣1分、林业和水利生态效益扣0.5分，共扣1.5分。</w:t>
      </w:r>
    </w:p>
    <w:p>
      <w:pPr>
        <w:pStyle w:val="35"/>
        <w:ind w:firstLine="643"/>
      </w:pPr>
      <w:r>
        <w:rPr>
          <w:rFonts w:hint="eastAsia"/>
          <w:b/>
          <w:bCs/>
        </w:rPr>
        <w:t>（4）可持续影响。</w:t>
      </w:r>
      <w:r>
        <w:rPr>
          <w:rFonts w:hint="eastAsia"/>
        </w:rPr>
        <w:t>根据《关于2022年政策性农房保险工作情况的报告》，2022年参保户数为528,022户，承保率为100%，且在不增加保费的基础上进一步提高保险金额，2022年全年农房总保险金额5,808,242万元，总保费438.26万元，参保农户较之前损失程度有所下降。根据评分标准，指标分值2分，得满分。</w:t>
      </w:r>
    </w:p>
    <w:p>
      <w:pPr>
        <w:pStyle w:val="35"/>
        <w:ind w:firstLine="643"/>
        <w:outlineLvl w:val="2"/>
        <w:rPr>
          <w:b/>
          <w:bCs/>
        </w:rPr>
      </w:pPr>
      <w:bookmarkStart w:id="62" w:name="_Toc181896200"/>
      <w:r>
        <w:rPr>
          <w:b/>
          <w:bCs/>
        </w:rPr>
        <w:t>2.公平性</w:t>
      </w:r>
      <w:bookmarkEnd w:id="62"/>
    </w:p>
    <w:p>
      <w:pPr>
        <w:pStyle w:val="35"/>
        <w:ind w:firstLine="640"/>
      </w:pPr>
      <w:r>
        <w:rPr>
          <w:rFonts w:hint="eastAsia"/>
        </w:rPr>
        <w:t>公平性包括满意度1个三级指标。指标分值5分，评价得分3分，得分率为60%。</w:t>
      </w:r>
    </w:p>
    <w:p>
      <w:pPr>
        <w:pStyle w:val="35"/>
        <w:ind w:firstLine="643"/>
      </w:pPr>
      <w:r>
        <w:rPr>
          <w:rFonts w:hint="eastAsia"/>
          <w:b/>
          <w:bCs/>
        </w:rPr>
        <w:t>（1）满意度。</w:t>
      </w:r>
      <w:r>
        <w:rPr>
          <w:rFonts w:hint="eastAsia"/>
        </w:rPr>
        <w:t>结合项目满意度调查结果，大部分项目满意度均达到90%以上，但部分项目如韶关市2023年农村人居环境整治第三方评估服务项目、韶关市2023年农村厕所革命问题摸排整改第三方评估服务项目、韶关市2023年耕地分类管理采购服务项目、韶关市小型水库安全鉴定成果核查采购项目、2023年度韶关市农村水电站安全生产标准化达标评级评审项目、韶关市区智慧城市防洪信息系统建设项目、韶关市流域面积50平方公里以下河道管范围划定技术服务项目等均未提供满意度调查结果，无法判断满意度指标完成情况，暂按40%的指标得分进行了扣分处理。根据评分标准，指标分值5分，受益对象满意度扣2分，共扣2分。</w:t>
      </w:r>
    </w:p>
    <w:p>
      <w:pPr>
        <w:pStyle w:val="35"/>
        <w:ind w:firstLine="643"/>
        <w:outlineLvl w:val="0"/>
        <w:rPr>
          <w:rFonts w:hint="eastAsia" w:ascii="黑体" w:hAnsi="黑体" w:eastAsia="黑体"/>
          <w:b/>
          <w:bCs/>
        </w:rPr>
      </w:pPr>
      <w:bookmarkStart w:id="63" w:name="_Toc181896201"/>
      <w:r>
        <w:rPr>
          <w:rFonts w:ascii="黑体" w:hAnsi="黑体" w:eastAsia="黑体"/>
          <w:b/>
          <w:bCs/>
        </w:rPr>
        <w:t>三、评价结论</w:t>
      </w:r>
      <w:bookmarkEnd w:id="63"/>
    </w:p>
    <w:p>
      <w:pPr>
        <w:pStyle w:val="35"/>
        <w:ind w:firstLine="640"/>
      </w:pPr>
      <w:r>
        <w:t>经综合评定，</w:t>
      </w:r>
      <w:r>
        <w:rPr>
          <w:rFonts w:hint="eastAsia"/>
        </w:rPr>
        <w:t>韶关市本级2023年省级涉农统筹整合转移支付项目</w:t>
      </w:r>
      <w:r>
        <w:t>绩效评价综合得分</w:t>
      </w:r>
      <w:r>
        <w:rPr>
          <w:rFonts w:hint="eastAsia"/>
        </w:rPr>
        <w:t>82.69</w:t>
      </w:r>
      <w:r>
        <w:t>分，等级为“</w:t>
      </w:r>
      <w:r>
        <w:rPr>
          <w:rFonts w:hint="eastAsia"/>
        </w:rPr>
        <w:t>良</w:t>
      </w:r>
      <w:r>
        <w:t>”。项目立项依据充分，基本完成了2023年</w:t>
      </w:r>
      <w:r>
        <w:rPr>
          <w:rFonts w:hint="eastAsia"/>
        </w:rPr>
        <w:t>韶关市本级考核任务要求以及各涉农子项的实施，</w:t>
      </w:r>
      <w:r>
        <w:t>项目整体效益良好。但在绩效目标管理、</w:t>
      </w:r>
      <w:r>
        <w:rPr>
          <w:rFonts w:hint="eastAsia"/>
        </w:rPr>
        <w:t>资金分配、项目实施程序</w:t>
      </w:r>
      <w:r>
        <w:t>、项目</w:t>
      </w:r>
      <w:r>
        <w:rPr>
          <w:rFonts w:hint="eastAsia"/>
        </w:rPr>
        <w:t>过程监管</w:t>
      </w:r>
      <w:r>
        <w:t>等方面存在不足。具体指标得分如下表所示。</w:t>
      </w:r>
    </w:p>
    <w:p>
      <w:pPr>
        <w:pStyle w:val="52"/>
      </w:pPr>
      <w:r>
        <w:rPr>
          <w:rFonts w:ascii="黑体" w:hAnsi="黑体"/>
        </w:rPr>
        <w:t>表</w:t>
      </w:r>
      <w:r>
        <w:t>3-1 2023</w:t>
      </w:r>
      <w:r>
        <w:rPr>
          <w:rFonts w:ascii="黑体" w:hAnsi="黑体"/>
        </w:rPr>
        <w:t>年项目支出绩效评价指标得分情况</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42"/>
        <w:gridCol w:w="2330"/>
        <w:gridCol w:w="2330"/>
        <w:gridCol w:w="2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1022" w:type="pct"/>
            <w:tcBorders>
              <w:top w:val="single" w:color="auto" w:sz="4" w:space="0"/>
              <w:left w:val="single" w:color="auto" w:sz="4" w:space="0"/>
              <w:bottom w:val="single" w:color="auto" w:sz="4" w:space="0"/>
              <w:right w:val="single" w:color="auto" w:sz="4" w:space="0"/>
            </w:tcBorders>
            <w:shd w:val="clear" w:color="auto" w:fill="FEF2CC"/>
            <w:vAlign w:val="center"/>
          </w:tcPr>
          <w:p>
            <w:pPr>
              <w:widowControl/>
              <w:jc w:val="center"/>
              <w:rPr>
                <w:b/>
                <w:bCs/>
                <w:kern w:val="0"/>
              </w:rPr>
            </w:pPr>
            <w:r>
              <w:rPr>
                <w:rFonts w:hint="eastAsia" w:ascii="仿宋_GB2312"/>
                <w:b/>
                <w:bCs/>
                <w:kern w:val="0"/>
              </w:rPr>
              <w:t>一级指标</w:t>
            </w:r>
          </w:p>
        </w:tc>
        <w:tc>
          <w:tcPr>
            <w:tcW w:w="1367" w:type="pct"/>
            <w:tcBorders>
              <w:top w:val="single" w:color="auto" w:sz="4" w:space="0"/>
              <w:left w:val="single" w:color="auto" w:sz="4" w:space="0"/>
              <w:bottom w:val="single" w:color="auto" w:sz="4" w:space="0"/>
              <w:right w:val="single" w:color="auto" w:sz="4" w:space="0"/>
            </w:tcBorders>
            <w:shd w:val="clear" w:color="auto" w:fill="FEF2CC"/>
            <w:vAlign w:val="center"/>
          </w:tcPr>
          <w:p>
            <w:pPr>
              <w:widowControl/>
              <w:jc w:val="center"/>
              <w:rPr>
                <w:b/>
                <w:bCs/>
                <w:kern w:val="0"/>
              </w:rPr>
            </w:pPr>
            <w:r>
              <w:rPr>
                <w:rFonts w:hint="eastAsia" w:ascii="仿宋_GB2312"/>
                <w:b/>
                <w:bCs/>
                <w:kern w:val="0"/>
              </w:rPr>
              <w:t>权分</w:t>
            </w:r>
          </w:p>
        </w:tc>
        <w:tc>
          <w:tcPr>
            <w:tcW w:w="1367" w:type="pct"/>
            <w:tcBorders>
              <w:top w:val="single" w:color="auto" w:sz="4" w:space="0"/>
              <w:left w:val="single" w:color="auto" w:sz="4" w:space="0"/>
              <w:bottom w:val="single" w:color="auto" w:sz="4" w:space="0"/>
              <w:right w:val="single" w:color="auto" w:sz="4" w:space="0"/>
            </w:tcBorders>
            <w:shd w:val="clear" w:color="auto" w:fill="FEF2CC"/>
            <w:vAlign w:val="center"/>
          </w:tcPr>
          <w:p>
            <w:pPr>
              <w:widowControl/>
              <w:jc w:val="center"/>
              <w:rPr>
                <w:b/>
                <w:bCs/>
                <w:kern w:val="0"/>
              </w:rPr>
            </w:pPr>
            <w:r>
              <w:rPr>
                <w:rFonts w:hint="eastAsia" w:ascii="仿宋_GB2312"/>
                <w:b/>
                <w:bCs/>
              </w:rPr>
              <w:t>得分</w:t>
            </w:r>
          </w:p>
        </w:tc>
        <w:tc>
          <w:tcPr>
            <w:tcW w:w="1244" w:type="pct"/>
            <w:tcBorders>
              <w:top w:val="single" w:color="auto" w:sz="4" w:space="0"/>
              <w:left w:val="single" w:color="auto" w:sz="4" w:space="0"/>
              <w:bottom w:val="single" w:color="auto" w:sz="4" w:space="0"/>
              <w:right w:val="single" w:color="auto" w:sz="4" w:space="0"/>
            </w:tcBorders>
            <w:shd w:val="clear" w:color="auto" w:fill="FEF2CC"/>
            <w:vAlign w:val="center"/>
          </w:tcPr>
          <w:p>
            <w:pPr>
              <w:widowControl/>
              <w:jc w:val="center"/>
              <w:rPr>
                <w:b/>
                <w:bCs/>
                <w:kern w:val="0"/>
              </w:rPr>
            </w:pPr>
            <w:r>
              <w:rPr>
                <w:rFonts w:hint="eastAsia" w:ascii="仿宋_GB2312"/>
                <w:b/>
                <w:bCs/>
              </w:rPr>
              <w:t>得分率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tcBorders>
              <w:top w:val="single" w:color="auto" w:sz="4" w:space="0"/>
              <w:left w:val="single" w:color="auto" w:sz="4" w:space="0"/>
              <w:bottom w:val="single" w:color="auto" w:sz="4" w:space="0"/>
              <w:right w:val="single" w:color="auto" w:sz="4" w:space="0"/>
            </w:tcBorders>
            <w:vAlign w:val="center"/>
          </w:tcPr>
          <w:p>
            <w:pPr>
              <w:widowControl/>
              <w:jc w:val="center"/>
              <w:rPr>
                <w:b/>
                <w:bCs/>
                <w:kern w:val="0"/>
              </w:rPr>
            </w:pPr>
            <w:r>
              <w:rPr>
                <w:rFonts w:hint="eastAsia" w:ascii="仿宋_GB2312"/>
              </w:rPr>
              <w:t>投入</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rPr>
                <w:b/>
                <w:bCs/>
                <w:kern w:val="0"/>
              </w:rPr>
            </w:pPr>
            <w:r>
              <w:t>20.00</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rPr>
                <w:b/>
                <w:bCs/>
                <w:kern w:val="0"/>
              </w:rPr>
            </w:pPr>
            <w:r>
              <w:t>1</w:t>
            </w:r>
            <w:r>
              <w:rPr>
                <w:rFonts w:hint="eastAsia"/>
              </w:rPr>
              <w:t>5.00</w:t>
            </w:r>
          </w:p>
        </w:tc>
        <w:tc>
          <w:tcPr>
            <w:tcW w:w="1244" w:type="pct"/>
            <w:tcBorders>
              <w:top w:val="single" w:color="auto" w:sz="4" w:space="0"/>
              <w:left w:val="single" w:color="auto" w:sz="4" w:space="0"/>
              <w:bottom w:val="single" w:color="auto" w:sz="4" w:space="0"/>
              <w:right w:val="single" w:color="auto" w:sz="4" w:space="0"/>
            </w:tcBorders>
            <w:vAlign w:val="center"/>
          </w:tcPr>
          <w:p>
            <w:pPr>
              <w:widowControl/>
              <w:jc w:val="center"/>
              <w:rPr>
                <w:kern w:val="0"/>
              </w:rPr>
            </w:pPr>
            <w:r>
              <w:rPr>
                <w:rFonts w:hint="eastAsia"/>
              </w:rPr>
              <w:t>75.00</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ascii="仿宋_GB2312"/>
              </w:rPr>
              <w:t>过程</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pPr>
            <w:r>
              <w:t>20.00</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rPr>
              <w:t>15.36</w:t>
            </w:r>
          </w:p>
        </w:tc>
        <w:tc>
          <w:tcPr>
            <w:tcW w:w="1244" w:type="pct"/>
            <w:tcBorders>
              <w:top w:val="single" w:color="auto" w:sz="4" w:space="0"/>
              <w:left w:val="single" w:color="auto" w:sz="4" w:space="0"/>
              <w:bottom w:val="single" w:color="auto" w:sz="4" w:space="0"/>
              <w:right w:val="single" w:color="auto" w:sz="4" w:space="0"/>
            </w:tcBorders>
            <w:vAlign w:val="center"/>
          </w:tcPr>
          <w:p>
            <w:pPr>
              <w:widowControl/>
              <w:jc w:val="center"/>
              <w:rPr>
                <w:kern w:val="0"/>
              </w:rPr>
            </w:pPr>
            <w:r>
              <w:rPr>
                <w:rFonts w:hint="eastAsia"/>
              </w:rPr>
              <w:t>76.80</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ascii="仿宋_GB2312"/>
              </w:rPr>
              <w:t>产出</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rPr>
              <w:t>34</w:t>
            </w:r>
            <w:r>
              <w:t>.00</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rPr>
              <w:t>31.83</w:t>
            </w:r>
          </w:p>
        </w:tc>
        <w:tc>
          <w:tcPr>
            <w:tcW w:w="1244"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rPr>
              <w:t>93.62</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ascii="仿宋_GB2312"/>
              </w:rPr>
              <w:t>效益</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rPr>
              <w:t>26</w:t>
            </w:r>
            <w:r>
              <w:t>.00</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rPr>
              <w:t>20.50</w:t>
            </w:r>
          </w:p>
        </w:tc>
        <w:tc>
          <w:tcPr>
            <w:tcW w:w="1244" w:type="pct"/>
            <w:tcBorders>
              <w:top w:val="single" w:color="auto" w:sz="4" w:space="0"/>
              <w:left w:val="single" w:color="auto" w:sz="4" w:space="0"/>
              <w:bottom w:val="single" w:color="auto" w:sz="4" w:space="0"/>
              <w:right w:val="single" w:color="auto" w:sz="4" w:space="0"/>
            </w:tcBorders>
            <w:vAlign w:val="center"/>
          </w:tcPr>
          <w:p>
            <w:pPr>
              <w:widowControl/>
              <w:jc w:val="center"/>
            </w:pPr>
            <w:r>
              <w:rPr>
                <w:rFonts w:hint="eastAsia"/>
              </w:rPr>
              <w:t>78.85</w:t>
            </w:r>
            <w: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022" w:type="pct"/>
            <w:tcBorders>
              <w:top w:val="single" w:color="auto" w:sz="4" w:space="0"/>
              <w:left w:val="single" w:color="auto" w:sz="4" w:space="0"/>
              <w:bottom w:val="single" w:color="auto" w:sz="4" w:space="0"/>
              <w:right w:val="single" w:color="auto" w:sz="4" w:space="0"/>
            </w:tcBorders>
            <w:vAlign w:val="center"/>
          </w:tcPr>
          <w:p>
            <w:pPr>
              <w:widowControl/>
              <w:jc w:val="center"/>
              <w:rPr>
                <w:b/>
                <w:bCs/>
              </w:rPr>
            </w:pPr>
            <w:r>
              <w:rPr>
                <w:rFonts w:hint="eastAsia" w:ascii="仿宋_GB2312"/>
                <w:b/>
                <w:bCs/>
              </w:rPr>
              <w:t>合计</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rPr>
                <w:b/>
                <w:bCs/>
              </w:rPr>
            </w:pPr>
            <w:r>
              <w:rPr>
                <w:rFonts w:hint="eastAsia"/>
                <w:b/>
                <w:bCs/>
              </w:rPr>
              <w:t>1</w:t>
            </w:r>
            <w:r>
              <w:rPr>
                <w:b/>
                <w:bCs/>
              </w:rPr>
              <w:t>00.00</w:t>
            </w:r>
          </w:p>
        </w:tc>
        <w:tc>
          <w:tcPr>
            <w:tcW w:w="1367" w:type="pct"/>
            <w:tcBorders>
              <w:top w:val="single" w:color="auto" w:sz="4" w:space="0"/>
              <w:left w:val="single" w:color="auto" w:sz="4" w:space="0"/>
              <w:bottom w:val="single" w:color="auto" w:sz="4" w:space="0"/>
              <w:right w:val="single" w:color="auto" w:sz="4" w:space="0"/>
            </w:tcBorders>
            <w:vAlign w:val="center"/>
          </w:tcPr>
          <w:p>
            <w:pPr>
              <w:widowControl/>
              <w:jc w:val="center"/>
              <w:rPr>
                <w:b/>
                <w:bCs/>
              </w:rPr>
            </w:pPr>
            <w:r>
              <w:rPr>
                <w:rFonts w:hint="eastAsia"/>
                <w:b/>
                <w:bCs/>
              </w:rPr>
              <w:t>82.69</w:t>
            </w:r>
          </w:p>
        </w:tc>
        <w:tc>
          <w:tcPr>
            <w:tcW w:w="1244" w:type="pct"/>
            <w:tcBorders>
              <w:top w:val="single" w:color="auto" w:sz="4" w:space="0"/>
              <w:left w:val="single" w:color="auto" w:sz="4" w:space="0"/>
              <w:bottom w:val="single" w:color="auto" w:sz="4" w:space="0"/>
              <w:right w:val="single" w:color="auto" w:sz="4" w:space="0"/>
            </w:tcBorders>
            <w:vAlign w:val="center"/>
          </w:tcPr>
          <w:p>
            <w:pPr>
              <w:widowControl/>
              <w:jc w:val="center"/>
              <w:rPr>
                <w:b/>
                <w:bCs/>
              </w:rPr>
            </w:pPr>
            <w:r>
              <w:rPr>
                <w:rFonts w:hint="eastAsia"/>
                <w:b/>
                <w:bCs/>
              </w:rPr>
              <w:t>82.69</w:t>
            </w:r>
            <w:r>
              <w:rPr>
                <w:b/>
                <w:bCs/>
              </w:rPr>
              <w:t>%</w:t>
            </w:r>
          </w:p>
        </w:tc>
      </w:tr>
    </w:tbl>
    <w:p>
      <w:pPr>
        <w:pStyle w:val="37"/>
        <w:ind w:left="0" w:leftChars="0" w:firstLine="643" w:firstLineChars="200"/>
      </w:pPr>
      <w:bookmarkStart w:id="64" w:name="_Toc181896202"/>
      <w:r>
        <w:t>四、主要绩效</w:t>
      </w:r>
      <w:bookmarkEnd w:id="64"/>
    </w:p>
    <w:p>
      <w:pPr>
        <w:pStyle w:val="38"/>
        <w:ind w:firstLine="643"/>
        <w:rPr>
          <w:rFonts w:ascii="Times New Roman" w:hAnsi="Times New Roman"/>
        </w:rPr>
      </w:pPr>
      <w:bookmarkStart w:id="65" w:name="_Toc181896203"/>
      <w:r>
        <w:rPr>
          <w:rFonts w:ascii="Times New Roman" w:hAnsi="Times New Roman"/>
        </w:rPr>
        <w:t>（一）</w:t>
      </w:r>
      <w:r>
        <w:rPr>
          <w:rFonts w:hint="eastAsia" w:ascii="Times New Roman" w:hAnsi="Times New Roman"/>
        </w:rPr>
        <w:t>农业生产增效提质，人居整治巩固提升</w:t>
      </w:r>
      <w:bookmarkEnd w:id="65"/>
    </w:p>
    <w:p>
      <w:pPr>
        <w:pStyle w:val="56"/>
        <w:ind w:firstLine="640"/>
      </w:pPr>
      <w:r>
        <w:rPr>
          <w:rFonts w:hint="eastAsia"/>
        </w:rPr>
        <w:t>农业农村方面，2023年前三季度，农业产值达到149.71亿元，同比增长4.8%。</w:t>
      </w:r>
      <w:r>
        <w:t>农作物播种面积超395万亩，同比增长4%</w:t>
      </w:r>
      <w:r>
        <w:rPr>
          <w:rStyle w:val="22"/>
        </w:rPr>
        <w:footnoteReference w:id="5"/>
      </w:r>
      <w:r>
        <w:rPr>
          <w:rFonts w:hint="eastAsia"/>
        </w:rPr>
        <w:t>。通过推广先进的农业技术、进行农产品质量安全监督抽查，显著提高了农业生产效率和产品质量，农产品的销售渠道大大拓宽，2023年韶关市全年新增全国名特优新农产品14个，累计77个、排名全省第一；新增“粤字号”农业品牌27个，累计226个、排名全省第二；新增“三品一标”农产品53个</w:t>
      </w:r>
      <w:r>
        <w:rPr>
          <w:rStyle w:val="22"/>
        </w:rPr>
        <w:footnoteReference w:id="6"/>
      </w:r>
      <w:r>
        <w:rPr>
          <w:rFonts w:hint="eastAsia"/>
        </w:rPr>
        <w:t>。此外，</w:t>
      </w:r>
      <w:bookmarkStart w:id="66" w:name="_Toc181896204"/>
      <w:r>
        <w:t>农村人居环境整治巩固了三年行动成果，促进了宜居宜业乡村建设。</w:t>
      </w:r>
    </w:p>
    <w:p>
      <w:pPr>
        <w:pStyle w:val="38"/>
        <w:ind w:firstLine="643"/>
        <w:rPr>
          <w:rFonts w:ascii="Times New Roman" w:hAnsi="Times New Roman"/>
        </w:rPr>
      </w:pPr>
      <w:r>
        <w:rPr>
          <w:rFonts w:ascii="Times New Roman" w:hAnsi="Times New Roman"/>
        </w:rPr>
        <w:t>（</w:t>
      </w:r>
      <w:r>
        <w:rPr>
          <w:rFonts w:hint="eastAsia" w:ascii="Times New Roman" w:hAnsi="Times New Roman"/>
        </w:rPr>
        <w:t>二</w:t>
      </w:r>
      <w:r>
        <w:rPr>
          <w:rFonts w:ascii="Times New Roman" w:hAnsi="Times New Roman"/>
        </w:rPr>
        <w:t>）</w:t>
      </w:r>
      <w:r>
        <w:rPr>
          <w:rFonts w:hint="eastAsia" w:ascii="Times New Roman" w:hAnsi="Times New Roman"/>
        </w:rPr>
        <w:t>造林抚育优化生态</w:t>
      </w:r>
      <w:r>
        <w:rPr>
          <w:rFonts w:ascii="Times New Roman" w:hAnsi="Times New Roman"/>
        </w:rPr>
        <w:t>，</w:t>
      </w:r>
      <w:r>
        <w:rPr>
          <w:rFonts w:hint="eastAsia" w:ascii="Times New Roman" w:hAnsi="Times New Roman"/>
        </w:rPr>
        <w:t>绿美韶关持续推进</w:t>
      </w:r>
      <w:bookmarkEnd w:id="66"/>
    </w:p>
    <w:p>
      <w:pPr>
        <w:pStyle w:val="56"/>
        <w:ind w:firstLine="640"/>
      </w:pPr>
      <w:r>
        <w:t>林业方面，2023年韶关市</w:t>
      </w:r>
      <w:r>
        <w:rPr>
          <w:rFonts w:hint="eastAsia"/>
        </w:rPr>
        <w:t>林业产值269.53亿元，同比增长10.04%，</w:t>
      </w:r>
      <w:r>
        <w:t>完成森林质量精准提升64万亩，全市森林覆盖率达74.52%、森林蓄积量1.05亿立方米</w:t>
      </w:r>
      <w:r>
        <w:rPr>
          <w:rStyle w:val="22"/>
        </w:rPr>
        <w:footnoteReference w:id="7"/>
      </w:r>
      <w:r>
        <w:t>。韶关市通过大力推进高质量水源林建设</w:t>
      </w:r>
      <w:r>
        <w:rPr>
          <w:rFonts w:hint="eastAsia"/>
        </w:rPr>
        <w:t>和</w:t>
      </w:r>
      <w:r>
        <w:t>新造林抚育、</w:t>
      </w:r>
      <w:r>
        <w:rPr>
          <w:rFonts w:hint="eastAsia"/>
        </w:rPr>
        <w:t>义务植树</w:t>
      </w:r>
      <w:r>
        <w:t>以及打造韶关国家森林公园作为绿美广东生态建设示范点，有效增加了森林面积，提升了森林质量和生态功能，增强了森林的生态保护能力，</w:t>
      </w:r>
      <w:r>
        <w:rPr>
          <w:rFonts w:hint="eastAsia"/>
        </w:rPr>
        <w:t>还</w:t>
      </w:r>
      <w:r>
        <w:t>为当地创造了更多的就业机会和收入来源。</w:t>
      </w:r>
    </w:p>
    <w:p>
      <w:pPr>
        <w:pStyle w:val="38"/>
        <w:ind w:firstLine="643"/>
        <w:rPr>
          <w:bCs/>
        </w:rPr>
      </w:pPr>
      <w:bookmarkStart w:id="67" w:name="_Toc181896205"/>
      <w:r>
        <w:rPr>
          <w:rFonts w:ascii="Times New Roman" w:hAnsi="Times New Roman"/>
        </w:rPr>
        <w:t>（</w:t>
      </w:r>
      <w:r>
        <w:rPr>
          <w:rFonts w:hint="eastAsia" w:ascii="Times New Roman" w:hAnsi="Times New Roman"/>
        </w:rPr>
        <w:t>三</w:t>
      </w:r>
      <w:r>
        <w:rPr>
          <w:rFonts w:ascii="Times New Roman" w:hAnsi="Times New Roman"/>
        </w:rPr>
        <w:t>）</w:t>
      </w:r>
      <w:r>
        <w:rPr>
          <w:bCs/>
        </w:rPr>
        <w:t>水资源强化管</w:t>
      </w:r>
      <w:r>
        <w:rPr>
          <w:rFonts w:hint="eastAsia"/>
          <w:bCs/>
        </w:rPr>
        <w:t>控力</w:t>
      </w:r>
      <w:r>
        <w:rPr>
          <w:bCs/>
        </w:rPr>
        <w:t>，防洪体系</w:t>
      </w:r>
      <w:r>
        <w:rPr>
          <w:rFonts w:hint="eastAsia"/>
          <w:bCs/>
        </w:rPr>
        <w:t>积极构建</w:t>
      </w:r>
      <w:bookmarkEnd w:id="67"/>
    </w:p>
    <w:p>
      <w:pPr>
        <w:pStyle w:val="56"/>
        <w:ind w:firstLine="640"/>
      </w:pPr>
      <w:r>
        <w:t>水利方面，</w:t>
      </w:r>
      <w:r>
        <w:rPr>
          <w:rFonts w:hint="eastAsia"/>
        </w:rPr>
        <w:t>韶关市强力推进水利工程建设，全年完成水利投资37.6亿元，较上年增长68%</w:t>
      </w:r>
      <w:r>
        <w:rPr>
          <w:rStyle w:val="22"/>
        </w:rPr>
        <w:footnoteReference w:id="8"/>
      </w:r>
      <w:r>
        <w:rPr>
          <w:rFonts w:hint="eastAsia"/>
        </w:rPr>
        <w:t>。全市大中型水库蓄水总量13.35亿立方米，同比增长19%。2023年全市农村供水规模化率为69%，农村自来水普及率达到99.6%</w:t>
      </w:r>
      <w:r>
        <w:rPr>
          <w:rStyle w:val="22"/>
        </w:rPr>
        <w:footnoteReference w:id="9"/>
      </w:r>
      <w:r>
        <w:rPr>
          <w:rFonts w:hint="eastAsia"/>
        </w:rPr>
        <w:t>。</w:t>
      </w:r>
      <w:r>
        <w:t>韶关市</w:t>
      </w:r>
      <w:r>
        <w:rPr>
          <w:rFonts w:hint="eastAsia"/>
        </w:rPr>
        <w:t>通过</w:t>
      </w:r>
      <w:r>
        <w:t>加强水旱灾害防御体系标准化建设</w:t>
      </w:r>
      <w:r>
        <w:rPr>
          <w:rFonts w:hint="eastAsia"/>
        </w:rPr>
        <w:t>等项目</w:t>
      </w:r>
      <w:r>
        <w:t>，提升了应对突发流域性洪水的能力。水资源管理信息的编发、节水宣传以及重要饮用水源地安全保障达标建设实施方案的修编工作，</w:t>
      </w:r>
      <w:r>
        <w:rPr>
          <w:rFonts w:hint="eastAsia"/>
        </w:rPr>
        <w:t>进一步提升节水能力和节水意识，保障水源地供水安全。</w:t>
      </w:r>
    </w:p>
    <w:p>
      <w:pPr>
        <w:pStyle w:val="38"/>
        <w:ind w:firstLine="643"/>
        <w:outlineLvl w:val="0"/>
      </w:pPr>
      <w:bookmarkStart w:id="68" w:name="_Toc181896206"/>
      <w:r>
        <w:t>五、存在问题</w:t>
      </w:r>
      <w:bookmarkEnd w:id="68"/>
    </w:p>
    <w:p>
      <w:pPr>
        <w:pStyle w:val="35"/>
        <w:ind w:firstLine="643"/>
        <w:outlineLvl w:val="1"/>
        <w:rPr>
          <w:rFonts w:eastAsia="楷体_GB2312"/>
          <w:b/>
        </w:rPr>
      </w:pPr>
      <w:bookmarkStart w:id="69" w:name="_Toc181896207"/>
      <w:r>
        <w:rPr>
          <w:rFonts w:eastAsia="楷体_GB2312"/>
          <w:b/>
        </w:rPr>
        <w:t>（</w:t>
      </w:r>
      <w:r>
        <w:rPr>
          <w:rFonts w:hint="eastAsia" w:eastAsia="楷体_GB2312"/>
          <w:b/>
        </w:rPr>
        <w:t>一</w:t>
      </w:r>
      <w:r>
        <w:rPr>
          <w:rFonts w:eastAsia="楷体_GB2312"/>
          <w:b/>
        </w:rPr>
        <w:t>）资金分配</w:t>
      </w:r>
      <w:r>
        <w:rPr>
          <w:rFonts w:hint="eastAsia" w:eastAsia="楷体_GB2312"/>
          <w:b/>
        </w:rPr>
        <w:t>机制</w:t>
      </w:r>
      <w:r>
        <w:rPr>
          <w:rFonts w:eastAsia="楷体_GB2312"/>
          <w:b/>
        </w:rPr>
        <w:t>不够清晰，资金统筹管理不够</w:t>
      </w:r>
      <w:r>
        <w:rPr>
          <w:rFonts w:hint="eastAsia" w:eastAsia="楷体_GB2312"/>
          <w:b/>
        </w:rPr>
        <w:t>严谨</w:t>
      </w:r>
      <w:bookmarkEnd w:id="69"/>
    </w:p>
    <w:p>
      <w:pPr>
        <w:pStyle w:val="56"/>
        <w:ind w:firstLine="640"/>
      </w:pPr>
      <w:r>
        <w:rPr>
          <w:rFonts w:hint="eastAsia"/>
        </w:rPr>
        <w:t>一个科学、合理、透明的资金分配机制通过明确资金来源、用途、分配原则、分配程序以及监督方式等为资金实际分配提供指导和依据，确保资金分配的公平性和有效性。据涉农工作人员现场介绍，韶关市2023年市本级涉农资金分配围绕省委省政府、市委市政府下达的涉农考核任务、乡村振兴战略、驻镇帮镇扶村以及现代农业产业发展和省级统筹确定资金安排方向等三大原则进行。但现有的佐证未能支撑上述资金分配观点，资金分配的依据不清晰：</w:t>
      </w:r>
    </w:p>
    <w:p>
      <w:pPr>
        <w:pStyle w:val="56"/>
        <w:ind w:firstLine="643"/>
      </w:pPr>
      <w:r>
        <w:rPr>
          <w:rFonts w:hint="eastAsia"/>
          <w:b/>
          <w:bCs w:val="0"/>
        </w:rPr>
        <w:t>首先，市本级涉农资金分配的机制不清晰</w:t>
      </w:r>
      <w:r>
        <w:rPr>
          <w:rFonts w:hint="eastAsia"/>
        </w:rPr>
        <w:t>。根据《关于印发&lt;韶关市涉农资金统筹整合实施方案&gt;的通知（韶财农〔2018〕36号）》的工作要求，市涉农领导小组负责审定市本级涉农资金整合方案，合理分配涉农资金。当年度资金分配需要结合上一年度考核成果。但现有的资金分配结果未能体现上述文件的工作要求，资金分配的依据不清晰。具体为：2023年韶关市共有18个涉农考核任务，市本级共有7个涉农考核任务，涉农资金仅投向其中的5个任务，但现有佐证材料无法判断资金分配是否结合上一年度的考核成果且无法说明资金投向与考核任务相匹配。再者，</w:t>
      </w:r>
      <w:r>
        <w:t>在资金分配的具体方向上，虽然资金被分配到了农业农村、林业和水务三个部门，但分配比例（农业农村部门47.45%、林业部门32.80%、水务部门19.74%）同样缺乏明确的</w:t>
      </w:r>
      <w:r>
        <w:rPr>
          <w:rFonts w:hint="eastAsia"/>
        </w:rPr>
        <w:t>决策标准，无法判断在实际资金分配中是否综合考虑到项目的实际需求、优先级或效益等因素。以上情况</w:t>
      </w:r>
      <w:r>
        <w:t>反映出在资金分配过程中缺乏一个清晰、有效的资金分配机制。</w:t>
      </w:r>
    </w:p>
    <w:p>
      <w:pPr>
        <w:pStyle w:val="56"/>
        <w:ind w:firstLine="643"/>
      </w:pPr>
      <w:r>
        <w:rPr>
          <w:rFonts w:hint="eastAsia"/>
          <w:b/>
          <w:bCs w:val="0"/>
        </w:rPr>
        <w:t>其次，这种不清晰的资金分配机制导致资金分配结果与资金分配原则不符，进而影响资金投向的效益。</w:t>
      </w:r>
      <w:r>
        <w:rPr>
          <w:rFonts w:hint="eastAsia"/>
        </w:rPr>
        <w:t>根据《关于印发&lt;韶关市涉农资金统筹整合实施方案&gt;的通知（韶财农〔2018〕36号）》的工作要求，涉农资金统筹安排各类功能互补，用途衔接，发挥各类资金集中使用的叠加效应和规模效应。但现有资金分配和使用与工作要求不一致。具体为：部分涉农资金分配至水务部门的2023年实行最严格水资源管理制度补短板项目韶关市区智慧城市防洪信息系统建设项目等，该部分项目不属于涉农紧密相关的项目，而属于部门考核任务项目，该部分资金分配与涉农办所述资金分配原则不符。此外，2023年涉农资金共分配至37个项目（平均分配至每个项目的资金约64万元），资金分配整体呈“分配项目数量多、项目资金体量小”形态，资金使用形式多为“工作经费”。其中25个项目获得的资金额度低于平均分配额度6</w:t>
      </w:r>
      <w:r>
        <w:t>4</w:t>
      </w:r>
      <w:r>
        <w:rPr>
          <w:rFonts w:hint="eastAsia"/>
        </w:rPr>
        <w:t>万元，且该部分项目多为延续性项目，项目间的衔接性不强，项目实施效益有限，目前未能形成资金使用的“叠加效应和规模效应”。</w:t>
      </w:r>
    </w:p>
    <w:p>
      <w:pPr>
        <w:pStyle w:val="35"/>
        <w:ind w:firstLine="643"/>
        <w:outlineLvl w:val="1"/>
        <w:rPr>
          <w:rFonts w:eastAsia="楷体_GB2312"/>
          <w:b/>
        </w:rPr>
      </w:pPr>
      <w:bookmarkStart w:id="70" w:name="_Toc181896208"/>
      <w:r>
        <w:rPr>
          <w:rFonts w:eastAsia="楷体_GB2312"/>
          <w:b/>
        </w:rPr>
        <w:t>（</w:t>
      </w:r>
      <w:r>
        <w:rPr>
          <w:rFonts w:hint="eastAsia" w:eastAsia="楷体_GB2312"/>
          <w:b/>
        </w:rPr>
        <w:t>二</w:t>
      </w:r>
      <w:r>
        <w:rPr>
          <w:rFonts w:eastAsia="楷体_GB2312"/>
          <w:b/>
        </w:rPr>
        <w:t>）</w:t>
      </w:r>
      <w:r>
        <w:rPr>
          <w:rFonts w:hint="eastAsia" w:eastAsia="楷体_GB2312"/>
          <w:b/>
        </w:rPr>
        <w:t>个别项目流程违规滞后，项目延期处理不恰当</w:t>
      </w:r>
      <w:bookmarkEnd w:id="70"/>
    </w:p>
    <w:p>
      <w:pPr>
        <w:pStyle w:val="56"/>
        <w:ind w:firstLine="643"/>
      </w:pPr>
      <w:r>
        <w:rPr>
          <w:rFonts w:hint="eastAsia"/>
          <w:b/>
        </w:rPr>
        <w:t>一是个别项目合同执行流程不规范。</w:t>
      </w:r>
      <w:r>
        <w:rPr>
          <w:rFonts w:hint="eastAsia" w:ascii="仿宋_GB2312"/>
          <w:bCs w:val="0"/>
        </w:rPr>
        <w:t>从项目管理的角度来看，发票的开具通常应与合同的签订和执行进度保持一致。韶关市小型水库安全鉴定成果核查采购项目，</w:t>
      </w:r>
      <w:r>
        <w:rPr>
          <w:rFonts w:hint="eastAsia"/>
        </w:rPr>
        <w:t>该项目2023年3月20日与乙方（广东河海工程咨询有限公司）签订服务合同，但2023年1月10日乙方已提前开具该项目的服务发票。个别项目如2023年韶关市水旱灾害防御体系标准化建设项目等服务合同缺少签订日期。此外，根据《关于加强政府采购合同签订、公开和备案管理有关工作的通知》（粤财采购函〔2019〕80号），“采购人应当自政府采购合同签订之日起2个工作日内，登陆广东省政府采购网上传政府采购合同扫描版，如实填报政府采购合同的签订时间。</w:t>
      </w:r>
      <w:r>
        <w:rPr>
          <w:rFonts w:hint="eastAsia"/>
          <w:bCs w:val="0"/>
        </w:rPr>
        <w:t>”</w:t>
      </w:r>
      <w:r>
        <w:rPr>
          <w:rFonts w:hint="eastAsia"/>
        </w:rPr>
        <w:t>韶关市2023年耕地分类管理采购服务项目</w:t>
      </w:r>
      <w:r>
        <w:rPr>
          <w:rFonts w:hint="eastAsia"/>
          <w:bCs w:val="0"/>
        </w:rPr>
        <w:t>于</w:t>
      </w:r>
      <w:r>
        <w:rPr>
          <w:rFonts w:hint="eastAsia"/>
        </w:rPr>
        <w:t>2023年8月23日中标</w:t>
      </w:r>
      <w:r>
        <w:rPr>
          <w:rFonts w:hint="eastAsia"/>
          <w:bCs w:val="0"/>
        </w:rPr>
        <w:t>并</w:t>
      </w:r>
      <w:r>
        <w:rPr>
          <w:rFonts w:hint="eastAsia"/>
        </w:rPr>
        <w:t>签订合同，2023年10月18日才完成备案，备案时间滞后法定时限2个月。</w:t>
      </w:r>
      <w:r>
        <w:rPr>
          <w:rFonts w:hint="eastAsia"/>
          <w:b/>
        </w:rPr>
        <w:t>二是个别项目流程严重滞后且未进行延期审批。</w:t>
      </w:r>
      <w:r>
        <w:rPr>
          <w:rFonts w:hint="eastAsia"/>
        </w:rPr>
        <w:t>一般情况下，项目因故不能按期完成时需向相关部门或机构申请延期审批或在原项目合同基础上签订补充协议，说明延期原因、延期时间、费用调整等问题。2023年韶关市水旱灾害防御体系标准化建设项目和2023年市级取用水管理专项整治行动采购服务项目均延期，但均未进行延期审批或签订补充合同。项目具体执行情况见下表。</w:t>
      </w:r>
    </w:p>
    <w:p>
      <w:pPr>
        <w:pStyle w:val="56"/>
        <w:ind w:firstLine="560"/>
        <w:jc w:val="center"/>
        <w:rPr>
          <w:rFonts w:hint="eastAsia" w:ascii="黑体" w:hAnsi="黑体" w:eastAsia="黑体"/>
          <w:sz w:val="28"/>
          <w:szCs w:val="28"/>
        </w:rPr>
      </w:pPr>
      <w:r>
        <w:rPr>
          <w:rFonts w:hint="eastAsia" w:ascii="黑体" w:hAnsi="黑体" w:eastAsia="黑体"/>
          <w:sz w:val="28"/>
          <w:szCs w:val="28"/>
        </w:rPr>
        <w:t>表5-1 项目执行情况相关信息</w:t>
      </w:r>
    </w:p>
    <w:tbl>
      <w:tblPr>
        <w:tblStyle w:val="17"/>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81"/>
        <w:gridCol w:w="2783"/>
        <w:gridCol w:w="2620"/>
        <w:gridCol w:w="1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1539" w:type="dxa"/>
            <w:shd w:val="clear" w:color="auto" w:fill="FEF2CC" w:themeFill="accent4" w:themeFillTint="33"/>
            <w:vAlign w:val="center"/>
          </w:tcPr>
          <w:p>
            <w:pPr>
              <w:pStyle w:val="60"/>
            </w:pPr>
            <w:r>
              <w:rPr>
                <w:rFonts w:hint="eastAsia"/>
              </w:rPr>
              <w:t>项目名称</w:t>
            </w:r>
          </w:p>
        </w:tc>
        <w:tc>
          <w:tcPr>
            <w:tcW w:w="2709" w:type="dxa"/>
            <w:shd w:val="clear" w:color="auto" w:fill="FEF2CC" w:themeFill="accent4" w:themeFillTint="33"/>
          </w:tcPr>
          <w:p>
            <w:pPr>
              <w:pStyle w:val="60"/>
            </w:pPr>
            <w:r>
              <w:rPr>
                <w:rFonts w:hint="eastAsia"/>
              </w:rPr>
              <w:t>事项规范</w:t>
            </w:r>
          </w:p>
        </w:tc>
        <w:tc>
          <w:tcPr>
            <w:tcW w:w="2551" w:type="dxa"/>
            <w:shd w:val="clear" w:color="auto" w:fill="FEF2CC" w:themeFill="accent4" w:themeFillTint="33"/>
            <w:vAlign w:val="center"/>
          </w:tcPr>
          <w:p>
            <w:pPr>
              <w:pStyle w:val="60"/>
            </w:pPr>
            <w:r>
              <w:rPr>
                <w:rFonts w:hint="eastAsia"/>
              </w:rPr>
              <w:t>实际操作</w:t>
            </w:r>
          </w:p>
        </w:tc>
        <w:tc>
          <w:tcPr>
            <w:tcW w:w="1497" w:type="dxa"/>
            <w:shd w:val="clear" w:color="auto" w:fill="FEF2CC" w:themeFill="accent4" w:themeFillTint="33"/>
            <w:vAlign w:val="center"/>
          </w:tcPr>
          <w:p>
            <w:pPr>
              <w:pStyle w:val="60"/>
            </w:pPr>
            <w:r>
              <w:rPr>
                <w:rFonts w:hint="eastAsia"/>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9" w:type="dxa"/>
            <w:shd w:val="clear" w:color="auto" w:fill="FFFFFF" w:themeFill="background1"/>
            <w:vAlign w:val="center"/>
          </w:tcPr>
          <w:p>
            <w:pPr>
              <w:pStyle w:val="60"/>
              <w:jc w:val="both"/>
              <w:rPr>
                <w:b w:val="0"/>
                <w:bCs/>
              </w:rPr>
            </w:pPr>
            <w:r>
              <w:rPr>
                <w:rFonts w:hint="eastAsia"/>
                <w:b w:val="0"/>
                <w:bCs/>
              </w:rPr>
              <w:t>韶关市小型水库安全鉴定成果核查采购项目</w:t>
            </w:r>
          </w:p>
        </w:tc>
        <w:tc>
          <w:tcPr>
            <w:tcW w:w="2709" w:type="dxa"/>
            <w:shd w:val="clear" w:color="auto" w:fill="FFFFFF" w:themeFill="background1"/>
            <w:vAlign w:val="center"/>
          </w:tcPr>
          <w:p>
            <w:pPr>
              <w:pStyle w:val="60"/>
              <w:jc w:val="both"/>
              <w:rPr>
                <w:b w:val="0"/>
                <w:bCs/>
              </w:rPr>
            </w:pPr>
            <w:r>
              <w:rPr>
                <w:rFonts w:hint="eastAsia"/>
                <w:b w:val="0"/>
                <w:bCs/>
              </w:rPr>
              <w:t>发票的开具通常应与合同的签订和执行进度保持一致</w:t>
            </w:r>
          </w:p>
        </w:tc>
        <w:tc>
          <w:tcPr>
            <w:tcW w:w="2551" w:type="dxa"/>
            <w:shd w:val="clear" w:color="auto" w:fill="FFFFFF" w:themeFill="background1"/>
            <w:vAlign w:val="center"/>
          </w:tcPr>
          <w:p>
            <w:pPr>
              <w:pStyle w:val="60"/>
              <w:jc w:val="both"/>
              <w:rPr>
                <w:b w:val="0"/>
                <w:bCs/>
              </w:rPr>
            </w:pPr>
            <w:r>
              <w:rPr>
                <w:rFonts w:hint="eastAsia"/>
                <w:b w:val="0"/>
                <w:bCs/>
              </w:rPr>
              <w:t>合同签订时间：2023年3月20日</w:t>
            </w:r>
          </w:p>
          <w:p>
            <w:pPr>
              <w:pStyle w:val="60"/>
              <w:jc w:val="both"/>
              <w:rPr>
                <w:b w:val="0"/>
                <w:bCs/>
              </w:rPr>
            </w:pPr>
            <w:r>
              <w:rPr>
                <w:rFonts w:hint="eastAsia"/>
                <w:b w:val="0"/>
                <w:bCs/>
              </w:rPr>
              <w:t>乙方开具发票时间：2023年1月10日</w:t>
            </w:r>
          </w:p>
        </w:tc>
        <w:tc>
          <w:tcPr>
            <w:tcW w:w="1497" w:type="dxa"/>
            <w:shd w:val="clear" w:color="auto" w:fill="FFFFFF" w:themeFill="background1"/>
            <w:vAlign w:val="center"/>
          </w:tcPr>
          <w:p>
            <w:pPr>
              <w:pStyle w:val="60"/>
              <w:jc w:val="both"/>
              <w:rPr>
                <w:b w:val="0"/>
                <w:bCs/>
              </w:rPr>
            </w:pPr>
            <w:r>
              <w:rPr>
                <w:rFonts w:hint="eastAsia"/>
                <w:b w:val="0"/>
                <w:bCs/>
              </w:rPr>
              <w:t>服务费用开票时间早于合同签订时间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9" w:type="dxa"/>
            <w:shd w:val="clear" w:color="auto" w:fill="FFFFFF" w:themeFill="background1"/>
            <w:vAlign w:val="center"/>
          </w:tcPr>
          <w:p>
            <w:pPr>
              <w:pStyle w:val="60"/>
              <w:jc w:val="both"/>
              <w:rPr>
                <w:b w:val="0"/>
                <w:bCs/>
              </w:rPr>
            </w:pPr>
            <w:r>
              <w:rPr>
                <w:rFonts w:hint="eastAsia"/>
                <w:b w:val="0"/>
                <w:bCs/>
              </w:rPr>
              <w:t>2023年韶关市水旱灾害防御体系标准化建设项目、第三次全国土壤普查采购服务等</w:t>
            </w:r>
          </w:p>
        </w:tc>
        <w:tc>
          <w:tcPr>
            <w:tcW w:w="2709" w:type="dxa"/>
            <w:shd w:val="clear" w:color="auto" w:fill="FFFFFF" w:themeFill="background1"/>
            <w:vAlign w:val="center"/>
          </w:tcPr>
          <w:p>
            <w:pPr>
              <w:pStyle w:val="60"/>
              <w:jc w:val="both"/>
              <w:rPr>
                <w:b w:val="0"/>
                <w:bCs/>
              </w:rPr>
            </w:pPr>
            <w:r>
              <w:rPr>
                <w:rFonts w:hint="eastAsia"/>
                <w:b w:val="0"/>
                <w:bCs/>
              </w:rPr>
              <w:t>根据</w:t>
            </w:r>
            <w:r>
              <w:rPr>
                <w:b w:val="0"/>
                <w:bCs/>
              </w:rPr>
              <w:t>《</w:t>
            </w:r>
            <w:r>
              <w:rPr>
                <w:rFonts w:hint="eastAsia"/>
                <w:b w:val="0"/>
                <w:bCs/>
              </w:rPr>
              <w:t>合同法</w:t>
            </w:r>
            <w:r>
              <w:rPr>
                <w:b w:val="0"/>
                <w:bCs/>
              </w:rPr>
              <w:t>》</w:t>
            </w:r>
            <w:r>
              <w:rPr>
                <w:rFonts w:hint="eastAsia"/>
                <w:b w:val="0"/>
                <w:bCs/>
              </w:rPr>
              <w:t>，</w:t>
            </w:r>
            <w:r>
              <w:rPr>
                <w:b w:val="0"/>
                <w:bCs/>
              </w:rPr>
              <w:t>合同签订日期属于合同的重要条款</w:t>
            </w:r>
            <w:r>
              <w:rPr>
                <w:rFonts w:hint="eastAsia"/>
                <w:b w:val="0"/>
                <w:bCs/>
              </w:rPr>
              <w:t>。</w:t>
            </w:r>
            <w:r>
              <w:rPr>
                <w:b w:val="0"/>
                <w:bCs/>
              </w:rPr>
              <w:t>合同一般是自签订时成立的</w:t>
            </w:r>
            <w:r>
              <w:rPr>
                <w:rFonts w:hint="eastAsia"/>
                <w:b w:val="0"/>
                <w:bCs/>
              </w:rPr>
              <w:t>。</w:t>
            </w:r>
          </w:p>
        </w:tc>
        <w:tc>
          <w:tcPr>
            <w:tcW w:w="2551" w:type="dxa"/>
            <w:shd w:val="clear" w:color="auto" w:fill="FFFFFF" w:themeFill="background1"/>
            <w:vAlign w:val="center"/>
          </w:tcPr>
          <w:p>
            <w:pPr>
              <w:pStyle w:val="60"/>
              <w:jc w:val="both"/>
              <w:rPr>
                <w:b w:val="0"/>
                <w:bCs/>
              </w:rPr>
            </w:pPr>
            <w:r>
              <w:rPr>
                <w:rFonts w:hint="eastAsia"/>
                <w:b w:val="0"/>
                <w:bCs/>
              </w:rPr>
              <w:t>服务合同未签订日期</w:t>
            </w:r>
          </w:p>
        </w:tc>
        <w:tc>
          <w:tcPr>
            <w:tcW w:w="1497" w:type="dxa"/>
            <w:shd w:val="clear" w:color="auto" w:fill="FFFFFF" w:themeFill="background1"/>
            <w:vAlign w:val="center"/>
          </w:tcPr>
          <w:p>
            <w:pPr>
              <w:pStyle w:val="60"/>
              <w:jc w:val="both"/>
              <w:rPr>
                <w:b w:val="0"/>
                <w:bCs/>
              </w:rPr>
            </w:pPr>
            <w:r>
              <w:rPr>
                <w:rFonts w:hint="eastAsia"/>
                <w:b w:val="0"/>
                <w:bCs/>
              </w:rPr>
              <w:t>合同未注明签订日期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539" w:type="dxa"/>
            <w:shd w:val="clear" w:color="auto" w:fill="FFFFFF" w:themeFill="background1"/>
            <w:vAlign w:val="center"/>
          </w:tcPr>
          <w:p>
            <w:pPr>
              <w:pStyle w:val="60"/>
              <w:jc w:val="both"/>
              <w:rPr>
                <w:b w:val="0"/>
                <w:bCs/>
              </w:rPr>
            </w:pPr>
            <w:r>
              <w:rPr>
                <w:rFonts w:hint="eastAsia"/>
                <w:b w:val="0"/>
                <w:bCs/>
              </w:rPr>
              <w:t>韶关市2023年耕地分类管理采购服务项目</w:t>
            </w:r>
          </w:p>
        </w:tc>
        <w:tc>
          <w:tcPr>
            <w:tcW w:w="2709" w:type="dxa"/>
            <w:shd w:val="clear" w:color="auto" w:fill="FFFFFF" w:themeFill="background1"/>
            <w:vAlign w:val="center"/>
          </w:tcPr>
          <w:p>
            <w:pPr>
              <w:pStyle w:val="60"/>
              <w:jc w:val="both"/>
              <w:rPr>
                <w:b w:val="0"/>
                <w:bCs/>
              </w:rPr>
            </w:pPr>
            <w:r>
              <w:rPr>
                <w:rFonts w:hint="eastAsia"/>
                <w:b w:val="0"/>
                <w:bCs/>
              </w:rPr>
              <w:t>《关于加强政府采购合同签订、公开和备案管理有关工作的通知》（粤财采购函〔2019〕80号）规定采购人应自合同签订之日起2个工作日内完成合同备案</w:t>
            </w:r>
          </w:p>
        </w:tc>
        <w:tc>
          <w:tcPr>
            <w:tcW w:w="2551" w:type="dxa"/>
            <w:shd w:val="clear" w:color="auto" w:fill="FFFFFF" w:themeFill="background1"/>
            <w:vAlign w:val="center"/>
          </w:tcPr>
          <w:p>
            <w:pPr>
              <w:pStyle w:val="60"/>
              <w:jc w:val="both"/>
              <w:rPr>
                <w:b w:val="0"/>
                <w:bCs/>
              </w:rPr>
            </w:pPr>
            <w:r>
              <w:rPr>
                <w:rFonts w:hint="eastAsia"/>
                <w:b w:val="0"/>
                <w:bCs/>
              </w:rPr>
              <w:t>中标及合同签订时间：2023年8月23日</w:t>
            </w:r>
          </w:p>
          <w:p>
            <w:pPr>
              <w:pStyle w:val="60"/>
              <w:jc w:val="both"/>
              <w:rPr>
                <w:b w:val="0"/>
                <w:bCs/>
              </w:rPr>
            </w:pPr>
            <w:r>
              <w:rPr>
                <w:rFonts w:hint="eastAsia"/>
                <w:b w:val="0"/>
                <w:bCs/>
              </w:rPr>
              <w:t>合同备案时间：2023年10月18日</w:t>
            </w:r>
          </w:p>
        </w:tc>
        <w:tc>
          <w:tcPr>
            <w:tcW w:w="1497" w:type="dxa"/>
            <w:shd w:val="clear" w:color="auto" w:fill="FFFFFF" w:themeFill="background1"/>
            <w:vAlign w:val="center"/>
          </w:tcPr>
          <w:p>
            <w:pPr>
              <w:pStyle w:val="60"/>
              <w:jc w:val="both"/>
              <w:rPr>
                <w:b w:val="0"/>
                <w:bCs/>
              </w:rPr>
            </w:pPr>
            <w:r>
              <w:rPr>
                <w:rFonts w:hint="eastAsia"/>
                <w:b w:val="0"/>
                <w:bCs/>
              </w:rPr>
              <w:t>政府采购合同备案时间滞后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9" w:type="dxa"/>
            <w:vAlign w:val="center"/>
          </w:tcPr>
          <w:p>
            <w:pPr>
              <w:pStyle w:val="60"/>
              <w:jc w:val="both"/>
              <w:rPr>
                <w:b w:val="0"/>
                <w:bCs/>
              </w:rPr>
            </w:pPr>
            <w:r>
              <w:rPr>
                <w:rFonts w:hint="eastAsia"/>
                <w:b w:val="0"/>
                <w:bCs/>
              </w:rPr>
              <w:t>2023年韶关市水旱灾害防御体系标准化建设项目</w:t>
            </w:r>
          </w:p>
        </w:tc>
        <w:tc>
          <w:tcPr>
            <w:tcW w:w="2709" w:type="dxa"/>
            <w:vMerge w:val="restart"/>
            <w:vAlign w:val="center"/>
          </w:tcPr>
          <w:p>
            <w:pPr>
              <w:pStyle w:val="60"/>
              <w:jc w:val="both"/>
              <w:rPr>
                <w:b w:val="0"/>
                <w:bCs/>
              </w:rPr>
            </w:pPr>
            <w:r>
              <w:rPr>
                <w:rFonts w:hint="eastAsia"/>
                <w:b w:val="0"/>
                <w:bCs/>
              </w:rPr>
              <w:t>项目因故不能按期完成时需向相关部门或机构申请延期审批或在原项目合同基础上签订补充协议。</w:t>
            </w:r>
          </w:p>
        </w:tc>
        <w:tc>
          <w:tcPr>
            <w:tcW w:w="2551" w:type="dxa"/>
            <w:vAlign w:val="center"/>
          </w:tcPr>
          <w:p>
            <w:pPr>
              <w:pStyle w:val="60"/>
              <w:jc w:val="both"/>
              <w:rPr>
                <w:b w:val="0"/>
                <w:bCs/>
              </w:rPr>
            </w:pPr>
            <w:r>
              <w:rPr>
                <w:rFonts w:hint="eastAsia"/>
                <w:b w:val="0"/>
                <w:bCs/>
              </w:rPr>
              <w:t>合同约定服务期：2023年9月18日至2023年12月17日</w:t>
            </w:r>
          </w:p>
          <w:p>
            <w:pPr>
              <w:pStyle w:val="60"/>
              <w:jc w:val="both"/>
              <w:rPr>
                <w:b w:val="0"/>
                <w:bCs/>
              </w:rPr>
            </w:pPr>
            <w:r>
              <w:rPr>
                <w:b w:val="0"/>
                <w:bCs/>
              </w:rPr>
              <w:t>实际验收时间：</w:t>
            </w:r>
            <w:r>
              <w:rPr>
                <w:rFonts w:hint="eastAsia"/>
                <w:b w:val="0"/>
                <w:bCs/>
              </w:rPr>
              <w:t>截至评价基准日未验收</w:t>
            </w:r>
          </w:p>
          <w:p>
            <w:pPr>
              <w:pStyle w:val="60"/>
              <w:jc w:val="both"/>
              <w:rPr>
                <w:b w:val="0"/>
                <w:bCs/>
              </w:rPr>
            </w:pPr>
            <w:r>
              <w:rPr>
                <w:rFonts w:hint="eastAsia"/>
                <w:b w:val="0"/>
                <w:bCs/>
              </w:rPr>
              <w:t>是否签订补充协议或进行延期审批：否</w:t>
            </w:r>
          </w:p>
        </w:tc>
        <w:tc>
          <w:tcPr>
            <w:tcW w:w="1497" w:type="dxa"/>
            <w:vAlign w:val="center"/>
          </w:tcPr>
          <w:p>
            <w:pPr>
              <w:pStyle w:val="60"/>
              <w:jc w:val="both"/>
              <w:rPr>
                <w:b w:val="0"/>
                <w:bCs/>
              </w:rPr>
            </w:pPr>
            <w:r>
              <w:rPr>
                <w:rFonts w:hint="eastAsia"/>
                <w:b w:val="0"/>
                <w:bCs/>
              </w:rPr>
              <w:t>项目延期未进行延期审批或签订补充协议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39" w:type="dxa"/>
            <w:vAlign w:val="center"/>
          </w:tcPr>
          <w:p>
            <w:pPr>
              <w:pStyle w:val="60"/>
              <w:jc w:val="both"/>
              <w:rPr>
                <w:b w:val="0"/>
                <w:bCs/>
              </w:rPr>
            </w:pPr>
            <w:r>
              <w:rPr>
                <w:rFonts w:hint="eastAsia"/>
                <w:b w:val="0"/>
                <w:bCs/>
              </w:rPr>
              <w:t>2023年市级取用水管理专项整治行动采购服务项目</w:t>
            </w:r>
          </w:p>
        </w:tc>
        <w:tc>
          <w:tcPr>
            <w:tcW w:w="2709" w:type="dxa"/>
            <w:vMerge w:val="continue"/>
          </w:tcPr>
          <w:p>
            <w:pPr>
              <w:pStyle w:val="60"/>
              <w:rPr>
                <w:b w:val="0"/>
                <w:bCs/>
              </w:rPr>
            </w:pPr>
          </w:p>
        </w:tc>
        <w:tc>
          <w:tcPr>
            <w:tcW w:w="2551" w:type="dxa"/>
            <w:vAlign w:val="center"/>
          </w:tcPr>
          <w:p>
            <w:pPr>
              <w:pStyle w:val="60"/>
              <w:jc w:val="both"/>
              <w:rPr>
                <w:b w:val="0"/>
                <w:bCs/>
              </w:rPr>
            </w:pPr>
            <w:r>
              <w:rPr>
                <w:rFonts w:hint="eastAsia"/>
                <w:b w:val="0"/>
                <w:bCs/>
              </w:rPr>
              <w:t>合同约定服务期：2020年8月至2021年12月底</w:t>
            </w:r>
          </w:p>
          <w:p>
            <w:pPr>
              <w:pStyle w:val="60"/>
              <w:jc w:val="both"/>
              <w:rPr>
                <w:b w:val="0"/>
                <w:bCs/>
              </w:rPr>
            </w:pPr>
            <w:r>
              <w:rPr>
                <w:b w:val="0"/>
                <w:bCs/>
              </w:rPr>
              <w:t>实际验收时间：</w:t>
            </w:r>
            <w:r>
              <w:rPr>
                <w:rFonts w:hint="eastAsia"/>
                <w:b w:val="0"/>
                <w:bCs/>
              </w:rPr>
              <w:t>2023年6月19日</w:t>
            </w:r>
          </w:p>
          <w:p>
            <w:pPr>
              <w:pStyle w:val="60"/>
              <w:jc w:val="both"/>
              <w:rPr>
                <w:b w:val="0"/>
                <w:bCs/>
              </w:rPr>
            </w:pPr>
            <w:r>
              <w:rPr>
                <w:rFonts w:hint="eastAsia"/>
                <w:b w:val="0"/>
                <w:bCs/>
              </w:rPr>
              <w:t>是否签订补充协议或进行延期审批：是，但补充协议（2021年5月25日）未对履约时间延迟进行说明</w:t>
            </w:r>
          </w:p>
        </w:tc>
        <w:tc>
          <w:tcPr>
            <w:tcW w:w="1497" w:type="dxa"/>
            <w:vAlign w:val="center"/>
          </w:tcPr>
          <w:p>
            <w:pPr>
              <w:pStyle w:val="60"/>
              <w:jc w:val="both"/>
              <w:rPr>
                <w:b w:val="0"/>
                <w:bCs/>
              </w:rPr>
            </w:pPr>
            <w:r>
              <w:rPr>
                <w:rFonts w:hint="eastAsia"/>
                <w:b w:val="0"/>
                <w:bCs/>
              </w:rPr>
              <w:t>项目延期未进行延期审批或签订补充协议</w:t>
            </w:r>
          </w:p>
        </w:tc>
      </w:tr>
    </w:tbl>
    <w:p>
      <w:pPr>
        <w:pStyle w:val="35"/>
        <w:ind w:left="0" w:leftChars="0" w:firstLine="643" w:firstLineChars="200"/>
        <w:outlineLvl w:val="1"/>
      </w:pPr>
      <w:bookmarkStart w:id="71" w:name="_Toc181896209"/>
      <w:r>
        <w:rPr>
          <w:rFonts w:eastAsia="楷体_GB2312"/>
          <w:b/>
        </w:rPr>
        <w:t>（</w:t>
      </w:r>
      <w:r>
        <w:rPr>
          <w:rFonts w:hint="eastAsia" w:eastAsia="楷体_GB2312"/>
          <w:b/>
        </w:rPr>
        <w:t>三</w:t>
      </w:r>
      <w:r>
        <w:rPr>
          <w:rFonts w:eastAsia="楷体_GB2312"/>
          <w:b/>
        </w:rPr>
        <w:t>）</w:t>
      </w:r>
      <w:r>
        <w:rPr>
          <w:rFonts w:hint="eastAsia" w:eastAsia="楷体_GB2312"/>
          <w:b/>
        </w:rPr>
        <w:t>项目过程监管不到位，资金监管力度不足</w:t>
      </w:r>
      <w:bookmarkEnd w:id="71"/>
    </w:p>
    <w:p>
      <w:pPr>
        <w:pStyle w:val="56"/>
        <w:ind w:firstLine="643"/>
      </w:pPr>
      <w:r>
        <w:rPr>
          <w:rFonts w:hint="eastAsia"/>
          <w:b/>
        </w:rPr>
        <w:t>项目过程监管执行不到位。</w:t>
      </w:r>
      <w:r>
        <w:rPr>
          <w:rFonts w:hint="eastAsia"/>
        </w:rPr>
        <w:t>《关于印发&lt;韶关市涉农资金统筹整合实施方案&gt;的通知》（韶财农〔2018〕36号）要求“严格监管资金，市、县人民政府要把纳入整合范围的涉农资金作为监管重点，对资金的整合、审批、使用、绩效评价等各环节要加大监督和检查力度。”根据《韶关市2023年度绿美广东生态建设重点任务总结报告》，韶关市林业局相关业务科室、市级专家、电视台工作人员等对全市（含市本级）造林抚育等项目实施进展情况进行了实地检查，但报告中提出的问题相关单位并未给出整改意见。此外，据现场各子项目负责人介绍，农业部门和水务部门大部分项目基本没有过程监管要求或相关机制，个别项目负责人会不定期抽查了解项目实施情况，</w:t>
      </w:r>
      <w:r>
        <w:t>但这种抽查往往缺乏系统性和规范性，且未能形成书面记录。这种口头上的了解与检查，不仅难以保证监管的全面性和准确性，也缺乏必要的可追溯性和证明力。</w:t>
      </w:r>
    </w:p>
    <w:p>
      <w:pPr>
        <w:pStyle w:val="35"/>
        <w:ind w:firstLine="643"/>
        <w:outlineLvl w:val="1"/>
        <w:rPr>
          <w:rFonts w:eastAsia="楷体_GB2312"/>
          <w:b/>
        </w:rPr>
      </w:pPr>
      <w:bookmarkStart w:id="72" w:name="_Toc181896210"/>
      <w:r>
        <w:rPr>
          <w:rFonts w:hint="eastAsia" w:eastAsia="楷体_GB2312"/>
          <w:b/>
        </w:rPr>
        <w:t>（四）</w:t>
      </w:r>
      <w:r>
        <w:rPr>
          <w:rFonts w:eastAsia="楷体_GB2312"/>
          <w:b/>
        </w:rPr>
        <w:t>绩效目标设置不够合理，绩效管理工作不到位</w:t>
      </w:r>
      <w:bookmarkEnd w:id="72"/>
    </w:p>
    <w:p>
      <w:pPr>
        <w:pStyle w:val="56"/>
        <w:ind w:firstLine="640"/>
      </w:pPr>
      <w:r>
        <w:t>2023年韶关市市本级涉农资金共涉及</w:t>
      </w:r>
      <w:r>
        <w:rPr>
          <w:rFonts w:hint="eastAsia"/>
        </w:rPr>
        <w:t>37</w:t>
      </w:r>
      <w:r>
        <w:t>个子项目，绩效目标管理工作尤为重要，但核查发现部分子项目的绩效目标设置不够合理，具体为：</w:t>
      </w:r>
    </w:p>
    <w:p>
      <w:pPr>
        <w:pStyle w:val="56"/>
        <w:ind w:firstLine="643"/>
      </w:pPr>
      <w:r>
        <w:rPr>
          <w:b/>
          <w:bCs w:val="0"/>
        </w:rPr>
        <w:t>一是部分项目的绩效指标设置不够完整，绩效指标无法</w:t>
      </w:r>
      <w:r>
        <w:rPr>
          <w:rFonts w:hint="eastAsia"/>
          <w:b/>
          <w:bCs w:val="0"/>
        </w:rPr>
        <w:t>反</w:t>
      </w:r>
      <w:r>
        <w:rPr>
          <w:b/>
          <w:bCs w:val="0"/>
        </w:rPr>
        <w:t>映项目效益。</w:t>
      </w:r>
      <w:r>
        <w:t>如2023年韶关市林业科学研究所林业种苗建设</w:t>
      </w:r>
      <w:r>
        <w:rPr>
          <w:rFonts w:hint="eastAsia"/>
        </w:rPr>
        <w:t>-</w:t>
      </w:r>
      <w:r>
        <w:t>2024年义务植树苗木培育项目</w:t>
      </w:r>
      <w:r>
        <w:rPr>
          <w:rFonts w:hint="eastAsia"/>
        </w:rPr>
        <w:t>和</w:t>
      </w:r>
      <w:r>
        <w:t>2023年水稻“三控”施肥与节水灌溉技术集成示范项目，</w:t>
      </w:r>
      <w:r>
        <w:rPr>
          <w:rFonts w:hint="eastAsia"/>
        </w:rPr>
        <w:t>项目实施会产生相应的生态效益和经济效益，但并未设置相关效益指标。具体项目绩效指标设置信息见下表。</w:t>
      </w:r>
    </w:p>
    <w:p>
      <w:pPr>
        <w:pStyle w:val="56"/>
        <w:ind w:firstLine="560"/>
        <w:jc w:val="center"/>
        <w:rPr>
          <w:rFonts w:hint="eastAsia" w:ascii="黑体" w:hAnsi="黑体" w:eastAsia="黑体"/>
          <w:sz w:val="28"/>
          <w:szCs w:val="28"/>
        </w:rPr>
      </w:pPr>
      <w:r>
        <w:rPr>
          <w:rFonts w:hint="eastAsia" w:ascii="黑体" w:hAnsi="黑体" w:eastAsia="黑体"/>
          <w:sz w:val="28"/>
          <w:szCs w:val="28"/>
        </w:rPr>
        <w:t>表5-2 指标设置完整性分析</w:t>
      </w:r>
    </w:p>
    <w:tbl>
      <w:tblPr>
        <w:tblStyle w:val="17"/>
        <w:tblW w:w="850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2269" w:type="dxa"/>
            <w:shd w:val="clear" w:color="auto" w:fill="FEF2CC" w:themeFill="accent4" w:themeFillTint="33"/>
            <w:vAlign w:val="center"/>
          </w:tcPr>
          <w:p>
            <w:pPr>
              <w:pStyle w:val="56"/>
              <w:spacing w:line="240" w:lineRule="auto"/>
              <w:ind w:firstLine="0" w:firstLineChars="0"/>
              <w:jc w:val="center"/>
              <w:rPr>
                <w:rFonts w:ascii="仿宋_GB2312"/>
                <w:b/>
                <w:bCs w:val="0"/>
                <w:sz w:val="24"/>
                <w:szCs w:val="24"/>
              </w:rPr>
            </w:pPr>
            <w:r>
              <w:rPr>
                <w:rFonts w:hint="eastAsia" w:ascii="仿宋_GB2312"/>
                <w:b/>
                <w:bCs w:val="0"/>
                <w:sz w:val="24"/>
                <w:szCs w:val="24"/>
              </w:rPr>
              <w:t>项目名称</w:t>
            </w:r>
          </w:p>
        </w:tc>
        <w:tc>
          <w:tcPr>
            <w:tcW w:w="6237" w:type="dxa"/>
            <w:shd w:val="clear" w:color="auto" w:fill="FEF2CC" w:themeFill="accent4" w:themeFillTint="33"/>
            <w:vAlign w:val="center"/>
          </w:tcPr>
          <w:p>
            <w:pPr>
              <w:pStyle w:val="56"/>
              <w:spacing w:line="240" w:lineRule="auto"/>
              <w:ind w:firstLine="0" w:firstLineChars="0"/>
              <w:jc w:val="center"/>
              <w:rPr>
                <w:rFonts w:ascii="仿宋_GB2312"/>
                <w:b/>
                <w:bCs w:val="0"/>
                <w:sz w:val="24"/>
                <w:szCs w:val="24"/>
              </w:rPr>
            </w:pPr>
            <w:r>
              <w:rPr>
                <w:rFonts w:hint="eastAsia" w:ascii="仿宋_GB2312"/>
                <w:b/>
                <w:bCs w:val="0"/>
                <w:sz w:val="24"/>
                <w:szCs w:val="24"/>
              </w:rPr>
              <w:t>指标设置信息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9" w:type="dxa"/>
            <w:vAlign w:val="center"/>
          </w:tcPr>
          <w:p>
            <w:pPr>
              <w:pStyle w:val="56"/>
              <w:spacing w:line="240" w:lineRule="auto"/>
              <w:ind w:firstLine="0" w:firstLineChars="0"/>
              <w:jc w:val="center"/>
              <w:rPr>
                <w:rFonts w:ascii="仿宋_GB2312"/>
                <w:sz w:val="24"/>
                <w:szCs w:val="24"/>
              </w:rPr>
            </w:pPr>
            <w:r>
              <w:rPr>
                <w:sz w:val="24"/>
                <w:szCs w:val="24"/>
              </w:rPr>
              <w:t>2023</w:t>
            </w:r>
            <w:r>
              <w:rPr>
                <w:rFonts w:hint="eastAsia" w:ascii="仿宋_GB2312"/>
                <w:sz w:val="24"/>
                <w:szCs w:val="24"/>
              </w:rPr>
              <w:t>年韶关市林业科学研究所林业种苗建设</w:t>
            </w:r>
            <w:r>
              <w:rPr>
                <w:sz w:val="24"/>
                <w:szCs w:val="24"/>
              </w:rPr>
              <w:t>-2024</w:t>
            </w:r>
            <w:r>
              <w:rPr>
                <w:rFonts w:hint="eastAsia" w:ascii="仿宋_GB2312"/>
                <w:sz w:val="24"/>
                <w:szCs w:val="24"/>
              </w:rPr>
              <w:t>年义务植树苗木培育项目</w:t>
            </w:r>
          </w:p>
        </w:tc>
        <w:tc>
          <w:tcPr>
            <w:tcW w:w="6237" w:type="dxa"/>
            <w:vAlign w:val="center"/>
          </w:tcPr>
          <w:p>
            <w:pPr>
              <w:pStyle w:val="56"/>
              <w:spacing w:line="240" w:lineRule="auto"/>
              <w:ind w:firstLine="0" w:firstLineChars="0"/>
              <w:jc w:val="left"/>
              <w:rPr>
                <w:rFonts w:ascii="仿宋_GB2312"/>
                <w:sz w:val="24"/>
                <w:szCs w:val="24"/>
              </w:rPr>
            </w:pPr>
            <w:r>
              <w:rPr>
                <w:rFonts w:ascii="仿宋_GB2312"/>
                <w:sz w:val="24"/>
                <w:szCs w:val="24"/>
              </w:rPr>
              <w:t>项目实施</w:t>
            </w:r>
            <w:r>
              <w:rPr>
                <w:rFonts w:hint="eastAsia" w:ascii="仿宋_GB2312"/>
                <w:sz w:val="24"/>
                <w:szCs w:val="24"/>
              </w:rPr>
              <w:t>内容：完成</w:t>
            </w:r>
            <w:r>
              <w:rPr>
                <w:sz w:val="24"/>
                <w:szCs w:val="24"/>
              </w:rPr>
              <w:t>2024</w:t>
            </w:r>
            <w:r>
              <w:rPr>
                <w:rFonts w:hint="eastAsia" w:ascii="仿宋_GB2312"/>
                <w:sz w:val="24"/>
                <w:szCs w:val="24"/>
              </w:rPr>
              <w:t>年义务植树用苗</w:t>
            </w:r>
            <w:r>
              <w:rPr>
                <w:sz w:val="24"/>
                <w:szCs w:val="24"/>
              </w:rPr>
              <w:t>3-4</w:t>
            </w:r>
            <w:r>
              <w:rPr>
                <w:rFonts w:hint="eastAsia" w:ascii="仿宋_GB2312"/>
                <w:sz w:val="24"/>
                <w:szCs w:val="24"/>
              </w:rPr>
              <w:t>公分苗木</w:t>
            </w:r>
            <w:r>
              <w:rPr>
                <w:sz w:val="24"/>
                <w:szCs w:val="24"/>
              </w:rPr>
              <w:t>5350</w:t>
            </w:r>
            <w:r>
              <w:rPr>
                <w:rFonts w:hint="eastAsia" w:ascii="仿宋_GB2312"/>
                <w:sz w:val="24"/>
                <w:szCs w:val="24"/>
              </w:rPr>
              <w:t>株；</w:t>
            </w:r>
          </w:p>
          <w:p>
            <w:pPr>
              <w:pStyle w:val="56"/>
              <w:spacing w:line="240" w:lineRule="auto"/>
              <w:ind w:firstLine="0" w:firstLineChars="0"/>
              <w:jc w:val="left"/>
              <w:rPr>
                <w:rFonts w:ascii="仿宋_GB2312"/>
                <w:sz w:val="24"/>
                <w:szCs w:val="24"/>
              </w:rPr>
            </w:pPr>
            <w:r>
              <w:rPr>
                <w:rFonts w:hint="eastAsia" w:ascii="仿宋_GB2312"/>
                <w:sz w:val="24"/>
                <w:szCs w:val="24"/>
              </w:rPr>
              <w:t>产生效益：改善生态结构，具有正向的</w:t>
            </w:r>
            <w:r>
              <w:rPr>
                <w:rFonts w:ascii="仿宋_GB2312"/>
                <w:sz w:val="24"/>
                <w:szCs w:val="24"/>
              </w:rPr>
              <w:t>生态效益</w:t>
            </w:r>
            <w:r>
              <w:rPr>
                <w:rFonts w:hint="eastAsia" w:ascii="仿宋_GB2312"/>
                <w:sz w:val="24"/>
                <w:szCs w:val="24"/>
              </w:rPr>
              <w:t>；</w:t>
            </w:r>
          </w:p>
          <w:p>
            <w:pPr>
              <w:pStyle w:val="56"/>
              <w:spacing w:line="240" w:lineRule="auto"/>
              <w:ind w:firstLine="0" w:firstLineChars="0"/>
              <w:jc w:val="left"/>
              <w:rPr>
                <w:rFonts w:ascii="仿宋_GB2312"/>
                <w:sz w:val="24"/>
                <w:szCs w:val="24"/>
              </w:rPr>
            </w:pPr>
            <w:r>
              <w:rPr>
                <w:rFonts w:hint="eastAsia" w:ascii="仿宋_GB2312"/>
                <w:sz w:val="24"/>
                <w:szCs w:val="24"/>
              </w:rPr>
              <w:t>指标设置情况：</w:t>
            </w:r>
            <w:r>
              <w:rPr>
                <w:rFonts w:ascii="仿宋_GB2312"/>
                <w:sz w:val="24"/>
                <w:szCs w:val="24"/>
              </w:rPr>
              <w:t>未设置生态效益指标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9" w:type="dxa"/>
            <w:vAlign w:val="center"/>
          </w:tcPr>
          <w:p>
            <w:pPr>
              <w:pStyle w:val="56"/>
              <w:spacing w:line="240" w:lineRule="auto"/>
              <w:ind w:firstLine="0" w:firstLineChars="0"/>
              <w:jc w:val="center"/>
              <w:rPr>
                <w:rFonts w:ascii="仿宋_GB2312"/>
                <w:sz w:val="24"/>
                <w:szCs w:val="24"/>
              </w:rPr>
            </w:pPr>
            <w:r>
              <w:rPr>
                <w:sz w:val="24"/>
                <w:szCs w:val="24"/>
              </w:rPr>
              <w:t>2023</w:t>
            </w:r>
            <w:r>
              <w:rPr>
                <w:rFonts w:ascii="仿宋_GB2312"/>
                <w:sz w:val="24"/>
                <w:szCs w:val="24"/>
              </w:rPr>
              <w:t>年水稻“三控”施肥与节水灌溉技术集成示范项目</w:t>
            </w:r>
          </w:p>
        </w:tc>
        <w:tc>
          <w:tcPr>
            <w:tcW w:w="6237" w:type="dxa"/>
            <w:vAlign w:val="center"/>
          </w:tcPr>
          <w:p>
            <w:pPr>
              <w:pStyle w:val="56"/>
              <w:spacing w:line="240" w:lineRule="auto"/>
              <w:ind w:firstLine="0" w:firstLineChars="0"/>
              <w:jc w:val="left"/>
              <w:rPr>
                <w:rFonts w:ascii="仿宋_GB2312"/>
                <w:sz w:val="24"/>
                <w:szCs w:val="24"/>
              </w:rPr>
            </w:pPr>
            <w:r>
              <w:rPr>
                <w:rFonts w:ascii="仿宋_GB2312"/>
                <w:sz w:val="24"/>
                <w:szCs w:val="24"/>
              </w:rPr>
              <w:t>项目实施</w:t>
            </w:r>
            <w:r>
              <w:rPr>
                <w:rFonts w:hint="eastAsia" w:ascii="仿宋_GB2312"/>
                <w:sz w:val="24"/>
                <w:szCs w:val="24"/>
              </w:rPr>
              <w:t>内容：建设农业机械化技术推广示范基地，推广农业生产技术；</w:t>
            </w:r>
          </w:p>
          <w:p>
            <w:pPr>
              <w:pStyle w:val="56"/>
              <w:spacing w:line="240" w:lineRule="auto"/>
              <w:ind w:firstLine="0" w:firstLineChars="0"/>
              <w:jc w:val="left"/>
              <w:rPr>
                <w:rFonts w:ascii="仿宋_GB2312"/>
                <w:sz w:val="24"/>
                <w:szCs w:val="24"/>
              </w:rPr>
            </w:pPr>
            <w:r>
              <w:rPr>
                <w:rFonts w:hint="eastAsia" w:ascii="仿宋_GB2312"/>
                <w:sz w:val="24"/>
                <w:szCs w:val="24"/>
              </w:rPr>
              <w:t>产生效益：农业生产节本增效，具有正向的经济</w:t>
            </w:r>
            <w:r>
              <w:rPr>
                <w:rFonts w:ascii="仿宋_GB2312"/>
                <w:sz w:val="24"/>
                <w:szCs w:val="24"/>
              </w:rPr>
              <w:t>效益</w:t>
            </w:r>
            <w:r>
              <w:rPr>
                <w:rFonts w:hint="eastAsia" w:ascii="仿宋_GB2312"/>
                <w:sz w:val="24"/>
                <w:szCs w:val="24"/>
              </w:rPr>
              <w:t>；</w:t>
            </w:r>
          </w:p>
          <w:p>
            <w:pPr>
              <w:pStyle w:val="56"/>
              <w:spacing w:line="240" w:lineRule="auto"/>
              <w:ind w:firstLine="0" w:firstLineChars="0"/>
              <w:jc w:val="left"/>
              <w:rPr>
                <w:rFonts w:ascii="仿宋_GB2312"/>
                <w:sz w:val="24"/>
                <w:szCs w:val="24"/>
              </w:rPr>
            </w:pPr>
            <w:r>
              <w:rPr>
                <w:rFonts w:hint="eastAsia" w:ascii="仿宋_GB2312"/>
                <w:sz w:val="24"/>
                <w:szCs w:val="24"/>
              </w:rPr>
              <w:t>指标设置情况：</w:t>
            </w:r>
            <w:r>
              <w:rPr>
                <w:rFonts w:ascii="仿宋_GB2312"/>
                <w:sz w:val="24"/>
                <w:szCs w:val="24"/>
              </w:rPr>
              <w:t>未设置</w:t>
            </w:r>
            <w:r>
              <w:rPr>
                <w:rFonts w:hint="eastAsia" w:ascii="仿宋_GB2312"/>
                <w:sz w:val="24"/>
                <w:szCs w:val="24"/>
              </w:rPr>
              <w:t>经济</w:t>
            </w:r>
            <w:r>
              <w:rPr>
                <w:rFonts w:ascii="仿宋_GB2312"/>
                <w:sz w:val="24"/>
                <w:szCs w:val="24"/>
              </w:rPr>
              <w:t>效益指标</w:t>
            </w:r>
          </w:p>
        </w:tc>
      </w:tr>
    </w:tbl>
    <w:p>
      <w:pPr>
        <w:pStyle w:val="56"/>
        <w:ind w:left="0" w:leftChars="0" w:firstLine="643" w:firstLineChars="200"/>
        <w:rPr>
          <w:rFonts w:hint="eastAsia"/>
        </w:rPr>
      </w:pPr>
      <w:r>
        <w:rPr>
          <w:b/>
          <w:bCs w:val="0"/>
        </w:rPr>
        <w:t>二是部分项目的绩效指标设置不够合理，指标值设置不够精简。</w:t>
      </w:r>
      <w:r>
        <w:t>如2023年水稻“三控”施肥与节水灌溉技术集成示范项目设置的指标“成本支出率”与“资金支出率”考核相同的内容，考核内容重复设置指标。又如韶关市小型水库安全鉴定成果核查采购项目</w:t>
      </w:r>
      <w:r>
        <w:rPr>
          <w:rFonts w:hint="eastAsia"/>
        </w:rPr>
        <w:t>设置3个不同类型指标</w:t>
      </w:r>
      <w:r>
        <w:t>“受益群众满意度率”、“服务对象满意度”以及“运行管理单位满意度”均考核同一内容</w:t>
      </w:r>
      <w:r>
        <w:rPr>
          <w:rFonts w:hint="eastAsia"/>
        </w:rPr>
        <w:t>。</w:t>
      </w:r>
      <w:r>
        <w:t>再如韶关市水利在建工程核查服务项目</w:t>
      </w:r>
      <w:r>
        <w:rPr>
          <w:rFonts w:hint="eastAsia"/>
        </w:rPr>
        <w:t>设置</w:t>
      </w:r>
      <w:r>
        <w:t>数量指标“投资完成率”，从考核内容归类应为质量指标，指标归类错误。</w:t>
      </w:r>
      <w:r>
        <w:rPr>
          <w:rFonts w:hint="eastAsia"/>
        </w:rPr>
        <w:t>具体项目绩效指标设置信息见下表。</w:t>
      </w:r>
    </w:p>
    <w:p>
      <w:pPr>
        <w:pStyle w:val="56"/>
        <w:ind w:left="0" w:leftChars="0" w:firstLine="0" w:firstLineChars="0"/>
        <w:jc w:val="center"/>
        <w:rPr>
          <w:rFonts w:hint="eastAsia" w:ascii="黑体" w:hAnsi="黑体" w:eastAsia="黑体"/>
          <w:sz w:val="28"/>
          <w:szCs w:val="28"/>
        </w:rPr>
      </w:pPr>
      <w:r>
        <w:rPr>
          <w:rFonts w:ascii="黑体" w:hAnsi="黑体" w:eastAsia="黑体"/>
          <w:sz w:val="28"/>
          <w:szCs w:val="28"/>
        </w:rPr>
        <w:t>表</w:t>
      </w:r>
      <w:r>
        <w:rPr>
          <w:rFonts w:hint="eastAsia" w:ascii="黑体" w:hAnsi="黑体" w:eastAsia="黑体"/>
          <w:sz w:val="28"/>
          <w:szCs w:val="28"/>
        </w:rPr>
        <w:t>5</w:t>
      </w:r>
      <w:r>
        <w:rPr>
          <w:rFonts w:ascii="黑体" w:hAnsi="黑体" w:eastAsia="黑体"/>
          <w:sz w:val="28"/>
          <w:szCs w:val="28"/>
        </w:rPr>
        <w:t>-</w:t>
      </w:r>
      <w:r>
        <w:rPr>
          <w:rFonts w:hint="eastAsia" w:ascii="黑体" w:hAnsi="黑体" w:eastAsia="黑体"/>
          <w:sz w:val="28"/>
          <w:szCs w:val="28"/>
        </w:rPr>
        <w:t>3</w:t>
      </w:r>
      <w:r>
        <w:rPr>
          <w:rFonts w:ascii="黑体" w:hAnsi="黑体" w:eastAsia="黑体"/>
          <w:sz w:val="28"/>
          <w:szCs w:val="28"/>
        </w:rPr>
        <w:t xml:space="preserve"> </w:t>
      </w:r>
      <w:r>
        <w:rPr>
          <w:rFonts w:hint="eastAsia" w:ascii="黑体" w:hAnsi="黑体" w:eastAsia="黑体"/>
          <w:sz w:val="28"/>
          <w:szCs w:val="28"/>
        </w:rPr>
        <w:t>指标设置合理性分析</w:t>
      </w:r>
    </w:p>
    <w:tbl>
      <w:tblPr>
        <w:tblStyle w:val="17"/>
        <w:tblpPr w:leftFromText="180" w:rightFromText="180" w:vertAnchor="text" w:horzAnchor="page" w:tblpX="1779" w:tblpY="160"/>
        <w:tblOverlap w:val="never"/>
        <w:tblW w:w="5173"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18"/>
        <w:gridCol w:w="1705"/>
        <w:gridCol w:w="859"/>
        <w:gridCol w:w="3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tblHeader/>
        </w:trPr>
        <w:tc>
          <w:tcPr>
            <w:tcW w:w="2818" w:type="dxa"/>
            <w:shd w:val="clear" w:color="auto" w:fill="FEF2CC" w:themeFill="accent4" w:themeFillTint="33"/>
            <w:vAlign w:val="center"/>
          </w:tcPr>
          <w:p>
            <w:pPr>
              <w:pStyle w:val="60"/>
              <w:keepNext/>
              <w:keepLines/>
              <w:jc w:val="center"/>
            </w:pPr>
            <w:r>
              <w:rPr>
                <w:rFonts w:hint="eastAsia"/>
              </w:rPr>
              <w:t>项目名称</w:t>
            </w:r>
          </w:p>
        </w:tc>
        <w:tc>
          <w:tcPr>
            <w:tcW w:w="1705" w:type="dxa"/>
            <w:shd w:val="clear" w:color="auto" w:fill="FEF2CC" w:themeFill="accent4" w:themeFillTint="33"/>
            <w:vAlign w:val="center"/>
          </w:tcPr>
          <w:p>
            <w:pPr>
              <w:pStyle w:val="60"/>
              <w:keepNext/>
              <w:keepLines/>
              <w:jc w:val="center"/>
            </w:pPr>
            <w:r>
              <w:rPr>
                <w:rFonts w:hint="eastAsia"/>
              </w:rPr>
              <w:t>指标名称</w:t>
            </w:r>
          </w:p>
        </w:tc>
        <w:tc>
          <w:tcPr>
            <w:tcW w:w="859" w:type="dxa"/>
            <w:shd w:val="clear" w:color="auto" w:fill="FEF2CC" w:themeFill="accent4" w:themeFillTint="33"/>
            <w:vAlign w:val="center"/>
          </w:tcPr>
          <w:p>
            <w:pPr>
              <w:pStyle w:val="60"/>
              <w:keepNext/>
              <w:keepLines/>
              <w:jc w:val="center"/>
            </w:pPr>
            <w:r>
              <w:rPr>
                <w:rFonts w:hint="eastAsia"/>
              </w:rPr>
              <w:t>指标值</w:t>
            </w:r>
          </w:p>
        </w:tc>
        <w:tc>
          <w:tcPr>
            <w:tcW w:w="3436" w:type="dxa"/>
            <w:shd w:val="clear" w:color="auto" w:fill="FEF2CC" w:themeFill="accent4" w:themeFillTint="33"/>
            <w:vAlign w:val="center"/>
          </w:tcPr>
          <w:p>
            <w:pPr>
              <w:pStyle w:val="60"/>
              <w:keepNext/>
              <w:keepLines/>
              <w:jc w:val="center"/>
            </w:pPr>
            <w:r>
              <w:rPr>
                <w:rFonts w:hint="eastAsia"/>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818" w:type="dxa"/>
            <w:vAlign w:val="center"/>
          </w:tcPr>
          <w:p>
            <w:pPr>
              <w:pStyle w:val="60"/>
              <w:keepNext/>
              <w:keepLines/>
              <w:jc w:val="center"/>
              <w:rPr>
                <w:b w:val="0"/>
                <w:bCs/>
                <w:sz w:val="21"/>
                <w:szCs w:val="21"/>
              </w:rPr>
            </w:pPr>
            <w:r>
              <w:rPr>
                <w:rFonts w:hint="eastAsia"/>
                <w:b w:val="0"/>
                <w:bCs/>
                <w:sz w:val="21"/>
                <w:szCs w:val="21"/>
              </w:rPr>
              <w:t>2023年水稻“三控”施肥与节水灌溉技术集成示范项目</w:t>
            </w:r>
          </w:p>
        </w:tc>
        <w:tc>
          <w:tcPr>
            <w:tcW w:w="1705" w:type="dxa"/>
            <w:vAlign w:val="center"/>
          </w:tcPr>
          <w:p>
            <w:pPr>
              <w:pStyle w:val="60"/>
              <w:keepNext/>
              <w:keepLines/>
              <w:jc w:val="center"/>
              <w:rPr>
                <w:b w:val="0"/>
                <w:bCs/>
                <w:sz w:val="21"/>
                <w:szCs w:val="21"/>
              </w:rPr>
            </w:pPr>
            <w:r>
              <w:rPr>
                <w:rFonts w:hint="eastAsia"/>
                <w:b w:val="0"/>
                <w:bCs/>
                <w:sz w:val="21"/>
                <w:szCs w:val="21"/>
              </w:rPr>
              <w:t>成本支出率</w:t>
            </w:r>
          </w:p>
        </w:tc>
        <w:tc>
          <w:tcPr>
            <w:tcW w:w="859" w:type="dxa"/>
            <w:vAlign w:val="center"/>
          </w:tcPr>
          <w:p>
            <w:pPr>
              <w:pStyle w:val="60"/>
              <w:keepNext/>
              <w:keepLines/>
              <w:jc w:val="center"/>
              <w:rPr>
                <w:b w:val="0"/>
                <w:bCs/>
                <w:sz w:val="21"/>
                <w:szCs w:val="21"/>
              </w:rPr>
            </w:pPr>
            <w:r>
              <w:rPr>
                <w:rFonts w:hint="eastAsia"/>
                <w:b w:val="0"/>
                <w:bCs/>
                <w:sz w:val="21"/>
                <w:szCs w:val="21"/>
              </w:rPr>
              <w:t>100%</w:t>
            </w:r>
          </w:p>
        </w:tc>
        <w:tc>
          <w:tcPr>
            <w:tcW w:w="3436" w:type="dxa"/>
            <w:vAlign w:val="center"/>
          </w:tcPr>
          <w:p>
            <w:pPr>
              <w:pStyle w:val="60"/>
              <w:keepNext/>
              <w:keepLines/>
              <w:jc w:val="center"/>
              <w:rPr>
                <w:b w:val="0"/>
                <w:bCs/>
                <w:sz w:val="21"/>
                <w:szCs w:val="21"/>
              </w:rPr>
            </w:pPr>
            <w:r>
              <w:rPr>
                <w:rFonts w:hint="eastAsia"/>
                <w:b w:val="0"/>
                <w:bCs/>
                <w:sz w:val="21"/>
                <w:szCs w:val="21"/>
              </w:rPr>
              <w:t>与“资金支出率”考核同一内容，重复设置指标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6" w:hRule="atLeast"/>
        </w:trPr>
        <w:tc>
          <w:tcPr>
            <w:tcW w:w="2818" w:type="dxa"/>
            <w:vAlign w:val="center"/>
          </w:tcPr>
          <w:p>
            <w:pPr>
              <w:pStyle w:val="60"/>
              <w:keepNext/>
              <w:keepLines/>
              <w:jc w:val="center"/>
              <w:rPr>
                <w:b w:val="0"/>
                <w:bCs/>
                <w:sz w:val="21"/>
                <w:szCs w:val="21"/>
              </w:rPr>
            </w:pPr>
            <w:r>
              <w:rPr>
                <w:rFonts w:hint="eastAsia"/>
                <w:b w:val="0"/>
                <w:bCs/>
                <w:sz w:val="21"/>
                <w:szCs w:val="21"/>
              </w:rPr>
              <w:t>韶关市小型水库安全鉴定成果核查采购项目</w:t>
            </w:r>
          </w:p>
        </w:tc>
        <w:tc>
          <w:tcPr>
            <w:tcW w:w="1705" w:type="dxa"/>
            <w:vAlign w:val="center"/>
          </w:tcPr>
          <w:p>
            <w:pPr>
              <w:pStyle w:val="60"/>
              <w:keepNext/>
              <w:keepLines/>
              <w:jc w:val="center"/>
              <w:rPr>
                <w:b w:val="0"/>
                <w:bCs/>
                <w:sz w:val="21"/>
                <w:szCs w:val="21"/>
              </w:rPr>
            </w:pPr>
            <w:r>
              <w:rPr>
                <w:rFonts w:hint="eastAsia"/>
                <w:b w:val="0"/>
                <w:bCs/>
                <w:sz w:val="21"/>
                <w:szCs w:val="21"/>
              </w:rPr>
              <w:t>受益群众满意度率</w:t>
            </w:r>
          </w:p>
        </w:tc>
        <w:tc>
          <w:tcPr>
            <w:tcW w:w="859" w:type="dxa"/>
            <w:vAlign w:val="center"/>
          </w:tcPr>
          <w:p>
            <w:pPr>
              <w:pStyle w:val="60"/>
              <w:keepNext/>
              <w:keepLines/>
              <w:jc w:val="center"/>
              <w:rPr>
                <w:b w:val="0"/>
                <w:bCs/>
                <w:sz w:val="21"/>
                <w:szCs w:val="21"/>
              </w:rPr>
            </w:pPr>
            <w:r>
              <w:rPr>
                <w:rFonts w:hint="eastAsia"/>
                <w:b w:val="0"/>
                <w:bCs/>
                <w:sz w:val="21"/>
                <w:szCs w:val="21"/>
              </w:rPr>
              <w:t>100%</w:t>
            </w:r>
          </w:p>
        </w:tc>
        <w:tc>
          <w:tcPr>
            <w:tcW w:w="3436" w:type="dxa"/>
            <w:vAlign w:val="center"/>
          </w:tcPr>
          <w:p>
            <w:pPr>
              <w:pStyle w:val="60"/>
              <w:keepNext/>
              <w:keepLines/>
              <w:jc w:val="center"/>
              <w:rPr>
                <w:b w:val="0"/>
                <w:bCs/>
                <w:sz w:val="21"/>
                <w:szCs w:val="21"/>
              </w:rPr>
            </w:pPr>
            <w:r>
              <w:rPr>
                <w:rFonts w:hint="eastAsia"/>
                <w:b w:val="0"/>
                <w:bCs/>
                <w:sz w:val="21"/>
                <w:szCs w:val="21"/>
              </w:rPr>
              <w:t>与满意度指标“服务对象满意度”和满意度指标“运行管理单位满意度”考核同一内容，指标重复设置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8" w:hRule="atLeast"/>
        </w:trPr>
        <w:tc>
          <w:tcPr>
            <w:tcW w:w="2818" w:type="dxa"/>
            <w:vAlign w:val="center"/>
          </w:tcPr>
          <w:p>
            <w:pPr>
              <w:pStyle w:val="60"/>
              <w:keepNext/>
              <w:keepLines/>
              <w:jc w:val="center"/>
              <w:rPr>
                <w:b w:val="0"/>
                <w:bCs/>
                <w:sz w:val="21"/>
                <w:szCs w:val="21"/>
              </w:rPr>
            </w:pPr>
            <w:r>
              <w:rPr>
                <w:rFonts w:hint="eastAsia"/>
                <w:b w:val="0"/>
                <w:bCs/>
                <w:sz w:val="21"/>
                <w:szCs w:val="21"/>
              </w:rPr>
              <w:t>韶关市水利在建工程核查服务项目</w:t>
            </w:r>
          </w:p>
        </w:tc>
        <w:tc>
          <w:tcPr>
            <w:tcW w:w="1705" w:type="dxa"/>
            <w:vAlign w:val="center"/>
          </w:tcPr>
          <w:p>
            <w:pPr>
              <w:pStyle w:val="60"/>
              <w:keepNext/>
              <w:keepLines/>
              <w:jc w:val="center"/>
              <w:rPr>
                <w:b w:val="0"/>
                <w:bCs/>
                <w:sz w:val="21"/>
                <w:szCs w:val="21"/>
              </w:rPr>
            </w:pPr>
            <w:r>
              <w:rPr>
                <w:rFonts w:hint="eastAsia"/>
                <w:b w:val="0"/>
                <w:bCs/>
                <w:sz w:val="21"/>
                <w:szCs w:val="21"/>
              </w:rPr>
              <w:t>投资完成率</w:t>
            </w:r>
          </w:p>
        </w:tc>
        <w:tc>
          <w:tcPr>
            <w:tcW w:w="859" w:type="dxa"/>
            <w:vAlign w:val="center"/>
          </w:tcPr>
          <w:p>
            <w:pPr>
              <w:pStyle w:val="60"/>
              <w:keepNext/>
              <w:keepLines/>
              <w:jc w:val="center"/>
              <w:rPr>
                <w:b w:val="0"/>
                <w:bCs/>
                <w:sz w:val="21"/>
                <w:szCs w:val="21"/>
              </w:rPr>
            </w:pPr>
            <w:r>
              <w:rPr>
                <w:rFonts w:hint="eastAsia"/>
                <w:b w:val="0"/>
                <w:bCs/>
                <w:sz w:val="21"/>
                <w:szCs w:val="21"/>
              </w:rPr>
              <w:t>100%</w:t>
            </w:r>
          </w:p>
        </w:tc>
        <w:tc>
          <w:tcPr>
            <w:tcW w:w="3436" w:type="dxa"/>
            <w:vAlign w:val="center"/>
          </w:tcPr>
          <w:p>
            <w:pPr>
              <w:pStyle w:val="60"/>
              <w:keepNext/>
              <w:keepLines/>
              <w:jc w:val="center"/>
              <w:rPr>
                <w:b w:val="0"/>
                <w:bCs/>
                <w:sz w:val="21"/>
                <w:szCs w:val="21"/>
              </w:rPr>
            </w:pPr>
            <w:r>
              <w:rPr>
                <w:rFonts w:hint="eastAsia"/>
                <w:b w:val="0"/>
                <w:bCs/>
                <w:sz w:val="21"/>
                <w:szCs w:val="21"/>
              </w:rPr>
              <w:t>数量指标，结合考核内容判断其为质量指标，指标归类错误</w:t>
            </w:r>
          </w:p>
        </w:tc>
      </w:tr>
    </w:tbl>
    <w:p>
      <w:pPr>
        <w:pStyle w:val="56"/>
        <w:ind w:left="0" w:leftChars="0" w:firstLine="643" w:firstLineChars="200"/>
      </w:pPr>
      <w:r>
        <w:rPr>
          <w:b/>
          <w:bCs w:val="0"/>
        </w:rPr>
        <w:t>三是部分项目的绩效指标可衡量性不足，绩效指标累赘</w:t>
      </w:r>
      <w:r>
        <w:rPr>
          <w:rFonts w:hint="eastAsia"/>
          <w:b/>
          <w:bCs w:val="0"/>
        </w:rPr>
        <w:t>且</w:t>
      </w:r>
      <w:r>
        <w:rPr>
          <w:b/>
          <w:bCs w:val="0"/>
        </w:rPr>
        <w:t>无法明确考核内容。</w:t>
      </w:r>
      <w:r>
        <w:t>如2023年实行最严格水资源管理制度补短板项目</w:t>
      </w:r>
      <w:r>
        <w:rPr>
          <w:rFonts w:hint="eastAsia"/>
        </w:rPr>
        <w:t>和</w:t>
      </w:r>
      <w:r>
        <w:t>2023年韶关市水旱灾害防御体系标准化建设项目</w:t>
      </w:r>
      <w:r>
        <w:rPr>
          <w:rFonts w:hint="eastAsia"/>
        </w:rPr>
        <w:t>个别</w:t>
      </w:r>
      <w:r>
        <w:t>社会效益指标难以衡量。2023年韶关市陆生及水生动物疫病监测项目和2023年韶关市农产品质量安全风险监测项目，两个项目的社会效益均包含多个考核内容，无法明确考核对象及考核内容。又如2023年市级取用水管理专项整治行动采购服务项目</w:t>
      </w:r>
      <w:r>
        <w:rPr>
          <w:rFonts w:hint="eastAsia"/>
        </w:rPr>
        <w:t>个别</w:t>
      </w:r>
      <w:r>
        <w:t>社会效益指标不够简练，无法直观明确指标的考核内容。</w:t>
      </w:r>
      <w:r>
        <w:rPr>
          <w:rFonts w:hint="eastAsia"/>
        </w:rPr>
        <w:t>具体项目绩效指标设置信息见下表。</w:t>
      </w:r>
    </w:p>
    <w:p>
      <w:pPr>
        <w:pStyle w:val="56"/>
        <w:ind w:firstLine="560"/>
        <w:jc w:val="center"/>
        <w:rPr>
          <w:rFonts w:hint="eastAsia" w:ascii="黑体" w:hAnsi="黑体" w:eastAsia="黑体"/>
          <w:sz w:val="28"/>
          <w:szCs w:val="28"/>
        </w:rPr>
      </w:pPr>
      <w:r>
        <w:rPr>
          <w:rFonts w:ascii="黑体" w:hAnsi="黑体" w:eastAsia="黑体"/>
          <w:sz w:val="28"/>
          <w:szCs w:val="28"/>
        </w:rPr>
        <w:t>表</w:t>
      </w:r>
      <w:r>
        <w:rPr>
          <w:rFonts w:hint="eastAsia" w:ascii="黑体" w:hAnsi="黑体" w:eastAsia="黑体"/>
          <w:sz w:val="28"/>
          <w:szCs w:val="28"/>
        </w:rPr>
        <w:t>5</w:t>
      </w:r>
      <w:r>
        <w:rPr>
          <w:rFonts w:ascii="黑体" w:hAnsi="黑体" w:eastAsia="黑体"/>
          <w:sz w:val="28"/>
          <w:szCs w:val="28"/>
        </w:rPr>
        <w:t>-</w:t>
      </w:r>
      <w:r>
        <w:rPr>
          <w:rFonts w:hint="eastAsia" w:ascii="黑体" w:hAnsi="黑体" w:eastAsia="黑体"/>
          <w:sz w:val="28"/>
          <w:szCs w:val="28"/>
        </w:rPr>
        <w:t>4</w:t>
      </w:r>
      <w:r>
        <w:rPr>
          <w:rFonts w:ascii="黑体" w:hAnsi="黑体" w:eastAsia="黑体"/>
          <w:sz w:val="28"/>
          <w:szCs w:val="28"/>
        </w:rPr>
        <w:t xml:space="preserve"> </w:t>
      </w:r>
      <w:r>
        <w:rPr>
          <w:rFonts w:hint="eastAsia" w:ascii="黑体" w:hAnsi="黑体" w:eastAsia="黑体"/>
          <w:sz w:val="28"/>
          <w:szCs w:val="28"/>
        </w:rPr>
        <w:t>指标设置可衡量性分析</w:t>
      </w:r>
    </w:p>
    <w:tbl>
      <w:tblPr>
        <w:tblStyle w:val="1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2476"/>
        <w:gridCol w:w="1165"/>
        <w:gridCol w:w="2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980" w:type="dxa"/>
            <w:shd w:val="clear" w:color="auto" w:fill="FEF2CC" w:themeFill="accent4" w:themeFillTint="33"/>
            <w:vAlign w:val="center"/>
          </w:tcPr>
          <w:p>
            <w:pPr>
              <w:pStyle w:val="60"/>
            </w:pPr>
            <w:r>
              <w:rPr>
                <w:rFonts w:hint="eastAsia"/>
              </w:rPr>
              <w:t>项目名称</w:t>
            </w:r>
          </w:p>
        </w:tc>
        <w:tc>
          <w:tcPr>
            <w:tcW w:w="2410" w:type="dxa"/>
            <w:shd w:val="clear" w:color="auto" w:fill="FEF2CC" w:themeFill="accent4" w:themeFillTint="33"/>
            <w:vAlign w:val="center"/>
          </w:tcPr>
          <w:p>
            <w:pPr>
              <w:pStyle w:val="60"/>
            </w:pPr>
            <w:r>
              <w:rPr>
                <w:rFonts w:hint="eastAsia"/>
              </w:rPr>
              <w:t>指标名称</w:t>
            </w:r>
          </w:p>
        </w:tc>
        <w:tc>
          <w:tcPr>
            <w:tcW w:w="1134" w:type="dxa"/>
            <w:shd w:val="clear" w:color="auto" w:fill="FEF2CC" w:themeFill="accent4" w:themeFillTint="33"/>
          </w:tcPr>
          <w:p>
            <w:pPr>
              <w:pStyle w:val="60"/>
            </w:pPr>
            <w:r>
              <w:rPr>
                <w:rFonts w:hint="eastAsia"/>
              </w:rPr>
              <w:t>指标值</w:t>
            </w:r>
          </w:p>
        </w:tc>
        <w:tc>
          <w:tcPr>
            <w:tcW w:w="2772" w:type="dxa"/>
            <w:shd w:val="clear" w:color="auto" w:fill="FEF2CC" w:themeFill="accent4" w:themeFillTint="33"/>
          </w:tcPr>
          <w:p>
            <w:pPr>
              <w:pStyle w:val="60"/>
            </w:pPr>
            <w:r>
              <w:rPr>
                <w:rFonts w:hint="eastAsia"/>
              </w:rPr>
              <w:t>存在问题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pStyle w:val="60"/>
              <w:rPr>
                <w:b w:val="0"/>
                <w:bCs/>
                <w:sz w:val="21"/>
                <w:szCs w:val="21"/>
              </w:rPr>
            </w:pPr>
            <w:r>
              <w:rPr>
                <w:rFonts w:hint="eastAsia"/>
                <w:b w:val="0"/>
                <w:bCs/>
                <w:sz w:val="21"/>
                <w:szCs w:val="21"/>
              </w:rPr>
              <w:t>2023年实行最严格水资源管理制度补短板项目</w:t>
            </w:r>
          </w:p>
        </w:tc>
        <w:tc>
          <w:tcPr>
            <w:tcW w:w="2410" w:type="dxa"/>
            <w:vAlign w:val="center"/>
          </w:tcPr>
          <w:p>
            <w:pPr>
              <w:pStyle w:val="60"/>
              <w:rPr>
                <w:b w:val="0"/>
                <w:bCs/>
                <w:sz w:val="21"/>
                <w:szCs w:val="21"/>
              </w:rPr>
            </w:pPr>
            <w:r>
              <w:rPr>
                <w:rFonts w:hint="eastAsia"/>
                <w:b w:val="0"/>
                <w:bCs/>
                <w:sz w:val="21"/>
                <w:szCs w:val="21"/>
              </w:rPr>
              <w:t>保障人民财产安全，促进社会稳定</w:t>
            </w:r>
          </w:p>
        </w:tc>
        <w:tc>
          <w:tcPr>
            <w:tcW w:w="1134" w:type="dxa"/>
            <w:vAlign w:val="center"/>
          </w:tcPr>
          <w:p>
            <w:pPr>
              <w:pStyle w:val="60"/>
              <w:rPr>
                <w:b w:val="0"/>
                <w:bCs/>
                <w:sz w:val="21"/>
                <w:szCs w:val="21"/>
              </w:rPr>
            </w:pPr>
            <w:r>
              <w:rPr>
                <w:rFonts w:hint="eastAsia"/>
                <w:b w:val="0"/>
                <w:bCs/>
                <w:sz w:val="21"/>
                <w:szCs w:val="21"/>
              </w:rPr>
              <w:t>保障</w:t>
            </w:r>
          </w:p>
        </w:tc>
        <w:tc>
          <w:tcPr>
            <w:tcW w:w="2772" w:type="dxa"/>
            <w:vAlign w:val="center"/>
          </w:tcPr>
          <w:p>
            <w:pPr>
              <w:pStyle w:val="60"/>
              <w:jc w:val="both"/>
              <w:rPr>
                <w:b w:val="0"/>
                <w:bCs/>
                <w:sz w:val="21"/>
                <w:szCs w:val="21"/>
              </w:rPr>
            </w:pPr>
            <w:r>
              <w:rPr>
                <w:rFonts w:hint="eastAsia"/>
                <w:b w:val="0"/>
                <w:bCs/>
                <w:sz w:val="21"/>
                <w:szCs w:val="21"/>
              </w:rPr>
              <w:t>指标与项目目标效益无直接关系，且难以量化衡量指标完成情况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pStyle w:val="60"/>
              <w:rPr>
                <w:b w:val="0"/>
                <w:bCs/>
                <w:sz w:val="21"/>
                <w:szCs w:val="21"/>
              </w:rPr>
            </w:pPr>
            <w:r>
              <w:rPr>
                <w:rFonts w:hint="eastAsia"/>
                <w:b w:val="0"/>
                <w:bCs/>
                <w:sz w:val="21"/>
                <w:szCs w:val="21"/>
              </w:rPr>
              <w:t>2023年韶关市水旱灾害防御体系标准化建设项目</w:t>
            </w:r>
          </w:p>
        </w:tc>
        <w:tc>
          <w:tcPr>
            <w:tcW w:w="2410" w:type="dxa"/>
            <w:vAlign w:val="center"/>
          </w:tcPr>
          <w:p>
            <w:pPr>
              <w:pStyle w:val="60"/>
              <w:rPr>
                <w:b w:val="0"/>
                <w:bCs/>
                <w:sz w:val="21"/>
                <w:szCs w:val="21"/>
              </w:rPr>
            </w:pPr>
            <w:r>
              <w:rPr>
                <w:rFonts w:hint="eastAsia"/>
                <w:b w:val="0"/>
                <w:bCs/>
                <w:sz w:val="21"/>
                <w:szCs w:val="21"/>
              </w:rPr>
              <w:t>提高管理、决策和支撑服务水平</w:t>
            </w:r>
          </w:p>
        </w:tc>
        <w:tc>
          <w:tcPr>
            <w:tcW w:w="1134" w:type="dxa"/>
            <w:vAlign w:val="center"/>
          </w:tcPr>
          <w:p>
            <w:pPr>
              <w:pStyle w:val="60"/>
              <w:rPr>
                <w:b w:val="0"/>
                <w:bCs/>
                <w:sz w:val="21"/>
                <w:szCs w:val="21"/>
              </w:rPr>
            </w:pPr>
            <w:r>
              <w:rPr>
                <w:rFonts w:hint="eastAsia"/>
                <w:b w:val="0"/>
                <w:bCs/>
                <w:sz w:val="21"/>
                <w:szCs w:val="21"/>
              </w:rPr>
              <w:t>提高</w:t>
            </w:r>
          </w:p>
        </w:tc>
        <w:tc>
          <w:tcPr>
            <w:tcW w:w="2772" w:type="dxa"/>
            <w:vAlign w:val="center"/>
          </w:tcPr>
          <w:p>
            <w:pPr>
              <w:pStyle w:val="60"/>
              <w:jc w:val="both"/>
              <w:rPr>
                <w:b w:val="0"/>
                <w:bCs/>
                <w:sz w:val="21"/>
                <w:szCs w:val="21"/>
              </w:rPr>
            </w:pPr>
            <w:r>
              <w:rPr>
                <w:rFonts w:hint="eastAsia"/>
                <w:b w:val="0"/>
                <w:bCs/>
                <w:sz w:val="21"/>
                <w:szCs w:val="21"/>
              </w:rPr>
              <w:t>无法量化衡量指标值完成情况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80" w:type="dxa"/>
            <w:vAlign w:val="center"/>
          </w:tcPr>
          <w:p>
            <w:pPr>
              <w:pStyle w:val="60"/>
              <w:rPr>
                <w:b w:val="0"/>
                <w:bCs/>
                <w:sz w:val="21"/>
                <w:szCs w:val="21"/>
              </w:rPr>
            </w:pPr>
            <w:r>
              <w:rPr>
                <w:rFonts w:hint="eastAsia"/>
                <w:b w:val="0"/>
                <w:bCs/>
                <w:sz w:val="21"/>
                <w:szCs w:val="21"/>
              </w:rPr>
              <w:t>2023年韶关市陆生及水生动物疫病监测项目</w:t>
            </w:r>
          </w:p>
        </w:tc>
        <w:tc>
          <w:tcPr>
            <w:tcW w:w="2410" w:type="dxa"/>
            <w:vAlign w:val="center"/>
          </w:tcPr>
          <w:p>
            <w:pPr>
              <w:pStyle w:val="60"/>
              <w:rPr>
                <w:b w:val="0"/>
                <w:bCs/>
                <w:sz w:val="21"/>
                <w:szCs w:val="21"/>
              </w:rPr>
            </w:pPr>
            <w:r>
              <w:rPr>
                <w:rFonts w:hint="eastAsia"/>
                <w:b w:val="0"/>
                <w:bCs/>
                <w:sz w:val="21"/>
                <w:szCs w:val="21"/>
              </w:rPr>
              <w:t>不发生重大动物疫情，有效控制陆生、水生动物疫情的扩散、蔓延</w:t>
            </w:r>
          </w:p>
        </w:tc>
        <w:tc>
          <w:tcPr>
            <w:tcW w:w="1134" w:type="dxa"/>
            <w:vAlign w:val="center"/>
          </w:tcPr>
          <w:p>
            <w:pPr>
              <w:pStyle w:val="60"/>
              <w:rPr>
                <w:b w:val="0"/>
                <w:bCs/>
                <w:sz w:val="21"/>
                <w:szCs w:val="21"/>
              </w:rPr>
            </w:pPr>
            <w:r>
              <w:rPr>
                <w:rFonts w:hint="eastAsia"/>
                <w:b w:val="0"/>
                <w:bCs/>
                <w:sz w:val="21"/>
                <w:szCs w:val="21"/>
              </w:rPr>
              <w:t>能</w:t>
            </w:r>
          </w:p>
        </w:tc>
        <w:tc>
          <w:tcPr>
            <w:tcW w:w="2772" w:type="dxa"/>
            <w:vAlign w:val="center"/>
          </w:tcPr>
          <w:p>
            <w:pPr>
              <w:pStyle w:val="60"/>
              <w:jc w:val="both"/>
              <w:rPr>
                <w:b w:val="0"/>
                <w:bCs/>
                <w:sz w:val="21"/>
                <w:szCs w:val="21"/>
              </w:rPr>
            </w:pPr>
            <w:r>
              <w:rPr>
                <w:rFonts w:hint="eastAsia"/>
                <w:b w:val="0"/>
                <w:bCs/>
                <w:sz w:val="21"/>
                <w:szCs w:val="21"/>
              </w:rPr>
              <w:t>包含多个考核内容，考核对象不明确，且难以量化衡量指标完成情况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pStyle w:val="60"/>
              <w:rPr>
                <w:b w:val="0"/>
                <w:bCs/>
                <w:sz w:val="21"/>
                <w:szCs w:val="21"/>
              </w:rPr>
            </w:pPr>
            <w:r>
              <w:rPr>
                <w:rFonts w:hint="eastAsia"/>
                <w:b w:val="0"/>
                <w:bCs/>
                <w:sz w:val="21"/>
                <w:szCs w:val="21"/>
              </w:rPr>
              <w:t>2023年韶关市农产品质量安全风险监测项目</w:t>
            </w:r>
          </w:p>
        </w:tc>
        <w:tc>
          <w:tcPr>
            <w:tcW w:w="2410" w:type="dxa"/>
            <w:vAlign w:val="center"/>
          </w:tcPr>
          <w:p>
            <w:pPr>
              <w:pStyle w:val="60"/>
              <w:rPr>
                <w:b w:val="0"/>
                <w:bCs/>
                <w:sz w:val="21"/>
                <w:szCs w:val="21"/>
              </w:rPr>
            </w:pPr>
            <w:r>
              <w:rPr>
                <w:rFonts w:hint="eastAsia"/>
                <w:b w:val="0"/>
                <w:bCs/>
                <w:sz w:val="21"/>
                <w:szCs w:val="21"/>
              </w:rPr>
              <w:t>及时发现农产品质量安全风险，杜绝重大质量安全事件发生</w:t>
            </w:r>
          </w:p>
        </w:tc>
        <w:tc>
          <w:tcPr>
            <w:tcW w:w="1134" w:type="dxa"/>
            <w:vAlign w:val="center"/>
          </w:tcPr>
          <w:p>
            <w:pPr>
              <w:pStyle w:val="60"/>
              <w:rPr>
                <w:b w:val="0"/>
                <w:bCs/>
                <w:sz w:val="21"/>
                <w:szCs w:val="21"/>
              </w:rPr>
            </w:pPr>
            <w:r>
              <w:rPr>
                <w:rFonts w:hint="eastAsia"/>
                <w:b w:val="0"/>
                <w:bCs/>
                <w:sz w:val="21"/>
                <w:szCs w:val="21"/>
              </w:rPr>
              <w:t>无重大质量安全事件发生</w:t>
            </w:r>
          </w:p>
        </w:tc>
        <w:tc>
          <w:tcPr>
            <w:tcW w:w="2772" w:type="dxa"/>
            <w:vAlign w:val="center"/>
          </w:tcPr>
          <w:p>
            <w:pPr>
              <w:pStyle w:val="60"/>
              <w:jc w:val="both"/>
              <w:rPr>
                <w:b w:val="0"/>
                <w:bCs/>
                <w:sz w:val="21"/>
                <w:szCs w:val="21"/>
              </w:rPr>
            </w:pPr>
            <w:r>
              <w:rPr>
                <w:rFonts w:hint="eastAsia"/>
                <w:b w:val="0"/>
                <w:bCs/>
                <w:sz w:val="21"/>
                <w:szCs w:val="21"/>
              </w:rPr>
              <w:t>包含多个考核内容，考核对象不明确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0" w:type="dxa"/>
            <w:vAlign w:val="center"/>
          </w:tcPr>
          <w:p>
            <w:pPr>
              <w:pStyle w:val="60"/>
              <w:rPr>
                <w:b w:val="0"/>
                <w:bCs/>
                <w:sz w:val="21"/>
                <w:szCs w:val="21"/>
              </w:rPr>
            </w:pPr>
            <w:r>
              <w:rPr>
                <w:rFonts w:hint="eastAsia"/>
                <w:b w:val="0"/>
                <w:bCs/>
                <w:sz w:val="21"/>
                <w:szCs w:val="21"/>
              </w:rPr>
              <w:t>2023年市级取用水管理专项整治行动采购服务项目</w:t>
            </w:r>
          </w:p>
        </w:tc>
        <w:tc>
          <w:tcPr>
            <w:tcW w:w="2410" w:type="dxa"/>
            <w:vAlign w:val="center"/>
          </w:tcPr>
          <w:p>
            <w:pPr>
              <w:pStyle w:val="60"/>
              <w:rPr>
                <w:b w:val="0"/>
                <w:bCs/>
                <w:sz w:val="21"/>
                <w:szCs w:val="21"/>
              </w:rPr>
            </w:pPr>
            <w:r>
              <w:rPr>
                <w:rFonts w:hint="eastAsia"/>
                <w:b w:val="0"/>
                <w:bCs/>
                <w:sz w:val="21"/>
                <w:szCs w:val="21"/>
              </w:rPr>
              <w:t>为水资源管理、水资源保护、水生态文明建设、水利相关规划及相关部门决策等方面工作提供了基础数据与信息</w:t>
            </w:r>
          </w:p>
        </w:tc>
        <w:tc>
          <w:tcPr>
            <w:tcW w:w="1134" w:type="dxa"/>
            <w:vAlign w:val="center"/>
          </w:tcPr>
          <w:p>
            <w:pPr>
              <w:pStyle w:val="60"/>
              <w:rPr>
                <w:b w:val="0"/>
                <w:bCs/>
                <w:sz w:val="21"/>
                <w:szCs w:val="21"/>
              </w:rPr>
            </w:pPr>
            <w:r>
              <w:rPr>
                <w:rFonts w:hint="eastAsia"/>
                <w:b w:val="0"/>
                <w:bCs/>
                <w:sz w:val="21"/>
                <w:szCs w:val="21"/>
              </w:rPr>
              <w:t>及时准确提供基础数据与信息</w:t>
            </w:r>
          </w:p>
        </w:tc>
        <w:tc>
          <w:tcPr>
            <w:tcW w:w="2772" w:type="dxa"/>
            <w:vAlign w:val="center"/>
          </w:tcPr>
          <w:p>
            <w:pPr>
              <w:pStyle w:val="60"/>
              <w:jc w:val="both"/>
              <w:rPr>
                <w:b w:val="0"/>
                <w:bCs/>
                <w:sz w:val="21"/>
                <w:szCs w:val="21"/>
              </w:rPr>
            </w:pPr>
            <w:r>
              <w:rPr>
                <w:rFonts w:hint="eastAsia"/>
                <w:b w:val="0"/>
                <w:bCs/>
                <w:sz w:val="21"/>
                <w:szCs w:val="21"/>
              </w:rPr>
              <w:t>指标名称不够简练，无法明确考核内容，且难以量化衡量指标完成情况</w:t>
            </w:r>
          </w:p>
        </w:tc>
      </w:tr>
    </w:tbl>
    <w:p>
      <w:pPr>
        <w:pStyle w:val="37"/>
        <w:ind w:left="0" w:leftChars="0" w:firstLine="643" w:firstLineChars="200"/>
      </w:pPr>
      <w:bookmarkStart w:id="73" w:name="_Toc181896211"/>
      <w:r>
        <w:t>六、改进建议</w:t>
      </w:r>
      <w:bookmarkEnd w:id="73"/>
    </w:p>
    <w:p>
      <w:pPr>
        <w:pStyle w:val="38"/>
        <w:ind w:firstLine="643"/>
        <w:rPr>
          <w:rFonts w:ascii="Times New Roman" w:hAnsi="Times New Roman"/>
        </w:rPr>
      </w:pPr>
      <w:bookmarkStart w:id="74" w:name="_Toc181896212"/>
      <w:r>
        <w:rPr>
          <w:rFonts w:ascii="Times New Roman" w:hAnsi="Times New Roman"/>
        </w:rPr>
        <w:t>（</w:t>
      </w:r>
      <w:r>
        <w:rPr>
          <w:rFonts w:hint="eastAsia" w:ascii="Times New Roman" w:hAnsi="Times New Roman"/>
        </w:rPr>
        <w:t>一</w:t>
      </w:r>
      <w:r>
        <w:rPr>
          <w:rFonts w:ascii="Times New Roman" w:hAnsi="Times New Roman"/>
        </w:rPr>
        <w:t>）</w:t>
      </w:r>
      <w:r>
        <w:rPr>
          <w:rFonts w:hint="eastAsia" w:ascii="Times New Roman" w:hAnsi="Times New Roman"/>
        </w:rPr>
        <w:t>优化资金管理模式，做好做实项目储备</w:t>
      </w:r>
      <w:bookmarkEnd w:id="74"/>
    </w:p>
    <w:p>
      <w:pPr>
        <w:spacing w:line="560" w:lineRule="exact"/>
        <w:ind w:firstLine="640" w:firstLineChars="200"/>
        <w:rPr>
          <w:sz w:val="32"/>
          <w:szCs w:val="32"/>
        </w:rPr>
      </w:pPr>
      <w:r>
        <w:rPr>
          <w:sz w:val="32"/>
          <w:szCs w:val="32"/>
        </w:rPr>
        <w:t>一是</w:t>
      </w:r>
      <w:r>
        <w:rPr>
          <w:rFonts w:hint="eastAsia"/>
          <w:sz w:val="32"/>
          <w:szCs w:val="32"/>
        </w:rPr>
        <w:t>明确涉农资金分配机制。一方面完善考核成果与资金分配挂钩机制，结合上一年涉农任务</w:t>
      </w:r>
      <w:r>
        <w:rPr>
          <w:sz w:val="32"/>
          <w:szCs w:val="32"/>
        </w:rPr>
        <w:t>评估</w:t>
      </w:r>
      <w:r>
        <w:rPr>
          <w:rFonts w:hint="eastAsia"/>
          <w:sz w:val="32"/>
          <w:szCs w:val="32"/>
        </w:rPr>
        <w:t>成果进行</w:t>
      </w:r>
      <w:r>
        <w:rPr>
          <w:sz w:val="32"/>
          <w:szCs w:val="32"/>
        </w:rPr>
        <w:t>资金分配，</w:t>
      </w:r>
      <w:r>
        <w:rPr>
          <w:rFonts w:hint="eastAsia"/>
          <w:sz w:val="32"/>
          <w:szCs w:val="32"/>
        </w:rPr>
        <w:t>加强资金分配与任务清单的衔接匹配，确保资金投入与任务相统一。另一方面说明资金分配的决策标准，明确各部门、各项目资金分配的具体依据和计算方法，包括资金分配原则、分配比例、方式和程序等，确保资金投向有明确的佐证材料支持，资金分配公开透明。</w:t>
      </w:r>
    </w:p>
    <w:p>
      <w:pPr>
        <w:pStyle w:val="56"/>
        <w:ind w:firstLine="640"/>
      </w:pPr>
      <w:r>
        <w:t>二是</w:t>
      </w:r>
      <w:r>
        <w:rPr>
          <w:rFonts w:hint="eastAsia"/>
        </w:rPr>
        <w:t>做好资金整合与项目优化。一方面，明确涉农资金支持范围，按照资金投入渠道、项目支持领域、扶持重点和受益对象进行分类，并根据不同类别的项目特点，进行科学合理的规划，明确申报要求，明确资金不得用于与涉农不直接相关的部门考核任务项目。另一方面，针对当前涉农资金分散、项目弱小等问题，建议突出统筹管理，做优做实项目库。结合韶关市乡村振兴战略实施方案，积极引导涉农资金向重点领域、重大工程、主导产业倾斜，发挥有限资金的集群效应。同时加强项目库管理，提前一年储备具备实施条件的项目，对项目库内的项目实施动态管理，加强不同部门、不同年度间项目库的衔接，归并重复设置的涉农项目，对于已经投入使用但效益不佳或已过时、无后续发展空间的项目，要及时予以清理和撤销。</w:t>
      </w:r>
    </w:p>
    <w:p>
      <w:pPr>
        <w:pStyle w:val="38"/>
        <w:ind w:firstLine="643"/>
        <w:rPr>
          <w:rFonts w:ascii="Times New Roman" w:hAnsi="Times New Roman"/>
        </w:rPr>
      </w:pPr>
      <w:bookmarkStart w:id="75" w:name="_Toc181896213"/>
      <w:r>
        <w:rPr>
          <w:rFonts w:ascii="Times New Roman" w:hAnsi="Times New Roman"/>
        </w:rPr>
        <w:t>（</w:t>
      </w:r>
      <w:r>
        <w:rPr>
          <w:rFonts w:hint="eastAsia" w:ascii="Times New Roman" w:hAnsi="Times New Roman"/>
        </w:rPr>
        <w:t>二</w:t>
      </w:r>
      <w:r>
        <w:rPr>
          <w:rFonts w:ascii="Times New Roman" w:hAnsi="Times New Roman"/>
        </w:rPr>
        <w:t>）</w:t>
      </w:r>
      <w:r>
        <w:rPr>
          <w:rFonts w:hint="eastAsia" w:ascii="Times New Roman" w:hAnsi="Times New Roman"/>
        </w:rPr>
        <w:t>强化项目流程管理，确保合规性与时效性</w:t>
      </w:r>
      <w:bookmarkEnd w:id="75"/>
    </w:p>
    <w:p>
      <w:pPr>
        <w:pStyle w:val="56"/>
        <w:ind w:firstLine="640"/>
      </w:pPr>
      <w:r>
        <w:rPr>
          <w:rFonts w:hint="eastAsia"/>
        </w:rPr>
        <w:t>加强项目实施流程管理，确保项目依法高效进行。在合同签订阶段，明确合同执行的具体时间节点，包括合同签订日期、服务开始日期、服务结束日期等，确保合同内容明确、具体。在合同执行阶段，建立合同执行监控机制，实时跟踪合同的执行情况。在合同签订之日起2个工作日内完成备案工作，避免备案时间滞后。发票的开具应与合同的签订和执行进度保持一致，在开具发票前，应核对合同的执行情况，确保发票金额、开票单位等信息与合同一致。针对个别项目流程严重滞后且未进行延期审批的情况，</w:t>
      </w:r>
      <w:r>
        <w:t>建议</w:t>
      </w:r>
      <w:r>
        <w:rPr>
          <w:rFonts w:hint="eastAsia"/>
        </w:rPr>
        <w:t>单位加强项目延期管理，如建立严格的延期审批流程，明确项目延期的申请条件、审批流程、责任主体及审批时限。另外，也可强化合同管理并及时签订补充协议，在项目合同中明确延期审批的条款，规定延期申请的具体流程和要求，以及未按时申请延期的违约责任。另一方面，加强项目监控与预警机制，如制定详细的项目计划，</w:t>
      </w:r>
      <w:r>
        <w:t>包括工作</w:t>
      </w:r>
      <w:r>
        <w:rPr>
          <w:rFonts w:hint="eastAsia"/>
        </w:rPr>
        <w:t>任务</w:t>
      </w:r>
      <w:r>
        <w:t>分解、时间线</w:t>
      </w:r>
      <w:r>
        <w:rPr>
          <w:rFonts w:hint="eastAsia"/>
        </w:rPr>
        <w:t>和</w:t>
      </w:r>
      <w:r>
        <w:t>关键路径等</w:t>
      </w:r>
      <w:r>
        <w:rPr>
          <w:rFonts w:hint="eastAsia"/>
        </w:rPr>
        <w:t>，使用项目管理软件或定期进行项目进度会议，实时跟踪项目进展，及时发现潜在延期风险，并提前采取措施进行干预。</w:t>
      </w:r>
    </w:p>
    <w:p>
      <w:pPr>
        <w:pStyle w:val="38"/>
        <w:ind w:firstLine="643"/>
        <w:rPr>
          <w:rFonts w:ascii="Times New Roman" w:hAnsi="Times New Roman"/>
        </w:rPr>
      </w:pPr>
      <w:bookmarkStart w:id="76" w:name="_Toc181896214"/>
      <w:r>
        <w:rPr>
          <w:rFonts w:ascii="Times New Roman" w:hAnsi="Times New Roman"/>
        </w:rPr>
        <w:t>（</w:t>
      </w:r>
      <w:r>
        <w:rPr>
          <w:rFonts w:hint="eastAsia" w:ascii="Times New Roman" w:hAnsi="Times New Roman"/>
        </w:rPr>
        <w:t>三</w:t>
      </w:r>
      <w:r>
        <w:rPr>
          <w:rFonts w:ascii="Times New Roman" w:hAnsi="Times New Roman"/>
        </w:rPr>
        <w:t>）</w:t>
      </w:r>
      <w:r>
        <w:rPr>
          <w:rFonts w:hint="eastAsia" w:ascii="Times New Roman" w:hAnsi="Times New Roman"/>
        </w:rPr>
        <w:t>完善项目监管机制</w:t>
      </w:r>
      <w:r>
        <w:rPr>
          <w:rFonts w:ascii="Times New Roman" w:hAnsi="Times New Roman"/>
        </w:rPr>
        <w:t>，</w:t>
      </w:r>
      <w:r>
        <w:rPr>
          <w:rFonts w:hint="eastAsia" w:ascii="Times New Roman" w:hAnsi="Times New Roman"/>
        </w:rPr>
        <w:t>强化监管执行力度</w:t>
      </w:r>
      <w:bookmarkEnd w:id="76"/>
    </w:p>
    <w:p>
      <w:pPr>
        <w:pStyle w:val="56"/>
        <w:ind w:firstLine="640"/>
      </w:pPr>
      <w:r>
        <w:rPr>
          <w:rFonts w:hint="eastAsia"/>
        </w:rPr>
        <w:t>进一步健全项目过程监管机制。根据《关于印发&lt;韶关市涉农资金统筹整合实施方案&gt;的通知》的要求，结合项目实际情况，在项目启动前制定详细的过程监管计划，明确监管内容、时间节点、责任人员等，确保监管工作的有序进行。在项目实施过程中，</w:t>
      </w:r>
      <w:r>
        <w:t>建立健全项目过程监管机制，包括日常监管、专项检查、随机抽查等</w:t>
      </w:r>
      <w:r>
        <w:rPr>
          <w:rFonts w:hint="eastAsia"/>
        </w:rPr>
        <w:t>。加强对现场的监管力度，采取各种措施如定期或不定期进行抽查和检查，或要求服务供应商定期汇报工作计划或工作进度等，确保项目按照预定的计划和目标进行。同时进一步规范监管工作，对监管过程中发现的问题和整改情况进行书面记录，并定期进行汇总和分析，为项目后续管理和决策提供有力支持。</w:t>
      </w:r>
    </w:p>
    <w:p>
      <w:pPr>
        <w:pStyle w:val="38"/>
        <w:ind w:firstLine="643"/>
        <w:rPr>
          <w:rFonts w:ascii="Times New Roman" w:hAnsi="Times New Roman"/>
        </w:rPr>
      </w:pPr>
      <w:bookmarkStart w:id="77" w:name="_Toc181896215"/>
      <w:r>
        <w:rPr>
          <w:rFonts w:ascii="Times New Roman" w:hAnsi="Times New Roman"/>
        </w:rPr>
        <w:t>（</w:t>
      </w:r>
      <w:r>
        <w:rPr>
          <w:rFonts w:hint="eastAsia" w:ascii="Times New Roman" w:hAnsi="Times New Roman"/>
        </w:rPr>
        <w:t>四</w:t>
      </w:r>
      <w:r>
        <w:rPr>
          <w:rFonts w:ascii="Times New Roman" w:hAnsi="Times New Roman"/>
        </w:rPr>
        <w:t>）</w:t>
      </w:r>
      <w:r>
        <w:rPr>
          <w:rFonts w:ascii="Times New Roman" w:hAnsi="Times New Roman"/>
          <w:bCs/>
        </w:rPr>
        <w:t>优化绩效指标设置，强化项目效益评估</w:t>
      </w:r>
      <w:bookmarkEnd w:id="77"/>
    </w:p>
    <w:p>
      <w:pPr>
        <w:pStyle w:val="56"/>
        <w:ind w:firstLine="640"/>
      </w:pPr>
      <w:r>
        <w:t>针对2023年韶关市市本级涉农资金部分项目存在的绩效目标问题，建议在今后设置绩效指标时，结合项目目标及项目效益，按照“确定项目绩效目标、分解细化指标、设置指标值”的思路，遵循“一个指标考核一个内容”的原则，在绩效目标的基础上逐步分解设置绩效指标和可量化的指标值，提高绩效指标设置的完整性和可衡量</w:t>
      </w:r>
      <w:r>
        <w:rPr>
          <w:rFonts w:hint="eastAsia"/>
        </w:rPr>
        <w:t>性</w:t>
      </w:r>
      <w:r>
        <w:t>。同时，加强绩效目标和绩效指标设置的交叉审核，绩效指标复核人员参考“绩效指标是绩效目标的细化和量化描述”的思路，从产出指标、效益指标和满意度指标多个维度检查所设置的绩效指标“是否可代表绩效目标”以及“绩效目标的种类是否齐全”。通过“提高设置水平”和“交叉审核查漏”等双重方式，提高绩效指标设置的完整性和代表性。</w:t>
      </w:r>
    </w:p>
    <w:p>
      <w:pPr>
        <w:pStyle w:val="37"/>
        <w:ind w:firstLine="643"/>
      </w:pPr>
      <w:bookmarkStart w:id="78" w:name="_Toc181896216"/>
    </w:p>
    <w:p>
      <w:pPr>
        <w:pStyle w:val="37"/>
        <w:ind w:firstLine="643"/>
        <w:rPr>
          <w:rFonts w:hint="eastAsia" w:ascii="仿宋_GB2312" w:hAnsi="仿宋_GB2312" w:eastAsia="仿宋_GB2312" w:cs="仿宋_GB2312"/>
          <w:lang w:eastAsia="zh-CN"/>
        </w:rPr>
      </w:pPr>
      <w:r>
        <w:rPr>
          <w:rFonts w:hint="eastAsia" w:ascii="仿宋_GB2312" w:hAnsi="仿宋_GB2312" w:eastAsia="仿宋_GB2312" w:cs="仿宋_GB2312"/>
        </w:rPr>
        <w:t>附件</w:t>
      </w:r>
      <w:bookmarkEnd w:id="78"/>
      <w:r>
        <w:rPr>
          <w:rFonts w:hint="eastAsia" w:ascii="仿宋_GB2312" w:hAnsi="仿宋_GB2312" w:eastAsia="仿宋_GB2312" w:cs="仿宋_GB2312"/>
          <w:lang w:eastAsia="zh-CN"/>
        </w:rPr>
        <w:t>：</w:t>
      </w:r>
    </w:p>
    <w:p>
      <w:pPr>
        <w:pStyle w:val="37"/>
        <w:ind w:firstLine="643"/>
        <w:rPr>
          <w:rFonts w:hint="eastAsia" w:ascii="仿宋_GB2312" w:hAnsi="仿宋_GB2312" w:eastAsia="仿宋_GB2312" w:cs="仿宋_GB2312"/>
          <w:b w:val="0"/>
          <w:bCs w:val="0"/>
          <w:sz w:val="32"/>
        </w:rPr>
      </w:pPr>
      <w:r>
        <w:rPr>
          <w:rFonts w:hint="eastAsia" w:ascii="仿宋_GB2312" w:hAnsi="仿宋_GB2312" w:eastAsia="仿宋_GB2312" w:cs="仿宋_GB2312"/>
          <w:b w:val="0"/>
          <w:bCs w:val="0"/>
          <w:sz w:val="32"/>
        </w:rPr>
        <w:t>1</w:t>
      </w:r>
      <w:r>
        <w:rPr>
          <w:rFonts w:hint="eastAsia" w:ascii="仿宋_GB2312" w:hAnsi="仿宋_GB2312" w:eastAsia="仿宋_GB2312" w:cs="仿宋_GB2312"/>
          <w:b w:val="0"/>
          <w:bCs w:val="0"/>
          <w:sz w:val="32"/>
          <w:lang w:val="en-US" w:eastAsia="zh-CN"/>
        </w:rPr>
        <w:t>.</w:t>
      </w:r>
      <w:r>
        <w:rPr>
          <w:rFonts w:hint="eastAsia" w:ascii="仿宋_GB2312" w:hAnsi="仿宋_GB2312" w:eastAsia="仿宋_GB2312" w:cs="仿宋_GB2312"/>
          <w:b w:val="0"/>
          <w:bCs w:val="0"/>
          <w:sz w:val="32"/>
        </w:rPr>
        <w:t>韶关市市本级2023年省级涉农统筹整合转移支付项目实施及资金使用情况统计表</w:t>
      </w:r>
    </w:p>
    <w:p>
      <w:pPr>
        <w:spacing w:after="0" w:line="560" w:lineRule="exact"/>
        <w:ind w:firstLine="640" w:firstLineChars="200"/>
        <w:rPr>
          <w:rFonts w:hint="eastAsia" w:ascii="仿宋_GB2312" w:hAnsi="仿宋_GB2312" w:eastAsia="仿宋_GB2312" w:cs="仿宋_GB2312"/>
          <w:b w:val="0"/>
          <w:bCs w:val="0"/>
          <w:sz w:val="32"/>
        </w:rPr>
      </w:pPr>
      <w:r>
        <w:rPr>
          <w:rFonts w:hint="eastAsia" w:ascii="仿宋_GB2312" w:hAnsi="仿宋_GB2312" w:eastAsia="仿宋_GB2312" w:cs="仿宋_GB2312"/>
          <w:b w:val="0"/>
          <w:bCs w:val="0"/>
          <w:sz w:val="32"/>
        </w:rPr>
        <w:t>2</w:t>
      </w:r>
      <w:r>
        <w:rPr>
          <w:rFonts w:hint="eastAsia" w:ascii="仿宋_GB2312" w:hAnsi="仿宋_GB2312" w:eastAsia="仿宋_GB2312" w:cs="仿宋_GB2312"/>
          <w:b w:val="0"/>
          <w:bCs w:val="0"/>
          <w:sz w:val="32"/>
          <w:lang w:val="en-US" w:eastAsia="zh-CN"/>
        </w:rPr>
        <w:t>.</w:t>
      </w:r>
      <w:r>
        <w:rPr>
          <w:rFonts w:hint="eastAsia" w:ascii="仿宋_GB2312" w:hAnsi="仿宋_GB2312" w:eastAsia="仿宋_GB2312" w:cs="仿宋_GB2312"/>
          <w:b w:val="0"/>
          <w:bCs w:val="0"/>
          <w:sz w:val="32"/>
        </w:rPr>
        <w:t>韶关市本级2023年省级涉农统筹整合转移支付项目考核任务完成情况统计表</w:t>
      </w:r>
    </w:p>
    <w:p>
      <w:pPr>
        <w:spacing w:after="0" w:line="560" w:lineRule="exact"/>
        <w:ind w:firstLine="640" w:firstLineChars="200"/>
        <w:rPr>
          <w:rFonts w:hint="eastAsia" w:ascii="仿宋_GB2312" w:hAnsi="仿宋_GB2312" w:eastAsia="仿宋_GB2312" w:cs="仿宋_GB2312"/>
          <w:b w:val="0"/>
          <w:bCs w:val="0"/>
          <w:sz w:val="32"/>
        </w:rPr>
      </w:pPr>
      <w:r>
        <w:rPr>
          <w:rFonts w:hint="eastAsia" w:ascii="仿宋_GB2312" w:hAnsi="仿宋_GB2312" w:eastAsia="仿宋_GB2312" w:cs="仿宋_GB2312"/>
          <w:b w:val="0"/>
          <w:bCs w:val="0"/>
          <w:sz w:val="32"/>
        </w:rPr>
        <w:t>3</w:t>
      </w:r>
      <w:r>
        <w:rPr>
          <w:rFonts w:hint="eastAsia" w:ascii="仿宋_GB2312" w:hAnsi="仿宋_GB2312" w:eastAsia="仿宋_GB2312" w:cs="仿宋_GB2312"/>
          <w:b w:val="0"/>
          <w:bCs w:val="0"/>
          <w:sz w:val="32"/>
          <w:lang w:val="en-US" w:eastAsia="zh-CN"/>
        </w:rPr>
        <w:t>.</w:t>
      </w:r>
      <w:r>
        <w:rPr>
          <w:rFonts w:hint="eastAsia" w:ascii="仿宋_GB2312" w:hAnsi="仿宋_GB2312" w:eastAsia="仿宋_GB2312" w:cs="仿宋_GB2312"/>
          <w:b w:val="0"/>
          <w:bCs w:val="0"/>
          <w:sz w:val="32"/>
        </w:rPr>
        <w:t>韶关市市本级2023年省级涉农统筹整合转移支付项目评分表</w:t>
      </w:r>
    </w:p>
    <w:sectPr>
      <w:footerReference r:id="rId6" w:type="default"/>
      <w:pgSz w:w="11906" w:h="16838"/>
      <w:pgMar w:top="1440" w:right="1800" w:bottom="1440" w:left="1800" w:header="851" w:footer="992" w:gutter="0"/>
      <w:pgNumType w:start="1"/>
      <w:cols w:space="425" w:num="1"/>
      <w:docGrid w:type="lines"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Microsoft YaHei UI">
    <w:altName w:val="Droid Sans Fallback"/>
    <w:panose1 w:val="020B0503020204020204"/>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方正大标宋简体">
    <w:altName w:val="方正书宋_GBK"/>
    <w:panose1 w:val="00000000000000000000"/>
    <w:charset w:val="86"/>
    <w:family w:val="script"/>
    <w:pitch w:val="default"/>
    <w:sig w:usb0="00000000" w:usb1="00000000" w:usb2="00000010" w:usb3="00000000" w:csb0="00040000" w:csb1="00000000"/>
  </w:font>
  <w:font w:name="方正小标宋_GBK">
    <w:panose1 w:val="02000000000000000000"/>
    <w:charset w:val="86"/>
    <w:family w:val="script"/>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楷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Droid Sans Fallback">
    <w:panose1 w:val="020B0502000000000001"/>
    <w:charset w:val="86"/>
    <w:family w:val="auto"/>
    <w:pitch w:val="default"/>
    <w:sig w:usb0="910002FF" w:usb1="2BDFFCFB" w:usb2="00000036" w:usb3="00000000" w:csb0="203F01FF"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46357944"/>
    </w:sdtPr>
    <w:sdtContent>
      <w:p>
        <w:pPr>
          <w:pStyle w:val="9"/>
          <w:ind w:firstLine="640"/>
          <w:jc w:val="center"/>
        </w:pPr>
        <w:r>
          <w:fldChar w:fldCharType="begin"/>
        </w:r>
        <w:r>
          <w:instrText xml:space="preserve">PAGE   \* MERGEFORMAT</w:instrText>
        </w:r>
        <w:r>
          <w:fldChar w:fldCharType="separate"/>
        </w:r>
        <w:r>
          <w:rPr>
            <w:lang w:val="zh-CN"/>
          </w:rPr>
          <w:t>2</w:t>
        </w:r>
        <w:r>
          <w:fldChar w:fldCharType="end"/>
        </w:r>
      </w:p>
    </w:sdtContent>
  </w:sdt>
  <w:p>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66656598"/>
    </w:sdtPr>
    <w:sdtContent>
      <w:p>
        <w:pPr>
          <w:pStyle w:val="9"/>
          <w:ind w:firstLine="640"/>
          <w:jc w:val="center"/>
        </w:pPr>
        <w:r>
          <w:fldChar w:fldCharType="begin"/>
        </w:r>
        <w:r>
          <w:instrText xml:space="preserve">PAGE   \* MERGEFORMAT</w:instrText>
        </w:r>
        <w:r>
          <w:fldChar w:fldCharType="separate"/>
        </w:r>
        <w:r>
          <w:rPr>
            <w:lang w:val="zh-CN"/>
          </w:rPr>
          <w:t>2</w:t>
        </w:r>
        <w:r>
          <w:fldChar w:fldCharType="end"/>
        </w:r>
      </w:p>
    </w:sdtContent>
  </w:sdt>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0">
    <w:p>
      <w:pPr>
        <w:spacing w:line="240" w:lineRule="auto"/>
      </w:pPr>
      <w:r>
        <w:separator/>
      </w:r>
    </w:p>
  </w:footnote>
  <w:footnote w:type="continuationSeparator" w:id="21">
    <w:p>
      <w:pPr>
        <w:spacing w:line="240" w:lineRule="auto"/>
      </w:pPr>
      <w:r>
        <w:continuationSeparator/>
      </w:r>
    </w:p>
  </w:footnote>
  <w:footnote w:id="0">
    <w:p>
      <w:pPr>
        <w:pStyle w:val="12"/>
      </w:pPr>
      <w:r>
        <w:rPr>
          <w:rStyle w:val="22"/>
        </w:rPr>
        <w:footnoteRef/>
      </w:r>
      <w:r>
        <w:t xml:space="preserve"> </w:t>
      </w:r>
      <w:r>
        <w:rPr>
          <w:rFonts w:hint="eastAsia"/>
        </w:rPr>
        <w:t>6个项目为：2023年韶关市国有韶关林场政策性森林保险省级财政保费补贴项目、2023年韶关市国有仁化林场政策性森林保险省级财政保费补贴项目、2023年韶关市国有曲江林场政策性森林保险省级财政保费补贴项目、2023年韶关市国有九曲水林场政策性森林保险省级财政保费补贴项目、2023年韶关市国有华溪林场政策性森林保险省级财政保费补贴项目、2023年韶关市国有河口林场政策性森林保险省级财政保费补贴项目</w:t>
      </w:r>
    </w:p>
  </w:footnote>
  <w:footnote w:id="1">
    <w:p>
      <w:pPr>
        <w:pStyle w:val="12"/>
      </w:pPr>
      <w:r>
        <w:rPr>
          <w:rStyle w:val="22"/>
        </w:rPr>
        <w:footnoteRef/>
      </w:r>
      <w:r>
        <w:t xml:space="preserve"> </w:t>
      </w:r>
      <w:r>
        <w:rPr>
          <w:rFonts w:hint="eastAsia"/>
        </w:rPr>
        <w:t>林业部门共支出666.85万元，其中440.60万元已在系统申请未支付。</w:t>
      </w:r>
    </w:p>
  </w:footnote>
  <w:footnote w:id="2">
    <w:p>
      <w:pPr>
        <w:pStyle w:val="12"/>
      </w:pPr>
      <w:r>
        <w:rPr>
          <w:rStyle w:val="22"/>
        </w:rPr>
        <w:footnoteRef/>
      </w:r>
      <w:r>
        <w:t xml:space="preserve"> </w:t>
      </w:r>
      <w:r>
        <w:rPr>
          <w:rFonts w:hint="eastAsia"/>
        </w:rPr>
        <w:t>2023年韶关市涉农资金优先支持的考核工作任务共18项，其中市本级被分配的考核工作任务共7项，无考核任务的工作有11项，分别为巩固拓展脱贫攻坚成果、粮食安全、高标准农田建设、受污染耕地安全利用、生猪产能调控、河湖管护、病险水库除险加固、农业水价综合改革及大中型灌区节水改造、中央预算内水利投资执行、农村生活污水治理和永久基本农田保护。</w:t>
      </w:r>
    </w:p>
  </w:footnote>
  <w:footnote w:id="3">
    <w:p>
      <w:pPr>
        <w:pStyle w:val="12"/>
      </w:pPr>
      <w:r>
        <w:rPr>
          <w:rStyle w:val="22"/>
        </w:rPr>
        <w:footnoteRef/>
      </w:r>
      <w:r>
        <w:t xml:space="preserve"> </w:t>
      </w:r>
      <w:r>
        <w:rPr>
          <w:rFonts w:hint="eastAsia"/>
        </w:rPr>
        <w:t>“涉及项目个数”按照项目实施内容进行分类统计，因此同一项目实施内容可能涉及多个类别工作，“涉及项目个数”统计总数与总实施项目个数存在差异。</w:t>
      </w:r>
    </w:p>
  </w:footnote>
  <w:footnote w:id="4">
    <w:p>
      <w:pPr>
        <w:pStyle w:val="12"/>
      </w:pPr>
      <w:r>
        <w:rPr>
          <w:rStyle w:val="22"/>
        </w:rPr>
        <w:footnoteRef/>
      </w:r>
      <w:r>
        <w:t xml:space="preserve"> </w:t>
      </w:r>
      <w:r>
        <w:rPr>
          <w:rFonts w:hint="eastAsia"/>
        </w:rPr>
        <w:t>根据《关于韶关国家森林公园绿美广东生态建设示范点</w:t>
      </w:r>
      <w:r>
        <w:t>2023</w:t>
      </w:r>
      <w:r>
        <w:rPr>
          <w:rFonts w:hint="eastAsia"/>
        </w:rPr>
        <w:t>年度作业设计的批复》（韶林函〔2023〕237号），韶关国家森林公园绿美广东生态建设示范点建设项目2023年11月1日经韶关市林业局批复调整，建设内容包括道路节点景观提升61平方米、听涛广场景观及绿道景观绿化提升605平方米、义务植树基地游览步道750米和森林步道733米等，调整之后步道建设费用由90万变更为132.51万元，前期费用（勘察设计费）54.45万元变更为36.018万元；森林保育4151亩建设也调整到步道建设，根据项目验收报告，各项任务均已完成。但上述作业设计调整未经财政局批复或备案，故仍按照《关于下达韶关市本级2023年省级涉农统筹整合转移支付资金（第二批）的通知》（韶财农〔2023〕68号）财政批复的绩效目标进行绩效目标的考核。</w:t>
      </w:r>
    </w:p>
  </w:footnote>
  <w:footnote w:id="5">
    <w:p>
      <w:pPr>
        <w:pStyle w:val="12"/>
      </w:pPr>
      <w:r>
        <w:rPr>
          <w:rStyle w:val="22"/>
        </w:rPr>
        <w:footnoteRef/>
      </w:r>
      <w:r>
        <w:t xml:space="preserve"> </w:t>
      </w:r>
      <w:r>
        <w:rPr>
          <w:rFonts w:hint="eastAsia"/>
        </w:rPr>
        <w:t>来源：</w:t>
      </w:r>
      <w:r>
        <w:fldChar w:fldCharType="begin"/>
      </w:r>
      <w:r>
        <w:instrText xml:space="preserve"> HYPERLINK "https://www.sg.gov.cn/zw/zdlyxxgk/dzjg/zgsgswncgzbgssfpb/fpgzxxgk/tpcxjkhxx/content/post_2622206.html" </w:instrText>
      </w:r>
      <w:r>
        <w:fldChar w:fldCharType="separate"/>
      </w:r>
      <w:r>
        <w:rPr>
          <w:rStyle w:val="20"/>
          <w:color w:val="auto"/>
          <w:u w:val="none"/>
        </w:rPr>
        <w:t>273.32亿元！增长5.4% - 韶关市人民政府门户网站</w:t>
      </w:r>
      <w:r>
        <w:rPr>
          <w:rStyle w:val="20"/>
          <w:color w:val="auto"/>
          <w:u w:val="none"/>
        </w:rPr>
        <w:fldChar w:fldCharType="end"/>
      </w:r>
    </w:p>
  </w:footnote>
  <w:footnote w:id="6">
    <w:p>
      <w:pPr>
        <w:pStyle w:val="12"/>
        <w:spacing w:line="240" w:lineRule="auto"/>
      </w:pPr>
      <w:r>
        <w:rPr>
          <w:rStyle w:val="22"/>
        </w:rPr>
        <w:footnoteRef/>
      </w:r>
      <w:r>
        <w:t xml:space="preserve"> </w:t>
      </w:r>
      <w:r>
        <w:rPr>
          <w:rFonts w:hint="eastAsia"/>
        </w:rPr>
        <w:t>来源：</w:t>
      </w:r>
      <w:r>
        <w:fldChar w:fldCharType="begin"/>
      </w:r>
      <w:r>
        <w:instrText xml:space="preserve"> HYPERLINK "https://www.nfncb.cn/yaowen/39773.html" </w:instrText>
      </w:r>
      <w:r>
        <w:fldChar w:fldCharType="separate"/>
      </w:r>
      <w:r>
        <w:rPr>
          <w:rStyle w:val="20"/>
          <w:color w:val="auto"/>
          <w:u w:val="none"/>
        </w:rPr>
        <w:t>韶关：农林牧渔业增加值增长6.1%，强镇富村公司营业额超7亿元 - 南方农村报</w:t>
      </w:r>
      <w:r>
        <w:rPr>
          <w:rStyle w:val="20"/>
          <w:color w:val="auto"/>
          <w:u w:val="none"/>
        </w:rPr>
        <w:fldChar w:fldCharType="end"/>
      </w:r>
    </w:p>
  </w:footnote>
  <w:footnote w:id="7">
    <w:p>
      <w:pPr>
        <w:pStyle w:val="12"/>
        <w:spacing w:line="240" w:lineRule="auto"/>
      </w:pPr>
      <w:r>
        <w:rPr>
          <w:rStyle w:val="22"/>
        </w:rPr>
        <w:footnoteRef/>
      </w:r>
      <w:r>
        <w:t xml:space="preserve"> </w:t>
      </w:r>
      <w:r>
        <w:rPr>
          <w:rFonts w:hint="eastAsia"/>
        </w:rPr>
        <w:t>来源：</w:t>
      </w:r>
      <w:r>
        <w:fldChar w:fldCharType="begin"/>
      </w:r>
      <w:r>
        <w:instrText xml:space="preserve"> HYPERLINK "https://lyj.gd.gov.cn/gab/lysw/content/post_4340489.html" </w:instrText>
      </w:r>
      <w:r>
        <w:fldChar w:fldCharType="separate"/>
      </w:r>
      <w:r>
        <w:rPr>
          <w:rStyle w:val="20"/>
          <w:color w:val="auto"/>
          <w:u w:val="none"/>
        </w:rPr>
        <w:t>增长10%！2023年韶关林业总产值达270亿元-长者易用专区-广东省林业局</w:t>
      </w:r>
      <w:r>
        <w:rPr>
          <w:rStyle w:val="20"/>
          <w:color w:val="auto"/>
          <w:u w:val="none"/>
        </w:rPr>
        <w:fldChar w:fldCharType="end"/>
      </w:r>
    </w:p>
  </w:footnote>
  <w:footnote w:id="8">
    <w:p>
      <w:pPr>
        <w:pStyle w:val="12"/>
        <w:spacing w:line="240" w:lineRule="auto"/>
      </w:pPr>
      <w:r>
        <w:rPr>
          <w:rStyle w:val="22"/>
        </w:rPr>
        <w:footnoteRef/>
      </w:r>
      <w:r>
        <w:t xml:space="preserve"> </w:t>
      </w:r>
      <w:r>
        <w:rPr>
          <w:rFonts w:hint="eastAsia"/>
        </w:rPr>
        <w:t>来源：</w:t>
      </w:r>
      <w:r>
        <w:fldChar w:fldCharType="begin"/>
      </w:r>
      <w:r>
        <w:instrText xml:space="preserve"> HYPERLINK "https://www.sg.gov.cn/xw/xwzx/bmdt/content/post_2608776.html" </w:instrText>
      </w:r>
      <w:r>
        <w:fldChar w:fldCharType="separate"/>
      </w:r>
      <w:r>
        <w:rPr>
          <w:rStyle w:val="20"/>
          <w:color w:val="auto"/>
          <w:u w:val="none"/>
        </w:rPr>
        <w:t>2024年全市水利工作会议召开-韶关市人民政府门户网站</w:t>
      </w:r>
      <w:r>
        <w:rPr>
          <w:rStyle w:val="20"/>
          <w:color w:val="auto"/>
          <w:u w:val="none"/>
        </w:rPr>
        <w:fldChar w:fldCharType="end"/>
      </w:r>
    </w:p>
  </w:footnote>
  <w:footnote w:id="9">
    <w:p>
      <w:pPr>
        <w:pStyle w:val="12"/>
        <w:spacing w:line="240" w:lineRule="auto"/>
      </w:pPr>
      <w:r>
        <w:rPr>
          <w:rStyle w:val="22"/>
        </w:rPr>
        <w:footnoteRef/>
      </w:r>
      <w:r>
        <w:t xml:space="preserve"> </w:t>
      </w:r>
      <w:r>
        <w:rPr>
          <w:rFonts w:hint="eastAsia"/>
        </w:rPr>
        <w:t>来源：</w:t>
      </w:r>
      <w:r>
        <w:fldChar w:fldCharType="begin"/>
      </w:r>
      <w:r>
        <w:instrText xml:space="preserve"> HYPERLINK "https://www.sg.gov.cn/sgswj/gkmlpt/content/2/2602/post_2602461.html" \l "272" </w:instrText>
      </w:r>
      <w:r>
        <w:fldChar w:fldCharType="separate"/>
      </w:r>
      <w:r>
        <w:rPr>
          <w:rStyle w:val="20"/>
          <w:color w:val="auto"/>
          <w:u w:val="none"/>
        </w:rPr>
        <w:t>韶关市水务局2023年法治政府建设年度报告</w:t>
      </w:r>
      <w:r>
        <w:rPr>
          <w:rStyle w:val="20"/>
          <w:color w:val="auto"/>
          <w:u w:val="none"/>
        </w:rPr>
        <w:fldChar w:fldCharType="end"/>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20"/>
    <w:footnote w:id="2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236"/>
    <w:rsid w:val="00000034"/>
    <w:rsid w:val="00000697"/>
    <w:rsid w:val="00001004"/>
    <w:rsid w:val="000024D5"/>
    <w:rsid w:val="00002642"/>
    <w:rsid w:val="00003586"/>
    <w:rsid w:val="00004146"/>
    <w:rsid w:val="00005006"/>
    <w:rsid w:val="00005C2A"/>
    <w:rsid w:val="000074B6"/>
    <w:rsid w:val="00007B40"/>
    <w:rsid w:val="00010A74"/>
    <w:rsid w:val="00010D94"/>
    <w:rsid w:val="00010ED8"/>
    <w:rsid w:val="000110EE"/>
    <w:rsid w:val="00011555"/>
    <w:rsid w:val="00012028"/>
    <w:rsid w:val="00012C17"/>
    <w:rsid w:val="00013637"/>
    <w:rsid w:val="00015058"/>
    <w:rsid w:val="00015FB3"/>
    <w:rsid w:val="00016939"/>
    <w:rsid w:val="000176A2"/>
    <w:rsid w:val="00021584"/>
    <w:rsid w:val="000215D8"/>
    <w:rsid w:val="00021881"/>
    <w:rsid w:val="00022013"/>
    <w:rsid w:val="00022275"/>
    <w:rsid w:val="0002228E"/>
    <w:rsid w:val="000229B5"/>
    <w:rsid w:val="000234ED"/>
    <w:rsid w:val="00024F27"/>
    <w:rsid w:val="000252C6"/>
    <w:rsid w:val="00025F7A"/>
    <w:rsid w:val="00030159"/>
    <w:rsid w:val="0003036F"/>
    <w:rsid w:val="000306AC"/>
    <w:rsid w:val="0003182C"/>
    <w:rsid w:val="00031B62"/>
    <w:rsid w:val="00032BAF"/>
    <w:rsid w:val="000331EF"/>
    <w:rsid w:val="00033A7C"/>
    <w:rsid w:val="00033E63"/>
    <w:rsid w:val="00034579"/>
    <w:rsid w:val="00034F51"/>
    <w:rsid w:val="000354DA"/>
    <w:rsid w:val="0003653A"/>
    <w:rsid w:val="000371C3"/>
    <w:rsid w:val="000400C3"/>
    <w:rsid w:val="00040C7A"/>
    <w:rsid w:val="00040E46"/>
    <w:rsid w:val="00041485"/>
    <w:rsid w:val="000421EA"/>
    <w:rsid w:val="00042309"/>
    <w:rsid w:val="00042A45"/>
    <w:rsid w:val="00042E79"/>
    <w:rsid w:val="00042F20"/>
    <w:rsid w:val="000433BE"/>
    <w:rsid w:val="0004431C"/>
    <w:rsid w:val="00046593"/>
    <w:rsid w:val="00046BFD"/>
    <w:rsid w:val="000471DB"/>
    <w:rsid w:val="000508D9"/>
    <w:rsid w:val="00050945"/>
    <w:rsid w:val="000513F0"/>
    <w:rsid w:val="00051848"/>
    <w:rsid w:val="00051C90"/>
    <w:rsid w:val="00051F59"/>
    <w:rsid w:val="00052B21"/>
    <w:rsid w:val="00052FFD"/>
    <w:rsid w:val="000541C8"/>
    <w:rsid w:val="00054320"/>
    <w:rsid w:val="00054A73"/>
    <w:rsid w:val="0005590E"/>
    <w:rsid w:val="00055DBD"/>
    <w:rsid w:val="00055E07"/>
    <w:rsid w:val="000561D8"/>
    <w:rsid w:val="00056431"/>
    <w:rsid w:val="000569DB"/>
    <w:rsid w:val="0005751D"/>
    <w:rsid w:val="00060903"/>
    <w:rsid w:val="00061789"/>
    <w:rsid w:val="0006183E"/>
    <w:rsid w:val="00061A1D"/>
    <w:rsid w:val="000634A4"/>
    <w:rsid w:val="0006351E"/>
    <w:rsid w:val="00063AE9"/>
    <w:rsid w:val="00063B1D"/>
    <w:rsid w:val="000642C6"/>
    <w:rsid w:val="000659F1"/>
    <w:rsid w:val="00066E68"/>
    <w:rsid w:val="00070A0D"/>
    <w:rsid w:val="00071444"/>
    <w:rsid w:val="0007211D"/>
    <w:rsid w:val="0007268B"/>
    <w:rsid w:val="00073ED7"/>
    <w:rsid w:val="000741A0"/>
    <w:rsid w:val="0007512D"/>
    <w:rsid w:val="0007570D"/>
    <w:rsid w:val="00076238"/>
    <w:rsid w:val="000763F8"/>
    <w:rsid w:val="0007669C"/>
    <w:rsid w:val="00076BB7"/>
    <w:rsid w:val="00077A86"/>
    <w:rsid w:val="00081216"/>
    <w:rsid w:val="000821F5"/>
    <w:rsid w:val="000822FE"/>
    <w:rsid w:val="00082A80"/>
    <w:rsid w:val="00082E97"/>
    <w:rsid w:val="00083248"/>
    <w:rsid w:val="000840BB"/>
    <w:rsid w:val="0008473E"/>
    <w:rsid w:val="00084E4A"/>
    <w:rsid w:val="000852D5"/>
    <w:rsid w:val="0008532A"/>
    <w:rsid w:val="00086215"/>
    <w:rsid w:val="00086464"/>
    <w:rsid w:val="00086522"/>
    <w:rsid w:val="000869E3"/>
    <w:rsid w:val="00087340"/>
    <w:rsid w:val="00087514"/>
    <w:rsid w:val="00087C95"/>
    <w:rsid w:val="00091568"/>
    <w:rsid w:val="0009160F"/>
    <w:rsid w:val="00091A90"/>
    <w:rsid w:val="00092BA2"/>
    <w:rsid w:val="00094473"/>
    <w:rsid w:val="000945B2"/>
    <w:rsid w:val="00094C68"/>
    <w:rsid w:val="000951E4"/>
    <w:rsid w:val="00095B81"/>
    <w:rsid w:val="0009737C"/>
    <w:rsid w:val="0009763F"/>
    <w:rsid w:val="000976AB"/>
    <w:rsid w:val="00097EF8"/>
    <w:rsid w:val="000A13EA"/>
    <w:rsid w:val="000A1F49"/>
    <w:rsid w:val="000A1F58"/>
    <w:rsid w:val="000A1F7F"/>
    <w:rsid w:val="000A2607"/>
    <w:rsid w:val="000A2999"/>
    <w:rsid w:val="000A3E08"/>
    <w:rsid w:val="000A51B5"/>
    <w:rsid w:val="000A678E"/>
    <w:rsid w:val="000B0564"/>
    <w:rsid w:val="000B1569"/>
    <w:rsid w:val="000B5511"/>
    <w:rsid w:val="000B56B1"/>
    <w:rsid w:val="000B5EC4"/>
    <w:rsid w:val="000B6212"/>
    <w:rsid w:val="000B624F"/>
    <w:rsid w:val="000B6900"/>
    <w:rsid w:val="000B7569"/>
    <w:rsid w:val="000B7C62"/>
    <w:rsid w:val="000C00F5"/>
    <w:rsid w:val="000C08F3"/>
    <w:rsid w:val="000C0B5B"/>
    <w:rsid w:val="000C1A02"/>
    <w:rsid w:val="000C1CBF"/>
    <w:rsid w:val="000C2537"/>
    <w:rsid w:val="000C2E48"/>
    <w:rsid w:val="000C5C19"/>
    <w:rsid w:val="000C7EC7"/>
    <w:rsid w:val="000D0CBD"/>
    <w:rsid w:val="000D128B"/>
    <w:rsid w:val="000D1798"/>
    <w:rsid w:val="000D20D8"/>
    <w:rsid w:val="000D25A0"/>
    <w:rsid w:val="000D2BC3"/>
    <w:rsid w:val="000D3053"/>
    <w:rsid w:val="000D33CB"/>
    <w:rsid w:val="000D44E0"/>
    <w:rsid w:val="000D5D67"/>
    <w:rsid w:val="000D6B67"/>
    <w:rsid w:val="000D7719"/>
    <w:rsid w:val="000E091A"/>
    <w:rsid w:val="000E0B6D"/>
    <w:rsid w:val="000E2985"/>
    <w:rsid w:val="000E46F2"/>
    <w:rsid w:val="000E6ABC"/>
    <w:rsid w:val="000E71A7"/>
    <w:rsid w:val="000E7C35"/>
    <w:rsid w:val="000F035C"/>
    <w:rsid w:val="000F03F6"/>
    <w:rsid w:val="000F0765"/>
    <w:rsid w:val="000F0D63"/>
    <w:rsid w:val="000F1F95"/>
    <w:rsid w:val="000F2258"/>
    <w:rsid w:val="000F380A"/>
    <w:rsid w:val="000F3AFA"/>
    <w:rsid w:val="000F3DF3"/>
    <w:rsid w:val="000F46BA"/>
    <w:rsid w:val="000F4BE1"/>
    <w:rsid w:val="000F53F4"/>
    <w:rsid w:val="000F552C"/>
    <w:rsid w:val="000F59A2"/>
    <w:rsid w:val="000F610E"/>
    <w:rsid w:val="000F7181"/>
    <w:rsid w:val="00100593"/>
    <w:rsid w:val="00100819"/>
    <w:rsid w:val="00101784"/>
    <w:rsid w:val="00101E0D"/>
    <w:rsid w:val="00102084"/>
    <w:rsid w:val="001038C6"/>
    <w:rsid w:val="00104A9C"/>
    <w:rsid w:val="00106071"/>
    <w:rsid w:val="001066B8"/>
    <w:rsid w:val="0010715B"/>
    <w:rsid w:val="001073B8"/>
    <w:rsid w:val="00107811"/>
    <w:rsid w:val="00107CF3"/>
    <w:rsid w:val="0011037D"/>
    <w:rsid w:val="001106F7"/>
    <w:rsid w:val="00110828"/>
    <w:rsid w:val="001108CC"/>
    <w:rsid w:val="00110906"/>
    <w:rsid w:val="00110B2D"/>
    <w:rsid w:val="00110C94"/>
    <w:rsid w:val="00110CAC"/>
    <w:rsid w:val="001122D8"/>
    <w:rsid w:val="00112A07"/>
    <w:rsid w:val="00112B42"/>
    <w:rsid w:val="00113851"/>
    <w:rsid w:val="00113901"/>
    <w:rsid w:val="00114777"/>
    <w:rsid w:val="0011519B"/>
    <w:rsid w:val="001151C7"/>
    <w:rsid w:val="00115281"/>
    <w:rsid w:val="00116731"/>
    <w:rsid w:val="00116D1A"/>
    <w:rsid w:val="00117202"/>
    <w:rsid w:val="0011761D"/>
    <w:rsid w:val="00120C26"/>
    <w:rsid w:val="001228D5"/>
    <w:rsid w:val="00123ADB"/>
    <w:rsid w:val="001252F5"/>
    <w:rsid w:val="00125873"/>
    <w:rsid w:val="00126101"/>
    <w:rsid w:val="001266BF"/>
    <w:rsid w:val="00126B41"/>
    <w:rsid w:val="00126D29"/>
    <w:rsid w:val="00127C53"/>
    <w:rsid w:val="001339D0"/>
    <w:rsid w:val="00133BF4"/>
    <w:rsid w:val="00134BEE"/>
    <w:rsid w:val="00135579"/>
    <w:rsid w:val="0013596D"/>
    <w:rsid w:val="00135C81"/>
    <w:rsid w:val="001407DE"/>
    <w:rsid w:val="00140D85"/>
    <w:rsid w:val="001414A9"/>
    <w:rsid w:val="0014178C"/>
    <w:rsid w:val="001417B6"/>
    <w:rsid w:val="00142D15"/>
    <w:rsid w:val="001437C7"/>
    <w:rsid w:val="001443A2"/>
    <w:rsid w:val="00145A5C"/>
    <w:rsid w:val="00146C18"/>
    <w:rsid w:val="0014738E"/>
    <w:rsid w:val="001504E2"/>
    <w:rsid w:val="00151055"/>
    <w:rsid w:val="0015139A"/>
    <w:rsid w:val="00151761"/>
    <w:rsid w:val="00151B9F"/>
    <w:rsid w:val="00152DF6"/>
    <w:rsid w:val="001536B8"/>
    <w:rsid w:val="00153BE9"/>
    <w:rsid w:val="001545E8"/>
    <w:rsid w:val="0015614A"/>
    <w:rsid w:val="00156514"/>
    <w:rsid w:val="001600C4"/>
    <w:rsid w:val="001605B5"/>
    <w:rsid w:val="00160EC9"/>
    <w:rsid w:val="001610F0"/>
    <w:rsid w:val="00161DD5"/>
    <w:rsid w:val="00162768"/>
    <w:rsid w:val="00162B96"/>
    <w:rsid w:val="001635D6"/>
    <w:rsid w:val="001636D0"/>
    <w:rsid w:val="00165EB1"/>
    <w:rsid w:val="00166983"/>
    <w:rsid w:val="001679EB"/>
    <w:rsid w:val="00167C29"/>
    <w:rsid w:val="001714D0"/>
    <w:rsid w:val="00171BDE"/>
    <w:rsid w:val="00173281"/>
    <w:rsid w:val="001747C0"/>
    <w:rsid w:val="00176B92"/>
    <w:rsid w:val="001770EB"/>
    <w:rsid w:val="00180808"/>
    <w:rsid w:val="00181AEF"/>
    <w:rsid w:val="00182677"/>
    <w:rsid w:val="0018282E"/>
    <w:rsid w:val="001828B0"/>
    <w:rsid w:val="00184209"/>
    <w:rsid w:val="001844BC"/>
    <w:rsid w:val="00185782"/>
    <w:rsid w:val="00185F1A"/>
    <w:rsid w:val="00185F30"/>
    <w:rsid w:val="00190E3E"/>
    <w:rsid w:val="00191F71"/>
    <w:rsid w:val="00192871"/>
    <w:rsid w:val="00194E21"/>
    <w:rsid w:val="0019553A"/>
    <w:rsid w:val="00196430"/>
    <w:rsid w:val="00196A58"/>
    <w:rsid w:val="00196F7F"/>
    <w:rsid w:val="00197AF4"/>
    <w:rsid w:val="00197C51"/>
    <w:rsid w:val="001A06E9"/>
    <w:rsid w:val="001A0760"/>
    <w:rsid w:val="001A0AF0"/>
    <w:rsid w:val="001A1751"/>
    <w:rsid w:val="001A1B14"/>
    <w:rsid w:val="001A2306"/>
    <w:rsid w:val="001A27BE"/>
    <w:rsid w:val="001A27DD"/>
    <w:rsid w:val="001A2C32"/>
    <w:rsid w:val="001A2CF7"/>
    <w:rsid w:val="001A2DF4"/>
    <w:rsid w:val="001A2E40"/>
    <w:rsid w:val="001A2E7E"/>
    <w:rsid w:val="001A43AA"/>
    <w:rsid w:val="001A5E55"/>
    <w:rsid w:val="001A5F39"/>
    <w:rsid w:val="001A6CA7"/>
    <w:rsid w:val="001A6D1E"/>
    <w:rsid w:val="001A703F"/>
    <w:rsid w:val="001A7179"/>
    <w:rsid w:val="001B02BB"/>
    <w:rsid w:val="001B073F"/>
    <w:rsid w:val="001B2021"/>
    <w:rsid w:val="001B2A91"/>
    <w:rsid w:val="001B304C"/>
    <w:rsid w:val="001B4955"/>
    <w:rsid w:val="001B4EBE"/>
    <w:rsid w:val="001B60C9"/>
    <w:rsid w:val="001B6513"/>
    <w:rsid w:val="001B73DF"/>
    <w:rsid w:val="001B7605"/>
    <w:rsid w:val="001B7C2F"/>
    <w:rsid w:val="001C0A7A"/>
    <w:rsid w:val="001C0E8C"/>
    <w:rsid w:val="001C19AD"/>
    <w:rsid w:val="001C32B5"/>
    <w:rsid w:val="001C3C01"/>
    <w:rsid w:val="001C3F5A"/>
    <w:rsid w:val="001C4824"/>
    <w:rsid w:val="001C56A0"/>
    <w:rsid w:val="001C58E9"/>
    <w:rsid w:val="001C5C3F"/>
    <w:rsid w:val="001C721A"/>
    <w:rsid w:val="001C78C2"/>
    <w:rsid w:val="001D0443"/>
    <w:rsid w:val="001D2067"/>
    <w:rsid w:val="001D23BD"/>
    <w:rsid w:val="001D2A44"/>
    <w:rsid w:val="001D3541"/>
    <w:rsid w:val="001D3E36"/>
    <w:rsid w:val="001D524E"/>
    <w:rsid w:val="001D693C"/>
    <w:rsid w:val="001D7B85"/>
    <w:rsid w:val="001E07F8"/>
    <w:rsid w:val="001E1316"/>
    <w:rsid w:val="001E20B4"/>
    <w:rsid w:val="001E215E"/>
    <w:rsid w:val="001E23E0"/>
    <w:rsid w:val="001E2854"/>
    <w:rsid w:val="001E29AF"/>
    <w:rsid w:val="001E2A30"/>
    <w:rsid w:val="001E3224"/>
    <w:rsid w:val="001E3AC9"/>
    <w:rsid w:val="001E4544"/>
    <w:rsid w:val="001F0E95"/>
    <w:rsid w:val="001F1414"/>
    <w:rsid w:val="001F1B23"/>
    <w:rsid w:val="001F2514"/>
    <w:rsid w:val="001F31C7"/>
    <w:rsid w:val="001F35D8"/>
    <w:rsid w:val="001F3771"/>
    <w:rsid w:val="001F60B7"/>
    <w:rsid w:val="001F7136"/>
    <w:rsid w:val="001F7D56"/>
    <w:rsid w:val="002004B7"/>
    <w:rsid w:val="0020071C"/>
    <w:rsid w:val="0020095F"/>
    <w:rsid w:val="002018BB"/>
    <w:rsid w:val="00202261"/>
    <w:rsid w:val="0020244D"/>
    <w:rsid w:val="002024BB"/>
    <w:rsid w:val="00202E8B"/>
    <w:rsid w:val="0020343E"/>
    <w:rsid w:val="002042D5"/>
    <w:rsid w:val="00204A8B"/>
    <w:rsid w:val="00204B22"/>
    <w:rsid w:val="00204CDD"/>
    <w:rsid w:val="00205234"/>
    <w:rsid w:val="0020550F"/>
    <w:rsid w:val="00205BEA"/>
    <w:rsid w:val="00205F24"/>
    <w:rsid w:val="00205F3E"/>
    <w:rsid w:val="002065C4"/>
    <w:rsid w:val="00206607"/>
    <w:rsid w:val="00206DCC"/>
    <w:rsid w:val="00207181"/>
    <w:rsid w:val="0020735A"/>
    <w:rsid w:val="002079B3"/>
    <w:rsid w:val="00207F9B"/>
    <w:rsid w:val="00210236"/>
    <w:rsid w:val="00210DEA"/>
    <w:rsid w:val="00211056"/>
    <w:rsid w:val="002117F2"/>
    <w:rsid w:val="00211D45"/>
    <w:rsid w:val="00213528"/>
    <w:rsid w:val="002140B7"/>
    <w:rsid w:val="00214976"/>
    <w:rsid w:val="00214EA3"/>
    <w:rsid w:val="00214EDF"/>
    <w:rsid w:val="00215307"/>
    <w:rsid w:val="00215462"/>
    <w:rsid w:val="00215D77"/>
    <w:rsid w:val="00215E57"/>
    <w:rsid w:val="0021637D"/>
    <w:rsid w:val="002163D1"/>
    <w:rsid w:val="0021644E"/>
    <w:rsid w:val="00216C31"/>
    <w:rsid w:val="00216D1B"/>
    <w:rsid w:val="0021792B"/>
    <w:rsid w:val="00217B57"/>
    <w:rsid w:val="00217D21"/>
    <w:rsid w:val="00221554"/>
    <w:rsid w:val="00221720"/>
    <w:rsid w:val="0022178B"/>
    <w:rsid w:val="002218F6"/>
    <w:rsid w:val="00221CE8"/>
    <w:rsid w:val="00222633"/>
    <w:rsid w:val="002233BC"/>
    <w:rsid w:val="00223A3C"/>
    <w:rsid w:val="002252E5"/>
    <w:rsid w:val="0022705E"/>
    <w:rsid w:val="00227CDF"/>
    <w:rsid w:val="00230942"/>
    <w:rsid w:val="00231DDD"/>
    <w:rsid w:val="00232A40"/>
    <w:rsid w:val="00232C99"/>
    <w:rsid w:val="0023329E"/>
    <w:rsid w:val="00233300"/>
    <w:rsid w:val="0023530C"/>
    <w:rsid w:val="0023601C"/>
    <w:rsid w:val="00237628"/>
    <w:rsid w:val="00240909"/>
    <w:rsid w:val="002410B0"/>
    <w:rsid w:val="002416DD"/>
    <w:rsid w:val="0024182E"/>
    <w:rsid w:val="00242EC4"/>
    <w:rsid w:val="00242FFE"/>
    <w:rsid w:val="00244252"/>
    <w:rsid w:val="002444A0"/>
    <w:rsid w:val="0024469C"/>
    <w:rsid w:val="002449CB"/>
    <w:rsid w:val="0024683E"/>
    <w:rsid w:val="00246975"/>
    <w:rsid w:val="00247177"/>
    <w:rsid w:val="0024745B"/>
    <w:rsid w:val="0025132E"/>
    <w:rsid w:val="00251893"/>
    <w:rsid w:val="00252DE3"/>
    <w:rsid w:val="00255A99"/>
    <w:rsid w:val="00255E0F"/>
    <w:rsid w:val="00255F6E"/>
    <w:rsid w:val="002575B2"/>
    <w:rsid w:val="00257EBA"/>
    <w:rsid w:val="00261087"/>
    <w:rsid w:val="002611CD"/>
    <w:rsid w:val="00262A60"/>
    <w:rsid w:val="00263C42"/>
    <w:rsid w:val="00263CCA"/>
    <w:rsid w:val="00264326"/>
    <w:rsid w:val="0026445C"/>
    <w:rsid w:val="00264A5D"/>
    <w:rsid w:val="00265CAA"/>
    <w:rsid w:val="00266DD8"/>
    <w:rsid w:val="0026709E"/>
    <w:rsid w:val="00267245"/>
    <w:rsid w:val="00267836"/>
    <w:rsid w:val="0027022B"/>
    <w:rsid w:val="00270349"/>
    <w:rsid w:val="00270F36"/>
    <w:rsid w:val="0027107D"/>
    <w:rsid w:val="00271512"/>
    <w:rsid w:val="00271C70"/>
    <w:rsid w:val="00271EF9"/>
    <w:rsid w:val="00273B9F"/>
    <w:rsid w:val="00274AD3"/>
    <w:rsid w:val="0027512C"/>
    <w:rsid w:val="00277872"/>
    <w:rsid w:val="00277DA1"/>
    <w:rsid w:val="0028098A"/>
    <w:rsid w:val="00281957"/>
    <w:rsid w:val="00281FB5"/>
    <w:rsid w:val="00282A09"/>
    <w:rsid w:val="00282E74"/>
    <w:rsid w:val="00285BEA"/>
    <w:rsid w:val="00286507"/>
    <w:rsid w:val="00292DCC"/>
    <w:rsid w:val="002954CF"/>
    <w:rsid w:val="0029551E"/>
    <w:rsid w:val="00295F17"/>
    <w:rsid w:val="002971C9"/>
    <w:rsid w:val="002A075C"/>
    <w:rsid w:val="002A0980"/>
    <w:rsid w:val="002A148C"/>
    <w:rsid w:val="002A176B"/>
    <w:rsid w:val="002A1FC9"/>
    <w:rsid w:val="002A208D"/>
    <w:rsid w:val="002A2DE5"/>
    <w:rsid w:val="002A3F92"/>
    <w:rsid w:val="002A48CA"/>
    <w:rsid w:val="002A4BD9"/>
    <w:rsid w:val="002A5EDE"/>
    <w:rsid w:val="002A67D9"/>
    <w:rsid w:val="002A6A0D"/>
    <w:rsid w:val="002A6E9F"/>
    <w:rsid w:val="002A72AA"/>
    <w:rsid w:val="002A7591"/>
    <w:rsid w:val="002A75B7"/>
    <w:rsid w:val="002A7AC0"/>
    <w:rsid w:val="002B0085"/>
    <w:rsid w:val="002B00BF"/>
    <w:rsid w:val="002B1BE9"/>
    <w:rsid w:val="002B2CCC"/>
    <w:rsid w:val="002B3E29"/>
    <w:rsid w:val="002B3F7D"/>
    <w:rsid w:val="002B4232"/>
    <w:rsid w:val="002B56FC"/>
    <w:rsid w:val="002B5936"/>
    <w:rsid w:val="002B696E"/>
    <w:rsid w:val="002B751C"/>
    <w:rsid w:val="002B7F68"/>
    <w:rsid w:val="002C045D"/>
    <w:rsid w:val="002C084F"/>
    <w:rsid w:val="002C0CB3"/>
    <w:rsid w:val="002C1724"/>
    <w:rsid w:val="002C203C"/>
    <w:rsid w:val="002C22FE"/>
    <w:rsid w:val="002C2320"/>
    <w:rsid w:val="002C3322"/>
    <w:rsid w:val="002C392A"/>
    <w:rsid w:val="002C4163"/>
    <w:rsid w:val="002C4546"/>
    <w:rsid w:val="002C4A0F"/>
    <w:rsid w:val="002C5169"/>
    <w:rsid w:val="002C57BC"/>
    <w:rsid w:val="002C5945"/>
    <w:rsid w:val="002C684B"/>
    <w:rsid w:val="002C6B6D"/>
    <w:rsid w:val="002C6F8A"/>
    <w:rsid w:val="002C6FE2"/>
    <w:rsid w:val="002C7A0A"/>
    <w:rsid w:val="002C7B56"/>
    <w:rsid w:val="002D0EF4"/>
    <w:rsid w:val="002D20CB"/>
    <w:rsid w:val="002D2B50"/>
    <w:rsid w:val="002D366A"/>
    <w:rsid w:val="002D45D5"/>
    <w:rsid w:val="002D49A9"/>
    <w:rsid w:val="002D5562"/>
    <w:rsid w:val="002D5B64"/>
    <w:rsid w:val="002D6223"/>
    <w:rsid w:val="002D676C"/>
    <w:rsid w:val="002D6C6A"/>
    <w:rsid w:val="002D7D38"/>
    <w:rsid w:val="002E0255"/>
    <w:rsid w:val="002E09B5"/>
    <w:rsid w:val="002E111E"/>
    <w:rsid w:val="002E250D"/>
    <w:rsid w:val="002E3649"/>
    <w:rsid w:val="002E36D3"/>
    <w:rsid w:val="002E3CC8"/>
    <w:rsid w:val="002E3CDB"/>
    <w:rsid w:val="002E45D3"/>
    <w:rsid w:val="002E5041"/>
    <w:rsid w:val="002E53EB"/>
    <w:rsid w:val="002E599F"/>
    <w:rsid w:val="002E59F1"/>
    <w:rsid w:val="002E6899"/>
    <w:rsid w:val="002E6F49"/>
    <w:rsid w:val="002E7062"/>
    <w:rsid w:val="002E76DE"/>
    <w:rsid w:val="002E7BAF"/>
    <w:rsid w:val="002F0FF2"/>
    <w:rsid w:val="002F22E7"/>
    <w:rsid w:val="002F303B"/>
    <w:rsid w:val="002F380A"/>
    <w:rsid w:val="002F3E5B"/>
    <w:rsid w:val="002F3FBA"/>
    <w:rsid w:val="002F4EA4"/>
    <w:rsid w:val="002F6DE1"/>
    <w:rsid w:val="002F6E6C"/>
    <w:rsid w:val="002F76EF"/>
    <w:rsid w:val="002F77A1"/>
    <w:rsid w:val="002F77DE"/>
    <w:rsid w:val="002F7E76"/>
    <w:rsid w:val="00300C32"/>
    <w:rsid w:val="003015A9"/>
    <w:rsid w:val="003027F5"/>
    <w:rsid w:val="003036DC"/>
    <w:rsid w:val="003043DB"/>
    <w:rsid w:val="00304784"/>
    <w:rsid w:val="003053F3"/>
    <w:rsid w:val="0030596C"/>
    <w:rsid w:val="003078FE"/>
    <w:rsid w:val="00307DB6"/>
    <w:rsid w:val="003100E7"/>
    <w:rsid w:val="00310D99"/>
    <w:rsid w:val="00311A8A"/>
    <w:rsid w:val="00311B3A"/>
    <w:rsid w:val="00311EFA"/>
    <w:rsid w:val="003123E2"/>
    <w:rsid w:val="00312941"/>
    <w:rsid w:val="0031359F"/>
    <w:rsid w:val="003141A6"/>
    <w:rsid w:val="00314308"/>
    <w:rsid w:val="0031492C"/>
    <w:rsid w:val="003157A7"/>
    <w:rsid w:val="00315CDF"/>
    <w:rsid w:val="00317A11"/>
    <w:rsid w:val="00317CD4"/>
    <w:rsid w:val="00320B85"/>
    <w:rsid w:val="00320EDA"/>
    <w:rsid w:val="00323ADA"/>
    <w:rsid w:val="00323C40"/>
    <w:rsid w:val="003244D7"/>
    <w:rsid w:val="00324DF8"/>
    <w:rsid w:val="00325445"/>
    <w:rsid w:val="0032578F"/>
    <w:rsid w:val="003261E9"/>
    <w:rsid w:val="00326C41"/>
    <w:rsid w:val="00327139"/>
    <w:rsid w:val="00327400"/>
    <w:rsid w:val="003279FC"/>
    <w:rsid w:val="00327BF2"/>
    <w:rsid w:val="00327EFC"/>
    <w:rsid w:val="00330AE5"/>
    <w:rsid w:val="0033113A"/>
    <w:rsid w:val="003324C5"/>
    <w:rsid w:val="003332B0"/>
    <w:rsid w:val="003343A9"/>
    <w:rsid w:val="003344B1"/>
    <w:rsid w:val="003346E1"/>
    <w:rsid w:val="00334908"/>
    <w:rsid w:val="003403D8"/>
    <w:rsid w:val="00341277"/>
    <w:rsid w:val="00341332"/>
    <w:rsid w:val="003418C7"/>
    <w:rsid w:val="00342001"/>
    <w:rsid w:val="00343D9A"/>
    <w:rsid w:val="0034424B"/>
    <w:rsid w:val="00345168"/>
    <w:rsid w:val="0034609B"/>
    <w:rsid w:val="00346C0B"/>
    <w:rsid w:val="003478BC"/>
    <w:rsid w:val="00347CD3"/>
    <w:rsid w:val="003509E7"/>
    <w:rsid w:val="00351760"/>
    <w:rsid w:val="00351B5D"/>
    <w:rsid w:val="00352ACE"/>
    <w:rsid w:val="00352EA6"/>
    <w:rsid w:val="00353F0F"/>
    <w:rsid w:val="0035493E"/>
    <w:rsid w:val="00354973"/>
    <w:rsid w:val="003549B5"/>
    <w:rsid w:val="00354D3B"/>
    <w:rsid w:val="0035519D"/>
    <w:rsid w:val="003552ED"/>
    <w:rsid w:val="003558E6"/>
    <w:rsid w:val="00355C82"/>
    <w:rsid w:val="00355E9A"/>
    <w:rsid w:val="00356458"/>
    <w:rsid w:val="00356D22"/>
    <w:rsid w:val="00356E19"/>
    <w:rsid w:val="003571CB"/>
    <w:rsid w:val="0035761A"/>
    <w:rsid w:val="003604DE"/>
    <w:rsid w:val="00360AC5"/>
    <w:rsid w:val="003611AF"/>
    <w:rsid w:val="00361378"/>
    <w:rsid w:val="003626D0"/>
    <w:rsid w:val="0036281C"/>
    <w:rsid w:val="003635FA"/>
    <w:rsid w:val="00363E5A"/>
    <w:rsid w:val="003641A8"/>
    <w:rsid w:val="00364B6B"/>
    <w:rsid w:val="00365113"/>
    <w:rsid w:val="00365117"/>
    <w:rsid w:val="003655E1"/>
    <w:rsid w:val="00366431"/>
    <w:rsid w:val="00366E0F"/>
    <w:rsid w:val="0036712B"/>
    <w:rsid w:val="00367143"/>
    <w:rsid w:val="00367584"/>
    <w:rsid w:val="003729CF"/>
    <w:rsid w:val="00372D7D"/>
    <w:rsid w:val="0037334B"/>
    <w:rsid w:val="00373819"/>
    <w:rsid w:val="00373E2D"/>
    <w:rsid w:val="00374059"/>
    <w:rsid w:val="00374524"/>
    <w:rsid w:val="0037490A"/>
    <w:rsid w:val="00377856"/>
    <w:rsid w:val="00380589"/>
    <w:rsid w:val="00381381"/>
    <w:rsid w:val="003813EB"/>
    <w:rsid w:val="00381715"/>
    <w:rsid w:val="003821B6"/>
    <w:rsid w:val="0038299A"/>
    <w:rsid w:val="00382DBE"/>
    <w:rsid w:val="003832E0"/>
    <w:rsid w:val="00383851"/>
    <w:rsid w:val="00384FF9"/>
    <w:rsid w:val="00385005"/>
    <w:rsid w:val="003858BF"/>
    <w:rsid w:val="003858D3"/>
    <w:rsid w:val="003877DD"/>
    <w:rsid w:val="003905D7"/>
    <w:rsid w:val="00390786"/>
    <w:rsid w:val="003916B3"/>
    <w:rsid w:val="00391E14"/>
    <w:rsid w:val="0039439F"/>
    <w:rsid w:val="00394A42"/>
    <w:rsid w:val="00394DB5"/>
    <w:rsid w:val="00394EE8"/>
    <w:rsid w:val="0039550B"/>
    <w:rsid w:val="0039595C"/>
    <w:rsid w:val="0039613C"/>
    <w:rsid w:val="003963A9"/>
    <w:rsid w:val="003966AC"/>
    <w:rsid w:val="00396A81"/>
    <w:rsid w:val="00397772"/>
    <w:rsid w:val="003A00C2"/>
    <w:rsid w:val="003A042C"/>
    <w:rsid w:val="003A05EF"/>
    <w:rsid w:val="003A1FF1"/>
    <w:rsid w:val="003A20EF"/>
    <w:rsid w:val="003A2A94"/>
    <w:rsid w:val="003A457E"/>
    <w:rsid w:val="003A499E"/>
    <w:rsid w:val="003A5802"/>
    <w:rsid w:val="003A73F2"/>
    <w:rsid w:val="003A7F8C"/>
    <w:rsid w:val="003B091D"/>
    <w:rsid w:val="003B0BA0"/>
    <w:rsid w:val="003B0ECF"/>
    <w:rsid w:val="003B0F19"/>
    <w:rsid w:val="003B14DD"/>
    <w:rsid w:val="003B2E89"/>
    <w:rsid w:val="003B39F2"/>
    <w:rsid w:val="003B4F12"/>
    <w:rsid w:val="003B566A"/>
    <w:rsid w:val="003B7AC2"/>
    <w:rsid w:val="003C0C2E"/>
    <w:rsid w:val="003C1605"/>
    <w:rsid w:val="003C3D7C"/>
    <w:rsid w:val="003C4DBE"/>
    <w:rsid w:val="003C4EBC"/>
    <w:rsid w:val="003C585D"/>
    <w:rsid w:val="003C6C1F"/>
    <w:rsid w:val="003C6E17"/>
    <w:rsid w:val="003C7C89"/>
    <w:rsid w:val="003D08B3"/>
    <w:rsid w:val="003D0B26"/>
    <w:rsid w:val="003D101A"/>
    <w:rsid w:val="003D1956"/>
    <w:rsid w:val="003D292B"/>
    <w:rsid w:val="003D3764"/>
    <w:rsid w:val="003D4383"/>
    <w:rsid w:val="003D4515"/>
    <w:rsid w:val="003D5363"/>
    <w:rsid w:val="003D6444"/>
    <w:rsid w:val="003D6DF8"/>
    <w:rsid w:val="003D7270"/>
    <w:rsid w:val="003D735D"/>
    <w:rsid w:val="003D739C"/>
    <w:rsid w:val="003D7B35"/>
    <w:rsid w:val="003D7FC2"/>
    <w:rsid w:val="003E0058"/>
    <w:rsid w:val="003E0E5D"/>
    <w:rsid w:val="003E106D"/>
    <w:rsid w:val="003E10FD"/>
    <w:rsid w:val="003E13B6"/>
    <w:rsid w:val="003E341E"/>
    <w:rsid w:val="003E689D"/>
    <w:rsid w:val="003E7D56"/>
    <w:rsid w:val="003E7FFA"/>
    <w:rsid w:val="003F0E7A"/>
    <w:rsid w:val="003F2C5B"/>
    <w:rsid w:val="003F54CC"/>
    <w:rsid w:val="003F6E92"/>
    <w:rsid w:val="003F725F"/>
    <w:rsid w:val="003F7304"/>
    <w:rsid w:val="003F7587"/>
    <w:rsid w:val="003F7B23"/>
    <w:rsid w:val="00400218"/>
    <w:rsid w:val="004006D7"/>
    <w:rsid w:val="00402934"/>
    <w:rsid w:val="004045D5"/>
    <w:rsid w:val="00404A90"/>
    <w:rsid w:val="004060BE"/>
    <w:rsid w:val="00407829"/>
    <w:rsid w:val="00407F94"/>
    <w:rsid w:val="00410485"/>
    <w:rsid w:val="00410A47"/>
    <w:rsid w:val="00410BF5"/>
    <w:rsid w:val="00412283"/>
    <w:rsid w:val="00412657"/>
    <w:rsid w:val="00413367"/>
    <w:rsid w:val="004133EF"/>
    <w:rsid w:val="0041342B"/>
    <w:rsid w:val="00413481"/>
    <w:rsid w:val="0041501F"/>
    <w:rsid w:val="0041505A"/>
    <w:rsid w:val="004152BA"/>
    <w:rsid w:val="004153B3"/>
    <w:rsid w:val="00415581"/>
    <w:rsid w:val="00416AEC"/>
    <w:rsid w:val="00417198"/>
    <w:rsid w:val="00420E0D"/>
    <w:rsid w:val="0042238B"/>
    <w:rsid w:val="00422532"/>
    <w:rsid w:val="00423AA9"/>
    <w:rsid w:val="0042401F"/>
    <w:rsid w:val="004240D7"/>
    <w:rsid w:val="00424475"/>
    <w:rsid w:val="00425363"/>
    <w:rsid w:val="00425D3F"/>
    <w:rsid w:val="00430F80"/>
    <w:rsid w:val="004311D4"/>
    <w:rsid w:val="004319F0"/>
    <w:rsid w:val="00431F4C"/>
    <w:rsid w:val="0043267F"/>
    <w:rsid w:val="00432888"/>
    <w:rsid w:val="004349C2"/>
    <w:rsid w:val="00434F2F"/>
    <w:rsid w:val="00435EF5"/>
    <w:rsid w:val="00436081"/>
    <w:rsid w:val="00436690"/>
    <w:rsid w:val="004368A3"/>
    <w:rsid w:val="00436D90"/>
    <w:rsid w:val="004372BC"/>
    <w:rsid w:val="00437FF6"/>
    <w:rsid w:val="00441902"/>
    <w:rsid w:val="00441FDE"/>
    <w:rsid w:val="0044215D"/>
    <w:rsid w:val="00443ED8"/>
    <w:rsid w:val="0044420C"/>
    <w:rsid w:val="0044424A"/>
    <w:rsid w:val="00444385"/>
    <w:rsid w:val="0044486F"/>
    <w:rsid w:val="004450AF"/>
    <w:rsid w:val="004455F7"/>
    <w:rsid w:val="004468AD"/>
    <w:rsid w:val="00447C8C"/>
    <w:rsid w:val="00447CF5"/>
    <w:rsid w:val="00447E12"/>
    <w:rsid w:val="0045087C"/>
    <w:rsid w:val="00450D48"/>
    <w:rsid w:val="00450DE4"/>
    <w:rsid w:val="00451F1A"/>
    <w:rsid w:val="00452B30"/>
    <w:rsid w:val="00453329"/>
    <w:rsid w:val="004536B5"/>
    <w:rsid w:val="00456BF1"/>
    <w:rsid w:val="00457A14"/>
    <w:rsid w:val="00457A22"/>
    <w:rsid w:val="00457CBD"/>
    <w:rsid w:val="00457EEB"/>
    <w:rsid w:val="00461273"/>
    <w:rsid w:val="00461886"/>
    <w:rsid w:val="0046291D"/>
    <w:rsid w:val="00462BED"/>
    <w:rsid w:val="004638C1"/>
    <w:rsid w:val="004641FE"/>
    <w:rsid w:val="00464EE5"/>
    <w:rsid w:val="00465F37"/>
    <w:rsid w:val="0046600C"/>
    <w:rsid w:val="004661FB"/>
    <w:rsid w:val="0046636D"/>
    <w:rsid w:val="004663C3"/>
    <w:rsid w:val="00466575"/>
    <w:rsid w:val="004669A2"/>
    <w:rsid w:val="0047299F"/>
    <w:rsid w:val="00472C12"/>
    <w:rsid w:val="00475734"/>
    <w:rsid w:val="00475F28"/>
    <w:rsid w:val="0047602F"/>
    <w:rsid w:val="0047729D"/>
    <w:rsid w:val="004775B7"/>
    <w:rsid w:val="00481B27"/>
    <w:rsid w:val="00482D3B"/>
    <w:rsid w:val="00482EC5"/>
    <w:rsid w:val="004838B3"/>
    <w:rsid w:val="0048450F"/>
    <w:rsid w:val="00484E52"/>
    <w:rsid w:val="00486D19"/>
    <w:rsid w:val="00486DCE"/>
    <w:rsid w:val="004901F3"/>
    <w:rsid w:val="004907D3"/>
    <w:rsid w:val="00490C4E"/>
    <w:rsid w:val="0049143C"/>
    <w:rsid w:val="004923FB"/>
    <w:rsid w:val="00492CDB"/>
    <w:rsid w:val="00493C7A"/>
    <w:rsid w:val="00493D6C"/>
    <w:rsid w:val="004956CD"/>
    <w:rsid w:val="004968CC"/>
    <w:rsid w:val="00497282"/>
    <w:rsid w:val="004A05B9"/>
    <w:rsid w:val="004A0DE6"/>
    <w:rsid w:val="004A10AE"/>
    <w:rsid w:val="004A12B1"/>
    <w:rsid w:val="004A17A7"/>
    <w:rsid w:val="004A18EC"/>
    <w:rsid w:val="004A2F0D"/>
    <w:rsid w:val="004A35C5"/>
    <w:rsid w:val="004A3D4C"/>
    <w:rsid w:val="004A42B3"/>
    <w:rsid w:val="004A4F85"/>
    <w:rsid w:val="004A5009"/>
    <w:rsid w:val="004A6841"/>
    <w:rsid w:val="004A7B3F"/>
    <w:rsid w:val="004A7E85"/>
    <w:rsid w:val="004B08A8"/>
    <w:rsid w:val="004B112A"/>
    <w:rsid w:val="004B1788"/>
    <w:rsid w:val="004B20D8"/>
    <w:rsid w:val="004B2533"/>
    <w:rsid w:val="004B26C5"/>
    <w:rsid w:val="004B349A"/>
    <w:rsid w:val="004B3A6E"/>
    <w:rsid w:val="004B3E4C"/>
    <w:rsid w:val="004B3F81"/>
    <w:rsid w:val="004B4D29"/>
    <w:rsid w:val="004B5517"/>
    <w:rsid w:val="004B5994"/>
    <w:rsid w:val="004B5F39"/>
    <w:rsid w:val="004B62D3"/>
    <w:rsid w:val="004C0258"/>
    <w:rsid w:val="004C148A"/>
    <w:rsid w:val="004C2AD5"/>
    <w:rsid w:val="004C2B18"/>
    <w:rsid w:val="004C3386"/>
    <w:rsid w:val="004C415B"/>
    <w:rsid w:val="004C49A7"/>
    <w:rsid w:val="004C4B94"/>
    <w:rsid w:val="004C56D5"/>
    <w:rsid w:val="004C56FB"/>
    <w:rsid w:val="004C64E1"/>
    <w:rsid w:val="004C6AB2"/>
    <w:rsid w:val="004C6D33"/>
    <w:rsid w:val="004C6EDF"/>
    <w:rsid w:val="004D03A4"/>
    <w:rsid w:val="004D05FC"/>
    <w:rsid w:val="004D1A65"/>
    <w:rsid w:val="004D1EC7"/>
    <w:rsid w:val="004D2ADF"/>
    <w:rsid w:val="004D2FC3"/>
    <w:rsid w:val="004D30C4"/>
    <w:rsid w:val="004D342B"/>
    <w:rsid w:val="004D381C"/>
    <w:rsid w:val="004D503C"/>
    <w:rsid w:val="004D5425"/>
    <w:rsid w:val="004D5893"/>
    <w:rsid w:val="004D5C90"/>
    <w:rsid w:val="004D65CD"/>
    <w:rsid w:val="004D6E84"/>
    <w:rsid w:val="004D716B"/>
    <w:rsid w:val="004D7F2A"/>
    <w:rsid w:val="004E08E2"/>
    <w:rsid w:val="004E1E51"/>
    <w:rsid w:val="004E2724"/>
    <w:rsid w:val="004E27F0"/>
    <w:rsid w:val="004E2CE2"/>
    <w:rsid w:val="004E2FDF"/>
    <w:rsid w:val="004E45D6"/>
    <w:rsid w:val="004E4CEE"/>
    <w:rsid w:val="004E5DDB"/>
    <w:rsid w:val="004E62A6"/>
    <w:rsid w:val="004E67D0"/>
    <w:rsid w:val="004E710A"/>
    <w:rsid w:val="004E7FC2"/>
    <w:rsid w:val="004F0F75"/>
    <w:rsid w:val="004F1E0F"/>
    <w:rsid w:val="004F1FB3"/>
    <w:rsid w:val="004F2280"/>
    <w:rsid w:val="004F2288"/>
    <w:rsid w:val="004F23A7"/>
    <w:rsid w:val="004F3268"/>
    <w:rsid w:val="004F3894"/>
    <w:rsid w:val="004F45F2"/>
    <w:rsid w:val="004F59A3"/>
    <w:rsid w:val="004F5F7F"/>
    <w:rsid w:val="004F6A15"/>
    <w:rsid w:val="004F768D"/>
    <w:rsid w:val="004F7803"/>
    <w:rsid w:val="004F7C45"/>
    <w:rsid w:val="0050100F"/>
    <w:rsid w:val="00501104"/>
    <w:rsid w:val="005015B7"/>
    <w:rsid w:val="00501A4B"/>
    <w:rsid w:val="00502931"/>
    <w:rsid w:val="00502A90"/>
    <w:rsid w:val="005040BD"/>
    <w:rsid w:val="005046E3"/>
    <w:rsid w:val="00506F0E"/>
    <w:rsid w:val="00510CEB"/>
    <w:rsid w:val="00510D89"/>
    <w:rsid w:val="00511089"/>
    <w:rsid w:val="00512C1F"/>
    <w:rsid w:val="005139E1"/>
    <w:rsid w:val="00513CA3"/>
    <w:rsid w:val="0051415E"/>
    <w:rsid w:val="00514518"/>
    <w:rsid w:val="00514CAC"/>
    <w:rsid w:val="0051537A"/>
    <w:rsid w:val="005206DB"/>
    <w:rsid w:val="005216AB"/>
    <w:rsid w:val="005216AF"/>
    <w:rsid w:val="0052173B"/>
    <w:rsid w:val="00521BA1"/>
    <w:rsid w:val="0052271D"/>
    <w:rsid w:val="005227B4"/>
    <w:rsid w:val="00522BEE"/>
    <w:rsid w:val="005236CC"/>
    <w:rsid w:val="005238B9"/>
    <w:rsid w:val="005253C3"/>
    <w:rsid w:val="0052587E"/>
    <w:rsid w:val="00526055"/>
    <w:rsid w:val="00526A1D"/>
    <w:rsid w:val="00527C08"/>
    <w:rsid w:val="00527CD9"/>
    <w:rsid w:val="00530FF3"/>
    <w:rsid w:val="005313BD"/>
    <w:rsid w:val="00531699"/>
    <w:rsid w:val="00531E95"/>
    <w:rsid w:val="00532A21"/>
    <w:rsid w:val="00533934"/>
    <w:rsid w:val="00534411"/>
    <w:rsid w:val="0053444D"/>
    <w:rsid w:val="00534F65"/>
    <w:rsid w:val="005350E2"/>
    <w:rsid w:val="0053603B"/>
    <w:rsid w:val="005364AB"/>
    <w:rsid w:val="00537A9E"/>
    <w:rsid w:val="00537D43"/>
    <w:rsid w:val="00541DA2"/>
    <w:rsid w:val="005426FC"/>
    <w:rsid w:val="00542BE9"/>
    <w:rsid w:val="00542C3B"/>
    <w:rsid w:val="00544798"/>
    <w:rsid w:val="00544CA2"/>
    <w:rsid w:val="00544D43"/>
    <w:rsid w:val="0054628D"/>
    <w:rsid w:val="00546C04"/>
    <w:rsid w:val="00547B12"/>
    <w:rsid w:val="00547C06"/>
    <w:rsid w:val="00551127"/>
    <w:rsid w:val="00551DBF"/>
    <w:rsid w:val="00553528"/>
    <w:rsid w:val="00553638"/>
    <w:rsid w:val="0055625C"/>
    <w:rsid w:val="005567CA"/>
    <w:rsid w:val="00560E4D"/>
    <w:rsid w:val="005621DD"/>
    <w:rsid w:val="005634D8"/>
    <w:rsid w:val="00563908"/>
    <w:rsid w:val="00565579"/>
    <w:rsid w:val="00565C43"/>
    <w:rsid w:val="00565E8B"/>
    <w:rsid w:val="005664B1"/>
    <w:rsid w:val="005667A9"/>
    <w:rsid w:val="00566FF6"/>
    <w:rsid w:val="005672A2"/>
    <w:rsid w:val="005673B6"/>
    <w:rsid w:val="005701E7"/>
    <w:rsid w:val="005702BF"/>
    <w:rsid w:val="00571F01"/>
    <w:rsid w:val="005754C9"/>
    <w:rsid w:val="00575755"/>
    <w:rsid w:val="00575A26"/>
    <w:rsid w:val="005813DF"/>
    <w:rsid w:val="00581A92"/>
    <w:rsid w:val="00581AFB"/>
    <w:rsid w:val="00581EC0"/>
    <w:rsid w:val="00583533"/>
    <w:rsid w:val="005835F1"/>
    <w:rsid w:val="00583A30"/>
    <w:rsid w:val="00583DF1"/>
    <w:rsid w:val="005856FC"/>
    <w:rsid w:val="005860D7"/>
    <w:rsid w:val="00586CC3"/>
    <w:rsid w:val="00587996"/>
    <w:rsid w:val="0059003C"/>
    <w:rsid w:val="005904E8"/>
    <w:rsid w:val="005929C3"/>
    <w:rsid w:val="00592C32"/>
    <w:rsid w:val="00594497"/>
    <w:rsid w:val="005969B6"/>
    <w:rsid w:val="00597845"/>
    <w:rsid w:val="005A265A"/>
    <w:rsid w:val="005A3B45"/>
    <w:rsid w:val="005A43D8"/>
    <w:rsid w:val="005A5754"/>
    <w:rsid w:val="005A739C"/>
    <w:rsid w:val="005A75CB"/>
    <w:rsid w:val="005A7B64"/>
    <w:rsid w:val="005B00A9"/>
    <w:rsid w:val="005B018F"/>
    <w:rsid w:val="005B1907"/>
    <w:rsid w:val="005B1CB3"/>
    <w:rsid w:val="005B1FB7"/>
    <w:rsid w:val="005B2A54"/>
    <w:rsid w:val="005B358D"/>
    <w:rsid w:val="005B3BDA"/>
    <w:rsid w:val="005B3FF2"/>
    <w:rsid w:val="005B567A"/>
    <w:rsid w:val="005B5CA8"/>
    <w:rsid w:val="005B6323"/>
    <w:rsid w:val="005B72A1"/>
    <w:rsid w:val="005C1239"/>
    <w:rsid w:val="005C2487"/>
    <w:rsid w:val="005C2E4F"/>
    <w:rsid w:val="005C3C4B"/>
    <w:rsid w:val="005C3E35"/>
    <w:rsid w:val="005C3FE6"/>
    <w:rsid w:val="005C4B43"/>
    <w:rsid w:val="005C5780"/>
    <w:rsid w:val="005C600D"/>
    <w:rsid w:val="005C74F0"/>
    <w:rsid w:val="005D063C"/>
    <w:rsid w:val="005D1E5A"/>
    <w:rsid w:val="005D3022"/>
    <w:rsid w:val="005D33CB"/>
    <w:rsid w:val="005D4811"/>
    <w:rsid w:val="005D4916"/>
    <w:rsid w:val="005D5187"/>
    <w:rsid w:val="005D527C"/>
    <w:rsid w:val="005D5EC3"/>
    <w:rsid w:val="005D61FB"/>
    <w:rsid w:val="005D717A"/>
    <w:rsid w:val="005D789F"/>
    <w:rsid w:val="005D7D0A"/>
    <w:rsid w:val="005E0732"/>
    <w:rsid w:val="005E111A"/>
    <w:rsid w:val="005E115B"/>
    <w:rsid w:val="005E1D8B"/>
    <w:rsid w:val="005E211B"/>
    <w:rsid w:val="005E2BD8"/>
    <w:rsid w:val="005E33FA"/>
    <w:rsid w:val="005E3D4C"/>
    <w:rsid w:val="005E49A2"/>
    <w:rsid w:val="005E4B73"/>
    <w:rsid w:val="005E50AD"/>
    <w:rsid w:val="005E577B"/>
    <w:rsid w:val="005F0BBB"/>
    <w:rsid w:val="005F0E15"/>
    <w:rsid w:val="005F2563"/>
    <w:rsid w:val="005F3321"/>
    <w:rsid w:val="005F3997"/>
    <w:rsid w:val="005F3999"/>
    <w:rsid w:val="005F428D"/>
    <w:rsid w:val="005F62D7"/>
    <w:rsid w:val="005F6DAE"/>
    <w:rsid w:val="005F6E69"/>
    <w:rsid w:val="005F71CE"/>
    <w:rsid w:val="005F7D62"/>
    <w:rsid w:val="005F7E66"/>
    <w:rsid w:val="005F7F43"/>
    <w:rsid w:val="006000EF"/>
    <w:rsid w:val="006019C4"/>
    <w:rsid w:val="00601F9B"/>
    <w:rsid w:val="00602AF2"/>
    <w:rsid w:val="00602B62"/>
    <w:rsid w:val="00602BB5"/>
    <w:rsid w:val="00603551"/>
    <w:rsid w:val="00603EB5"/>
    <w:rsid w:val="00603ED1"/>
    <w:rsid w:val="006040DF"/>
    <w:rsid w:val="00604A8B"/>
    <w:rsid w:val="00604AFB"/>
    <w:rsid w:val="00605396"/>
    <w:rsid w:val="0060650F"/>
    <w:rsid w:val="006066C7"/>
    <w:rsid w:val="006066D2"/>
    <w:rsid w:val="00606823"/>
    <w:rsid w:val="006070C3"/>
    <w:rsid w:val="00607587"/>
    <w:rsid w:val="0060764B"/>
    <w:rsid w:val="00610666"/>
    <w:rsid w:val="00610924"/>
    <w:rsid w:val="006111EE"/>
    <w:rsid w:val="00611291"/>
    <w:rsid w:val="006119CF"/>
    <w:rsid w:val="00612D7A"/>
    <w:rsid w:val="0061331D"/>
    <w:rsid w:val="00613366"/>
    <w:rsid w:val="00613672"/>
    <w:rsid w:val="00613E39"/>
    <w:rsid w:val="00614BF1"/>
    <w:rsid w:val="00615485"/>
    <w:rsid w:val="00615602"/>
    <w:rsid w:val="00617561"/>
    <w:rsid w:val="006176B4"/>
    <w:rsid w:val="006204D3"/>
    <w:rsid w:val="006205D9"/>
    <w:rsid w:val="00620669"/>
    <w:rsid w:val="0062097C"/>
    <w:rsid w:val="00621168"/>
    <w:rsid w:val="00621DB3"/>
    <w:rsid w:val="00621E0E"/>
    <w:rsid w:val="00622FBA"/>
    <w:rsid w:val="00623935"/>
    <w:rsid w:val="00623CB0"/>
    <w:rsid w:val="00623EFF"/>
    <w:rsid w:val="006260A0"/>
    <w:rsid w:val="00626B20"/>
    <w:rsid w:val="0062790D"/>
    <w:rsid w:val="0063069A"/>
    <w:rsid w:val="00630E40"/>
    <w:rsid w:val="00630EDB"/>
    <w:rsid w:val="00631B48"/>
    <w:rsid w:val="00631BB6"/>
    <w:rsid w:val="006325E1"/>
    <w:rsid w:val="0063346D"/>
    <w:rsid w:val="00633EC5"/>
    <w:rsid w:val="00634BCB"/>
    <w:rsid w:val="00636643"/>
    <w:rsid w:val="00636880"/>
    <w:rsid w:val="006368E0"/>
    <w:rsid w:val="00636D8D"/>
    <w:rsid w:val="00637455"/>
    <w:rsid w:val="006375F2"/>
    <w:rsid w:val="006416AB"/>
    <w:rsid w:val="006416F8"/>
    <w:rsid w:val="0064202E"/>
    <w:rsid w:val="0064253A"/>
    <w:rsid w:val="00643175"/>
    <w:rsid w:val="006434C8"/>
    <w:rsid w:val="006438C5"/>
    <w:rsid w:val="00643BF8"/>
    <w:rsid w:val="00644C54"/>
    <w:rsid w:val="006466BA"/>
    <w:rsid w:val="00647629"/>
    <w:rsid w:val="00650161"/>
    <w:rsid w:val="00652260"/>
    <w:rsid w:val="00653A42"/>
    <w:rsid w:val="00653D41"/>
    <w:rsid w:val="00654999"/>
    <w:rsid w:val="00654E74"/>
    <w:rsid w:val="00655825"/>
    <w:rsid w:val="00656693"/>
    <w:rsid w:val="00657154"/>
    <w:rsid w:val="00657590"/>
    <w:rsid w:val="00660FBD"/>
    <w:rsid w:val="0066191A"/>
    <w:rsid w:val="00661AE2"/>
    <w:rsid w:val="00662B79"/>
    <w:rsid w:val="00663F50"/>
    <w:rsid w:val="006652EA"/>
    <w:rsid w:val="00665FC4"/>
    <w:rsid w:val="00667D93"/>
    <w:rsid w:val="006707F8"/>
    <w:rsid w:val="00671325"/>
    <w:rsid w:val="0067225C"/>
    <w:rsid w:val="006724A7"/>
    <w:rsid w:val="006733AA"/>
    <w:rsid w:val="0067341A"/>
    <w:rsid w:val="00674069"/>
    <w:rsid w:val="006748A1"/>
    <w:rsid w:val="00674E9C"/>
    <w:rsid w:val="00676AC9"/>
    <w:rsid w:val="00677211"/>
    <w:rsid w:val="00680BD1"/>
    <w:rsid w:val="0068182E"/>
    <w:rsid w:val="00681B2A"/>
    <w:rsid w:val="006831CD"/>
    <w:rsid w:val="006833C0"/>
    <w:rsid w:val="006838DE"/>
    <w:rsid w:val="00683AD6"/>
    <w:rsid w:val="00684894"/>
    <w:rsid w:val="00684D71"/>
    <w:rsid w:val="00684E83"/>
    <w:rsid w:val="006857F9"/>
    <w:rsid w:val="00686931"/>
    <w:rsid w:val="006870C8"/>
    <w:rsid w:val="00687387"/>
    <w:rsid w:val="00687553"/>
    <w:rsid w:val="00687E9B"/>
    <w:rsid w:val="00690AC4"/>
    <w:rsid w:val="00690F32"/>
    <w:rsid w:val="00690FEA"/>
    <w:rsid w:val="0069104B"/>
    <w:rsid w:val="006919F4"/>
    <w:rsid w:val="00691F22"/>
    <w:rsid w:val="00694744"/>
    <w:rsid w:val="0069507F"/>
    <w:rsid w:val="00695516"/>
    <w:rsid w:val="00695585"/>
    <w:rsid w:val="00696A85"/>
    <w:rsid w:val="00696AF2"/>
    <w:rsid w:val="006971E1"/>
    <w:rsid w:val="00697CA1"/>
    <w:rsid w:val="00697F74"/>
    <w:rsid w:val="006A024E"/>
    <w:rsid w:val="006A044C"/>
    <w:rsid w:val="006A0582"/>
    <w:rsid w:val="006A095E"/>
    <w:rsid w:val="006A133B"/>
    <w:rsid w:val="006A1D01"/>
    <w:rsid w:val="006A2ADC"/>
    <w:rsid w:val="006A3214"/>
    <w:rsid w:val="006A4053"/>
    <w:rsid w:val="006A42A9"/>
    <w:rsid w:val="006A5A41"/>
    <w:rsid w:val="006A69F6"/>
    <w:rsid w:val="006A6FEB"/>
    <w:rsid w:val="006A7B38"/>
    <w:rsid w:val="006B037E"/>
    <w:rsid w:val="006B1577"/>
    <w:rsid w:val="006B46CD"/>
    <w:rsid w:val="006B5EE0"/>
    <w:rsid w:val="006B5EEE"/>
    <w:rsid w:val="006B65A3"/>
    <w:rsid w:val="006B6D1C"/>
    <w:rsid w:val="006B789B"/>
    <w:rsid w:val="006B7954"/>
    <w:rsid w:val="006B7C01"/>
    <w:rsid w:val="006B7D3E"/>
    <w:rsid w:val="006C147F"/>
    <w:rsid w:val="006C1A71"/>
    <w:rsid w:val="006C291C"/>
    <w:rsid w:val="006C2EBE"/>
    <w:rsid w:val="006C4163"/>
    <w:rsid w:val="006C55AC"/>
    <w:rsid w:val="006C57F8"/>
    <w:rsid w:val="006C582F"/>
    <w:rsid w:val="006C594F"/>
    <w:rsid w:val="006C64BF"/>
    <w:rsid w:val="006C6BB3"/>
    <w:rsid w:val="006C7805"/>
    <w:rsid w:val="006C7F86"/>
    <w:rsid w:val="006D1AB8"/>
    <w:rsid w:val="006D3B42"/>
    <w:rsid w:val="006D505C"/>
    <w:rsid w:val="006D5BB6"/>
    <w:rsid w:val="006D762D"/>
    <w:rsid w:val="006D770E"/>
    <w:rsid w:val="006D797A"/>
    <w:rsid w:val="006E03B9"/>
    <w:rsid w:val="006E0438"/>
    <w:rsid w:val="006E070A"/>
    <w:rsid w:val="006E138B"/>
    <w:rsid w:val="006E1A36"/>
    <w:rsid w:val="006E2FCA"/>
    <w:rsid w:val="006E34B1"/>
    <w:rsid w:val="006E35E6"/>
    <w:rsid w:val="006E5262"/>
    <w:rsid w:val="006E5531"/>
    <w:rsid w:val="006E5D48"/>
    <w:rsid w:val="006E61E7"/>
    <w:rsid w:val="006E7D8D"/>
    <w:rsid w:val="006E7FA4"/>
    <w:rsid w:val="006F0ADA"/>
    <w:rsid w:val="006F10D2"/>
    <w:rsid w:val="006F1639"/>
    <w:rsid w:val="006F1E93"/>
    <w:rsid w:val="006F30A8"/>
    <w:rsid w:val="006F371C"/>
    <w:rsid w:val="006F4282"/>
    <w:rsid w:val="006F49FB"/>
    <w:rsid w:val="006F4DDC"/>
    <w:rsid w:val="006F589F"/>
    <w:rsid w:val="006F641F"/>
    <w:rsid w:val="006F64ED"/>
    <w:rsid w:val="006F6535"/>
    <w:rsid w:val="006F72A9"/>
    <w:rsid w:val="00700556"/>
    <w:rsid w:val="0070130C"/>
    <w:rsid w:val="0070165B"/>
    <w:rsid w:val="007017C2"/>
    <w:rsid w:val="0070195D"/>
    <w:rsid w:val="007030D5"/>
    <w:rsid w:val="00703A2F"/>
    <w:rsid w:val="00703C9D"/>
    <w:rsid w:val="007042DF"/>
    <w:rsid w:val="00704A13"/>
    <w:rsid w:val="00704EE9"/>
    <w:rsid w:val="007052B8"/>
    <w:rsid w:val="00705795"/>
    <w:rsid w:val="00705B29"/>
    <w:rsid w:val="00705C31"/>
    <w:rsid w:val="00706159"/>
    <w:rsid w:val="00706826"/>
    <w:rsid w:val="007068AE"/>
    <w:rsid w:val="00707D26"/>
    <w:rsid w:val="007100AB"/>
    <w:rsid w:val="0071099B"/>
    <w:rsid w:val="00710D73"/>
    <w:rsid w:val="00711094"/>
    <w:rsid w:val="007116F2"/>
    <w:rsid w:val="007130A1"/>
    <w:rsid w:val="00713C16"/>
    <w:rsid w:val="00715761"/>
    <w:rsid w:val="00715EB8"/>
    <w:rsid w:val="0071686D"/>
    <w:rsid w:val="00716E59"/>
    <w:rsid w:val="00716E84"/>
    <w:rsid w:val="0071700A"/>
    <w:rsid w:val="0071719D"/>
    <w:rsid w:val="00717829"/>
    <w:rsid w:val="00717C89"/>
    <w:rsid w:val="00720660"/>
    <w:rsid w:val="00720A13"/>
    <w:rsid w:val="00721752"/>
    <w:rsid w:val="00724446"/>
    <w:rsid w:val="0072451D"/>
    <w:rsid w:val="007246E2"/>
    <w:rsid w:val="00724E05"/>
    <w:rsid w:val="00724FB8"/>
    <w:rsid w:val="00726C46"/>
    <w:rsid w:val="00726D73"/>
    <w:rsid w:val="00727648"/>
    <w:rsid w:val="007278EB"/>
    <w:rsid w:val="007279E0"/>
    <w:rsid w:val="00730ECE"/>
    <w:rsid w:val="00730FE0"/>
    <w:rsid w:val="007315D9"/>
    <w:rsid w:val="007324F3"/>
    <w:rsid w:val="00734970"/>
    <w:rsid w:val="00734A39"/>
    <w:rsid w:val="00734AD8"/>
    <w:rsid w:val="00736CC3"/>
    <w:rsid w:val="00737732"/>
    <w:rsid w:val="00737DFF"/>
    <w:rsid w:val="007405A0"/>
    <w:rsid w:val="00740757"/>
    <w:rsid w:val="00741001"/>
    <w:rsid w:val="00741137"/>
    <w:rsid w:val="00741992"/>
    <w:rsid w:val="007422D0"/>
    <w:rsid w:val="00742E7B"/>
    <w:rsid w:val="00743CCA"/>
    <w:rsid w:val="00746735"/>
    <w:rsid w:val="00746786"/>
    <w:rsid w:val="00746B46"/>
    <w:rsid w:val="00746F84"/>
    <w:rsid w:val="00747DBB"/>
    <w:rsid w:val="00750007"/>
    <w:rsid w:val="007513A1"/>
    <w:rsid w:val="0075148E"/>
    <w:rsid w:val="007518A2"/>
    <w:rsid w:val="007520D7"/>
    <w:rsid w:val="00752A09"/>
    <w:rsid w:val="00752E41"/>
    <w:rsid w:val="007537AA"/>
    <w:rsid w:val="00754A74"/>
    <w:rsid w:val="00754B7C"/>
    <w:rsid w:val="00756600"/>
    <w:rsid w:val="00756BA2"/>
    <w:rsid w:val="00757112"/>
    <w:rsid w:val="0075798F"/>
    <w:rsid w:val="00760A91"/>
    <w:rsid w:val="00760B9B"/>
    <w:rsid w:val="007629F6"/>
    <w:rsid w:val="00762C72"/>
    <w:rsid w:val="00763374"/>
    <w:rsid w:val="007633B0"/>
    <w:rsid w:val="0076341E"/>
    <w:rsid w:val="007649B8"/>
    <w:rsid w:val="00764D01"/>
    <w:rsid w:val="00765722"/>
    <w:rsid w:val="00767198"/>
    <w:rsid w:val="007679C8"/>
    <w:rsid w:val="007708D5"/>
    <w:rsid w:val="00773C01"/>
    <w:rsid w:val="007744CB"/>
    <w:rsid w:val="00774945"/>
    <w:rsid w:val="00774B6F"/>
    <w:rsid w:val="00775AA8"/>
    <w:rsid w:val="00776347"/>
    <w:rsid w:val="00776B2D"/>
    <w:rsid w:val="00777903"/>
    <w:rsid w:val="00777942"/>
    <w:rsid w:val="00777D81"/>
    <w:rsid w:val="00780080"/>
    <w:rsid w:val="00780624"/>
    <w:rsid w:val="00781C20"/>
    <w:rsid w:val="00781F9F"/>
    <w:rsid w:val="007836CB"/>
    <w:rsid w:val="00785F02"/>
    <w:rsid w:val="00786C1F"/>
    <w:rsid w:val="007871F3"/>
    <w:rsid w:val="0079075D"/>
    <w:rsid w:val="00791EBD"/>
    <w:rsid w:val="0079261F"/>
    <w:rsid w:val="00792B5B"/>
    <w:rsid w:val="00792EFB"/>
    <w:rsid w:val="00793763"/>
    <w:rsid w:val="00793D77"/>
    <w:rsid w:val="00795445"/>
    <w:rsid w:val="00796A6A"/>
    <w:rsid w:val="00797A43"/>
    <w:rsid w:val="00797B54"/>
    <w:rsid w:val="00797D5E"/>
    <w:rsid w:val="007A02FC"/>
    <w:rsid w:val="007A04D5"/>
    <w:rsid w:val="007A09D9"/>
    <w:rsid w:val="007A2AAE"/>
    <w:rsid w:val="007A2D7B"/>
    <w:rsid w:val="007A3FF5"/>
    <w:rsid w:val="007A430A"/>
    <w:rsid w:val="007A4791"/>
    <w:rsid w:val="007A5A38"/>
    <w:rsid w:val="007A5C68"/>
    <w:rsid w:val="007A6A3E"/>
    <w:rsid w:val="007A71A3"/>
    <w:rsid w:val="007A7650"/>
    <w:rsid w:val="007B1E56"/>
    <w:rsid w:val="007B23B0"/>
    <w:rsid w:val="007B2674"/>
    <w:rsid w:val="007B2CF6"/>
    <w:rsid w:val="007B2F48"/>
    <w:rsid w:val="007B3368"/>
    <w:rsid w:val="007B4162"/>
    <w:rsid w:val="007B513B"/>
    <w:rsid w:val="007B56E5"/>
    <w:rsid w:val="007B578E"/>
    <w:rsid w:val="007B62B5"/>
    <w:rsid w:val="007B6759"/>
    <w:rsid w:val="007B6785"/>
    <w:rsid w:val="007B7398"/>
    <w:rsid w:val="007C06FD"/>
    <w:rsid w:val="007C0D41"/>
    <w:rsid w:val="007C0F6F"/>
    <w:rsid w:val="007C13D2"/>
    <w:rsid w:val="007C16FD"/>
    <w:rsid w:val="007C1F3E"/>
    <w:rsid w:val="007C2729"/>
    <w:rsid w:val="007C2905"/>
    <w:rsid w:val="007C35B0"/>
    <w:rsid w:val="007C3FEA"/>
    <w:rsid w:val="007C40A7"/>
    <w:rsid w:val="007C4151"/>
    <w:rsid w:val="007C426D"/>
    <w:rsid w:val="007C4BA5"/>
    <w:rsid w:val="007C582F"/>
    <w:rsid w:val="007C6C62"/>
    <w:rsid w:val="007C710C"/>
    <w:rsid w:val="007C775E"/>
    <w:rsid w:val="007D0736"/>
    <w:rsid w:val="007D08A3"/>
    <w:rsid w:val="007D1B59"/>
    <w:rsid w:val="007D2944"/>
    <w:rsid w:val="007D3FE9"/>
    <w:rsid w:val="007D4556"/>
    <w:rsid w:val="007D4840"/>
    <w:rsid w:val="007D4FDE"/>
    <w:rsid w:val="007D53DD"/>
    <w:rsid w:val="007D5F7B"/>
    <w:rsid w:val="007D6438"/>
    <w:rsid w:val="007D69EE"/>
    <w:rsid w:val="007D6A16"/>
    <w:rsid w:val="007D7BA5"/>
    <w:rsid w:val="007E008D"/>
    <w:rsid w:val="007E050A"/>
    <w:rsid w:val="007E23E7"/>
    <w:rsid w:val="007E2408"/>
    <w:rsid w:val="007E2777"/>
    <w:rsid w:val="007E2AEF"/>
    <w:rsid w:val="007E2D0B"/>
    <w:rsid w:val="007E4979"/>
    <w:rsid w:val="007E5729"/>
    <w:rsid w:val="007E604D"/>
    <w:rsid w:val="007E675B"/>
    <w:rsid w:val="007E68EF"/>
    <w:rsid w:val="007E6F8F"/>
    <w:rsid w:val="007E7C07"/>
    <w:rsid w:val="007F09FE"/>
    <w:rsid w:val="007F2EE3"/>
    <w:rsid w:val="007F3DD9"/>
    <w:rsid w:val="007F40CD"/>
    <w:rsid w:val="007F47E1"/>
    <w:rsid w:val="007F51B9"/>
    <w:rsid w:val="007F5AAE"/>
    <w:rsid w:val="007F7A0C"/>
    <w:rsid w:val="007F7E89"/>
    <w:rsid w:val="00800015"/>
    <w:rsid w:val="00800301"/>
    <w:rsid w:val="00800557"/>
    <w:rsid w:val="00800618"/>
    <w:rsid w:val="00800A2B"/>
    <w:rsid w:val="00801A72"/>
    <w:rsid w:val="00801D08"/>
    <w:rsid w:val="00801DE3"/>
    <w:rsid w:val="008025E7"/>
    <w:rsid w:val="00802854"/>
    <w:rsid w:val="0080295E"/>
    <w:rsid w:val="00802CF0"/>
    <w:rsid w:val="00805BC4"/>
    <w:rsid w:val="008061A6"/>
    <w:rsid w:val="008061C0"/>
    <w:rsid w:val="008078A8"/>
    <w:rsid w:val="00810201"/>
    <w:rsid w:val="00811201"/>
    <w:rsid w:val="0081143F"/>
    <w:rsid w:val="0081248C"/>
    <w:rsid w:val="008127DF"/>
    <w:rsid w:val="008129AA"/>
    <w:rsid w:val="00812E72"/>
    <w:rsid w:val="008138E2"/>
    <w:rsid w:val="008146C7"/>
    <w:rsid w:val="00814854"/>
    <w:rsid w:val="008148F6"/>
    <w:rsid w:val="00814CD7"/>
    <w:rsid w:val="00814DA9"/>
    <w:rsid w:val="00814E16"/>
    <w:rsid w:val="00815072"/>
    <w:rsid w:val="00815F34"/>
    <w:rsid w:val="00815F79"/>
    <w:rsid w:val="00816004"/>
    <w:rsid w:val="008172DD"/>
    <w:rsid w:val="008174F8"/>
    <w:rsid w:val="00822BD8"/>
    <w:rsid w:val="00822EE1"/>
    <w:rsid w:val="0082361B"/>
    <w:rsid w:val="00823753"/>
    <w:rsid w:val="00823893"/>
    <w:rsid w:val="008254A5"/>
    <w:rsid w:val="00825742"/>
    <w:rsid w:val="00826CD7"/>
    <w:rsid w:val="00830366"/>
    <w:rsid w:val="0083171B"/>
    <w:rsid w:val="008318A7"/>
    <w:rsid w:val="008320F0"/>
    <w:rsid w:val="008320FE"/>
    <w:rsid w:val="00832145"/>
    <w:rsid w:val="008323CA"/>
    <w:rsid w:val="0083242C"/>
    <w:rsid w:val="0083262F"/>
    <w:rsid w:val="008338ED"/>
    <w:rsid w:val="00833B7D"/>
    <w:rsid w:val="00835155"/>
    <w:rsid w:val="008353C7"/>
    <w:rsid w:val="008376B3"/>
    <w:rsid w:val="0084004A"/>
    <w:rsid w:val="00840956"/>
    <w:rsid w:val="00840B7C"/>
    <w:rsid w:val="00841030"/>
    <w:rsid w:val="00841A9C"/>
    <w:rsid w:val="00841B01"/>
    <w:rsid w:val="00841FC5"/>
    <w:rsid w:val="00842BA7"/>
    <w:rsid w:val="00842DB7"/>
    <w:rsid w:val="00843A5E"/>
    <w:rsid w:val="00844745"/>
    <w:rsid w:val="008450EA"/>
    <w:rsid w:val="0084548B"/>
    <w:rsid w:val="00845CC7"/>
    <w:rsid w:val="00846364"/>
    <w:rsid w:val="008463B6"/>
    <w:rsid w:val="008465D2"/>
    <w:rsid w:val="008471E6"/>
    <w:rsid w:val="00847342"/>
    <w:rsid w:val="00850685"/>
    <w:rsid w:val="00850890"/>
    <w:rsid w:val="00850EAC"/>
    <w:rsid w:val="0085115B"/>
    <w:rsid w:val="00852A1B"/>
    <w:rsid w:val="00853DEA"/>
    <w:rsid w:val="00855CB7"/>
    <w:rsid w:val="00860302"/>
    <w:rsid w:val="008609B8"/>
    <w:rsid w:val="0086104E"/>
    <w:rsid w:val="00861115"/>
    <w:rsid w:val="008611F9"/>
    <w:rsid w:val="008611FB"/>
    <w:rsid w:val="00861B6C"/>
    <w:rsid w:val="008622CA"/>
    <w:rsid w:val="00862990"/>
    <w:rsid w:val="00863485"/>
    <w:rsid w:val="00863726"/>
    <w:rsid w:val="00863ADE"/>
    <w:rsid w:val="00864ECD"/>
    <w:rsid w:val="00865168"/>
    <w:rsid w:val="008654BA"/>
    <w:rsid w:val="00867661"/>
    <w:rsid w:val="008700E0"/>
    <w:rsid w:val="008708C7"/>
    <w:rsid w:val="00870A21"/>
    <w:rsid w:val="00870DE4"/>
    <w:rsid w:val="00870FE6"/>
    <w:rsid w:val="00871916"/>
    <w:rsid w:val="00873A73"/>
    <w:rsid w:val="008740AB"/>
    <w:rsid w:val="0087491F"/>
    <w:rsid w:val="008762A4"/>
    <w:rsid w:val="00876A9C"/>
    <w:rsid w:val="00876EC6"/>
    <w:rsid w:val="008775FA"/>
    <w:rsid w:val="00877F97"/>
    <w:rsid w:val="008805D5"/>
    <w:rsid w:val="00880E10"/>
    <w:rsid w:val="0088100B"/>
    <w:rsid w:val="008812F0"/>
    <w:rsid w:val="00881369"/>
    <w:rsid w:val="008813F8"/>
    <w:rsid w:val="00881556"/>
    <w:rsid w:val="00881C0D"/>
    <w:rsid w:val="00881CE4"/>
    <w:rsid w:val="00881F00"/>
    <w:rsid w:val="00885268"/>
    <w:rsid w:val="00885401"/>
    <w:rsid w:val="008854D7"/>
    <w:rsid w:val="00886166"/>
    <w:rsid w:val="00886FF7"/>
    <w:rsid w:val="0089003E"/>
    <w:rsid w:val="008901E6"/>
    <w:rsid w:val="00890D81"/>
    <w:rsid w:val="008911D9"/>
    <w:rsid w:val="008917F4"/>
    <w:rsid w:val="00891E16"/>
    <w:rsid w:val="008925C0"/>
    <w:rsid w:val="00893C65"/>
    <w:rsid w:val="008948C8"/>
    <w:rsid w:val="00894912"/>
    <w:rsid w:val="008949DC"/>
    <w:rsid w:val="00896130"/>
    <w:rsid w:val="008961C8"/>
    <w:rsid w:val="008961E5"/>
    <w:rsid w:val="008967A5"/>
    <w:rsid w:val="008969EC"/>
    <w:rsid w:val="00897310"/>
    <w:rsid w:val="00897431"/>
    <w:rsid w:val="008A0038"/>
    <w:rsid w:val="008A0168"/>
    <w:rsid w:val="008A084A"/>
    <w:rsid w:val="008A0A93"/>
    <w:rsid w:val="008A1185"/>
    <w:rsid w:val="008A1372"/>
    <w:rsid w:val="008A15AB"/>
    <w:rsid w:val="008A1D7F"/>
    <w:rsid w:val="008A1FDD"/>
    <w:rsid w:val="008A249B"/>
    <w:rsid w:val="008A4A5A"/>
    <w:rsid w:val="008A50F7"/>
    <w:rsid w:val="008A668C"/>
    <w:rsid w:val="008A6A82"/>
    <w:rsid w:val="008A72D9"/>
    <w:rsid w:val="008A749C"/>
    <w:rsid w:val="008B0C13"/>
    <w:rsid w:val="008B1526"/>
    <w:rsid w:val="008B2727"/>
    <w:rsid w:val="008B37F8"/>
    <w:rsid w:val="008B48B9"/>
    <w:rsid w:val="008B4BF5"/>
    <w:rsid w:val="008B4F74"/>
    <w:rsid w:val="008B5386"/>
    <w:rsid w:val="008B5D3E"/>
    <w:rsid w:val="008B5F6C"/>
    <w:rsid w:val="008B61B8"/>
    <w:rsid w:val="008B76AF"/>
    <w:rsid w:val="008B7E9C"/>
    <w:rsid w:val="008C0171"/>
    <w:rsid w:val="008C0B47"/>
    <w:rsid w:val="008C1E5F"/>
    <w:rsid w:val="008C245C"/>
    <w:rsid w:val="008C2694"/>
    <w:rsid w:val="008C2C3B"/>
    <w:rsid w:val="008C3361"/>
    <w:rsid w:val="008C3586"/>
    <w:rsid w:val="008C3998"/>
    <w:rsid w:val="008C40B8"/>
    <w:rsid w:val="008C41E3"/>
    <w:rsid w:val="008C4A1A"/>
    <w:rsid w:val="008C4FFD"/>
    <w:rsid w:val="008C5F76"/>
    <w:rsid w:val="008C65C0"/>
    <w:rsid w:val="008C6A98"/>
    <w:rsid w:val="008C77BE"/>
    <w:rsid w:val="008C7ECD"/>
    <w:rsid w:val="008D01AC"/>
    <w:rsid w:val="008D0725"/>
    <w:rsid w:val="008D1700"/>
    <w:rsid w:val="008D2EA9"/>
    <w:rsid w:val="008D345C"/>
    <w:rsid w:val="008D3C64"/>
    <w:rsid w:val="008D4183"/>
    <w:rsid w:val="008D456C"/>
    <w:rsid w:val="008D46A3"/>
    <w:rsid w:val="008D5839"/>
    <w:rsid w:val="008D6781"/>
    <w:rsid w:val="008D7620"/>
    <w:rsid w:val="008D7884"/>
    <w:rsid w:val="008D79D5"/>
    <w:rsid w:val="008E02E9"/>
    <w:rsid w:val="008E0AEC"/>
    <w:rsid w:val="008E2D8B"/>
    <w:rsid w:val="008E2ED0"/>
    <w:rsid w:val="008E3540"/>
    <w:rsid w:val="008E3A22"/>
    <w:rsid w:val="008E5144"/>
    <w:rsid w:val="008E578A"/>
    <w:rsid w:val="008E5ACF"/>
    <w:rsid w:val="008E75F9"/>
    <w:rsid w:val="008E7710"/>
    <w:rsid w:val="008E7836"/>
    <w:rsid w:val="008F0809"/>
    <w:rsid w:val="008F1B99"/>
    <w:rsid w:val="008F2E3C"/>
    <w:rsid w:val="008F3209"/>
    <w:rsid w:val="008F37A7"/>
    <w:rsid w:val="008F39B3"/>
    <w:rsid w:val="008F3C48"/>
    <w:rsid w:val="008F3CC1"/>
    <w:rsid w:val="008F3D97"/>
    <w:rsid w:val="008F40C7"/>
    <w:rsid w:val="008F5494"/>
    <w:rsid w:val="008F59FE"/>
    <w:rsid w:val="008F5BEC"/>
    <w:rsid w:val="008F6774"/>
    <w:rsid w:val="008F7593"/>
    <w:rsid w:val="009005DD"/>
    <w:rsid w:val="00900AC2"/>
    <w:rsid w:val="00902611"/>
    <w:rsid w:val="009026D6"/>
    <w:rsid w:val="00902875"/>
    <w:rsid w:val="009030AF"/>
    <w:rsid w:val="00903E8F"/>
    <w:rsid w:val="009045AF"/>
    <w:rsid w:val="00906144"/>
    <w:rsid w:val="009062BA"/>
    <w:rsid w:val="00906748"/>
    <w:rsid w:val="00907BDD"/>
    <w:rsid w:val="00907DA0"/>
    <w:rsid w:val="00910052"/>
    <w:rsid w:val="009109FD"/>
    <w:rsid w:val="0091112C"/>
    <w:rsid w:val="009117EB"/>
    <w:rsid w:val="00911FA8"/>
    <w:rsid w:val="009121CC"/>
    <w:rsid w:val="0091224E"/>
    <w:rsid w:val="00914270"/>
    <w:rsid w:val="00915E38"/>
    <w:rsid w:val="00915EEC"/>
    <w:rsid w:val="00917BE5"/>
    <w:rsid w:val="0092066C"/>
    <w:rsid w:val="00921211"/>
    <w:rsid w:val="0092303D"/>
    <w:rsid w:val="00923525"/>
    <w:rsid w:val="00924FBC"/>
    <w:rsid w:val="0092507D"/>
    <w:rsid w:val="009254B7"/>
    <w:rsid w:val="009255AF"/>
    <w:rsid w:val="00925F4A"/>
    <w:rsid w:val="00926973"/>
    <w:rsid w:val="009271C8"/>
    <w:rsid w:val="00927941"/>
    <w:rsid w:val="00927B61"/>
    <w:rsid w:val="0093023B"/>
    <w:rsid w:val="009309E2"/>
    <w:rsid w:val="00931BD3"/>
    <w:rsid w:val="009322AF"/>
    <w:rsid w:val="0093353C"/>
    <w:rsid w:val="00934343"/>
    <w:rsid w:val="00934453"/>
    <w:rsid w:val="009344E9"/>
    <w:rsid w:val="0093607D"/>
    <w:rsid w:val="00936133"/>
    <w:rsid w:val="0093615C"/>
    <w:rsid w:val="00937740"/>
    <w:rsid w:val="00937A2C"/>
    <w:rsid w:val="00937D9E"/>
    <w:rsid w:val="0094001D"/>
    <w:rsid w:val="0094013F"/>
    <w:rsid w:val="00940435"/>
    <w:rsid w:val="00940A75"/>
    <w:rsid w:val="00941068"/>
    <w:rsid w:val="00941EB7"/>
    <w:rsid w:val="00941FE3"/>
    <w:rsid w:val="0094282F"/>
    <w:rsid w:val="00942A9C"/>
    <w:rsid w:val="0094364D"/>
    <w:rsid w:val="009437EE"/>
    <w:rsid w:val="009444F2"/>
    <w:rsid w:val="00945619"/>
    <w:rsid w:val="0094570C"/>
    <w:rsid w:val="0094647A"/>
    <w:rsid w:val="00946B9A"/>
    <w:rsid w:val="009479F2"/>
    <w:rsid w:val="00947C6C"/>
    <w:rsid w:val="00947CCE"/>
    <w:rsid w:val="00952478"/>
    <w:rsid w:val="009524E3"/>
    <w:rsid w:val="0095361B"/>
    <w:rsid w:val="00953D5D"/>
    <w:rsid w:val="009547CC"/>
    <w:rsid w:val="00954C6E"/>
    <w:rsid w:val="00954E73"/>
    <w:rsid w:val="00955B76"/>
    <w:rsid w:val="00955D70"/>
    <w:rsid w:val="00956139"/>
    <w:rsid w:val="0095728E"/>
    <w:rsid w:val="009576EB"/>
    <w:rsid w:val="00957C71"/>
    <w:rsid w:val="00960C5B"/>
    <w:rsid w:val="00962591"/>
    <w:rsid w:val="00963B90"/>
    <w:rsid w:val="00963EBE"/>
    <w:rsid w:val="00966CB2"/>
    <w:rsid w:val="0096785C"/>
    <w:rsid w:val="00971295"/>
    <w:rsid w:val="009715BF"/>
    <w:rsid w:val="00972214"/>
    <w:rsid w:val="00972B02"/>
    <w:rsid w:val="00973CC0"/>
    <w:rsid w:val="00974716"/>
    <w:rsid w:val="00974A7E"/>
    <w:rsid w:val="009750F2"/>
    <w:rsid w:val="00975843"/>
    <w:rsid w:val="00975E21"/>
    <w:rsid w:val="00976974"/>
    <w:rsid w:val="009769BF"/>
    <w:rsid w:val="00976F27"/>
    <w:rsid w:val="00977406"/>
    <w:rsid w:val="00980434"/>
    <w:rsid w:val="0098122F"/>
    <w:rsid w:val="00981D48"/>
    <w:rsid w:val="00983B8D"/>
    <w:rsid w:val="00984645"/>
    <w:rsid w:val="009847FE"/>
    <w:rsid w:val="00984E07"/>
    <w:rsid w:val="00985928"/>
    <w:rsid w:val="00986703"/>
    <w:rsid w:val="0098683D"/>
    <w:rsid w:val="00986C41"/>
    <w:rsid w:val="00986CDB"/>
    <w:rsid w:val="00987333"/>
    <w:rsid w:val="00990059"/>
    <w:rsid w:val="00990C97"/>
    <w:rsid w:val="00991191"/>
    <w:rsid w:val="00991AB3"/>
    <w:rsid w:val="00991CFA"/>
    <w:rsid w:val="00992228"/>
    <w:rsid w:val="00993724"/>
    <w:rsid w:val="00993CE7"/>
    <w:rsid w:val="00994A50"/>
    <w:rsid w:val="009959B2"/>
    <w:rsid w:val="00995BC5"/>
    <w:rsid w:val="00996AD7"/>
    <w:rsid w:val="00996BCF"/>
    <w:rsid w:val="00997489"/>
    <w:rsid w:val="00997A6C"/>
    <w:rsid w:val="00997E48"/>
    <w:rsid w:val="009A0134"/>
    <w:rsid w:val="009A0BAB"/>
    <w:rsid w:val="009A1A51"/>
    <w:rsid w:val="009A4185"/>
    <w:rsid w:val="009A5864"/>
    <w:rsid w:val="009B0A8A"/>
    <w:rsid w:val="009B12CC"/>
    <w:rsid w:val="009B1670"/>
    <w:rsid w:val="009B2C06"/>
    <w:rsid w:val="009B2CF1"/>
    <w:rsid w:val="009B438B"/>
    <w:rsid w:val="009B43C9"/>
    <w:rsid w:val="009B4880"/>
    <w:rsid w:val="009B5AF2"/>
    <w:rsid w:val="009B6098"/>
    <w:rsid w:val="009B7BD5"/>
    <w:rsid w:val="009B7CA5"/>
    <w:rsid w:val="009C00C6"/>
    <w:rsid w:val="009C0BC0"/>
    <w:rsid w:val="009C2F8C"/>
    <w:rsid w:val="009C37F0"/>
    <w:rsid w:val="009C38E8"/>
    <w:rsid w:val="009C47C3"/>
    <w:rsid w:val="009C4C13"/>
    <w:rsid w:val="009C54C3"/>
    <w:rsid w:val="009C58CF"/>
    <w:rsid w:val="009C6B12"/>
    <w:rsid w:val="009C71AD"/>
    <w:rsid w:val="009D01E0"/>
    <w:rsid w:val="009D04E0"/>
    <w:rsid w:val="009D18F8"/>
    <w:rsid w:val="009D20DD"/>
    <w:rsid w:val="009D2C34"/>
    <w:rsid w:val="009D2E17"/>
    <w:rsid w:val="009D3D53"/>
    <w:rsid w:val="009D506F"/>
    <w:rsid w:val="009D5C70"/>
    <w:rsid w:val="009D5EFE"/>
    <w:rsid w:val="009D6C3B"/>
    <w:rsid w:val="009D7948"/>
    <w:rsid w:val="009E0110"/>
    <w:rsid w:val="009E2170"/>
    <w:rsid w:val="009E246A"/>
    <w:rsid w:val="009E28D8"/>
    <w:rsid w:val="009E33E2"/>
    <w:rsid w:val="009E3713"/>
    <w:rsid w:val="009E43FC"/>
    <w:rsid w:val="009E5711"/>
    <w:rsid w:val="009E5CB5"/>
    <w:rsid w:val="009E6C65"/>
    <w:rsid w:val="009F0073"/>
    <w:rsid w:val="009F0264"/>
    <w:rsid w:val="009F1382"/>
    <w:rsid w:val="009F15D3"/>
    <w:rsid w:val="009F2B7D"/>
    <w:rsid w:val="009F314E"/>
    <w:rsid w:val="009F35C6"/>
    <w:rsid w:val="009F4304"/>
    <w:rsid w:val="009F4457"/>
    <w:rsid w:val="009F4AF3"/>
    <w:rsid w:val="009F4E9F"/>
    <w:rsid w:val="009F54E2"/>
    <w:rsid w:val="009F67A2"/>
    <w:rsid w:val="009F67D8"/>
    <w:rsid w:val="009F6DC8"/>
    <w:rsid w:val="009F747E"/>
    <w:rsid w:val="009F761C"/>
    <w:rsid w:val="00A00663"/>
    <w:rsid w:val="00A035E8"/>
    <w:rsid w:val="00A0361D"/>
    <w:rsid w:val="00A041A0"/>
    <w:rsid w:val="00A04310"/>
    <w:rsid w:val="00A0465B"/>
    <w:rsid w:val="00A04AFB"/>
    <w:rsid w:val="00A055FC"/>
    <w:rsid w:val="00A0719B"/>
    <w:rsid w:val="00A073DE"/>
    <w:rsid w:val="00A07D1C"/>
    <w:rsid w:val="00A07E6A"/>
    <w:rsid w:val="00A1048B"/>
    <w:rsid w:val="00A1167A"/>
    <w:rsid w:val="00A13415"/>
    <w:rsid w:val="00A1498F"/>
    <w:rsid w:val="00A14E1A"/>
    <w:rsid w:val="00A158D0"/>
    <w:rsid w:val="00A159B0"/>
    <w:rsid w:val="00A1687C"/>
    <w:rsid w:val="00A17855"/>
    <w:rsid w:val="00A17859"/>
    <w:rsid w:val="00A20E74"/>
    <w:rsid w:val="00A21DB1"/>
    <w:rsid w:val="00A22AA8"/>
    <w:rsid w:val="00A23619"/>
    <w:rsid w:val="00A247DA"/>
    <w:rsid w:val="00A248B2"/>
    <w:rsid w:val="00A24A8F"/>
    <w:rsid w:val="00A253B5"/>
    <w:rsid w:val="00A25A0D"/>
    <w:rsid w:val="00A26EAD"/>
    <w:rsid w:val="00A278BF"/>
    <w:rsid w:val="00A27A3D"/>
    <w:rsid w:val="00A30812"/>
    <w:rsid w:val="00A311A9"/>
    <w:rsid w:val="00A313EE"/>
    <w:rsid w:val="00A32B52"/>
    <w:rsid w:val="00A334D8"/>
    <w:rsid w:val="00A341D5"/>
    <w:rsid w:val="00A34E57"/>
    <w:rsid w:val="00A350DD"/>
    <w:rsid w:val="00A35723"/>
    <w:rsid w:val="00A362FE"/>
    <w:rsid w:val="00A3644A"/>
    <w:rsid w:val="00A3749E"/>
    <w:rsid w:val="00A40DD9"/>
    <w:rsid w:val="00A425AC"/>
    <w:rsid w:val="00A4525B"/>
    <w:rsid w:val="00A45C66"/>
    <w:rsid w:val="00A469F0"/>
    <w:rsid w:val="00A47A71"/>
    <w:rsid w:val="00A47CB5"/>
    <w:rsid w:val="00A5037E"/>
    <w:rsid w:val="00A507F2"/>
    <w:rsid w:val="00A50876"/>
    <w:rsid w:val="00A50E0C"/>
    <w:rsid w:val="00A513D3"/>
    <w:rsid w:val="00A51DC8"/>
    <w:rsid w:val="00A52B5E"/>
    <w:rsid w:val="00A54118"/>
    <w:rsid w:val="00A54670"/>
    <w:rsid w:val="00A55961"/>
    <w:rsid w:val="00A55A8C"/>
    <w:rsid w:val="00A55F1C"/>
    <w:rsid w:val="00A55F41"/>
    <w:rsid w:val="00A56516"/>
    <w:rsid w:val="00A56E92"/>
    <w:rsid w:val="00A57143"/>
    <w:rsid w:val="00A578C1"/>
    <w:rsid w:val="00A61D36"/>
    <w:rsid w:val="00A63563"/>
    <w:rsid w:val="00A63A4F"/>
    <w:rsid w:val="00A63E36"/>
    <w:rsid w:val="00A63F88"/>
    <w:rsid w:val="00A646BE"/>
    <w:rsid w:val="00A665A3"/>
    <w:rsid w:val="00A67151"/>
    <w:rsid w:val="00A67976"/>
    <w:rsid w:val="00A67C65"/>
    <w:rsid w:val="00A70844"/>
    <w:rsid w:val="00A713F0"/>
    <w:rsid w:val="00A71640"/>
    <w:rsid w:val="00A7335F"/>
    <w:rsid w:val="00A73A9E"/>
    <w:rsid w:val="00A73F69"/>
    <w:rsid w:val="00A74218"/>
    <w:rsid w:val="00A74CCB"/>
    <w:rsid w:val="00A74DA7"/>
    <w:rsid w:val="00A75500"/>
    <w:rsid w:val="00A7629B"/>
    <w:rsid w:val="00A76373"/>
    <w:rsid w:val="00A76CB6"/>
    <w:rsid w:val="00A7710B"/>
    <w:rsid w:val="00A8055E"/>
    <w:rsid w:val="00A80740"/>
    <w:rsid w:val="00A810A5"/>
    <w:rsid w:val="00A81166"/>
    <w:rsid w:val="00A8302E"/>
    <w:rsid w:val="00A83EB3"/>
    <w:rsid w:val="00A84789"/>
    <w:rsid w:val="00A84D97"/>
    <w:rsid w:val="00A84DB7"/>
    <w:rsid w:val="00A852AB"/>
    <w:rsid w:val="00A857D7"/>
    <w:rsid w:val="00A859D8"/>
    <w:rsid w:val="00A872CA"/>
    <w:rsid w:val="00A901B7"/>
    <w:rsid w:val="00A90F54"/>
    <w:rsid w:val="00A917BF"/>
    <w:rsid w:val="00A91BAD"/>
    <w:rsid w:val="00A92FD7"/>
    <w:rsid w:val="00A9330B"/>
    <w:rsid w:val="00A93CAC"/>
    <w:rsid w:val="00A93ECF"/>
    <w:rsid w:val="00A940A7"/>
    <w:rsid w:val="00A9432A"/>
    <w:rsid w:val="00A950DD"/>
    <w:rsid w:val="00A95B69"/>
    <w:rsid w:val="00A95FB5"/>
    <w:rsid w:val="00AA0984"/>
    <w:rsid w:val="00AA1F27"/>
    <w:rsid w:val="00AA2684"/>
    <w:rsid w:val="00AA42A9"/>
    <w:rsid w:val="00AA6463"/>
    <w:rsid w:val="00AA6DE9"/>
    <w:rsid w:val="00AA7C4E"/>
    <w:rsid w:val="00AB0225"/>
    <w:rsid w:val="00AB082D"/>
    <w:rsid w:val="00AB182D"/>
    <w:rsid w:val="00AB1FB3"/>
    <w:rsid w:val="00AB249E"/>
    <w:rsid w:val="00AB2A07"/>
    <w:rsid w:val="00AB2DA7"/>
    <w:rsid w:val="00AB3058"/>
    <w:rsid w:val="00AB3121"/>
    <w:rsid w:val="00AB3DCC"/>
    <w:rsid w:val="00AB52FC"/>
    <w:rsid w:val="00AB5BCB"/>
    <w:rsid w:val="00AC0CE3"/>
    <w:rsid w:val="00AC1428"/>
    <w:rsid w:val="00AC1494"/>
    <w:rsid w:val="00AC2909"/>
    <w:rsid w:val="00AC35EE"/>
    <w:rsid w:val="00AC45DA"/>
    <w:rsid w:val="00AC4A3C"/>
    <w:rsid w:val="00AC4D43"/>
    <w:rsid w:val="00AC4F5F"/>
    <w:rsid w:val="00AC504E"/>
    <w:rsid w:val="00AC5349"/>
    <w:rsid w:val="00AC6164"/>
    <w:rsid w:val="00AC63F6"/>
    <w:rsid w:val="00AC6D73"/>
    <w:rsid w:val="00AC7929"/>
    <w:rsid w:val="00AC7F83"/>
    <w:rsid w:val="00AD035A"/>
    <w:rsid w:val="00AD0D2C"/>
    <w:rsid w:val="00AD156B"/>
    <w:rsid w:val="00AD1D6A"/>
    <w:rsid w:val="00AD2ED9"/>
    <w:rsid w:val="00AD5FFA"/>
    <w:rsid w:val="00AD64EB"/>
    <w:rsid w:val="00AD660F"/>
    <w:rsid w:val="00AD6D0F"/>
    <w:rsid w:val="00AD733B"/>
    <w:rsid w:val="00AE18E7"/>
    <w:rsid w:val="00AE190B"/>
    <w:rsid w:val="00AE1EA0"/>
    <w:rsid w:val="00AE28CF"/>
    <w:rsid w:val="00AE2EDF"/>
    <w:rsid w:val="00AE3559"/>
    <w:rsid w:val="00AE3F6A"/>
    <w:rsid w:val="00AE4249"/>
    <w:rsid w:val="00AE4E32"/>
    <w:rsid w:val="00AE5BE4"/>
    <w:rsid w:val="00AE7F45"/>
    <w:rsid w:val="00AE7F7B"/>
    <w:rsid w:val="00AF0AFE"/>
    <w:rsid w:val="00AF0E4B"/>
    <w:rsid w:val="00AF1148"/>
    <w:rsid w:val="00AF18FC"/>
    <w:rsid w:val="00AF1A1F"/>
    <w:rsid w:val="00AF2C67"/>
    <w:rsid w:val="00AF2CB2"/>
    <w:rsid w:val="00AF366D"/>
    <w:rsid w:val="00AF3861"/>
    <w:rsid w:val="00AF3B33"/>
    <w:rsid w:val="00AF3E34"/>
    <w:rsid w:val="00AF43E9"/>
    <w:rsid w:val="00AF6E64"/>
    <w:rsid w:val="00AF79F9"/>
    <w:rsid w:val="00AF7ED3"/>
    <w:rsid w:val="00B01268"/>
    <w:rsid w:val="00B01E85"/>
    <w:rsid w:val="00B02715"/>
    <w:rsid w:val="00B02A61"/>
    <w:rsid w:val="00B037FC"/>
    <w:rsid w:val="00B040F1"/>
    <w:rsid w:val="00B04B7B"/>
    <w:rsid w:val="00B05599"/>
    <w:rsid w:val="00B058FC"/>
    <w:rsid w:val="00B05E62"/>
    <w:rsid w:val="00B0627D"/>
    <w:rsid w:val="00B06413"/>
    <w:rsid w:val="00B06A6C"/>
    <w:rsid w:val="00B073EE"/>
    <w:rsid w:val="00B07477"/>
    <w:rsid w:val="00B07CAE"/>
    <w:rsid w:val="00B111EE"/>
    <w:rsid w:val="00B120AC"/>
    <w:rsid w:val="00B12272"/>
    <w:rsid w:val="00B13569"/>
    <w:rsid w:val="00B13F8B"/>
    <w:rsid w:val="00B147E8"/>
    <w:rsid w:val="00B14AC1"/>
    <w:rsid w:val="00B14E4A"/>
    <w:rsid w:val="00B16D8A"/>
    <w:rsid w:val="00B177FD"/>
    <w:rsid w:val="00B2003E"/>
    <w:rsid w:val="00B212F4"/>
    <w:rsid w:val="00B2158C"/>
    <w:rsid w:val="00B21AA6"/>
    <w:rsid w:val="00B22B6B"/>
    <w:rsid w:val="00B24F68"/>
    <w:rsid w:val="00B2576E"/>
    <w:rsid w:val="00B26179"/>
    <w:rsid w:val="00B268C7"/>
    <w:rsid w:val="00B26C95"/>
    <w:rsid w:val="00B301BB"/>
    <w:rsid w:val="00B30B47"/>
    <w:rsid w:val="00B33B97"/>
    <w:rsid w:val="00B34278"/>
    <w:rsid w:val="00B36867"/>
    <w:rsid w:val="00B374BE"/>
    <w:rsid w:val="00B41B18"/>
    <w:rsid w:val="00B41B63"/>
    <w:rsid w:val="00B4261A"/>
    <w:rsid w:val="00B42C6B"/>
    <w:rsid w:val="00B4482B"/>
    <w:rsid w:val="00B449BF"/>
    <w:rsid w:val="00B45938"/>
    <w:rsid w:val="00B46E3C"/>
    <w:rsid w:val="00B47102"/>
    <w:rsid w:val="00B472C8"/>
    <w:rsid w:val="00B47EA2"/>
    <w:rsid w:val="00B47EE1"/>
    <w:rsid w:val="00B50F21"/>
    <w:rsid w:val="00B50F54"/>
    <w:rsid w:val="00B52434"/>
    <w:rsid w:val="00B52697"/>
    <w:rsid w:val="00B52788"/>
    <w:rsid w:val="00B533A5"/>
    <w:rsid w:val="00B54884"/>
    <w:rsid w:val="00B557A9"/>
    <w:rsid w:val="00B56262"/>
    <w:rsid w:val="00B568B5"/>
    <w:rsid w:val="00B569D7"/>
    <w:rsid w:val="00B56F21"/>
    <w:rsid w:val="00B57F5F"/>
    <w:rsid w:val="00B6073D"/>
    <w:rsid w:val="00B615AF"/>
    <w:rsid w:val="00B61BC2"/>
    <w:rsid w:val="00B62210"/>
    <w:rsid w:val="00B6499A"/>
    <w:rsid w:val="00B64D6D"/>
    <w:rsid w:val="00B65662"/>
    <w:rsid w:val="00B65827"/>
    <w:rsid w:val="00B6725E"/>
    <w:rsid w:val="00B70948"/>
    <w:rsid w:val="00B709D7"/>
    <w:rsid w:val="00B717E5"/>
    <w:rsid w:val="00B71D1B"/>
    <w:rsid w:val="00B71DB4"/>
    <w:rsid w:val="00B74D70"/>
    <w:rsid w:val="00B757E6"/>
    <w:rsid w:val="00B75900"/>
    <w:rsid w:val="00B7662C"/>
    <w:rsid w:val="00B76A47"/>
    <w:rsid w:val="00B772C0"/>
    <w:rsid w:val="00B778EA"/>
    <w:rsid w:val="00B77A1D"/>
    <w:rsid w:val="00B8082F"/>
    <w:rsid w:val="00B80BFF"/>
    <w:rsid w:val="00B81A4E"/>
    <w:rsid w:val="00B81EBA"/>
    <w:rsid w:val="00B82B23"/>
    <w:rsid w:val="00B83D0C"/>
    <w:rsid w:val="00B840FE"/>
    <w:rsid w:val="00B852F1"/>
    <w:rsid w:val="00B85E20"/>
    <w:rsid w:val="00B86C3D"/>
    <w:rsid w:val="00B86D02"/>
    <w:rsid w:val="00B87984"/>
    <w:rsid w:val="00B901C4"/>
    <w:rsid w:val="00B90DAF"/>
    <w:rsid w:val="00B90E66"/>
    <w:rsid w:val="00B910EE"/>
    <w:rsid w:val="00B914B1"/>
    <w:rsid w:val="00B91CC1"/>
    <w:rsid w:val="00B933B9"/>
    <w:rsid w:val="00B9426D"/>
    <w:rsid w:val="00B9517F"/>
    <w:rsid w:val="00B95689"/>
    <w:rsid w:val="00B95E70"/>
    <w:rsid w:val="00B97002"/>
    <w:rsid w:val="00B972CB"/>
    <w:rsid w:val="00BA03DE"/>
    <w:rsid w:val="00BA06F1"/>
    <w:rsid w:val="00BA168A"/>
    <w:rsid w:val="00BA1742"/>
    <w:rsid w:val="00BA1FF1"/>
    <w:rsid w:val="00BA281C"/>
    <w:rsid w:val="00BA2B0C"/>
    <w:rsid w:val="00BA2FA9"/>
    <w:rsid w:val="00BA376B"/>
    <w:rsid w:val="00BA3A37"/>
    <w:rsid w:val="00BA4A0D"/>
    <w:rsid w:val="00BA4DEB"/>
    <w:rsid w:val="00BA57BA"/>
    <w:rsid w:val="00BA60FA"/>
    <w:rsid w:val="00BA62BB"/>
    <w:rsid w:val="00BA63FC"/>
    <w:rsid w:val="00BA6780"/>
    <w:rsid w:val="00BB0D1E"/>
    <w:rsid w:val="00BB2587"/>
    <w:rsid w:val="00BB409A"/>
    <w:rsid w:val="00BB42E4"/>
    <w:rsid w:val="00BB54AF"/>
    <w:rsid w:val="00BB601A"/>
    <w:rsid w:val="00BB67F2"/>
    <w:rsid w:val="00BB7BC7"/>
    <w:rsid w:val="00BC2C93"/>
    <w:rsid w:val="00BC3890"/>
    <w:rsid w:val="00BC3D8E"/>
    <w:rsid w:val="00BC49CD"/>
    <w:rsid w:val="00BC591D"/>
    <w:rsid w:val="00BC5980"/>
    <w:rsid w:val="00BC6C5E"/>
    <w:rsid w:val="00BD0CFF"/>
    <w:rsid w:val="00BD1F0F"/>
    <w:rsid w:val="00BD299E"/>
    <w:rsid w:val="00BD2DBB"/>
    <w:rsid w:val="00BD306C"/>
    <w:rsid w:val="00BD3746"/>
    <w:rsid w:val="00BD43F7"/>
    <w:rsid w:val="00BD44A0"/>
    <w:rsid w:val="00BD4B96"/>
    <w:rsid w:val="00BD5116"/>
    <w:rsid w:val="00BD5141"/>
    <w:rsid w:val="00BD5215"/>
    <w:rsid w:val="00BD5D55"/>
    <w:rsid w:val="00BD715D"/>
    <w:rsid w:val="00BD73BF"/>
    <w:rsid w:val="00BD74D0"/>
    <w:rsid w:val="00BE014B"/>
    <w:rsid w:val="00BE154D"/>
    <w:rsid w:val="00BE1D67"/>
    <w:rsid w:val="00BE322E"/>
    <w:rsid w:val="00BE3899"/>
    <w:rsid w:val="00BE3A54"/>
    <w:rsid w:val="00BE4025"/>
    <w:rsid w:val="00BE5E72"/>
    <w:rsid w:val="00BE674F"/>
    <w:rsid w:val="00BE6EE8"/>
    <w:rsid w:val="00BE701F"/>
    <w:rsid w:val="00BE71F0"/>
    <w:rsid w:val="00BE7226"/>
    <w:rsid w:val="00BE754E"/>
    <w:rsid w:val="00BE77BF"/>
    <w:rsid w:val="00BE79E8"/>
    <w:rsid w:val="00BE7B9C"/>
    <w:rsid w:val="00BF1E8C"/>
    <w:rsid w:val="00BF2BD6"/>
    <w:rsid w:val="00BF3FF7"/>
    <w:rsid w:val="00BF405E"/>
    <w:rsid w:val="00BF453F"/>
    <w:rsid w:val="00BF4653"/>
    <w:rsid w:val="00BF471C"/>
    <w:rsid w:val="00BF4CAB"/>
    <w:rsid w:val="00BF4F44"/>
    <w:rsid w:val="00BF50EF"/>
    <w:rsid w:val="00BF5AA6"/>
    <w:rsid w:val="00BF7766"/>
    <w:rsid w:val="00BF776F"/>
    <w:rsid w:val="00C01B43"/>
    <w:rsid w:val="00C028AE"/>
    <w:rsid w:val="00C02F95"/>
    <w:rsid w:val="00C03CCE"/>
    <w:rsid w:val="00C042AB"/>
    <w:rsid w:val="00C04561"/>
    <w:rsid w:val="00C04864"/>
    <w:rsid w:val="00C0534F"/>
    <w:rsid w:val="00C059AC"/>
    <w:rsid w:val="00C05A8A"/>
    <w:rsid w:val="00C05C99"/>
    <w:rsid w:val="00C06717"/>
    <w:rsid w:val="00C06E30"/>
    <w:rsid w:val="00C0791A"/>
    <w:rsid w:val="00C10304"/>
    <w:rsid w:val="00C10D3C"/>
    <w:rsid w:val="00C119F4"/>
    <w:rsid w:val="00C11A40"/>
    <w:rsid w:val="00C12612"/>
    <w:rsid w:val="00C1327E"/>
    <w:rsid w:val="00C14D43"/>
    <w:rsid w:val="00C16058"/>
    <w:rsid w:val="00C17DA7"/>
    <w:rsid w:val="00C20C76"/>
    <w:rsid w:val="00C22C31"/>
    <w:rsid w:val="00C22DBA"/>
    <w:rsid w:val="00C22DBD"/>
    <w:rsid w:val="00C247F6"/>
    <w:rsid w:val="00C254E7"/>
    <w:rsid w:val="00C2571E"/>
    <w:rsid w:val="00C26020"/>
    <w:rsid w:val="00C26150"/>
    <w:rsid w:val="00C27253"/>
    <w:rsid w:val="00C277C9"/>
    <w:rsid w:val="00C3026F"/>
    <w:rsid w:val="00C31016"/>
    <w:rsid w:val="00C31B09"/>
    <w:rsid w:val="00C328D7"/>
    <w:rsid w:val="00C3418E"/>
    <w:rsid w:val="00C34B8A"/>
    <w:rsid w:val="00C35726"/>
    <w:rsid w:val="00C3574B"/>
    <w:rsid w:val="00C36E5C"/>
    <w:rsid w:val="00C36F0C"/>
    <w:rsid w:val="00C4060C"/>
    <w:rsid w:val="00C40DB1"/>
    <w:rsid w:val="00C41095"/>
    <w:rsid w:val="00C41923"/>
    <w:rsid w:val="00C42AC1"/>
    <w:rsid w:val="00C43635"/>
    <w:rsid w:val="00C44043"/>
    <w:rsid w:val="00C45502"/>
    <w:rsid w:val="00C46032"/>
    <w:rsid w:val="00C468BD"/>
    <w:rsid w:val="00C4691E"/>
    <w:rsid w:val="00C46D08"/>
    <w:rsid w:val="00C500E0"/>
    <w:rsid w:val="00C504E0"/>
    <w:rsid w:val="00C50A8B"/>
    <w:rsid w:val="00C50B1E"/>
    <w:rsid w:val="00C50F74"/>
    <w:rsid w:val="00C515D7"/>
    <w:rsid w:val="00C51A1D"/>
    <w:rsid w:val="00C52564"/>
    <w:rsid w:val="00C528A2"/>
    <w:rsid w:val="00C5356E"/>
    <w:rsid w:val="00C543DD"/>
    <w:rsid w:val="00C548DB"/>
    <w:rsid w:val="00C54E8C"/>
    <w:rsid w:val="00C55201"/>
    <w:rsid w:val="00C5520A"/>
    <w:rsid w:val="00C55238"/>
    <w:rsid w:val="00C55519"/>
    <w:rsid w:val="00C55804"/>
    <w:rsid w:val="00C56172"/>
    <w:rsid w:val="00C5675A"/>
    <w:rsid w:val="00C57659"/>
    <w:rsid w:val="00C57EE8"/>
    <w:rsid w:val="00C608A1"/>
    <w:rsid w:val="00C60C96"/>
    <w:rsid w:val="00C61F75"/>
    <w:rsid w:val="00C621C4"/>
    <w:rsid w:val="00C628D5"/>
    <w:rsid w:val="00C628D7"/>
    <w:rsid w:val="00C62CBA"/>
    <w:rsid w:val="00C64ABC"/>
    <w:rsid w:val="00C65562"/>
    <w:rsid w:val="00C65760"/>
    <w:rsid w:val="00C669E3"/>
    <w:rsid w:val="00C678F2"/>
    <w:rsid w:val="00C7162E"/>
    <w:rsid w:val="00C718F5"/>
    <w:rsid w:val="00C71D73"/>
    <w:rsid w:val="00C726A6"/>
    <w:rsid w:val="00C73AE1"/>
    <w:rsid w:val="00C747D7"/>
    <w:rsid w:val="00C76621"/>
    <w:rsid w:val="00C768FA"/>
    <w:rsid w:val="00C76992"/>
    <w:rsid w:val="00C76BD4"/>
    <w:rsid w:val="00C807E5"/>
    <w:rsid w:val="00C8180D"/>
    <w:rsid w:val="00C81A0D"/>
    <w:rsid w:val="00C81B38"/>
    <w:rsid w:val="00C81F8D"/>
    <w:rsid w:val="00C82BC1"/>
    <w:rsid w:val="00C833BB"/>
    <w:rsid w:val="00C83EEC"/>
    <w:rsid w:val="00C8466B"/>
    <w:rsid w:val="00C874DB"/>
    <w:rsid w:val="00C87780"/>
    <w:rsid w:val="00C87924"/>
    <w:rsid w:val="00C87A13"/>
    <w:rsid w:val="00C902B0"/>
    <w:rsid w:val="00C921F6"/>
    <w:rsid w:val="00C92479"/>
    <w:rsid w:val="00C924FE"/>
    <w:rsid w:val="00C9255B"/>
    <w:rsid w:val="00C93C01"/>
    <w:rsid w:val="00C95108"/>
    <w:rsid w:val="00C95BC1"/>
    <w:rsid w:val="00C978FD"/>
    <w:rsid w:val="00C97E5E"/>
    <w:rsid w:val="00CA132E"/>
    <w:rsid w:val="00CA1439"/>
    <w:rsid w:val="00CA1B0B"/>
    <w:rsid w:val="00CA1F87"/>
    <w:rsid w:val="00CA2299"/>
    <w:rsid w:val="00CA22C5"/>
    <w:rsid w:val="00CA2F9D"/>
    <w:rsid w:val="00CA3071"/>
    <w:rsid w:val="00CA375C"/>
    <w:rsid w:val="00CA3DC1"/>
    <w:rsid w:val="00CA445A"/>
    <w:rsid w:val="00CA475A"/>
    <w:rsid w:val="00CA54AC"/>
    <w:rsid w:val="00CA5D8E"/>
    <w:rsid w:val="00CA7E39"/>
    <w:rsid w:val="00CB0291"/>
    <w:rsid w:val="00CB029E"/>
    <w:rsid w:val="00CB1166"/>
    <w:rsid w:val="00CB1B1F"/>
    <w:rsid w:val="00CB1DE0"/>
    <w:rsid w:val="00CB1FD7"/>
    <w:rsid w:val="00CB2619"/>
    <w:rsid w:val="00CB2ACF"/>
    <w:rsid w:val="00CB3760"/>
    <w:rsid w:val="00CB38B5"/>
    <w:rsid w:val="00CB3D70"/>
    <w:rsid w:val="00CB3F36"/>
    <w:rsid w:val="00CB5623"/>
    <w:rsid w:val="00CB6B02"/>
    <w:rsid w:val="00CB6EDD"/>
    <w:rsid w:val="00CB6FC4"/>
    <w:rsid w:val="00CB7939"/>
    <w:rsid w:val="00CB7CD4"/>
    <w:rsid w:val="00CC0A49"/>
    <w:rsid w:val="00CC0B98"/>
    <w:rsid w:val="00CC33B9"/>
    <w:rsid w:val="00CC377F"/>
    <w:rsid w:val="00CC3B6A"/>
    <w:rsid w:val="00CC3FF9"/>
    <w:rsid w:val="00CC4DCA"/>
    <w:rsid w:val="00CC5F90"/>
    <w:rsid w:val="00CC6AC9"/>
    <w:rsid w:val="00CD0EE0"/>
    <w:rsid w:val="00CD1A66"/>
    <w:rsid w:val="00CD2174"/>
    <w:rsid w:val="00CD2D84"/>
    <w:rsid w:val="00CD3BDF"/>
    <w:rsid w:val="00CD404A"/>
    <w:rsid w:val="00CD4539"/>
    <w:rsid w:val="00CD4C5E"/>
    <w:rsid w:val="00CD64DC"/>
    <w:rsid w:val="00CD74BC"/>
    <w:rsid w:val="00CD7BA5"/>
    <w:rsid w:val="00CE12D1"/>
    <w:rsid w:val="00CE1F05"/>
    <w:rsid w:val="00CE2538"/>
    <w:rsid w:val="00CE3336"/>
    <w:rsid w:val="00CE45F5"/>
    <w:rsid w:val="00CE4A57"/>
    <w:rsid w:val="00CE4DF8"/>
    <w:rsid w:val="00CE6D4F"/>
    <w:rsid w:val="00CF09A2"/>
    <w:rsid w:val="00CF1C66"/>
    <w:rsid w:val="00CF25F2"/>
    <w:rsid w:val="00CF40BE"/>
    <w:rsid w:val="00CF4BB3"/>
    <w:rsid w:val="00CF6418"/>
    <w:rsid w:val="00CF694E"/>
    <w:rsid w:val="00CF6B8F"/>
    <w:rsid w:val="00CF6C3C"/>
    <w:rsid w:val="00CF749C"/>
    <w:rsid w:val="00CF7DF2"/>
    <w:rsid w:val="00D00BC7"/>
    <w:rsid w:val="00D00CEF"/>
    <w:rsid w:val="00D00ED9"/>
    <w:rsid w:val="00D01C2C"/>
    <w:rsid w:val="00D0336A"/>
    <w:rsid w:val="00D03875"/>
    <w:rsid w:val="00D04265"/>
    <w:rsid w:val="00D05B6F"/>
    <w:rsid w:val="00D07439"/>
    <w:rsid w:val="00D07581"/>
    <w:rsid w:val="00D10204"/>
    <w:rsid w:val="00D11047"/>
    <w:rsid w:val="00D11750"/>
    <w:rsid w:val="00D11FB1"/>
    <w:rsid w:val="00D15408"/>
    <w:rsid w:val="00D16084"/>
    <w:rsid w:val="00D16386"/>
    <w:rsid w:val="00D1688A"/>
    <w:rsid w:val="00D16DC9"/>
    <w:rsid w:val="00D16F5C"/>
    <w:rsid w:val="00D17492"/>
    <w:rsid w:val="00D174F4"/>
    <w:rsid w:val="00D21464"/>
    <w:rsid w:val="00D217EC"/>
    <w:rsid w:val="00D21E60"/>
    <w:rsid w:val="00D22C17"/>
    <w:rsid w:val="00D22F0F"/>
    <w:rsid w:val="00D22FF9"/>
    <w:rsid w:val="00D2362F"/>
    <w:rsid w:val="00D23C48"/>
    <w:rsid w:val="00D23DBB"/>
    <w:rsid w:val="00D247B4"/>
    <w:rsid w:val="00D256E8"/>
    <w:rsid w:val="00D26F75"/>
    <w:rsid w:val="00D27E32"/>
    <w:rsid w:val="00D31330"/>
    <w:rsid w:val="00D31E6F"/>
    <w:rsid w:val="00D32756"/>
    <w:rsid w:val="00D33ADA"/>
    <w:rsid w:val="00D33DC4"/>
    <w:rsid w:val="00D34C80"/>
    <w:rsid w:val="00D3615A"/>
    <w:rsid w:val="00D3632A"/>
    <w:rsid w:val="00D36B52"/>
    <w:rsid w:val="00D36FCD"/>
    <w:rsid w:val="00D3711F"/>
    <w:rsid w:val="00D37420"/>
    <w:rsid w:val="00D400D1"/>
    <w:rsid w:val="00D402F0"/>
    <w:rsid w:val="00D408FE"/>
    <w:rsid w:val="00D40A2F"/>
    <w:rsid w:val="00D41208"/>
    <w:rsid w:val="00D41DD8"/>
    <w:rsid w:val="00D41FBC"/>
    <w:rsid w:val="00D42A98"/>
    <w:rsid w:val="00D435FC"/>
    <w:rsid w:val="00D47689"/>
    <w:rsid w:val="00D50035"/>
    <w:rsid w:val="00D5164F"/>
    <w:rsid w:val="00D5178D"/>
    <w:rsid w:val="00D51EE4"/>
    <w:rsid w:val="00D5298B"/>
    <w:rsid w:val="00D54217"/>
    <w:rsid w:val="00D55303"/>
    <w:rsid w:val="00D55863"/>
    <w:rsid w:val="00D56776"/>
    <w:rsid w:val="00D575C3"/>
    <w:rsid w:val="00D60278"/>
    <w:rsid w:val="00D6095B"/>
    <w:rsid w:val="00D60C9D"/>
    <w:rsid w:val="00D60DC9"/>
    <w:rsid w:val="00D61FF6"/>
    <w:rsid w:val="00D62660"/>
    <w:rsid w:val="00D6503F"/>
    <w:rsid w:val="00D657D5"/>
    <w:rsid w:val="00D65F27"/>
    <w:rsid w:val="00D66838"/>
    <w:rsid w:val="00D67372"/>
    <w:rsid w:val="00D67957"/>
    <w:rsid w:val="00D70269"/>
    <w:rsid w:val="00D713B6"/>
    <w:rsid w:val="00D7155C"/>
    <w:rsid w:val="00D71873"/>
    <w:rsid w:val="00D71893"/>
    <w:rsid w:val="00D71F13"/>
    <w:rsid w:val="00D728B9"/>
    <w:rsid w:val="00D730FD"/>
    <w:rsid w:val="00D7342F"/>
    <w:rsid w:val="00D743F4"/>
    <w:rsid w:val="00D749C8"/>
    <w:rsid w:val="00D753B5"/>
    <w:rsid w:val="00D755B5"/>
    <w:rsid w:val="00D75B27"/>
    <w:rsid w:val="00D75F60"/>
    <w:rsid w:val="00D76305"/>
    <w:rsid w:val="00D764B1"/>
    <w:rsid w:val="00D76EA6"/>
    <w:rsid w:val="00D777EF"/>
    <w:rsid w:val="00D77E28"/>
    <w:rsid w:val="00D8029E"/>
    <w:rsid w:val="00D80683"/>
    <w:rsid w:val="00D833DC"/>
    <w:rsid w:val="00D83F15"/>
    <w:rsid w:val="00D84A59"/>
    <w:rsid w:val="00D856A1"/>
    <w:rsid w:val="00D85706"/>
    <w:rsid w:val="00D86027"/>
    <w:rsid w:val="00D8647D"/>
    <w:rsid w:val="00D87BDE"/>
    <w:rsid w:val="00D912D1"/>
    <w:rsid w:val="00D914DF"/>
    <w:rsid w:val="00D91E22"/>
    <w:rsid w:val="00D91EAA"/>
    <w:rsid w:val="00D920AE"/>
    <w:rsid w:val="00D93F02"/>
    <w:rsid w:val="00D953C1"/>
    <w:rsid w:val="00D960BC"/>
    <w:rsid w:val="00D96507"/>
    <w:rsid w:val="00D9736A"/>
    <w:rsid w:val="00D977A8"/>
    <w:rsid w:val="00D97B41"/>
    <w:rsid w:val="00DA019D"/>
    <w:rsid w:val="00DA042C"/>
    <w:rsid w:val="00DA06D0"/>
    <w:rsid w:val="00DA2D15"/>
    <w:rsid w:val="00DA5116"/>
    <w:rsid w:val="00DA5387"/>
    <w:rsid w:val="00DA5F2C"/>
    <w:rsid w:val="00DA6156"/>
    <w:rsid w:val="00DA72C2"/>
    <w:rsid w:val="00DB00F8"/>
    <w:rsid w:val="00DB19B9"/>
    <w:rsid w:val="00DB1CA7"/>
    <w:rsid w:val="00DB2BD4"/>
    <w:rsid w:val="00DB34FD"/>
    <w:rsid w:val="00DB49CC"/>
    <w:rsid w:val="00DB60A4"/>
    <w:rsid w:val="00DB6367"/>
    <w:rsid w:val="00DB7287"/>
    <w:rsid w:val="00DB7444"/>
    <w:rsid w:val="00DC00DD"/>
    <w:rsid w:val="00DC06B5"/>
    <w:rsid w:val="00DC1237"/>
    <w:rsid w:val="00DC1498"/>
    <w:rsid w:val="00DC260E"/>
    <w:rsid w:val="00DC322A"/>
    <w:rsid w:val="00DC332F"/>
    <w:rsid w:val="00DC3C79"/>
    <w:rsid w:val="00DC3E71"/>
    <w:rsid w:val="00DC474F"/>
    <w:rsid w:val="00DC524A"/>
    <w:rsid w:val="00DC6B1D"/>
    <w:rsid w:val="00DD0150"/>
    <w:rsid w:val="00DD056E"/>
    <w:rsid w:val="00DD161B"/>
    <w:rsid w:val="00DD1BC2"/>
    <w:rsid w:val="00DD2353"/>
    <w:rsid w:val="00DD2A00"/>
    <w:rsid w:val="00DD2BAD"/>
    <w:rsid w:val="00DD3A85"/>
    <w:rsid w:val="00DD497F"/>
    <w:rsid w:val="00DD4D43"/>
    <w:rsid w:val="00DD5AB9"/>
    <w:rsid w:val="00DD652F"/>
    <w:rsid w:val="00DD7087"/>
    <w:rsid w:val="00DE0314"/>
    <w:rsid w:val="00DE05F6"/>
    <w:rsid w:val="00DE1018"/>
    <w:rsid w:val="00DE11D6"/>
    <w:rsid w:val="00DE1BA6"/>
    <w:rsid w:val="00DE2C8F"/>
    <w:rsid w:val="00DE2D59"/>
    <w:rsid w:val="00DE2DCD"/>
    <w:rsid w:val="00DE317F"/>
    <w:rsid w:val="00DE3579"/>
    <w:rsid w:val="00DE3B18"/>
    <w:rsid w:val="00DE49D5"/>
    <w:rsid w:val="00DE4D37"/>
    <w:rsid w:val="00DE4DEE"/>
    <w:rsid w:val="00DE4EF2"/>
    <w:rsid w:val="00DE5129"/>
    <w:rsid w:val="00DE53AD"/>
    <w:rsid w:val="00DE57F6"/>
    <w:rsid w:val="00DE59AC"/>
    <w:rsid w:val="00DE5A2E"/>
    <w:rsid w:val="00DE624B"/>
    <w:rsid w:val="00DE65F9"/>
    <w:rsid w:val="00DE67E9"/>
    <w:rsid w:val="00DE7082"/>
    <w:rsid w:val="00DE7C89"/>
    <w:rsid w:val="00DE7F4C"/>
    <w:rsid w:val="00DF142E"/>
    <w:rsid w:val="00DF1FA3"/>
    <w:rsid w:val="00DF2608"/>
    <w:rsid w:val="00DF31F2"/>
    <w:rsid w:val="00DF330F"/>
    <w:rsid w:val="00DF3C69"/>
    <w:rsid w:val="00DF439F"/>
    <w:rsid w:val="00DF56EC"/>
    <w:rsid w:val="00DF5E93"/>
    <w:rsid w:val="00DF68DF"/>
    <w:rsid w:val="00DF690E"/>
    <w:rsid w:val="00DF6922"/>
    <w:rsid w:val="00DF6E39"/>
    <w:rsid w:val="00E0050E"/>
    <w:rsid w:val="00E00CB3"/>
    <w:rsid w:val="00E01408"/>
    <w:rsid w:val="00E02236"/>
    <w:rsid w:val="00E02A63"/>
    <w:rsid w:val="00E02D6A"/>
    <w:rsid w:val="00E03911"/>
    <w:rsid w:val="00E03BD0"/>
    <w:rsid w:val="00E03E19"/>
    <w:rsid w:val="00E03FA4"/>
    <w:rsid w:val="00E04F77"/>
    <w:rsid w:val="00E053CB"/>
    <w:rsid w:val="00E055B3"/>
    <w:rsid w:val="00E059B6"/>
    <w:rsid w:val="00E072ED"/>
    <w:rsid w:val="00E07C68"/>
    <w:rsid w:val="00E1070F"/>
    <w:rsid w:val="00E118B7"/>
    <w:rsid w:val="00E12FFA"/>
    <w:rsid w:val="00E1334F"/>
    <w:rsid w:val="00E13636"/>
    <w:rsid w:val="00E13BDD"/>
    <w:rsid w:val="00E14135"/>
    <w:rsid w:val="00E155B9"/>
    <w:rsid w:val="00E15894"/>
    <w:rsid w:val="00E1632B"/>
    <w:rsid w:val="00E16484"/>
    <w:rsid w:val="00E17038"/>
    <w:rsid w:val="00E17823"/>
    <w:rsid w:val="00E205AE"/>
    <w:rsid w:val="00E2065E"/>
    <w:rsid w:val="00E21253"/>
    <w:rsid w:val="00E224BF"/>
    <w:rsid w:val="00E22C50"/>
    <w:rsid w:val="00E230A0"/>
    <w:rsid w:val="00E23F74"/>
    <w:rsid w:val="00E24960"/>
    <w:rsid w:val="00E24B6C"/>
    <w:rsid w:val="00E2506A"/>
    <w:rsid w:val="00E25297"/>
    <w:rsid w:val="00E25787"/>
    <w:rsid w:val="00E25E01"/>
    <w:rsid w:val="00E26417"/>
    <w:rsid w:val="00E26735"/>
    <w:rsid w:val="00E26D59"/>
    <w:rsid w:val="00E26D87"/>
    <w:rsid w:val="00E2708C"/>
    <w:rsid w:val="00E27115"/>
    <w:rsid w:val="00E27F4C"/>
    <w:rsid w:val="00E31231"/>
    <w:rsid w:val="00E313B0"/>
    <w:rsid w:val="00E317D9"/>
    <w:rsid w:val="00E32AB3"/>
    <w:rsid w:val="00E33101"/>
    <w:rsid w:val="00E3324E"/>
    <w:rsid w:val="00E345DF"/>
    <w:rsid w:val="00E34A7D"/>
    <w:rsid w:val="00E34C2C"/>
    <w:rsid w:val="00E3520C"/>
    <w:rsid w:val="00E352FA"/>
    <w:rsid w:val="00E36420"/>
    <w:rsid w:val="00E36432"/>
    <w:rsid w:val="00E3650C"/>
    <w:rsid w:val="00E36FE4"/>
    <w:rsid w:val="00E3791D"/>
    <w:rsid w:val="00E37FF5"/>
    <w:rsid w:val="00E4140E"/>
    <w:rsid w:val="00E414EC"/>
    <w:rsid w:val="00E41783"/>
    <w:rsid w:val="00E4259B"/>
    <w:rsid w:val="00E43634"/>
    <w:rsid w:val="00E4472E"/>
    <w:rsid w:val="00E4498F"/>
    <w:rsid w:val="00E44DE0"/>
    <w:rsid w:val="00E45808"/>
    <w:rsid w:val="00E45CFB"/>
    <w:rsid w:val="00E467FB"/>
    <w:rsid w:val="00E478B9"/>
    <w:rsid w:val="00E47FF6"/>
    <w:rsid w:val="00E502E5"/>
    <w:rsid w:val="00E5032A"/>
    <w:rsid w:val="00E5039F"/>
    <w:rsid w:val="00E51563"/>
    <w:rsid w:val="00E51945"/>
    <w:rsid w:val="00E52623"/>
    <w:rsid w:val="00E52BB5"/>
    <w:rsid w:val="00E53231"/>
    <w:rsid w:val="00E53461"/>
    <w:rsid w:val="00E53566"/>
    <w:rsid w:val="00E547CB"/>
    <w:rsid w:val="00E54E8B"/>
    <w:rsid w:val="00E5598F"/>
    <w:rsid w:val="00E5687E"/>
    <w:rsid w:val="00E57B0C"/>
    <w:rsid w:val="00E602B3"/>
    <w:rsid w:val="00E61710"/>
    <w:rsid w:val="00E61A2B"/>
    <w:rsid w:val="00E620C0"/>
    <w:rsid w:val="00E638CD"/>
    <w:rsid w:val="00E64D64"/>
    <w:rsid w:val="00E64FD2"/>
    <w:rsid w:val="00E66752"/>
    <w:rsid w:val="00E6739B"/>
    <w:rsid w:val="00E70193"/>
    <w:rsid w:val="00E70457"/>
    <w:rsid w:val="00E70B6B"/>
    <w:rsid w:val="00E719A3"/>
    <w:rsid w:val="00E71B11"/>
    <w:rsid w:val="00E71D3D"/>
    <w:rsid w:val="00E71E8D"/>
    <w:rsid w:val="00E72301"/>
    <w:rsid w:val="00E72A0A"/>
    <w:rsid w:val="00E73B03"/>
    <w:rsid w:val="00E758F5"/>
    <w:rsid w:val="00E7609E"/>
    <w:rsid w:val="00E7617A"/>
    <w:rsid w:val="00E761AB"/>
    <w:rsid w:val="00E76E4F"/>
    <w:rsid w:val="00E77051"/>
    <w:rsid w:val="00E774D2"/>
    <w:rsid w:val="00E77592"/>
    <w:rsid w:val="00E800A1"/>
    <w:rsid w:val="00E81A62"/>
    <w:rsid w:val="00E81CE2"/>
    <w:rsid w:val="00E82634"/>
    <w:rsid w:val="00E82C95"/>
    <w:rsid w:val="00E830E1"/>
    <w:rsid w:val="00E84174"/>
    <w:rsid w:val="00E844B2"/>
    <w:rsid w:val="00E851F9"/>
    <w:rsid w:val="00E85DE0"/>
    <w:rsid w:val="00E86133"/>
    <w:rsid w:val="00E86140"/>
    <w:rsid w:val="00E862B3"/>
    <w:rsid w:val="00E86423"/>
    <w:rsid w:val="00E91415"/>
    <w:rsid w:val="00E9248D"/>
    <w:rsid w:val="00E93B6B"/>
    <w:rsid w:val="00E93F66"/>
    <w:rsid w:val="00E93FF1"/>
    <w:rsid w:val="00E944CA"/>
    <w:rsid w:val="00E95942"/>
    <w:rsid w:val="00E959EC"/>
    <w:rsid w:val="00E96384"/>
    <w:rsid w:val="00E96AFE"/>
    <w:rsid w:val="00E9774E"/>
    <w:rsid w:val="00EA001F"/>
    <w:rsid w:val="00EA01F7"/>
    <w:rsid w:val="00EA0636"/>
    <w:rsid w:val="00EA0C68"/>
    <w:rsid w:val="00EA21C6"/>
    <w:rsid w:val="00EA2318"/>
    <w:rsid w:val="00EA2506"/>
    <w:rsid w:val="00EA2851"/>
    <w:rsid w:val="00EA5591"/>
    <w:rsid w:val="00EA729A"/>
    <w:rsid w:val="00EA72F7"/>
    <w:rsid w:val="00EA73B0"/>
    <w:rsid w:val="00EA7794"/>
    <w:rsid w:val="00EA7B19"/>
    <w:rsid w:val="00EA7B78"/>
    <w:rsid w:val="00EB0A7D"/>
    <w:rsid w:val="00EB26BE"/>
    <w:rsid w:val="00EB325E"/>
    <w:rsid w:val="00EB390A"/>
    <w:rsid w:val="00EB5AA4"/>
    <w:rsid w:val="00EB6326"/>
    <w:rsid w:val="00EB73E0"/>
    <w:rsid w:val="00EB759A"/>
    <w:rsid w:val="00EC20A5"/>
    <w:rsid w:val="00EC2AD7"/>
    <w:rsid w:val="00EC442B"/>
    <w:rsid w:val="00EC5053"/>
    <w:rsid w:val="00EC6C43"/>
    <w:rsid w:val="00EC75A5"/>
    <w:rsid w:val="00EC7E54"/>
    <w:rsid w:val="00ED08DD"/>
    <w:rsid w:val="00ED09A1"/>
    <w:rsid w:val="00ED0D92"/>
    <w:rsid w:val="00ED1C2E"/>
    <w:rsid w:val="00ED2678"/>
    <w:rsid w:val="00ED323B"/>
    <w:rsid w:val="00ED3776"/>
    <w:rsid w:val="00ED3BE2"/>
    <w:rsid w:val="00ED4CF2"/>
    <w:rsid w:val="00ED59A3"/>
    <w:rsid w:val="00EE0946"/>
    <w:rsid w:val="00EE136E"/>
    <w:rsid w:val="00EE2842"/>
    <w:rsid w:val="00EE2C3C"/>
    <w:rsid w:val="00EE2DB0"/>
    <w:rsid w:val="00EE343A"/>
    <w:rsid w:val="00EE3731"/>
    <w:rsid w:val="00EE3B68"/>
    <w:rsid w:val="00EE3D6E"/>
    <w:rsid w:val="00EE5029"/>
    <w:rsid w:val="00EE5FE0"/>
    <w:rsid w:val="00EE67F3"/>
    <w:rsid w:val="00EE6FF5"/>
    <w:rsid w:val="00EF164E"/>
    <w:rsid w:val="00EF18AF"/>
    <w:rsid w:val="00EF2144"/>
    <w:rsid w:val="00EF23AC"/>
    <w:rsid w:val="00EF24F3"/>
    <w:rsid w:val="00EF462B"/>
    <w:rsid w:val="00EF4856"/>
    <w:rsid w:val="00F00231"/>
    <w:rsid w:val="00F0249C"/>
    <w:rsid w:val="00F0393D"/>
    <w:rsid w:val="00F044E7"/>
    <w:rsid w:val="00F07AD4"/>
    <w:rsid w:val="00F07CE5"/>
    <w:rsid w:val="00F10FDF"/>
    <w:rsid w:val="00F129D4"/>
    <w:rsid w:val="00F13BBE"/>
    <w:rsid w:val="00F144E3"/>
    <w:rsid w:val="00F14D2C"/>
    <w:rsid w:val="00F1563B"/>
    <w:rsid w:val="00F16555"/>
    <w:rsid w:val="00F166ED"/>
    <w:rsid w:val="00F1787A"/>
    <w:rsid w:val="00F17D63"/>
    <w:rsid w:val="00F20C8C"/>
    <w:rsid w:val="00F20D99"/>
    <w:rsid w:val="00F20FA4"/>
    <w:rsid w:val="00F216FB"/>
    <w:rsid w:val="00F22E74"/>
    <w:rsid w:val="00F23E83"/>
    <w:rsid w:val="00F24755"/>
    <w:rsid w:val="00F258D6"/>
    <w:rsid w:val="00F26240"/>
    <w:rsid w:val="00F264D1"/>
    <w:rsid w:val="00F30B03"/>
    <w:rsid w:val="00F30EE1"/>
    <w:rsid w:val="00F31838"/>
    <w:rsid w:val="00F32357"/>
    <w:rsid w:val="00F325FF"/>
    <w:rsid w:val="00F328E4"/>
    <w:rsid w:val="00F33033"/>
    <w:rsid w:val="00F33752"/>
    <w:rsid w:val="00F344FB"/>
    <w:rsid w:val="00F3489D"/>
    <w:rsid w:val="00F35016"/>
    <w:rsid w:val="00F35CA5"/>
    <w:rsid w:val="00F35E4A"/>
    <w:rsid w:val="00F37199"/>
    <w:rsid w:val="00F37D72"/>
    <w:rsid w:val="00F405E7"/>
    <w:rsid w:val="00F41CEA"/>
    <w:rsid w:val="00F41F72"/>
    <w:rsid w:val="00F424E5"/>
    <w:rsid w:val="00F42824"/>
    <w:rsid w:val="00F430AA"/>
    <w:rsid w:val="00F44009"/>
    <w:rsid w:val="00F44C4E"/>
    <w:rsid w:val="00F44C56"/>
    <w:rsid w:val="00F44CB2"/>
    <w:rsid w:val="00F451C4"/>
    <w:rsid w:val="00F45AB2"/>
    <w:rsid w:val="00F45DEB"/>
    <w:rsid w:val="00F45F60"/>
    <w:rsid w:val="00F50422"/>
    <w:rsid w:val="00F50745"/>
    <w:rsid w:val="00F50CCD"/>
    <w:rsid w:val="00F516F8"/>
    <w:rsid w:val="00F51BCE"/>
    <w:rsid w:val="00F53095"/>
    <w:rsid w:val="00F53C34"/>
    <w:rsid w:val="00F543E4"/>
    <w:rsid w:val="00F548E4"/>
    <w:rsid w:val="00F55C33"/>
    <w:rsid w:val="00F56441"/>
    <w:rsid w:val="00F56735"/>
    <w:rsid w:val="00F56A94"/>
    <w:rsid w:val="00F5702F"/>
    <w:rsid w:val="00F603E2"/>
    <w:rsid w:val="00F608B8"/>
    <w:rsid w:val="00F60D61"/>
    <w:rsid w:val="00F60F79"/>
    <w:rsid w:val="00F6102C"/>
    <w:rsid w:val="00F611EC"/>
    <w:rsid w:val="00F66950"/>
    <w:rsid w:val="00F67DA5"/>
    <w:rsid w:val="00F67F16"/>
    <w:rsid w:val="00F703EF"/>
    <w:rsid w:val="00F706FB"/>
    <w:rsid w:val="00F7092F"/>
    <w:rsid w:val="00F70C29"/>
    <w:rsid w:val="00F70E16"/>
    <w:rsid w:val="00F713AB"/>
    <w:rsid w:val="00F71735"/>
    <w:rsid w:val="00F71771"/>
    <w:rsid w:val="00F7178D"/>
    <w:rsid w:val="00F718D3"/>
    <w:rsid w:val="00F73059"/>
    <w:rsid w:val="00F74E42"/>
    <w:rsid w:val="00F74F98"/>
    <w:rsid w:val="00F75F44"/>
    <w:rsid w:val="00F7665D"/>
    <w:rsid w:val="00F770C7"/>
    <w:rsid w:val="00F7725C"/>
    <w:rsid w:val="00F77388"/>
    <w:rsid w:val="00F77E43"/>
    <w:rsid w:val="00F77EBC"/>
    <w:rsid w:val="00F83390"/>
    <w:rsid w:val="00F840F5"/>
    <w:rsid w:val="00F846C1"/>
    <w:rsid w:val="00F84ADE"/>
    <w:rsid w:val="00F84B73"/>
    <w:rsid w:val="00F85945"/>
    <w:rsid w:val="00F85D66"/>
    <w:rsid w:val="00F85D7F"/>
    <w:rsid w:val="00F87B2B"/>
    <w:rsid w:val="00F91683"/>
    <w:rsid w:val="00F9307B"/>
    <w:rsid w:val="00F93B19"/>
    <w:rsid w:val="00F941AE"/>
    <w:rsid w:val="00F953A9"/>
    <w:rsid w:val="00F957C6"/>
    <w:rsid w:val="00F9594D"/>
    <w:rsid w:val="00F961DB"/>
    <w:rsid w:val="00F977B5"/>
    <w:rsid w:val="00F97CB4"/>
    <w:rsid w:val="00F97D00"/>
    <w:rsid w:val="00F97E35"/>
    <w:rsid w:val="00FA0527"/>
    <w:rsid w:val="00FA20E0"/>
    <w:rsid w:val="00FA27A0"/>
    <w:rsid w:val="00FA30B4"/>
    <w:rsid w:val="00FA33D0"/>
    <w:rsid w:val="00FA392A"/>
    <w:rsid w:val="00FA42C9"/>
    <w:rsid w:val="00FA43A8"/>
    <w:rsid w:val="00FA451A"/>
    <w:rsid w:val="00FA4ED8"/>
    <w:rsid w:val="00FA4F6C"/>
    <w:rsid w:val="00FA5470"/>
    <w:rsid w:val="00FA561B"/>
    <w:rsid w:val="00FA685B"/>
    <w:rsid w:val="00FA6AC9"/>
    <w:rsid w:val="00FA712E"/>
    <w:rsid w:val="00FA73A9"/>
    <w:rsid w:val="00FB00EB"/>
    <w:rsid w:val="00FB1FB4"/>
    <w:rsid w:val="00FB3410"/>
    <w:rsid w:val="00FB4034"/>
    <w:rsid w:val="00FB5AB6"/>
    <w:rsid w:val="00FB5E5C"/>
    <w:rsid w:val="00FB6299"/>
    <w:rsid w:val="00FB6753"/>
    <w:rsid w:val="00FB6C27"/>
    <w:rsid w:val="00FB768B"/>
    <w:rsid w:val="00FB7A68"/>
    <w:rsid w:val="00FB7C6F"/>
    <w:rsid w:val="00FB7FE5"/>
    <w:rsid w:val="00FC007F"/>
    <w:rsid w:val="00FC10D6"/>
    <w:rsid w:val="00FC24A1"/>
    <w:rsid w:val="00FC25F2"/>
    <w:rsid w:val="00FC2B0A"/>
    <w:rsid w:val="00FC2D09"/>
    <w:rsid w:val="00FC349C"/>
    <w:rsid w:val="00FC3D36"/>
    <w:rsid w:val="00FC4AE6"/>
    <w:rsid w:val="00FC5DB4"/>
    <w:rsid w:val="00FC6D45"/>
    <w:rsid w:val="00FC6FA2"/>
    <w:rsid w:val="00FD0035"/>
    <w:rsid w:val="00FD1E07"/>
    <w:rsid w:val="00FD3127"/>
    <w:rsid w:val="00FD339C"/>
    <w:rsid w:val="00FD40C6"/>
    <w:rsid w:val="00FD4B3A"/>
    <w:rsid w:val="00FD5AB1"/>
    <w:rsid w:val="00FD6FD8"/>
    <w:rsid w:val="00FD7538"/>
    <w:rsid w:val="00FD7BD3"/>
    <w:rsid w:val="00FE1315"/>
    <w:rsid w:val="00FE19B0"/>
    <w:rsid w:val="00FE1B6E"/>
    <w:rsid w:val="00FE1FA8"/>
    <w:rsid w:val="00FE2B0B"/>
    <w:rsid w:val="00FE2D7A"/>
    <w:rsid w:val="00FE4730"/>
    <w:rsid w:val="00FE637D"/>
    <w:rsid w:val="00FE6F5B"/>
    <w:rsid w:val="00FE737B"/>
    <w:rsid w:val="00FF0784"/>
    <w:rsid w:val="00FF4A64"/>
    <w:rsid w:val="00FF4C64"/>
    <w:rsid w:val="00FF5C14"/>
    <w:rsid w:val="00FF6450"/>
    <w:rsid w:val="00FF65E6"/>
    <w:rsid w:val="00FF6713"/>
    <w:rsid w:val="00FF6A66"/>
    <w:rsid w:val="00FF6CCB"/>
    <w:rsid w:val="00FF767F"/>
    <w:rsid w:val="00FF7EFE"/>
    <w:rsid w:val="ABB7F46D"/>
    <w:rsid w:val="B1EB388F"/>
    <w:rsid w:val="F2EE4304"/>
    <w:rsid w:val="FEFD3E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360" w:lineRule="auto"/>
      <w:jc w:val="both"/>
    </w:pPr>
    <w:rPr>
      <w:rFonts w:ascii="Times New Roman" w:hAnsi="Times New Roman" w:eastAsia="仿宋_GB2312" w:cs="Times New Roman"/>
      <w:kern w:val="2"/>
      <w:sz w:val="24"/>
      <w:lang w:val="en-US" w:eastAsia="zh-CN" w:bidi="ar-SA"/>
    </w:rPr>
  </w:style>
  <w:style w:type="paragraph" w:styleId="2">
    <w:name w:val="heading 1"/>
    <w:basedOn w:val="1"/>
    <w:next w:val="1"/>
    <w:link w:val="30"/>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qFormat/>
    <w:uiPriority w:val="0"/>
    <w:pPr>
      <w:keepNext/>
      <w:keepLines/>
      <w:outlineLvl w:val="1"/>
    </w:pPr>
    <w:rPr>
      <w:rFonts w:ascii="Arial" w:hAnsi="Arial"/>
      <w:b/>
      <w:sz w:val="28"/>
    </w:rPr>
  </w:style>
  <w:style w:type="paragraph" w:styleId="4">
    <w:name w:val="heading 3"/>
    <w:basedOn w:val="1"/>
    <w:next w:val="1"/>
    <w:link w:val="24"/>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9"/>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33"/>
    <w:unhideWhenUsed/>
    <w:qFormat/>
    <w:uiPriority w:val="99"/>
    <w:pPr>
      <w:jc w:val="left"/>
    </w:pPr>
  </w:style>
  <w:style w:type="paragraph" w:styleId="7">
    <w:name w:val="toc 3"/>
    <w:basedOn w:val="1"/>
    <w:next w:val="1"/>
    <w:unhideWhenUsed/>
    <w:qFormat/>
    <w:uiPriority w:val="39"/>
    <w:pPr>
      <w:ind w:left="840" w:leftChars="400"/>
    </w:pPr>
  </w:style>
  <w:style w:type="paragraph" w:styleId="8">
    <w:name w:val="Balloon Text"/>
    <w:basedOn w:val="1"/>
    <w:link w:val="50"/>
    <w:semiHidden/>
    <w:unhideWhenUsed/>
    <w:qFormat/>
    <w:uiPriority w:val="99"/>
    <w:pPr>
      <w:spacing w:line="240" w:lineRule="auto"/>
    </w:pPr>
    <w:rPr>
      <w:sz w:val="18"/>
      <w:szCs w:val="18"/>
    </w:rPr>
  </w:style>
  <w:style w:type="paragraph" w:styleId="9">
    <w:name w:val="footer"/>
    <w:basedOn w:val="1"/>
    <w:link w:val="28"/>
    <w:unhideWhenUsed/>
    <w:qFormat/>
    <w:uiPriority w:val="99"/>
    <w:pPr>
      <w:tabs>
        <w:tab w:val="center" w:pos="4153"/>
        <w:tab w:val="right" w:pos="8306"/>
      </w:tabs>
      <w:snapToGrid w:val="0"/>
      <w:spacing w:line="240" w:lineRule="auto"/>
      <w:jc w:val="left"/>
    </w:pPr>
    <w:rPr>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11">
    <w:name w:val="toc 1"/>
    <w:basedOn w:val="1"/>
    <w:next w:val="1"/>
    <w:unhideWhenUsed/>
    <w:qFormat/>
    <w:uiPriority w:val="39"/>
    <w:pPr>
      <w:tabs>
        <w:tab w:val="right" w:leader="dot" w:pos="8296"/>
      </w:tabs>
      <w:spacing w:line="560" w:lineRule="exact"/>
    </w:pPr>
    <w:rPr>
      <w:b/>
      <w:bCs/>
      <w:sz w:val="32"/>
    </w:rPr>
  </w:style>
  <w:style w:type="paragraph" w:styleId="12">
    <w:name w:val="footnote text"/>
    <w:basedOn w:val="1"/>
    <w:link w:val="32"/>
    <w:semiHidden/>
    <w:unhideWhenUsed/>
    <w:qFormat/>
    <w:uiPriority w:val="99"/>
    <w:pPr>
      <w:snapToGrid w:val="0"/>
      <w:jc w:val="left"/>
    </w:pPr>
    <w:rPr>
      <w:sz w:val="18"/>
      <w:szCs w:val="18"/>
    </w:rPr>
  </w:style>
  <w:style w:type="paragraph" w:styleId="13">
    <w:name w:val="toc 2"/>
    <w:basedOn w:val="1"/>
    <w:next w:val="1"/>
    <w:unhideWhenUsed/>
    <w:qFormat/>
    <w:uiPriority w:val="39"/>
    <w:pPr>
      <w:spacing w:line="560" w:lineRule="exact"/>
      <w:ind w:left="200" w:leftChars="200"/>
    </w:pPr>
    <w:rPr>
      <w:sz w:val="32"/>
    </w:rPr>
  </w:style>
  <w:style w:type="paragraph" w:styleId="14">
    <w:name w:val="Normal (Web)"/>
    <w:basedOn w:val="1"/>
    <w:semiHidden/>
    <w:unhideWhenUsed/>
    <w:qFormat/>
    <w:uiPriority w:val="99"/>
    <w:rPr>
      <w:szCs w:val="24"/>
    </w:rPr>
  </w:style>
  <w:style w:type="paragraph" w:styleId="15">
    <w:name w:val="annotation subject"/>
    <w:basedOn w:val="6"/>
    <w:next w:val="6"/>
    <w:link w:val="34"/>
    <w:semiHidden/>
    <w:unhideWhenUsed/>
    <w:qFormat/>
    <w:uiPriority w:val="99"/>
    <w:rPr>
      <w:b/>
      <w:bCs/>
    </w:rPr>
  </w:style>
  <w:style w:type="table" w:styleId="17">
    <w:name w:val="Table Grid"/>
    <w:basedOn w:val="1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FollowedHyperlink"/>
    <w:basedOn w:val="18"/>
    <w:semiHidden/>
    <w:unhideWhenUsed/>
    <w:qFormat/>
    <w:uiPriority w:val="99"/>
    <w:rPr>
      <w:color w:val="954F72" w:themeColor="followedHyperlink"/>
      <w:u w:val="single"/>
      <w14:textFill>
        <w14:solidFill>
          <w14:schemeClr w14:val="folHlink"/>
        </w14:solidFill>
      </w14:textFill>
    </w:rPr>
  </w:style>
  <w:style w:type="character" w:styleId="20">
    <w:name w:val="Hyperlink"/>
    <w:basedOn w:val="18"/>
    <w:unhideWhenUsed/>
    <w:qFormat/>
    <w:uiPriority w:val="99"/>
    <w:rPr>
      <w:color w:val="0563C1" w:themeColor="hyperlink"/>
      <w:u w:val="single"/>
      <w14:textFill>
        <w14:solidFill>
          <w14:schemeClr w14:val="hlink"/>
        </w14:solidFill>
      </w14:textFill>
    </w:rPr>
  </w:style>
  <w:style w:type="character" w:styleId="21">
    <w:name w:val="annotation reference"/>
    <w:basedOn w:val="18"/>
    <w:semiHidden/>
    <w:unhideWhenUsed/>
    <w:qFormat/>
    <w:uiPriority w:val="99"/>
    <w:rPr>
      <w:sz w:val="21"/>
      <w:szCs w:val="21"/>
    </w:rPr>
  </w:style>
  <w:style w:type="character" w:styleId="22">
    <w:name w:val="footnote reference"/>
    <w:basedOn w:val="18"/>
    <w:semiHidden/>
    <w:unhideWhenUsed/>
    <w:qFormat/>
    <w:uiPriority w:val="99"/>
    <w:rPr>
      <w:vertAlign w:val="superscript"/>
    </w:rPr>
  </w:style>
  <w:style w:type="character" w:customStyle="1" w:styleId="23">
    <w:name w:val="标题 2 字符"/>
    <w:basedOn w:val="18"/>
    <w:link w:val="3"/>
    <w:qFormat/>
    <w:uiPriority w:val="0"/>
    <w:rPr>
      <w:rFonts w:ascii="Arial" w:hAnsi="Arial" w:eastAsia="仿宋_GB2312" w:cs="Times New Roman"/>
      <w:b/>
      <w:sz w:val="28"/>
      <w:szCs w:val="20"/>
    </w:rPr>
  </w:style>
  <w:style w:type="character" w:customStyle="1" w:styleId="24">
    <w:name w:val="标题 3 字符"/>
    <w:basedOn w:val="18"/>
    <w:link w:val="4"/>
    <w:qFormat/>
    <w:uiPriority w:val="9"/>
    <w:rPr>
      <w:rFonts w:ascii="Times New Roman" w:hAnsi="Times New Roman" w:eastAsia="仿宋_GB2312" w:cs="Times New Roman"/>
      <w:b/>
      <w:bCs/>
      <w:sz w:val="32"/>
      <w:szCs w:val="32"/>
    </w:rPr>
  </w:style>
  <w:style w:type="paragraph" w:styleId="25">
    <w:name w:val="List Paragraph"/>
    <w:basedOn w:val="1"/>
    <w:qFormat/>
    <w:uiPriority w:val="34"/>
    <w:pPr>
      <w:spacing w:line="240" w:lineRule="auto"/>
      <w:ind w:firstLine="420"/>
    </w:pPr>
    <w:rPr>
      <w:rFonts w:ascii="Calibri" w:hAnsi="Calibri"/>
      <w:szCs w:val="22"/>
    </w:rPr>
  </w:style>
  <w:style w:type="paragraph" w:customStyle="1" w:styleId="26">
    <w:name w:val="正文1"/>
    <w:qFormat/>
    <w:uiPriority w:val="0"/>
    <w:pPr>
      <w:widowControl w:val="0"/>
      <w:snapToGrid w:val="0"/>
      <w:spacing w:after="160" w:line="360" w:lineRule="auto"/>
      <w:jc w:val="both"/>
    </w:pPr>
    <w:rPr>
      <w:rFonts w:hint="eastAsia" w:ascii="Times New Roman" w:hAnsi="Times New Roman" w:eastAsia="宋体" w:cs="Times New Roman"/>
      <w:sz w:val="21"/>
      <w:lang w:val="en-US" w:eastAsia="zh-CN" w:bidi="ar-SA"/>
    </w:rPr>
  </w:style>
  <w:style w:type="character" w:customStyle="1" w:styleId="27">
    <w:name w:val="页眉 字符"/>
    <w:basedOn w:val="18"/>
    <w:link w:val="10"/>
    <w:qFormat/>
    <w:uiPriority w:val="99"/>
    <w:rPr>
      <w:rFonts w:ascii="Times New Roman" w:hAnsi="Times New Roman" w:eastAsia="仿宋_GB2312" w:cs="Times New Roman"/>
      <w:sz w:val="18"/>
      <w:szCs w:val="18"/>
    </w:rPr>
  </w:style>
  <w:style w:type="character" w:customStyle="1" w:styleId="28">
    <w:name w:val="页脚 字符"/>
    <w:basedOn w:val="18"/>
    <w:link w:val="9"/>
    <w:qFormat/>
    <w:uiPriority w:val="99"/>
    <w:rPr>
      <w:rFonts w:ascii="Times New Roman" w:hAnsi="Times New Roman" w:eastAsia="仿宋_GB2312" w:cs="Times New Roman"/>
      <w:sz w:val="18"/>
      <w:szCs w:val="18"/>
    </w:rPr>
  </w:style>
  <w:style w:type="character" w:customStyle="1" w:styleId="29">
    <w:name w:val="标题 4 字符"/>
    <w:basedOn w:val="18"/>
    <w:link w:val="5"/>
    <w:semiHidden/>
    <w:qFormat/>
    <w:uiPriority w:val="9"/>
    <w:rPr>
      <w:rFonts w:asciiTheme="majorHAnsi" w:hAnsiTheme="majorHAnsi" w:eastAsiaTheme="majorEastAsia" w:cstheme="majorBidi"/>
      <w:b/>
      <w:bCs/>
      <w:kern w:val="2"/>
      <w:sz w:val="28"/>
      <w:szCs w:val="28"/>
    </w:rPr>
  </w:style>
  <w:style w:type="character" w:customStyle="1" w:styleId="30">
    <w:name w:val="标题 1 字符"/>
    <w:basedOn w:val="18"/>
    <w:link w:val="2"/>
    <w:qFormat/>
    <w:uiPriority w:val="9"/>
    <w:rPr>
      <w:rFonts w:ascii="Times New Roman" w:hAnsi="Times New Roman" w:eastAsia="仿宋_GB2312" w:cs="Times New Roman"/>
      <w:b/>
      <w:bCs/>
      <w:kern w:val="44"/>
      <w:sz w:val="44"/>
      <w:szCs w:val="44"/>
    </w:rPr>
  </w:style>
  <w:style w:type="paragraph" w:customStyle="1" w:styleId="31">
    <w:name w:val="修订1"/>
    <w:hidden/>
    <w:unhideWhenUsed/>
    <w:qFormat/>
    <w:uiPriority w:val="99"/>
    <w:pPr>
      <w:spacing w:after="160" w:line="278" w:lineRule="auto"/>
    </w:pPr>
    <w:rPr>
      <w:rFonts w:ascii="Times New Roman" w:hAnsi="Times New Roman" w:eastAsia="仿宋_GB2312" w:cs="Times New Roman"/>
      <w:kern w:val="2"/>
      <w:sz w:val="24"/>
      <w:lang w:val="en-US" w:eastAsia="zh-CN" w:bidi="ar-SA"/>
    </w:rPr>
  </w:style>
  <w:style w:type="character" w:customStyle="1" w:styleId="32">
    <w:name w:val="脚注文本 字符"/>
    <w:basedOn w:val="18"/>
    <w:link w:val="12"/>
    <w:semiHidden/>
    <w:qFormat/>
    <w:uiPriority w:val="99"/>
    <w:rPr>
      <w:rFonts w:ascii="Times New Roman" w:hAnsi="Times New Roman" w:eastAsia="仿宋_GB2312" w:cs="Times New Roman"/>
      <w:kern w:val="2"/>
      <w:sz w:val="18"/>
      <w:szCs w:val="18"/>
    </w:rPr>
  </w:style>
  <w:style w:type="character" w:customStyle="1" w:styleId="33">
    <w:name w:val="批注文字 字符"/>
    <w:basedOn w:val="18"/>
    <w:link w:val="6"/>
    <w:qFormat/>
    <w:uiPriority w:val="99"/>
    <w:rPr>
      <w:rFonts w:ascii="Times New Roman" w:hAnsi="Times New Roman" w:eastAsia="仿宋_GB2312" w:cs="Times New Roman"/>
      <w:kern w:val="2"/>
      <w:sz w:val="24"/>
    </w:rPr>
  </w:style>
  <w:style w:type="character" w:customStyle="1" w:styleId="34">
    <w:name w:val="批注主题 字符"/>
    <w:basedOn w:val="33"/>
    <w:link w:val="15"/>
    <w:semiHidden/>
    <w:qFormat/>
    <w:uiPriority w:val="99"/>
    <w:rPr>
      <w:rFonts w:ascii="Times New Roman" w:hAnsi="Times New Roman" w:eastAsia="仿宋_GB2312" w:cs="Times New Roman"/>
      <w:b/>
      <w:bCs/>
      <w:kern w:val="2"/>
      <w:sz w:val="24"/>
    </w:rPr>
  </w:style>
  <w:style w:type="paragraph" w:customStyle="1" w:styleId="35">
    <w:name w:val="5.SG 正文"/>
    <w:basedOn w:val="14"/>
    <w:link w:val="36"/>
    <w:qFormat/>
    <w:uiPriority w:val="0"/>
    <w:pPr>
      <w:spacing w:line="560" w:lineRule="exact"/>
      <w:ind w:firstLine="200" w:firstLineChars="200"/>
    </w:pPr>
    <w:rPr>
      <w:kern w:val="0"/>
      <w:sz w:val="32"/>
      <w:szCs w:val="32"/>
    </w:rPr>
  </w:style>
  <w:style w:type="character" w:customStyle="1" w:styleId="36">
    <w:name w:val="5.SG 正文 字符"/>
    <w:basedOn w:val="18"/>
    <w:link w:val="35"/>
    <w:qFormat/>
    <w:uiPriority w:val="0"/>
    <w:rPr>
      <w:rFonts w:ascii="Times New Roman" w:hAnsi="Times New Roman" w:eastAsia="仿宋_GB2312" w:cs="Times New Roman"/>
      <w:sz w:val="32"/>
      <w:szCs w:val="32"/>
    </w:rPr>
  </w:style>
  <w:style w:type="paragraph" w:customStyle="1" w:styleId="37">
    <w:name w:val="1.SG 一级标题"/>
    <w:basedOn w:val="2"/>
    <w:link w:val="39"/>
    <w:qFormat/>
    <w:uiPriority w:val="0"/>
    <w:pPr>
      <w:spacing w:before="0" w:after="0" w:line="560" w:lineRule="exact"/>
      <w:ind w:firstLine="200" w:firstLineChars="200"/>
    </w:pPr>
    <w:rPr>
      <w:rFonts w:eastAsia="黑体"/>
      <w:bCs w:val="0"/>
      <w:sz w:val="32"/>
      <w:szCs w:val="32"/>
    </w:rPr>
  </w:style>
  <w:style w:type="paragraph" w:customStyle="1" w:styleId="38">
    <w:name w:val="2.GS 二级标题"/>
    <w:basedOn w:val="3"/>
    <w:link w:val="41"/>
    <w:qFormat/>
    <w:uiPriority w:val="0"/>
    <w:pPr>
      <w:spacing w:line="560" w:lineRule="exact"/>
      <w:ind w:firstLine="200" w:firstLineChars="200"/>
    </w:pPr>
    <w:rPr>
      <w:rFonts w:eastAsia="楷体_GB2312"/>
      <w:kern w:val="0"/>
      <w:sz w:val="32"/>
      <w:szCs w:val="32"/>
    </w:rPr>
  </w:style>
  <w:style w:type="character" w:customStyle="1" w:styleId="39">
    <w:name w:val="1.SG 一级标题 字符"/>
    <w:basedOn w:val="30"/>
    <w:link w:val="37"/>
    <w:qFormat/>
    <w:uiPriority w:val="0"/>
    <w:rPr>
      <w:rFonts w:ascii="Times New Roman" w:hAnsi="Times New Roman" w:eastAsia="黑体" w:cs="Times New Roman"/>
      <w:bCs w:val="0"/>
      <w:kern w:val="44"/>
      <w:sz w:val="32"/>
      <w:szCs w:val="32"/>
    </w:rPr>
  </w:style>
  <w:style w:type="paragraph" w:customStyle="1" w:styleId="40">
    <w:name w:val="3.SG 三级标题"/>
    <w:basedOn w:val="4"/>
    <w:link w:val="43"/>
    <w:qFormat/>
    <w:uiPriority w:val="0"/>
    <w:pPr>
      <w:spacing w:before="0" w:after="0" w:line="560" w:lineRule="exact"/>
      <w:ind w:firstLine="200" w:firstLineChars="200"/>
      <w:outlineLvl w:val="3"/>
    </w:pPr>
  </w:style>
  <w:style w:type="character" w:customStyle="1" w:styleId="41">
    <w:name w:val="2.GS 二级标题 字符"/>
    <w:basedOn w:val="23"/>
    <w:link w:val="38"/>
    <w:qFormat/>
    <w:uiPriority w:val="0"/>
    <w:rPr>
      <w:rFonts w:ascii="Arial" w:hAnsi="Arial" w:eastAsia="楷体_GB2312" w:cs="Times New Roman"/>
      <w:sz w:val="32"/>
      <w:szCs w:val="32"/>
    </w:rPr>
  </w:style>
  <w:style w:type="paragraph" w:customStyle="1" w:styleId="42">
    <w:name w:val="4.SG 4级标题"/>
    <w:basedOn w:val="1"/>
    <w:link w:val="44"/>
    <w:qFormat/>
    <w:uiPriority w:val="0"/>
    <w:pPr>
      <w:spacing w:line="560" w:lineRule="exact"/>
      <w:ind w:firstLine="200" w:firstLineChars="200"/>
    </w:pPr>
    <w:rPr>
      <w:sz w:val="32"/>
      <w:szCs w:val="32"/>
    </w:rPr>
  </w:style>
  <w:style w:type="character" w:customStyle="1" w:styleId="43">
    <w:name w:val="3.SG 三级标题 字符"/>
    <w:basedOn w:val="18"/>
    <w:link w:val="40"/>
    <w:qFormat/>
    <w:uiPriority w:val="0"/>
    <w:rPr>
      <w:rFonts w:ascii="Times New Roman" w:hAnsi="Times New Roman" w:eastAsia="仿宋_GB2312" w:cs="Times New Roman"/>
      <w:b/>
      <w:bCs/>
      <w:kern w:val="2"/>
      <w:sz w:val="32"/>
      <w:szCs w:val="32"/>
    </w:rPr>
  </w:style>
  <w:style w:type="character" w:customStyle="1" w:styleId="44">
    <w:name w:val="4.SG 4级标题 字符"/>
    <w:basedOn w:val="18"/>
    <w:link w:val="42"/>
    <w:qFormat/>
    <w:uiPriority w:val="0"/>
    <w:rPr>
      <w:rFonts w:ascii="Times New Roman" w:hAnsi="Times New Roman" w:eastAsia="仿宋_GB2312" w:cs="Times New Roman"/>
      <w:kern w:val="2"/>
      <w:sz w:val="32"/>
      <w:szCs w:val="32"/>
    </w:rPr>
  </w:style>
  <w:style w:type="paragraph" w:customStyle="1" w:styleId="45">
    <w:name w:val="pf0"/>
    <w:basedOn w:val="1"/>
    <w:qFormat/>
    <w:uiPriority w:val="0"/>
    <w:pPr>
      <w:widowControl/>
      <w:spacing w:before="100" w:beforeAutospacing="1" w:after="100" w:afterAutospacing="1" w:line="240" w:lineRule="auto"/>
      <w:jc w:val="left"/>
    </w:pPr>
    <w:rPr>
      <w:rFonts w:ascii="宋体" w:hAnsi="宋体" w:eastAsia="宋体" w:cs="宋体"/>
      <w:kern w:val="0"/>
      <w:szCs w:val="24"/>
    </w:rPr>
  </w:style>
  <w:style w:type="character" w:customStyle="1" w:styleId="46">
    <w:name w:val="cf01"/>
    <w:basedOn w:val="18"/>
    <w:qFormat/>
    <w:uiPriority w:val="0"/>
    <w:rPr>
      <w:rFonts w:hint="eastAsia" w:ascii="Microsoft YaHei UI" w:hAnsi="Microsoft YaHei UI" w:eastAsia="Microsoft YaHei UI"/>
      <w:sz w:val="18"/>
      <w:szCs w:val="18"/>
    </w:rPr>
  </w:style>
  <w:style w:type="character" w:customStyle="1" w:styleId="47">
    <w:name w:val="cf21"/>
    <w:basedOn w:val="18"/>
    <w:qFormat/>
    <w:uiPriority w:val="0"/>
    <w:rPr>
      <w:rFonts w:hint="eastAsia" w:ascii="Microsoft YaHei UI" w:hAnsi="Microsoft YaHei UI" w:eastAsia="Microsoft YaHei UI"/>
      <w:color w:val="5F5E5E"/>
      <w:sz w:val="18"/>
      <w:szCs w:val="18"/>
      <w:shd w:val="clear" w:color="auto" w:fill="FFFFFF"/>
    </w:rPr>
  </w:style>
  <w:style w:type="character" w:customStyle="1" w:styleId="48">
    <w:name w:val="cf11"/>
    <w:basedOn w:val="18"/>
    <w:qFormat/>
    <w:uiPriority w:val="0"/>
    <w:rPr>
      <w:rFonts w:hint="eastAsia" w:ascii="Microsoft YaHei UI" w:hAnsi="Microsoft YaHei UI" w:eastAsia="Microsoft YaHei UI"/>
      <w:sz w:val="18"/>
      <w:szCs w:val="18"/>
    </w:rPr>
  </w:style>
  <w:style w:type="paragraph" w:customStyle="1" w:styleId="49">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E75B6" w:themeColor="accent1" w:themeShade="BF"/>
      <w:kern w:val="0"/>
      <w:sz w:val="32"/>
      <w:szCs w:val="32"/>
    </w:rPr>
  </w:style>
  <w:style w:type="character" w:customStyle="1" w:styleId="50">
    <w:name w:val="批注框文本 字符"/>
    <w:basedOn w:val="18"/>
    <w:link w:val="8"/>
    <w:semiHidden/>
    <w:qFormat/>
    <w:uiPriority w:val="99"/>
    <w:rPr>
      <w:rFonts w:ascii="Times New Roman" w:hAnsi="Times New Roman" w:eastAsia="仿宋_GB2312" w:cs="Times New Roman"/>
      <w:kern w:val="2"/>
      <w:sz w:val="18"/>
      <w:szCs w:val="18"/>
    </w:rPr>
  </w:style>
  <w:style w:type="character" w:customStyle="1" w:styleId="51">
    <w:name w:val="未处理的提及1"/>
    <w:basedOn w:val="18"/>
    <w:semiHidden/>
    <w:unhideWhenUsed/>
    <w:qFormat/>
    <w:uiPriority w:val="99"/>
    <w:rPr>
      <w:color w:val="605E5C"/>
      <w:shd w:val="clear" w:color="auto" w:fill="E1DFDD"/>
    </w:rPr>
  </w:style>
  <w:style w:type="paragraph" w:customStyle="1" w:styleId="52">
    <w:name w:val="图标题"/>
    <w:basedOn w:val="1"/>
    <w:link w:val="53"/>
    <w:qFormat/>
    <w:uiPriority w:val="0"/>
    <w:pPr>
      <w:jc w:val="center"/>
    </w:pPr>
    <w:rPr>
      <w:rFonts w:eastAsia="黑体"/>
      <w:color w:val="000000" w:themeColor="text1"/>
      <w:sz w:val="28"/>
      <w:szCs w:val="28"/>
      <w14:textFill>
        <w14:solidFill>
          <w14:schemeClr w14:val="tx1"/>
        </w14:solidFill>
      </w14:textFill>
    </w:rPr>
  </w:style>
  <w:style w:type="character" w:customStyle="1" w:styleId="53">
    <w:name w:val="图标题 字符"/>
    <w:basedOn w:val="18"/>
    <w:link w:val="52"/>
    <w:qFormat/>
    <w:uiPriority w:val="0"/>
    <w:rPr>
      <w:rFonts w:ascii="Times New Roman" w:hAnsi="Times New Roman" w:eastAsia="黑体" w:cs="Times New Roman"/>
      <w:color w:val="000000" w:themeColor="text1"/>
      <w:kern w:val="2"/>
      <w:sz w:val="28"/>
      <w:szCs w:val="28"/>
      <w14:textFill>
        <w14:solidFill>
          <w14:schemeClr w14:val="tx1"/>
        </w14:solidFill>
      </w14:textFill>
    </w:rPr>
  </w:style>
  <w:style w:type="paragraph" w:customStyle="1" w:styleId="54">
    <w:name w:val="三级标题-韶关涉农"/>
    <w:basedOn w:val="40"/>
    <w:link w:val="55"/>
    <w:qFormat/>
    <w:uiPriority w:val="0"/>
    <w:pPr>
      <w:outlineLvl w:val="2"/>
    </w:pPr>
    <w:rPr>
      <w:bCs w:val="0"/>
    </w:rPr>
  </w:style>
  <w:style w:type="character" w:customStyle="1" w:styleId="55">
    <w:name w:val="三级标题-韶关涉农 字符"/>
    <w:basedOn w:val="43"/>
    <w:link w:val="54"/>
    <w:qFormat/>
    <w:uiPriority w:val="0"/>
    <w:rPr>
      <w:rFonts w:ascii="Times New Roman" w:hAnsi="Times New Roman" w:eastAsia="仿宋_GB2312" w:cs="Times New Roman"/>
      <w:bCs w:val="0"/>
      <w:kern w:val="2"/>
      <w:sz w:val="32"/>
      <w:szCs w:val="32"/>
    </w:rPr>
  </w:style>
  <w:style w:type="paragraph" w:customStyle="1" w:styleId="56">
    <w:name w:val="正文韶关"/>
    <w:basedOn w:val="1"/>
    <w:link w:val="57"/>
    <w:qFormat/>
    <w:uiPriority w:val="0"/>
    <w:pPr>
      <w:spacing w:line="560" w:lineRule="exact"/>
      <w:ind w:firstLine="200" w:firstLineChars="200"/>
    </w:pPr>
    <w:rPr>
      <w:bCs/>
      <w:sz w:val="32"/>
    </w:rPr>
  </w:style>
  <w:style w:type="character" w:customStyle="1" w:styleId="57">
    <w:name w:val="正文韶关 字符"/>
    <w:basedOn w:val="18"/>
    <w:link w:val="56"/>
    <w:qFormat/>
    <w:uiPriority w:val="0"/>
    <w:rPr>
      <w:rFonts w:ascii="Times New Roman" w:hAnsi="Times New Roman" w:eastAsia="仿宋_GB2312" w:cs="Times New Roman"/>
      <w:bCs/>
      <w:kern w:val="2"/>
      <w:sz w:val="32"/>
    </w:rPr>
  </w:style>
  <w:style w:type="paragraph" w:customStyle="1" w:styleId="58">
    <w:name w:val="考核任务完成情况表"/>
    <w:basedOn w:val="1"/>
    <w:link w:val="59"/>
    <w:qFormat/>
    <w:uiPriority w:val="0"/>
    <w:pPr>
      <w:widowControl/>
      <w:spacing w:line="240" w:lineRule="auto"/>
      <w:jc w:val="center"/>
    </w:pPr>
    <w:rPr>
      <w:rFonts w:cs="宋体"/>
      <w:color w:val="000000"/>
      <w:kern w:val="0"/>
      <w:sz w:val="21"/>
      <w:szCs w:val="21"/>
    </w:rPr>
  </w:style>
  <w:style w:type="character" w:customStyle="1" w:styleId="59">
    <w:name w:val="考核任务完成情况表 字符"/>
    <w:basedOn w:val="18"/>
    <w:link w:val="58"/>
    <w:qFormat/>
    <w:uiPriority w:val="0"/>
    <w:rPr>
      <w:rFonts w:ascii="Times New Roman" w:hAnsi="Times New Roman" w:eastAsia="仿宋_GB2312" w:cs="宋体"/>
      <w:color w:val="000000"/>
      <w:sz w:val="21"/>
      <w:szCs w:val="21"/>
    </w:rPr>
  </w:style>
  <w:style w:type="paragraph" w:customStyle="1" w:styleId="60">
    <w:name w:val="图表韶关"/>
    <w:basedOn w:val="56"/>
    <w:link w:val="61"/>
    <w:qFormat/>
    <w:uiPriority w:val="0"/>
    <w:pPr>
      <w:spacing w:line="240" w:lineRule="auto"/>
      <w:ind w:firstLine="0" w:firstLineChars="0"/>
      <w:jc w:val="center"/>
    </w:pPr>
    <w:rPr>
      <w:b/>
      <w:bCs w:val="0"/>
      <w:sz w:val="24"/>
      <w:szCs w:val="24"/>
    </w:rPr>
  </w:style>
  <w:style w:type="character" w:customStyle="1" w:styleId="61">
    <w:name w:val="图表韶关 字符"/>
    <w:basedOn w:val="57"/>
    <w:link w:val="60"/>
    <w:qFormat/>
    <w:uiPriority w:val="0"/>
    <w:rPr>
      <w:rFonts w:ascii="Times New Roman" w:hAnsi="Times New Roman" w:eastAsia="仿宋_GB2312" w:cs="Times New Roman"/>
      <w:b/>
      <w:bCs w:val="0"/>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chart" Target="charts/chart4.xml"/><Relationship Id="rId10" Type="http://schemas.openxmlformats.org/officeDocument/2006/relationships/chart" Target="charts/chart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MP\Desktop\&#32489;&#25928;&#35780;&#20215;&#39033;&#30446;\2024\2023&#24180;&#38902;&#20851;&#24066;&#26412;&#32423;&#28041;&#20892;&#32479;&#31609;&#25972;&#21512;&#36716;&#31227;&#25903;&#20184;&#39033;&#30446;\2023&#24180;&#30465;&#32423;&#28041;&#20892;&#36164;&#37329;&#65288;&#24066;&#32423;&#37096;&#20998;&#65289;&#26448;&#26009;\6.&#39033;&#30446;&#25104;&#26524;\&#12304;&#23436;&#25972;&#29256;&#12305;&#38468;&#20214;&#65306;2023&#24180;&#38902;&#20851;&#24066;&#26412;&#32423;&#28041;&#20892;&#32479;&#31609;&#25972;&#21512;&#36716;&#31227;&#25903;&#20184;&#39033;&#30446;-&#25351;&#26631;&#20307;&#31995;-&#20013;&#22823;&#21672;&#35810;-2024.10.3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MP\Desktop\&#32489;&#25928;&#35780;&#20215;&#39033;&#30446;\2024\2023&#24180;&#38902;&#20851;&#24066;&#26412;&#32423;&#28041;&#20892;&#32479;&#31609;&#25972;&#21512;&#36716;&#31227;&#25903;&#20184;&#39033;&#30446;\2023&#24180;&#30465;&#32423;&#28041;&#20892;&#36164;&#37329;&#65288;&#24066;&#32423;&#37096;&#20998;&#65289;&#26448;&#26009;\6.&#39033;&#30446;&#25104;&#26524;\&#12304;&#23436;&#25972;&#29256;&#12305;&#38468;&#20214;&#65306;2023&#24180;&#38902;&#20851;&#24066;&#26412;&#32423;&#28041;&#20892;&#32479;&#31609;&#25972;&#21512;&#36716;&#31227;&#25903;&#20184;&#39033;&#30446;-&#25351;&#26631;&#20307;&#31995;-&#20013;&#22823;&#21672;&#35810;-2024.10.30.xlsx" TargetMode="External"/></Relationships>
</file>

<file path=word/charts/_rels/chart3.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oleObject" Target="file:///C:\Users\MP\Desktop\&#32489;&#25928;&#35780;&#20215;&#39033;&#30446;\2024\2023&#24180;&#38902;&#20851;&#24066;&#26412;&#32423;&#28041;&#20892;&#32479;&#31609;&#25972;&#21512;&#36716;&#31227;&#25903;&#20184;&#39033;&#30446;\2023&#24180;&#30465;&#32423;&#28041;&#20892;&#36164;&#37329;&#65288;&#24066;&#32423;&#37096;&#20998;&#65289;&#26448;&#26009;\6.&#39033;&#30446;&#25104;&#26524;\&#12304;&#23436;&#25972;&#29256;&#12305;&#38468;&#20214;&#65306;2023&#24180;&#38902;&#20851;&#24066;&#26412;&#32423;&#28041;&#20892;&#32479;&#31609;&#25972;&#21512;&#36716;&#31227;&#25903;&#20184;&#39033;&#30446;-&#25351;&#26631;&#20307;&#31995;-&#20013;&#22823;&#21672;&#35810;-2024.10.30.xlsx" TargetMode="External"/></Relationships>
</file>

<file path=word/charts/_rels/chart4.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oleObject" Target="file:///C:\Users\MP\Desktop\&#32489;&#25928;&#35780;&#20215;&#39033;&#30446;\2024\2023&#24180;&#38902;&#20851;&#24066;&#26412;&#32423;&#28041;&#20892;&#32479;&#31609;&#25972;&#21512;&#36716;&#31227;&#25903;&#20184;&#39033;&#30446;\2023&#24180;&#30465;&#32423;&#28041;&#20892;&#36164;&#37329;&#65288;&#24066;&#32423;&#37096;&#20998;&#65289;&#26448;&#26009;\6.&#39033;&#30446;&#25104;&#26524;\&#12304;&#23436;&#25972;&#29256;&#12305;&#38468;&#20214;&#65306;2023&#24180;&#38902;&#20851;&#24066;&#26412;&#32423;&#28041;&#20892;&#32479;&#31609;&#25972;&#21512;&#36716;&#31227;&#25903;&#20184;&#39033;&#30446;-&#25351;&#26631;&#20307;&#31995;-&#20013;&#22823;&#21672;&#35810;-2024.10.3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400" b="1" i="0" u="none" strike="noStrike" kern="1200" baseline="0">
                <a:solidFill>
                  <a:schemeClr val="tx1">
                    <a:lumMod val="65000"/>
                    <a:lumOff val="35000"/>
                  </a:schemeClr>
                </a:solidFill>
                <a:latin typeface="+mn-lt"/>
                <a:ea typeface="+mn-ea"/>
                <a:cs typeface="+mn-cs"/>
              </a:defRPr>
            </a:pPr>
            <a:r>
              <a:rPr lang="en-US" sz="1400"/>
              <a:t>"</a:t>
            </a:r>
            <a:r>
              <a:rPr lang="zh-CN" sz="1400"/>
              <a:t>投入</a:t>
            </a:r>
            <a:r>
              <a:rPr lang="en-US" sz="1400"/>
              <a:t>"</a:t>
            </a:r>
            <a:r>
              <a:rPr lang="zh-CN" altLang="en-US" sz="1400"/>
              <a:t>各</a:t>
            </a:r>
            <a:r>
              <a:rPr lang="zh-CN" sz="1400"/>
              <a:t>指标得分</a:t>
            </a:r>
            <a:r>
              <a:rPr lang="zh-CN" altLang="en-US" sz="1400"/>
              <a:t>情况</a:t>
            </a:r>
            <a:endParaRPr lang="zh-CN" sz="1400"/>
          </a:p>
        </c:rich>
      </c:tx>
      <c:layout/>
      <c:overlay val="false"/>
      <c:spPr>
        <a:noFill/>
        <a:ln>
          <a:noFill/>
        </a:ln>
        <a:effectLst/>
      </c:spPr>
    </c:title>
    <c:autoTitleDeleted val="false"/>
    <c:plotArea>
      <c:layout/>
      <c:barChart>
        <c:barDir val="bar"/>
        <c:grouping val="clustered"/>
        <c:varyColors val="false"/>
        <c:ser>
          <c:idx val="0"/>
          <c:order val="0"/>
          <c:tx>
            <c:strRef>
              <c:f>'[【完整版】附件：2023年韶关市本级涉农统筹整合转移支付项目-指标体系-中大咨询-2024.10.30.xlsx]Sheet1'!$P$1</c:f>
              <c:strCache>
                <c:ptCount val="1"/>
                <c:pt idx="0">
                  <c:v>三级指标得分率</c:v>
                </c:pt>
              </c:strCache>
            </c:strRef>
          </c:tx>
          <c:spPr>
            <a:gradFill rotWithShape="true">
              <a:gsLst>
                <a:gs pos="0">
                  <a:schemeClr val="accent1">
                    <a:tint val="100000"/>
                    <a:shade val="100000"/>
                    <a:satMod val="129999"/>
                  </a:schemeClr>
                </a:gs>
                <a:gs pos="100000">
                  <a:schemeClr val="accent1">
                    <a:tint val="50000"/>
                    <a:shade val="100000"/>
                    <a:satMod val="350000"/>
                  </a:schemeClr>
                </a:gs>
              </a:gsLst>
              <a:lin ang="16200000" scaled="false"/>
            </a:gradFill>
            <a:ln>
              <a:noFill/>
            </a:ln>
            <a:effectLst>
              <a:outerShdw blurRad="38100" dist="20000" dir="5400000" rotWithShape="0">
                <a:srgbClr val="000000">
                  <a:alpha val="38000"/>
                </a:srgbClr>
              </a:outerShdw>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inEnd"/>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'[【完整版】附件：2023年韶关市本级涉农统筹整合转移支付项目-指标体系-中大咨询-2024.10.30.xlsx]Sheet1'!$C$2:$C$10</c:f>
              <c:strCache>
                <c:ptCount val="5"/>
                <c:pt idx="0">
                  <c:v>论证决策</c:v>
                </c:pt>
                <c:pt idx="1">
                  <c:v>目标设置</c:v>
                </c:pt>
                <c:pt idx="2">
                  <c:v>保障措施</c:v>
                </c:pt>
                <c:pt idx="3">
                  <c:v>资金到位</c:v>
                </c:pt>
                <c:pt idx="4">
                  <c:v>资金分配</c:v>
                </c:pt>
              </c:strCache>
            </c:strRef>
          </c:cat>
          <c:val>
            <c:numRef>
              <c:f>Sheet1!$P$2:$P$10</c:f>
              <c:numCache>
                <c:formatCode>0.00%</c:formatCode>
                <c:ptCount val="5"/>
                <c:pt idx="0">
                  <c:v>1</c:v>
                </c:pt>
                <c:pt idx="1">
                  <c:v>0.583333333333333</c:v>
                </c:pt>
                <c:pt idx="2">
                  <c:v>0.75</c:v>
                </c:pt>
                <c:pt idx="3">
                  <c:v>1</c:v>
                </c:pt>
                <c:pt idx="4">
                  <c:v>0.333333333333333</c:v>
                </c:pt>
              </c:numCache>
            </c:numRef>
          </c:val>
        </c:ser>
        <c:dLbls>
          <c:showLegendKey val="false"/>
          <c:showVal val="true"/>
          <c:showCatName val="false"/>
          <c:showSerName val="false"/>
          <c:showPercent val="false"/>
          <c:showBubbleSize val="false"/>
        </c:dLbls>
        <c:gapWidth val="115"/>
        <c:overlap val="-20"/>
        <c:axId val="330469199"/>
        <c:axId val="330468719"/>
      </c:barChart>
      <c:catAx>
        <c:axId val="330469199"/>
        <c:scaling>
          <c:orientation val="maxMin"/>
        </c:scaling>
        <c:delete val="false"/>
        <c:axPos val="l"/>
        <c:numFmt formatCode="General" sourceLinked="true"/>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330468719"/>
        <c:crosses val="autoZero"/>
        <c:auto val="true"/>
        <c:lblAlgn val="ctr"/>
        <c:lblOffset val="100"/>
        <c:noMultiLvlLbl val="false"/>
      </c:catAx>
      <c:valAx>
        <c:axId val="330468719"/>
        <c:scaling>
          <c:orientation val="minMax"/>
          <c:max val="1"/>
        </c:scaling>
        <c:delete val="true"/>
        <c:axPos val="t"/>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330469199"/>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400" b="1" i="0" u="none" strike="noStrike" kern="1200" baseline="0">
                <a:solidFill>
                  <a:schemeClr val="tx1">
                    <a:lumMod val="65000"/>
                    <a:lumOff val="35000"/>
                  </a:schemeClr>
                </a:solidFill>
                <a:latin typeface="+mn-lt"/>
                <a:ea typeface="+mn-ea"/>
                <a:cs typeface="+mn-cs"/>
              </a:defRPr>
            </a:pPr>
            <a:r>
              <a:rPr lang="en-US" altLang="zh-CN" sz="1400" b="1" i="0" u="none" strike="noStrike" kern="1200" baseline="0">
                <a:solidFill>
                  <a:srgbClr val="000000">
                    <a:lumMod val="65000"/>
                    <a:lumOff val="35000"/>
                  </a:srgbClr>
                </a:solidFill>
              </a:rPr>
              <a:t>"</a:t>
            </a:r>
            <a:r>
              <a:rPr lang="zh-CN" altLang="en-US" sz="1400" b="1" i="0" u="none" strike="noStrike" kern="1200" baseline="0">
                <a:solidFill>
                  <a:srgbClr val="000000">
                    <a:lumMod val="65000"/>
                    <a:lumOff val="35000"/>
                  </a:srgbClr>
                </a:solidFill>
              </a:rPr>
              <a:t>过程</a:t>
            </a:r>
            <a:r>
              <a:rPr lang="en-US" altLang="zh-CN" sz="1400" b="1" i="0" u="none" strike="noStrike" kern="1200" baseline="0">
                <a:solidFill>
                  <a:srgbClr val="000000">
                    <a:lumMod val="65000"/>
                    <a:lumOff val="35000"/>
                  </a:srgbClr>
                </a:solidFill>
              </a:rPr>
              <a:t>"</a:t>
            </a:r>
            <a:r>
              <a:rPr lang="zh-CN" altLang="en-US" sz="1400" b="1" i="0" u="none" strike="noStrike" kern="1200" baseline="0">
                <a:solidFill>
                  <a:srgbClr val="000000">
                    <a:lumMod val="65000"/>
                    <a:lumOff val="35000"/>
                  </a:srgbClr>
                </a:solidFill>
              </a:rPr>
              <a:t>各</a:t>
            </a:r>
            <a:r>
              <a:rPr lang="zh-CN" altLang="zh-CN" sz="1400" b="1" i="0" u="none" strike="noStrike" kern="1200" baseline="0">
                <a:solidFill>
                  <a:srgbClr val="000000">
                    <a:lumMod val="65000"/>
                    <a:lumOff val="35000"/>
                  </a:srgbClr>
                </a:solidFill>
              </a:rPr>
              <a:t>指标得分</a:t>
            </a:r>
            <a:r>
              <a:rPr lang="zh-CN" altLang="en-US" sz="1400" b="1" i="0" u="none" strike="noStrike" kern="1200" baseline="0">
                <a:solidFill>
                  <a:srgbClr val="000000">
                    <a:lumMod val="65000"/>
                    <a:lumOff val="35000"/>
                  </a:srgbClr>
                </a:solidFill>
              </a:rPr>
              <a:t>情况</a:t>
            </a:r>
            <a:endParaRPr lang="zh-CN" altLang="zh-CN" sz="1400" b="1" i="0" u="none" strike="noStrike" kern="1200" baseline="0">
              <a:solidFill>
                <a:srgbClr val="000000">
                  <a:lumMod val="65000"/>
                  <a:lumOff val="35000"/>
                </a:srgbClr>
              </a:solidFill>
            </a:endParaRPr>
          </a:p>
        </c:rich>
      </c:tx>
      <c:layout/>
      <c:overlay val="false"/>
      <c:spPr>
        <a:noFill/>
        <a:ln>
          <a:noFill/>
        </a:ln>
        <a:effectLst/>
      </c:spPr>
    </c:title>
    <c:autoTitleDeleted val="false"/>
    <c:plotArea>
      <c:layout/>
      <c:barChart>
        <c:barDir val="bar"/>
        <c:grouping val="stacked"/>
        <c:varyColors val="false"/>
        <c:ser>
          <c:idx val="0"/>
          <c:order val="0"/>
          <c:spPr>
            <a:gradFill rotWithShape="true">
              <a:gsLst>
                <a:gs pos="0">
                  <a:schemeClr val="accent1">
                    <a:tint val="100000"/>
                    <a:shade val="100000"/>
                    <a:satMod val="129999"/>
                  </a:schemeClr>
                </a:gs>
                <a:gs pos="100000">
                  <a:schemeClr val="accent1">
                    <a:tint val="50000"/>
                    <a:shade val="100000"/>
                    <a:satMod val="350000"/>
                  </a:schemeClr>
                </a:gs>
              </a:gsLst>
              <a:lin ang="16200000" scaled="false"/>
            </a:gradFill>
            <a:ln>
              <a:noFill/>
            </a:ln>
            <a:effectLst>
              <a:outerShdw blurRad="38100" dist="20000" dir="5400000" rotWithShape="0">
                <a:srgbClr val="000000">
                  <a:alpha val="38000"/>
                </a:srgbClr>
              </a:outerShdw>
            </a:effectLst>
          </c:spPr>
          <c:invertIfNegative val="false"/>
          <c:dLbls>
            <c:dLbl>
              <c:idx val="2"/>
              <c:layout>
                <c:manualLayout>
                  <c:x val="0.0972222222222222"/>
                  <c:y val="-8.48755627201333e-17"/>
                </c:manualLayout>
              </c:layout>
              <c:dLblPos val="ctr"/>
              <c:showLegendKey val="false"/>
              <c:showVal val="true"/>
              <c:showCatName val="false"/>
              <c:showSerName val="false"/>
              <c:showPercent val="false"/>
              <c:showBubbleSize val="false"/>
              <c:extLst>
                <c:ext xmlns:c15="http://schemas.microsoft.com/office/drawing/2012/chart" uri="{CE6537A1-D6FC-4f65-9D91-7224C49458BB}">
                  <c15:layout/>
                </c:ext>
              </c:extLst>
            </c:dLbl>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'[【完整版】附件：2023年韶关市本级涉农统筹整合转移支付项目-指标体系-中大咨询-2024.10.30.xlsx]Sheet1'!$C$11:$C$14</c:f>
              <c:strCache>
                <c:ptCount val="4"/>
                <c:pt idx="0">
                  <c:v>资金支付</c:v>
                </c:pt>
                <c:pt idx="1">
                  <c:v>支出规范性</c:v>
                </c:pt>
                <c:pt idx="2">
                  <c:v>实施程序</c:v>
                </c:pt>
                <c:pt idx="3">
                  <c:v>管理情况</c:v>
                </c:pt>
              </c:strCache>
            </c:strRef>
          </c:cat>
          <c:val>
            <c:numRef>
              <c:f>'[【完整版】附件：2023年韶关市本级涉农统筹整合转移支付项目-指标体系-中大咨询-2024.10.30.xlsx]Sheet1'!$P$11:$P$14</c:f>
              <c:numCache>
                <c:formatCode>0.00%</c:formatCode>
                <c:ptCount val="4"/>
                <c:pt idx="0">
                  <c:v>0.893333333333333</c:v>
                </c:pt>
                <c:pt idx="1">
                  <c:v>0.916666666666667</c:v>
                </c:pt>
                <c:pt idx="2">
                  <c:v>0.5</c:v>
                </c:pt>
                <c:pt idx="3">
                  <c:v>0.625</c:v>
                </c:pt>
              </c:numCache>
            </c:numRef>
          </c:val>
        </c:ser>
        <c:dLbls>
          <c:showLegendKey val="false"/>
          <c:showVal val="true"/>
          <c:showCatName val="false"/>
          <c:showSerName val="false"/>
          <c:showPercent val="false"/>
          <c:showBubbleSize val="false"/>
        </c:dLbls>
        <c:gapWidth val="150"/>
        <c:overlap val="100"/>
        <c:axId val="330978879"/>
        <c:axId val="110710143"/>
      </c:barChart>
      <c:catAx>
        <c:axId val="330978879"/>
        <c:scaling>
          <c:orientation val="maxMin"/>
        </c:scaling>
        <c:delete val="false"/>
        <c:axPos val="l"/>
        <c:numFmt formatCode="General" sourceLinked="true"/>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10710143"/>
        <c:crosses val="autoZero"/>
        <c:auto val="true"/>
        <c:lblAlgn val="ctr"/>
        <c:lblOffset val="100"/>
        <c:noMultiLvlLbl val="false"/>
      </c:catAx>
      <c:valAx>
        <c:axId val="110710143"/>
        <c:scaling>
          <c:orientation val="minMax"/>
          <c:max val="1"/>
        </c:scaling>
        <c:delete val="true"/>
        <c:axPos val="t"/>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330978879"/>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400" b="1" i="0" u="none" strike="noStrike" kern="1200" baseline="0">
                <a:solidFill>
                  <a:schemeClr val="tx1">
                    <a:lumMod val="65000"/>
                    <a:lumOff val="35000"/>
                  </a:schemeClr>
                </a:solidFill>
                <a:latin typeface="+mn-lt"/>
                <a:ea typeface="+mn-ea"/>
                <a:cs typeface="+mn-cs"/>
              </a:defRPr>
            </a:pPr>
            <a:r>
              <a:rPr lang="en-US" altLang="zh-CN" sz="1400" b="1" i="0" u="none" strike="noStrike" kern="1200" baseline="0">
                <a:solidFill>
                  <a:srgbClr val="000000">
                    <a:lumMod val="65000"/>
                    <a:lumOff val="35000"/>
                  </a:srgbClr>
                </a:solidFill>
              </a:rPr>
              <a:t>"</a:t>
            </a:r>
            <a:r>
              <a:rPr lang="zh-CN" altLang="en-US" sz="1400" b="1" i="0" u="none" strike="noStrike" kern="1200" baseline="0">
                <a:solidFill>
                  <a:srgbClr val="000000">
                    <a:lumMod val="65000"/>
                    <a:lumOff val="35000"/>
                  </a:srgbClr>
                </a:solidFill>
              </a:rPr>
              <a:t>产出</a:t>
            </a:r>
            <a:r>
              <a:rPr lang="en-US" altLang="zh-CN" sz="1400" b="1" i="0" u="none" strike="noStrike" kern="1200" baseline="0">
                <a:solidFill>
                  <a:srgbClr val="000000">
                    <a:lumMod val="65000"/>
                    <a:lumOff val="35000"/>
                  </a:srgbClr>
                </a:solidFill>
              </a:rPr>
              <a:t>"</a:t>
            </a:r>
            <a:r>
              <a:rPr lang="zh-CN" altLang="en-US" sz="1400" b="1" i="0" u="none" strike="noStrike" kern="1200" baseline="0">
                <a:solidFill>
                  <a:srgbClr val="000000">
                    <a:lumMod val="65000"/>
                    <a:lumOff val="35000"/>
                  </a:srgbClr>
                </a:solidFill>
              </a:rPr>
              <a:t>各</a:t>
            </a:r>
            <a:r>
              <a:rPr lang="zh-CN" altLang="zh-CN" sz="1400" b="1" i="0" u="none" strike="noStrike" kern="1200" baseline="0">
                <a:solidFill>
                  <a:srgbClr val="000000">
                    <a:lumMod val="65000"/>
                    <a:lumOff val="35000"/>
                  </a:srgbClr>
                </a:solidFill>
              </a:rPr>
              <a:t>指标得分</a:t>
            </a:r>
            <a:r>
              <a:rPr lang="zh-CN" altLang="en-US" sz="1400" b="1" i="0" u="none" strike="noStrike" kern="1200" baseline="0">
                <a:solidFill>
                  <a:srgbClr val="000000">
                    <a:lumMod val="65000"/>
                    <a:lumOff val="35000"/>
                  </a:srgbClr>
                </a:solidFill>
              </a:rPr>
              <a:t>情况</a:t>
            </a:r>
            <a:endParaRPr lang="zh-CN" altLang="zh-CN" sz="1400" b="1" i="0" u="none" strike="noStrike" kern="1200" baseline="0">
              <a:solidFill>
                <a:srgbClr val="000000">
                  <a:lumMod val="65000"/>
                  <a:lumOff val="35000"/>
                </a:srgbClr>
              </a:solidFill>
            </a:endParaRPr>
          </a:p>
        </c:rich>
      </c:tx>
      <c:layout/>
      <c:overlay val="false"/>
      <c:spPr>
        <a:noFill/>
        <a:ln>
          <a:noFill/>
        </a:ln>
        <a:effectLst/>
      </c:spPr>
    </c:title>
    <c:autoTitleDeleted val="false"/>
    <c:plotArea>
      <c:layout/>
      <c:barChart>
        <c:barDir val="bar"/>
        <c:grouping val="stacked"/>
        <c:varyColors val="false"/>
        <c:ser>
          <c:idx val="0"/>
          <c:order val="0"/>
          <c:spPr>
            <a:gradFill rotWithShape="true">
              <a:gsLst>
                <a:gs pos="0">
                  <a:schemeClr val="accent1">
                    <a:tint val="100000"/>
                    <a:shade val="100000"/>
                    <a:satMod val="129999"/>
                  </a:schemeClr>
                </a:gs>
                <a:gs pos="100000">
                  <a:schemeClr val="accent1">
                    <a:tint val="50000"/>
                    <a:shade val="100000"/>
                    <a:satMod val="350000"/>
                  </a:schemeClr>
                </a:gs>
              </a:gsLst>
              <a:lin ang="16200000" scaled="false"/>
            </a:gradFill>
            <a:ln>
              <a:noFill/>
            </a:ln>
            <a:effectLst>
              <a:outerShdw blurRad="38100" dist="20000" dir="5400000" rotWithShape="0">
                <a:srgbClr val="000000">
                  <a:alpha val="38000"/>
                </a:srgbClr>
              </a:outerShdw>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'[【完整版】附件：2023年韶关市本级涉农统筹整合转移支付项目-指标体系-中大咨询-2024.10.30.xlsx]Sheet1'!$C$15:$C$26</c:f>
              <c:strCache>
                <c:ptCount val="4"/>
                <c:pt idx="0">
                  <c:v>预算控制</c:v>
                </c:pt>
                <c:pt idx="1">
                  <c:v>完成数量</c:v>
                </c:pt>
                <c:pt idx="2">
                  <c:v>完成质量</c:v>
                </c:pt>
                <c:pt idx="3">
                  <c:v>完成进度</c:v>
                </c:pt>
              </c:strCache>
            </c:strRef>
          </c:cat>
          <c:val>
            <c:numRef>
              <c:f>Sheet1!$P$15:$P$26</c:f>
              <c:numCache>
                <c:formatCode>0.00%</c:formatCode>
                <c:ptCount val="4"/>
                <c:pt idx="0">
                  <c:v>1</c:v>
                </c:pt>
                <c:pt idx="1">
                  <c:v>0.906315789473684</c:v>
                </c:pt>
                <c:pt idx="2">
                  <c:v>1</c:v>
                </c:pt>
                <c:pt idx="3">
                  <c:v>0.87</c:v>
                </c:pt>
              </c:numCache>
            </c:numRef>
          </c:val>
        </c:ser>
        <c:dLbls>
          <c:showLegendKey val="false"/>
          <c:showVal val="true"/>
          <c:showCatName val="false"/>
          <c:showSerName val="false"/>
          <c:showPercent val="false"/>
          <c:showBubbleSize val="false"/>
        </c:dLbls>
        <c:gapWidth val="150"/>
        <c:overlap val="100"/>
        <c:axId val="1092040031"/>
        <c:axId val="1092040991"/>
      </c:barChart>
      <c:catAx>
        <c:axId val="1092040031"/>
        <c:scaling>
          <c:orientation val="maxMin"/>
        </c:scaling>
        <c:delete val="false"/>
        <c:axPos val="l"/>
        <c:numFmt formatCode="General" sourceLinked="true"/>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092040991"/>
        <c:crosses val="autoZero"/>
        <c:auto val="true"/>
        <c:lblAlgn val="ctr"/>
        <c:lblOffset val="100"/>
        <c:noMultiLvlLbl val="false"/>
      </c:catAx>
      <c:valAx>
        <c:axId val="1092040991"/>
        <c:scaling>
          <c:orientation val="minMax"/>
          <c:max val="1"/>
        </c:scaling>
        <c:delete val="true"/>
        <c:axPos val="t"/>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1092040031"/>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true"/>
          <a:lstStyle/>
          <a:p>
            <a:pPr>
              <a:defRPr lang="zh-CN" sz="1400" b="1" i="0" u="none" strike="noStrike" kern="1200" baseline="0">
                <a:solidFill>
                  <a:schemeClr val="tx1">
                    <a:lumMod val="65000"/>
                    <a:lumOff val="35000"/>
                  </a:schemeClr>
                </a:solidFill>
                <a:latin typeface="+mn-lt"/>
                <a:ea typeface="+mn-ea"/>
                <a:cs typeface="+mn-cs"/>
              </a:defRPr>
            </a:pPr>
            <a:r>
              <a:rPr lang="en-US" altLang="zh-CN" sz="1400" b="1" i="0" u="none" strike="noStrike" kern="1200" baseline="0">
                <a:solidFill>
                  <a:srgbClr val="000000">
                    <a:lumMod val="65000"/>
                    <a:lumOff val="35000"/>
                  </a:srgbClr>
                </a:solidFill>
              </a:rPr>
              <a:t>"</a:t>
            </a:r>
            <a:r>
              <a:rPr lang="zh-CN" altLang="en-US" sz="1400" b="1" i="0" u="none" strike="noStrike" kern="1200" baseline="0">
                <a:solidFill>
                  <a:srgbClr val="000000">
                    <a:lumMod val="65000"/>
                    <a:lumOff val="35000"/>
                  </a:srgbClr>
                </a:solidFill>
              </a:rPr>
              <a:t>效益</a:t>
            </a:r>
            <a:r>
              <a:rPr lang="en-US" altLang="zh-CN" sz="1400" b="1" i="0" u="none" strike="noStrike" kern="1200" baseline="0">
                <a:solidFill>
                  <a:srgbClr val="000000">
                    <a:lumMod val="65000"/>
                    <a:lumOff val="35000"/>
                  </a:srgbClr>
                </a:solidFill>
              </a:rPr>
              <a:t>"</a:t>
            </a:r>
            <a:r>
              <a:rPr lang="zh-CN" altLang="en-US" sz="1400" b="1" i="0" u="none" strike="noStrike" kern="1200" baseline="0">
                <a:solidFill>
                  <a:srgbClr val="000000">
                    <a:lumMod val="65000"/>
                    <a:lumOff val="35000"/>
                  </a:srgbClr>
                </a:solidFill>
              </a:rPr>
              <a:t>各</a:t>
            </a:r>
            <a:r>
              <a:rPr lang="zh-CN" altLang="zh-CN" sz="1400" b="1" i="0" u="none" strike="noStrike" kern="1200" baseline="0">
                <a:solidFill>
                  <a:srgbClr val="000000">
                    <a:lumMod val="65000"/>
                    <a:lumOff val="35000"/>
                  </a:srgbClr>
                </a:solidFill>
              </a:rPr>
              <a:t>指标得分</a:t>
            </a:r>
            <a:r>
              <a:rPr lang="zh-CN" altLang="en-US" sz="1400" b="1" i="0" u="none" strike="noStrike" kern="1200" baseline="0">
                <a:solidFill>
                  <a:srgbClr val="000000">
                    <a:lumMod val="65000"/>
                    <a:lumOff val="35000"/>
                  </a:srgbClr>
                </a:solidFill>
              </a:rPr>
              <a:t>情况</a:t>
            </a:r>
            <a:endParaRPr lang="zh-CN" altLang="zh-CN" sz="1400" b="1" i="0" u="none" strike="noStrike" kern="1200" baseline="0">
              <a:solidFill>
                <a:srgbClr val="000000">
                  <a:lumMod val="65000"/>
                  <a:lumOff val="35000"/>
                </a:srgbClr>
              </a:solidFill>
            </a:endParaRPr>
          </a:p>
        </c:rich>
      </c:tx>
      <c:layout/>
      <c:overlay val="false"/>
      <c:spPr>
        <a:noFill/>
        <a:ln>
          <a:noFill/>
        </a:ln>
        <a:effectLst/>
      </c:spPr>
    </c:title>
    <c:autoTitleDeleted val="false"/>
    <c:plotArea>
      <c:layout/>
      <c:barChart>
        <c:barDir val="bar"/>
        <c:grouping val="stacked"/>
        <c:varyColors val="false"/>
        <c:ser>
          <c:idx val="0"/>
          <c:order val="0"/>
          <c:spPr>
            <a:gradFill rotWithShape="true">
              <a:gsLst>
                <a:gs pos="0">
                  <a:schemeClr val="accent1">
                    <a:tint val="100000"/>
                    <a:shade val="100000"/>
                    <a:satMod val="129999"/>
                  </a:schemeClr>
                </a:gs>
                <a:gs pos="100000">
                  <a:schemeClr val="accent1">
                    <a:tint val="50000"/>
                    <a:shade val="100000"/>
                    <a:satMod val="350000"/>
                  </a:schemeClr>
                </a:gs>
              </a:gsLst>
              <a:lin ang="16200000" scaled="false"/>
            </a:gradFill>
            <a:ln>
              <a:noFill/>
            </a:ln>
            <a:effectLst>
              <a:outerShdw blurRad="38100" dist="20000" dir="5400000" rotWithShape="0">
                <a:srgbClr val="000000">
                  <a:alpha val="38000"/>
                </a:srgbClr>
              </a:outerShdw>
            </a:effectLst>
          </c:spPr>
          <c:invertIfNegative val="false"/>
          <c:dLbls>
            <c:spPr>
              <a:noFill/>
              <a:ln>
                <a:noFill/>
              </a:ln>
              <a:effectLst/>
            </c:spPr>
            <c:txPr>
              <a:bodyPr rot="0" spcFirstLastPara="1" vertOverflow="ellipsis" vert="horz" wrap="square" lIns="38100" tIns="19050" rIns="38100" bIns="19050" anchor="ctr" anchorCtr="true">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false"/>
            <c:showVal val="true"/>
            <c:showCatName val="false"/>
            <c:showSerName val="false"/>
            <c:showPercent val="false"/>
            <c:showBubbleSize val="false"/>
            <c:showLeaderLines val="false"/>
            <c:extLst>
              <c:ext xmlns:c15="http://schemas.microsoft.com/office/drawing/2012/chart" uri="{CE6537A1-D6FC-4f65-9D91-7224C49458BB}">
                <c15:layout/>
                <c15:showLeaderLines val="true"/>
                <c15:leaderLines>
                  <c:spPr>
                    <a:ln w="9525" cap="flat" cmpd="sng" algn="ctr">
                      <a:solidFill>
                        <a:schemeClr val="tx1">
                          <a:lumMod val="35000"/>
                          <a:lumOff val="65000"/>
                        </a:schemeClr>
                      </a:solidFill>
                      <a:round/>
                    </a:ln>
                    <a:effectLst/>
                  </c:spPr>
                </c15:leaderLines>
              </c:ext>
            </c:extLst>
          </c:dLbls>
          <c:cat>
            <c:strRef>
              <c:f>'[【完整版】附件：2023年韶关市本级涉农统筹整合转移支付项目-指标体系-中大咨询-2024.10.30.xlsx]Sheet1'!$C$27:$C$35</c:f>
              <c:strCache>
                <c:ptCount val="5"/>
                <c:pt idx="0">
                  <c:v>社会效益</c:v>
                </c:pt>
                <c:pt idx="1">
                  <c:v>经济效益</c:v>
                </c:pt>
                <c:pt idx="2">
                  <c:v>生态效益</c:v>
                </c:pt>
                <c:pt idx="3">
                  <c:v>可持续影响</c:v>
                </c:pt>
                <c:pt idx="4">
                  <c:v>满意度</c:v>
                </c:pt>
              </c:strCache>
            </c:strRef>
          </c:cat>
          <c:val>
            <c:numRef>
              <c:f>Sheet1!$P$27:$P$35</c:f>
              <c:numCache>
                <c:formatCode>0.00%</c:formatCode>
                <c:ptCount val="5"/>
                <c:pt idx="0">
                  <c:v>0.8125</c:v>
                </c:pt>
                <c:pt idx="1">
                  <c:v>0.9</c:v>
                </c:pt>
                <c:pt idx="2">
                  <c:v>0.75</c:v>
                </c:pt>
                <c:pt idx="3">
                  <c:v>1</c:v>
                </c:pt>
                <c:pt idx="4">
                  <c:v>0.6</c:v>
                </c:pt>
              </c:numCache>
            </c:numRef>
          </c:val>
        </c:ser>
        <c:dLbls>
          <c:showLegendKey val="false"/>
          <c:showVal val="true"/>
          <c:showCatName val="false"/>
          <c:showSerName val="false"/>
          <c:showPercent val="false"/>
          <c:showBubbleSize val="false"/>
        </c:dLbls>
        <c:gapWidth val="150"/>
        <c:overlap val="100"/>
        <c:axId val="317948383"/>
        <c:axId val="317949823"/>
      </c:barChart>
      <c:catAx>
        <c:axId val="317948383"/>
        <c:scaling>
          <c:orientation val="maxMin"/>
        </c:scaling>
        <c:delete val="false"/>
        <c:axPos val="l"/>
        <c:numFmt formatCode="General" sourceLinked="true"/>
        <c:majorTickMark val="none"/>
        <c:min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317949823"/>
        <c:crosses val="autoZero"/>
        <c:auto val="true"/>
        <c:lblAlgn val="ctr"/>
        <c:lblOffset val="100"/>
        <c:noMultiLvlLbl val="false"/>
      </c:catAx>
      <c:valAx>
        <c:axId val="317949823"/>
        <c:scaling>
          <c:orientation val="minMax"/>
          <c:max val="1"/>
        </c:scaling>
        <c:delete val="true"/>
        <c:axPos val="t"/>
        <c:majorGridlines>
          <c:spPr>
            <a:ln w="9525" cap="flat" cmpd="sng" algn="ctr">
              <a:solidFill>
                <a:schemeClr val="tx1">
                  <a:lumMod val="15000"/>
                  <a:lumOff val="85000"/>
                </a:schemeClr>
              </a:solidFill>
              <a:round/>
            </a:ln>
            <a:effectLst/>
          </c:spPr>
        </c:majorGridlines>
        <c:numFmt formatCode="0.00%" sourceLinked="true"/>
        <c:majorTickMark val="none"/>
        <c:minorTickMark val="none"/>
        <c:tickLblPos val="nextTo"/>
        <c:txPr>
          <a:bodyPr rot="-60000000" spcFirstLastPara="0" vertOverflow="ellipsis" vert="horz" wrap="square" anchor="ctr" anchorCtr="true"/>
          <a:lstStyle/>
          <a:p>
            <a:pPr>
              <a:defRPr lang="zh-CN" sz="900" b="0" i="0" u="none" strike="noStrike" kern="1200" baseline="0">
                <a:solidFill>
                  <a:schemeClr val="tx1">
                    <a:lumMod val="65000"/>
                    <a:lumOff val="35000"/>
                  </a:schemeClr>
                </a:solidFill>
                <a:latin typeface="+mn-lt"/>
                <a:ea typeface="+mn-ea"/>
                <a:cs typeface="+mn-cs"/>
              </a:defRPr>
            </a:pPr>
          </a:p>
        </c:txPr>
        <c:crossAx val="317948383"/>
        <c:crosses val="autoZero"/>
        <c:crossBetween val="between"/>
      </c:valAx>
      <c:spPr>
        <a:noFill/>
        <a:ln>
          <a:noFill/>
        </a:ln>
        <a:effectLst/>
      </c:spPr>
    </c:plotArea>
    <c:plotVisOnly val="true"/>
    <c:dispBlanksAs val="gap"/>
    <c:showDLblsOverMax val="false"/>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false"/>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341">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ize="5"/>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3.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4.xml><?xml version="1.0" encoding="utf-8"?>
<cs:chartStyle xmlns:cs="http://schemas.microsoft.com/office/drawing/2012/chartStyle" xmlns:a="http://schemas.openxmlformats.org/drawingml/2006/main" id="348">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true">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MPGROUP</Company>
  <Pages>40</Pages>
  <Words>3120</Words>
  <Characters>17788</Characters>
  <Lines>148</Lines>
  <Paragraphs>41</Paragraphs>
  <TotalTime>7</TotalTime>
  <ScaleCrop>false</ScaleCrop>
  <LinksUpToDate>false</LinksUpToDate>
  <CharactersWithSpaces>20867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2024-08-17T15:15:00Z</dcterms:created>
  <dc:creator>中大咨询</dc:creator>
  <cp:lastModifiedBy>user</cp:lastModifiedBy>
  <cp:lastPrinted>2024-12-12T11:27:08Z</cp:lastPrinted>
  <dcterms:modified xsi:type="dcterms:W3CDTF">2024-12-12T11:30:43Z</dcterms:modified>
  <cp:revision>1323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2932D5E532AF4F568FD4BA20E3F1EB89_13</vt:lpwstr>
  </property>
</Properties>
</file>