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240" w:after="120"/>
        <w:ind w:firstLine="880"/>
        <w:jc w:val="center"/>
      </w:pPr>
      <w:r>
        <w:rPr>
          <w:rFonts w:eastAsia="仿宋_GB2312"/>
          <w:sz w:val="44"/>
        </w:rPr>
        <w:tab/>
      </w:r>
    </w:p>
    <w:p>
      <w:pPr>
        <w:spacing w:before="240" w:after="120"/>
        <w:ind w:firstLine="880"/>
        <w:jc w:val="center"/>
        <w:rPr>
          <w:rFonts w:eastAsia="仿宋_GB2312"/>
          <w:sz w:val="44"/>
        </w:rPr>
      </w:pPr>
    </w:p>
    <w:p>
      <w:pPr>
        <w:spacing w:before="240" w:after="120"/>
        <w:ind w:firstLine="880"/>
        <w:jc w:val="center"/>
        <w:rPr>
          <w:rFonts w:eastAsia="仿宋_GB2312"/>
          <w:sz w:val="44"/>
        </w:rPr>
      </w:pPr>
    </w:p>
    <w:p>
      <w:pPr>
        <w:pStyle w:val="58"/>
        <w:ind w:firstLine="0" w:firstLineChars="0"/>
        <w:jc w:val="center"/>
        <w:rPr>
          <w:rFonts w:ascii="Times New Roman" w:hAnsi="Times New Roman"/>
          <w:b/>
          <w:sz w:val="52"/>
          <w:szCs w:val="52"/>
        </w:rPr>
      </w:pPr>
      <w:r>
        <w:rPr>
          <w:rFonts w:ascii="Times New Roman" w:hAnsi="Times New Roman"/>
          <w:b/>
          <w:sz w:val="52"/>
          <w:szCs w:val="52"/>
        </w:rPr>
        <w:t>韶关市能源发展规划</w:t>
      </w:r>
    </w:p>
    <w:p>
      <w:pPr>
        <w:pStyle w:val="58"/>
        <w:ind w:firstLine="0" w:firstLineChars="0"/>
        <w:jc w:val="center"/>
        <w:rPr>
          <w:rFonts w:ascii="Times New Roman" w:hAnsi="Times New Roman"/>
          <w:b/>
          <w:sz w:val="52"/>
          <w:szCs w:val="52"/>
        </w:rPr>
      </w:pPr>
      <w:r>
        <w:rPr>
          <w:rFonts w:ascii="Times New Roman" w:hAnsi="Times New Roman"/>
          <w:b/>
          <w:sz w:val="52"/>
          <w:szCs w:val="52"/>
        </w:rPr>
        <w:t>（2024-2035年）</w:t>
      </w:r>
    </w:p>
    <w:p>
      <w:pPr>
        <w:pStyle w:val="58"/>
        <w:ind w:firstLine="0" w:firstLineChars="0"/>
        <w:jc w:val="center"/>
        <w:rPr>
          <w:rFonts w:hint="eastAsia" w:ascii="Times New Roman" w:hAnsi="Times New Roman" w:eastAsia="仿宋_GB2312"/>
          <w:b w:val="0"/>
          <w:bCs/>
          <w:sz w:val="52"/>
          <w:szCs w:val="52"/>
          <w:lang w:eastAsia="zh-CN"/>
        </w:rPr>
      </w:pPr>
      <w:r>
        <w:rPr>
          <w:rFonts w:hint="eastAsia" w:ascii="Times New Roman" w:hAnsi="Times New Roman"/>
          <w:b w:val="0"/>
          <w:bCs/>
          <w:sz w:val="52"/>
          <w:szCs w:val="52"/>
          <w:lang w:eastAsia="zh-CN"/>
        </w:rPr>
        <w:t>（征求意见稿）</w:t>
      </w:r>
    </w:p>
    <w:p>
      <w:pPr>
        <w:spacing w:before="240" w:after="120"/>
        <w:ind w:firstLine="600"/>
        <w:rPr>
          <w:rFonts w:eastAsia="仿宋_GB2312"/>
          <w:lang w:val="zh-CN"/>
        </w:rPr>
      </w:pPr>
    </w:p>
    <w:p>
      <w:pPr>
        <w:pStyle w:val="58"/>
        <w:ind w:firstLine="0" w:firstLineChars="0"/>
        <w:jc w:val="center"/>
        <w:rPr>
          <w:rFonts w:ascii="Times New Roman" w:hAnsi="Times New Roman"/>
        </w:rPr>
      </w:pPr>
    </w:p>
    <w:p>
      <w:pPr>
        <w:widowControl w:val="0"/>
        <w:spacing w:before="240" w:after="120" w:line="240" w:lineRule="auto"/>
        <w:ind w:firstLine="720"/>
        <w:jc w:val="center"/>
        <w:rPr>
          <w:rFonts w:eastAsia="仿宋_GB2312"/>
          <w:sz w:val="36"/>
          <w:szCs w:val="22"/>
        </w:rPr>
      </w:pPr>
    </w:p>
    <w:p>
      <w:pPr>
        <w:spacing w:before="240" w:after="120"/>
        <w:ind w:firstLine="640"/>
        <w:rPr>
          <w:rFonts w:eastAsia="仿宋_GB2312"/>
          <w:sz w:val="32"/>
        </w:rPr>
      </w:pPr>
    </w:p>
    <w:p>
      <w:pPr>
        <w:spacing w:before="240" w:after="120"/>
        <w:rPr>
          <w:rFonts w:eastAsia="仿宋_GB2312"/>
          <w:sz w:val="32"/>
        </w:rPr>
      </w:pPr>
    </w:p>
    <w:p>
      <w:pPr>
        <w:spacing w:before="240" w:after="120"/>
        <w:ind w:firstLine="640"/>
        <w:rPr>
          <w:rFonts w:eastAsia="仿宋_GB2312"/>
          <w:sz w:val="32"/>
        </w:rPr>
      </w:pPr>
    </w:p>
    <w:p>
      <w:pPr>
        <w:spacing w:before="240" w:after="120"/>
        <w:ind w:firstLine="640"/>
        <w:rPr>
          <w:rFonts w:eastAsia="仿宋_GB2312"/>
          <w:sz w:val="32"/>
        </w:rPr>
      </w:pPr>
    </w:p>
    <w:p>
      <w:pPr>
        <w:pStyle w:val="58"/>
        <w:rPr>
          <w:rFonts w:ascii="Times New Roman" w:hAnsi="Times New Roman"/>
        </w:rPr>
      </w:pPr>
    </w:p>
    <w:p>
      <w:pPr>
        <w:pStyle w:val="58"/>
        <w:ind w:firstLine="0" w:firstLineChars="0"/>
        <w:jc w:val="center"/>
        <w:rPr>
          <w:rFonts w:ascii="Times New Roman" w:hAnsi="Times New Roman"/>
          <w:b/>
          <w:sz w:val="32"/>
          <w:szCs w:val="22"/>
        </w:rPr>
      </w:pPr>
      <w:r>
        <w:rPr>
          <w:rFonts w:ascii="Times New Roman" w:hAnsi="Times New Roman"/>
          <w:b/>
          <w:sz w:val="32"/>
          <w:szCs w:val="22"/>
        </w:rPr>
        <w:t>韶关市发展和改革局</w:t>
      </w:r>
    </w:p>
    <w:p>
      <w:pPr>
        <w:pStyle w:val="58"/>
        <w:spacing w:before="240" w:after="120" w:line="240" w:lineRule="auto"/>
        <w:ind w:firstLine="0" w:firstLineChars="0"/>
        <w:jc w:val="center"/>
        <w:rPr>
          <w:rFonts w:ascii="Times New Roman" w:hAnsi="Times New Roman"/>
          <w:sz w:val="36"/>
          <w:szCs w:val="22"/>
        </w:rPr>
      </w:pPr>
      <w:r>
        <w:rPr>
          <w:rFonts w:ascii="Times New Roman" w:hAnsi="Times New Roman"/>
          <w:b/>
        </w:rPr>
        <w:t>二</w:t>
      </w:r>
      <w:r>
        <w:rPr>
          <w:rFonts w:ascii="Times New Roman" w:hAnsi="Times New Roman" w:eastAsia="微软雅黑"/>
        </w:rPr>
        <w:t>〇</w:t>
      </w:r>
      <w:r>
        <w:rPr>
          <w:rFonts w:ascii="Times New Roman" w:hAnsi="Times New Roman"/>
          <w:b/>
        </w:rPr>
        <w:t>二四年</w:t>
      </w:r>
      <w:r>
        <w:rPr>
          <w:rFonts w:hint="eastAsia" w:ascii="Times New Roman" w:hAnsi="Times New Roman"/>
          <w:b/>
        </w:rPr>
        <w:t>十</w:t>
      </w:r>
      <w:r>
        <w:rPr>
          <w:rFonts w:ascii="Times New Roman" w:hAnsi="Times New Roman"/>
          <w:b/>
        </w:rPr>
        <w:t>月</w:t>
      </w:r>
    </w:p>
    <w:p>
      <w:pPr>
        <w:widowControl w:val="0"/>
        <w:spacing w:before="240" w:after="120" w:line="240" w:lineRule="auto"/>
        <w:ind w:firstLine="720"/>
        <w:jc w:val="center"/>
        <w:rPr>
          <w:rFonts w:eastAsia="仿宋_GB2312"/>
          <w:sz w:val="36"/>
          <w:szCs w:val="22"/>
        </w:rPr>
      </w:pPr>
    </w:p>
    <w:p>
      <w:pPr>
        <w:pStyle w:val="36"/>
        <w:ind w:firstLine="200"/>
      </w:pPr>
    </w:p>
    <w:p>
      <w:pPr>
        <w:pStyle w:val="36"/>
        <w:ind w:firstLine="200"/>
      </w:pPr>
    </w:p>
    <w:p>
      <w:pPr>
        <w:widowControl w:val="0"/>
        <w:spacing w:before="240" w:after="120" w:line="240" w:lineRule="auto"/>
        <w:ind w:firstLine="720"/>
        <w:jc w:val="center"/>
        <w:rPr>
          <w:rFonts w:eastAsia="仿宋_GB2312"/>
          <w:sz w:val="36"/>
          <w:szCs w:val="22"/>
        </w:rPr>
        <w:sectPr>
          <w:headerReference r:id="rId6" w:type="first"/>
          <w:footerReference r:id="rId8" w:type="first"/>
          <w:headerReference r:id="rId5" w:type="default"/>
          <w:footerReference r:id="rId7" w:type="default"/>
          <w:pgSz w:w="11906" w:h="16838"/>
          <w:pgMar w:top="1701" w:right="1417" w:bottom="1417" w:left="1587" w:header="850" w:footer="992" w:gutter="0"/>
          <w:pgNumType w:fmt="numberInDash" w:start="1"/>
          <w:cols w:space="0" w:num="1"/>
          <w:titlePg/>
          <w:rtlGutter w:val="0"/>
          <w:docGrid w:linePitch="381" w:charSpace="0"/>
        </w:sectPr>
      </w:pPr>
    </w:p>
    <w:p>
      <w:pPr>
        <w:pStyle w:val="4"/>
        <w:rPr>
          <w:rFonts w:ascii="Times New Roman"/>
        </w:rPr>
      </w:pPr>
      <w:bookmarkStart w:id="0" w:name="_Toc165901932"/>
      <w:bookmarkStart w:id="1" w:name="_Toc104196953"/>
      <w:bookmarkStart w:id="2" w:name="_Toc14791484"/>
      <w:bookmarkStart w:id="3" w:name="_Toc30169903"/>
      <w:bookmarkStart w:id="4" w:name="_Toc532368594"/>
      <w:bookmarkStart w:id="5" w:name="_Toc532368595"/>
      <w:r>
        <w:rPr>
          <w:rFonts w:ascii="Times New Roman"/>
        </w:rPr>
        <w:t>前  言</w:t>
      </w:r>
      <w:bookmarkEnd w:id="0"/>
    </w:p>
    <w:p>
      <w:pPr>
        <w:pStyle w:val="58"/>
        <w:ind w:firstLine="640"/>
        <w:rPr>
          <w:rFonts w:ascii="Times New Roman" w:hAnsi="Times New Roman"/>
          <w:sz w:val="32"/>
          <w:szCs w:val="32"/>
        </w:rPr>
      </w:pPr>
      <w:r>
        <w:rPr>
          <w:rFonts w:ascii="Times New Roman" w:hAnsi="Times New Roman"/>
          <w:sz w:val="32"/>
          <w:szCs w:val="32"/>
        </w:rPr>
        <w:t>能源是我市经济社会发展的重要基础和动力。做好我市当前至二〇三五年能源发展规划，对于我市保障能源供应安全、建设新能源占比逐步提高的新型电力系统，构建新型能源体系，支撑我市社会经济持续健康高质量发展具有重要意义。我市要按照省委、省政府“1310”部署和高质量发展大会精神，紧紧围绕加快发展新质生产力的重要要求，突出生态优先、绿色发展，扎实推进碳达峰、碳中和工作，在能源领域大力推动技术革命性突破、生产要素创新性配置、产业深度转型升级，实现能源更高质量、更有效率、更可持续、更为安全的发展。</w:t>
      </w:r>
    </w:p>
    <w:p>
      <w:pPr>
        <w:pStyle w:val="58"/>
        <w:ind w:firstLine="640"/>
        <w:rPr>
          <w:rFonts w:ascii="Times New Roman" w:hAnsi="Times New Roman"/>
          <w:sz w:val="32"/>
          <w:szCs w:val="32"/>
        </w:rPr>
      </w:pPr>
      <w:r>
        <w:rPr>
          <w:rFonts w:ascii="Times New Roman" w:hAnsi="Times New Roman"/>
          <w:sz w:val="32"/>
          <w:szCs w:val="32"/>
        </w:rPr>
        <w:t>本规划主要依据《广东省国民经济和社会发展第十四个五年规划和2035年远景目标纲要》《广东省能源发展“十四五”规划》《韶关市国民经济和社会发展第十四个五年规划和二〇三五年远景目标纲要》等相关规划要求编制，是我市当前至二〇三五年期间能源发展及重点项目建设的重要依据和行动指南。</w:t>
      </w:r>
    </w:p>
    <w:p>
      <w:pPr>
        <w:pStyle w:val="36"/>
        <w:ind w:firstLine="0" w:firstLineChars="0"/>
      </w:pPr>
      <w:r>
        <w:br w:type="page"/>
      </w:r>
    </w:p>
    <w:p>
      <w:pPr>
        <w:pStyle w:val="4"/>
        <w:rPr>
          <w:rFonts w:ascii="Times New Roman"/>
        </w:rPr>
      </w:pPr>
      <w:bookmarkStart w:id="6" w:name="_Toc165901933"/>
      <w:bookmarkStart w:id="7" w:name="_Toc159593933"/>
      <w:bookmarkStart w:id="8" w:name="_Toc153958034"/>
      <w:r>
        <w:rPr>
          <w:rFonts w:ascii="Times New Roman"/>
          <w:lang w:val="zh-CN"/>
        </w:rPr>
        <w:t>目  录</w:t>
      </w:r>
      <w:bookmarkEnd w:id="1"/>
      <w:bookmarkEnd w:id="6"/>
      <w:bookmarkEnd w:id="7"/>
      <w:bookmarkEnd w:id="8"/>
    </w:p>
    <w:p>
      <w:pPr>
        <w:pStyle w:val="20"/>
        <w:tabs>
          <w:tab w:val="right" w:leader="dot" w:pos="8302"/>
        </w:tabs>
        <w:rPr>
          <w:rStyle w:val="33"/>
          <w:rFonts w:ascii="Times New Roman" w:hAnsi="Times New Roman"/>
        </w:rPr>
      </w:pPr>
      <w:r>
        <w:rPr>
          <w:rFonts w:ascii="Times New Roman" w:hAnsi="Times New Roman"/>
          <w:bCs w:val="0"/>
          <w:szCs w:val="28"/>
        </w:rPr>
        <w:fldChar w:fldCharType="begin"/>
      </w:r>
      <w:r>
        <w:rPr>
          <w:rFonts w:ascii="Times New Roman" w:hAnsi="Times New Roman"/>
          <w:bCs w:val="0"/>
          <w:szCs w:val="28"/>
        </w:rPr>
        <w:instrText xml:space="preserve"> TOC \o "1-2" \h \z \u </w:instrText>
      </w:r>
      <w:r>
        <w:rPr>
          <w:rFonts w:ascii="Times New Roman" w:hAnsi="Times New Roman"/>
          <w:bCs w:val="0"/>
          <w:szCs w:val="28"/>
        </w:rPr>
        <w:fldChar w:fldCharType="separate"/>
      </w:r>
      <w:r>
        <w:fldChar w:fldCharType="begin"/>
      </w:r>
      <w:r>
        <w:instrText xml:space="preserve"> HYPERLINK \l "_Toc165901932" </w:instrText>
      </w:r>
      <w:r>
        <w:fldChar w:fldCharType="separate"/>
      </w:r>
      <w:r>
        <w:rPr>
          <w:rStyle w:val="33"/>
          <w:rFonts w:ascii="Times New Roman" w:hAnsi="Times New Roman"/>
        </w:rPr>
        <w:t>前  言</w:t>
      </w:r>
      <w:r>
        <w:rPr>
          <w:rStyle w:val="33"/>
          <w:rFonts w:ascii="Times New Roman" w:hAnsi="Times New Roman"/>
        </w:rPr>
        <w:tab/>
      </w:r>
      <w:r>
        <w:rPr>
          <w:rStyle w:val="33"/>
          <w:rFonts w:ascii="Times New Roman" w:hAnsi="Times New Roman"/>
        </w:rPr>
        <w:fldChar w:fldCharType="begin"/>
      </w:r>
      <w:r>
        <w:rPr>
          <w:rStyle w:val="33"/>
          <w:rFonts w:ascii="Times New Roman" w:hAnsi="Times New Roman"/>
        </w:rPr>
        <w:instrText xml:space="preserve"> PAGEREF _Toc165901932 \h </w:instrText>
      </w:r>
      <w:r>
        <w:rPr>
          <w:rStyle w:val="33"/>
          <w:rFonts w:ascii="Times New Roman" w:hAnsi="Times New Roman"/>
        </w:rPr>
        <w:fldChar w:fldCharType="separate"/>
      </w:r>
      <w:r>
        <w:rPr>
          <w:rStyle w:val="33"/>
          <w:rFonts w:ascii="Times New Roman" w:hAnsi="Times New Roman"/>
        </w:rPr>
        <w:t>I</w:t>
      </w:r>
      <w:r>
        <w:rPr>
          <w:rStyle w:val="33"/>
          <w:rFonts w:ascii="Times New Roman" w:hAnsi="Times New Roman"/>
        </w:rPr>
        <w:fldChar w:fldCharType="end"/>
      </w:r>
      <w:r>
        <w:rPr>
          <w:rStyle w:val="33"/>
          <w:rFonts w:ascii="Times New Roman" w:hAnsi="Times New Roman"/>
        </w:rPr>
        <w:fldChar w:fldCharType="end"/>
      </w:r>
    </w:p>
    <w:p>
      <w:pPr>
        <w:pStyle w:val="20"/>
        <w:tabs>
          <w:tab w:val="right" w:leader="dot" w:pos="8302"/>
        </w:tabs>
        <w:rPr>
          <w:rStyle w:val="33"/>
          <w:rFonts w:ascii="Times New Roman" w:hAnsi="Times New Roman"/>
        </w:rPr>
      </w:pPr>
      <w:r>
        <w:fldChar w:fldCharType="begin"/>
      </w:r>
      <w:r>
        <w:instrText xml:space="preserve"> HYPERLINK \l "_Toc165901934" </w:instrText>
      </w:r>
      <w:r>
        <w:fldChar w:fldCharType="separate"/>
      </w:r>
      <w:r>
        <w:rPr>
          <w:rStyle w:val="33"/>
          <w:rFonts w:ascii="Times New Roman" w:hAnsi="Times New Roman"/>
        </w:rPr>
        <w:t>第一章  发展基础</w:t>
      </w:r>
      <w:r>
        <w:rPr>
          <w:rStyle w:val="33"/>
          <w:rFonts w:ascii="Times New Roman" w:hAnsi="Times New Roman"/>
        </w:rPr>
        <w:tab/>
      </w:r>
      <w:r>
        <w:rPr>
          <w:rStyle w:val="33"/>
          <w:rFonts w:ascii="Times New Roman" w:hAnsi="Times New Roman"/>
        </w:rPr>
        <w:fldChar w:fldCharType="begin"/>
      </w:r>
      <w:r>
        <w:rPr>
          <w:rStyle w:val="33"/>
          <w:rFonts w:ascii="Times New Roman" w:hAnsi="Times New Roman"/>
        </w:rPr>
        <w:instrText xml:space="preserve"> PAGEREF _Toc165901934 \h </w:instrText>
      </w:r>
      <w:r>
        <w:rPr>
          <w:rStyle w:val="33"/>
          <w:rFonts w:ascii="Times New Roman" w:hAnsi="Times New Roman"/>
        </w:rPr>
        <w:fldChar w:fldCharType="separate"/>
      </w:r>
      <w:r>
        <w:rPr>
          <w:rStyle w:val="33"/>
          <w:rFonts w:ascii="Times New Roman" w:hAnsi="Times New Roman"/>
        </w:rPr>
        <w:t>4</w:t>
      </w:r>
      <w:r>
        <w:rPr>
          <w:rStyle w:val="33"/>
          <w:rFonts w:ascii="Times New Roman" w:hAnsi="Times New Roman"/>
        </w:rPr>
        <w:fldChar w:fldCharType="end"/>
      </w:r>
      <w:r>
        <w:rPr>
          <w:rStyle w:val="33"/>
          <w:rFonts w:ascii="Times New Roman" w:hAnsi="Times New Roman"/>
        </w:rPr>
        <w:fldChar w:fldCharType="end"/>
      </w:r>
    </w:p>
    <w:p>
      <w:pPr>
        <w:pStyle w:val="23"/>
        <w:tabs>
          <w:tab w:val="right" w:leader="dot" w:pos="8302"/>
        </w:tabs>
        <w:spacing w:before="240" w:after="120"/>
        <w:rPr>
          <w:rStyle w:val="33"/>
          <w:rFonts w:ascii="Times New Roman" w:hAnsi="Times New Roman" w:eastAsia="仿宋_GB2312"/>
          <w:bCs/>
          <w:i w:val="0"/>
          <w:iCs w:val="0"/>
          <w:sz w:val="28"/>
        </w:rPr>
      </w:pPr>
      <w:r>
        <w:fldChar w:fldCharType="begin"/>
      </w:r>
      <w:r>
        <w:instrText xml:space="preserve"> HYPERLINK \l "_Toc165901935" </w:instrText>
      </w:r>
      <w:r>
        <w:fldChar w:fldCharType="separate"/>
      </w:r>
      <w:r>
        <w:rPr>
          <w:rStyle w:val="33"/>
          <w:rFonts w:ascii="Times New Roman" w:hAnsi="Times New Roman" w:eastAsia="仿宋_GB2312"/>
          <w:bCs/>
          <w:i w:val="0"/>
          <w:iCs w:val="0"/>
          <w:sz w:val="28"/>
        </w:rPr>
        <w:t>第一节  发展现状</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_Toc165901935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4</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i w:val="0"/>
          <w:iCs w:val="0"/>
          <w:sz w:val="28"/>
        </w:rPr>
      </w:pPr>
      <w:r>
        <w:fldChar w:fldCharType="begin"/>
      </w:r>
      <w:r>
        <w:instrText xml:space="preserve"> HYPERLINK \l "_Toc165901936" </w:instrText>
      </w:r>
      <w:r>
        <w:fldChar w:fldCharType="separate"/>
      </w:r>
      <w:r>
        <w:rPr>
          <w:rStyle w:val="33"/>
          <w:rFonts w:ascii="Times New Roman" w:hAnsi="Times New Roman" w:eastAsia="仿宋_GB2312"/>
          <w:bCs/>
          <w:i w:val="0"/>
          <w:iCs w:val="0"/>
          <w:sz w:val="28"/>
        </w:rPr>
        <w:t>第二节  发展机遇</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_Toc165901936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7</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i w:val="0"/>
          <w:iCs w:val="0"/>
          <w:sz w:val="28"/>
        </w:rPr>
      </w:pPr>
      <w:r>
        <w:fldChar w:fldCharType="begin"/>
      </w:r>
      <w:r>
        <w:instrText xml:space="preserve"> HYPERLINK \l "_Toc165901937" </w:instrText>
      </w:r>
      <w:r>
        <w:fldChar w:fldCharType="separate"/>
      </w:r>
      <w:r>
        <w:rPr>
          <w:rStyle w:val="33"/>
          <w:rFonts w:ascii="Times New Roman" w:hAnsi="Times New Roman" w:eastAsia="仿宋_GB2312"/>
          <w:bCs/>
          <w:i w:val="0"/>
          <w:iCs w:val="0"/>
          <w:sz w:val="28"/>
        </w:rPr>
        <w:t>第三节  面临挑战</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_Toc165901937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10</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0"/>
        <w:tabs>
          <w:tab w:val="right" w:leader="dot" w:pos="8302"/>
        </w:tabs>
        <w:rPr>
          <w:rStyle w:val="33"/>
          <w:rFonts w:ascii="Times New Roman" w:hAnsi="Times New Roman"/>
        </w:rPr>
      </w:pPr>
      <w:r>
        <w:fldChar w:fldCharType="begin"/>
      </w:r>
      <w:r>
        <w:instrText xml:space="preserve"> HYPERLINK \l "_Toc165901938" </w:instrText>
      </w:r>
      <w:r>
        <w:fldChar w:fldCharType="separate"/>
      </w:r>
      <w:r>
        <w:rPr>
          <w:rStyle w:val="33"/>
          <w:rFonts w:ascii="Times New Roman" w:hAnsi="Times New Roman"/>
        </w:rPr>
        <w:t>第二章  总体要求</w:t>
      </w:r>
      <w:r>
        <w:rPr>
          <w:rStyle w:val="33"/>
          <w:rFonts w:ascii="Times New Roman" w:hAnsi="Times New Roman"/>
        </w:rPr>
        <w:tab/>
      </w:r>
      <w:r>
        <w:rPr>
          <w:rStyle w:val="33"/>
          <w:rFonts w:ascii="Times New Roman" w:hAnsi="Times New Roman"/>
        </w:rPr>
        <w:fldChar w:fldCharType="begin"/>
      </w:r>
      <w:r>
        <w:rPr>
          <w:rStyle w:val="33"/>
          <w:rFonts w:ascii="Times New Roman" w:hAnsi="Times New Roman"/>
        </w:rPr>
        <w:instrText xml:space="preserve"> PAGEREF _Toc165901938 \h </w:instrText>
      </w:r>
      <w:r>
        <w:rPr>
          <w:rStyle w:val="33"/>
          <w:rFonts w:ascii="Times New Roman" w:hAnsi="Times New Roman"/>
        </w:rPr>
        <w:fldChar w:fldCharType="separate"/>
      </w:r>
      <w:r>
        <w:rPr>
          <w:rStyle w:val="33"/>
          <w:rFonts w:ascii="Times New Roman" w:hAnsi="Times New Roman"/>
        </w:rPr>
        <w:t>13</w:t>
      </w:r>
      <w:r>
        <w:rPr>
          <w:rStyle w:val="33"/>
          <w:rFonts w:ascii="Times New Roman" w:hAnsi="Times New Roman"/>
        </w:rPr>
        <w:fldChar w:fldCharType="end"/>
      </w:r>
      <w:r>
        <w:rPr>
          <w:rStyle w:val="33"/>
          <w:rFonts w:ascii="Times New Roman" w:hAnsi="Times New Roman"/>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"_Toc165901939" </w:instrText>
      </w:r>
      <w:r>
        <w:fldChar w:fldCharType="separate"/>
      </w:r>
      <w:r>
        <w:rPr>
          <w:rStyle w:val="33"/>
          <w:rFonts w:ascii="Times New Roman" w:hAnsi="Times New Roman" w:eastAsia="仿宋_GB2312"/>
          <w:bCs/>
          <w:i w:val="0"/>
          <w:iCs w:val="0"/>
          <w:sz w:val="28"/>
        </w:rPr>
        <w:t>第一节  指导思想</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_Toc165901939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13</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"_Toc165901940" </w:instrText>
      </w:r>
      <w:r>
        <w:fldChar w:fldCharType="separate"/>
      </w:r>
      <w:r>
        <w:rPr>
          <w:rStyle w:val="33"/>
          <w:rFonts w:ascii="Times New Roman" w:hAnsi="Times New Roman" w:eastAsia="仿宋_GB2312"/>
          <w:bCs/>
          <w:i w:val="0"/>
          <w:iCs w:val="0"/>
          <w:sz w:val="28"/>
        </w:rPr>
        <w:t>第二节  基本原则</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_Toc165901940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13</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"_Toc165901941" </w:instrText>
      </w:r>
      <w:r>
        <w:fldChar w:fldCharType="separate"/>
      </w:r>
      <w:r>
        <w:rPr>
          <w:rStyle w:val="33"/>
          <w:rFonts w:ascii="Times New Roman" w:hAnsi="Times New Roman" w:eastAsia="仿宋_GB2312"/>
          <w:bCs/>
          <w:i w:val="0"/>
          <w:iCs w:val="0"/>
          <w:sz w:val="28"/>
        </w:rPr>
        <w:t>第三节  发展目标</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_Toc165901941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14</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0"/>
        <w:tabs>
          <w:tab w:val="right" w:leader="dot" w:pos="8302"/>
        </w:tabs>
        <w:rPr>
          <w:rStyle w:val="33"/>
          <w:rFonts w:ascii="Times New Roman" w:hAnsi="Times New Roman"/>
        </w:rPr>
      </w:pPr>
      <w:r>
        <w:fldChar w:fldCharType="begin"/>
      </w:r>
      <w:r>
        <w:instrText xml:space="preserve"> HYPERLINK \l "_Toc165901942" </w:instrText>
      </w:r>
      <w:r>
        <w:fldChar w:fldCharType="separate"/>
      </w:r>
      <w:r>
        <w:rPr>
          <w:rStyle w:val="33"/>
          <w:rFonts w:ascii="Times New Roman" w:hAnsi="Times New Roman"/>
        </w:rPr>
        <w:t>第三章  重点任务</w:t>
      </w:r>
      <w:r>
        <w:rPr>
          <w:rStyle w:val="33"/>
          <w:rFonts w:ascii="Times New Roman" w:hAnsi="Times New Roman"/>
        </w:rPr>
        <w:tab/>
      </w:r>
      <w:r>
        <w:rPr>
          <w:rStyle w:val="33"/>
          <w:rFonts w:ascii="Times New Roman" w:hAnsi="Times New Roman"/>
        </w:rPr>
        <w:fldChar w:fldCharType="begin"/>
      </w:r>
      <w:r>
        <w:rPr>
          <w:rStyle w:val="33"/>
          <w:rFonts w:ascii="Times New Roman" w:hAnsi="Times New Roman"/>
        </w:rPr>
        <w:instrText xml:space="preserve"> PAGEREF _Toc165901942 \h </w:instrText>
      </w:r>
      <w:r>
        <w:rPr>
          <w:rStyle w:val="33"/>
          <w:rFonts w:ascii="Times New Roman" w:hAnsi="Times New Roman"/>
        </w:rPr>
        <w:fldChar w:fldCharType="separate"/>
      </w:r>
      <w:r>
        <w:rPr>
          <w:rStyle w:val="33"/>
          <w:rFonts w:ascii="Times New Roman" w:hAnsi="Times New Roman"/>
        </w:rPr>
        <w:t>17</w:t>
      </w:r>
      <w:r>
        <w:rPr>
          <w:rStyle w:val="33"/>
          <w:rFonts w:ascii="Times New Roman" w:hAnsi="Times New Roman"/>
        </w:rPr>
        <w:fldChar w:fldCharType="end"/>
      </w:r>
      <w:r>
        <w:rPr>
          <w:rStyle w:val="33"/>
          <w:rFonts w:ascii="Times New Roman" w:hAnsi="Times New Roman"/>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"_Toc165901943" </w:instrText>
      </w:r>
      <w:r>
        <w:fldChar w:fldCharType="separate"/>
      </w:r>
      <w:r>
        <w:rPr>
          <w:rStyle w:val="33"/>
          <w:rFonts w:ascii="Times New Roman" w:hAnsi="Times New Roman" w:eastAsia="仿宋_GB2312"/>
          <w:bCs/>
          <w:i w:val="0"/>
          <w:iCs w:val="0"/>
          <w:sz w:val="28"/>
        </w:rPr>
        <w:t>第一节  建设绿色低碳的能源供应系统</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_Toc165901943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17</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"_Toc165901944" </w:instrText>
      </w:r>
      <w:r>
        <w:fldChar w:fldCharType="separate"/>
      </w:r>
      <w:r>
        <w:rPr>
          <w:rStyle w:val="33"/>
          <w:rFonts w:ascii="Times New Roman" w:hAnsi="Times New Roman" w:eastAsia="仿宋_GB2312"/>
          <w:bCs/>
          <w:i w:val="0"/>
          <w:iCs w:val="0"/>
          <w:sz w:val="28"/>
        </w:rPr>
        <w:t>第二节  夯实安全可靠的能源保障基础</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_Toc165901944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25</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"_Toc165901945" </w:instrText>
      </w:r>
      <w:r>
        <w:fldChar w:fldCharType="separate"/>
      </w:r>
      <w:r>
        <w:rPr>
          <w:rStyle w:val="33"/>
          <w:rFonts w:ascii="Times New Roman" w:hAnsi="Times New Roman" w:eastAsia="仿宋_GB2312"/>
          <w:bCs/>
          <w:i w:val="0"/>
          <w:iCs w:val="0"/>
          <w:sz w:val="28"/>
        </w:rPr>
        <w:t>第三节  打造清洁高效的能源消费模式</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_Toc165901945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29</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"_Toc165901946" </w:instrText>
      </w:r>
      <w:r>
        <w:fldChar w:fldCharType="separate"/>
      </w:r>
      <w:r>
        <w:rPr>
          <w:rStyle w:val="33"/>
          <w:rFonts w:ascii="Times New Roman" w:hAnsi="Times New Roman" w:eastAsia="仿宋_GB2312"/>
          <w:bCs/>
          <w:i w:val="0"/>
          <w:iCs w:val="0"/>
          <w:sz w:val="28"/>
        </w:rPr>
        <w:t>第四节  培育特色创新的能源产业集群</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_Toc165901946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33</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"_Toc165901947" </w:instrText>
      </w:r>
      <w:r>
        <w:fldChar w:fldCharType="separate"/>
      </w:r>
      <w:r>
        <w:rPr>
          <w:rStyle w:val="33"/>
          <w:rFonts w:ascii="Times New Roman" w:hAnsi="Times New Roman" w:eastAsia="仿宋_GB2312"/>
          <w:bCs/>
          <w:i w:val="0"/>
          <w:iCs w:val="0"/>
          <w:sz w:val="28"/>
        </w:rPr>
        <w:t>第五节  形成绿色多元的农村能源体系</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_Toc165901947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35</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0"/>
        <w:tabs>
          <w:tab w:val="right" w:leader="dot" w:pos="8302"/>
        </w:tabs>
        <w:rPr>
          <w:rStyle w:val="33"/>
          <w:rFonts w:ascii="Times New Roman" w:hAnsi="Times New Roman"/>
        </w:rPr>
      </w:pPr>
      <w:r>
        <w:fldChar w:fldCharType="begin"/>
      </w:r>
      <w:r>
        <w:instrText xml:space="preserve"> HYPERLINK \l "_Toc165901948" </w:instrText>
      </w:r>
      <w:r>
        <w:fldChar w:fldCharType="separate"/>
      </w:r>
      <w:r>
        <w:rPr>
          <w:rStyle w:val="33"/>
          <w:rFonts w:ascii="Times New Roman" w:hAnsi="Times New Roman"/>
        </w:rPr>
        <w:t>第四章  环境影响评价</w:t>
      </w:r>
      <w:r>
        <w:rPr>
          <w:rStyle w:val="33"/>
          <w:rFonts w:ascii="Times New Roman" w:hAnsi="Times New Roman"/>
        </w:rPr>
        <w:tab/>
      </w:r>
      <w:r>
        <w:rPr>
          <w:rStyle w:val="33"/>
          <w:rFonts w:ascii="Times New Roman" w:hAnsi="Times New Roman"/>
        </w:rPr>
        <w:fldChar w:fldCharType="begin"/>
      </w:r>
      <w:r>
        <w:rPr>
          <w:rStyle w:val="33"/>
          <w:rFonts w:ascii="Times New Roman" w:hAnsi="Times New Roman"/>
        </w:rPr>
        <w:instrText xml:space="preserve"> PAGEREF _Toc165901948 \h </w:instrText>
      </w:r>
      <w:r>
        <w:rPr>
          <w:rStyle w:val="33"/>
          <w:rFonts w:ascii="Times New Roman" w:hAnsi="Times New Roman"/>
        </w:rPr>
        <w:fldChar w:fldCharType="separate"/>
      </w:r>
      <w:r>
        <w:rPr>
          <w:rStyle w:val="33"/>
          <w:rFonts w:ascii="Times New Roman" w:hAnsi="Times New Roman"/>
        </w:rPr>
        <w:t>38</w:t>
      </w:r>
      <w:r>
        <w:rPr>
          <w:rStyle w:val="33"/>
          <w:rFonts w:ascii="Times New Roman" w:hAnsi="Times New Roman"/>
        </w:rPr>
        <w:fldChar w:fldCharType="end"/>
      </w:r>
      <w:r>
        <w:rPr>
          <w:rStyle w:val="33"/>
          <w:rFonts w:ascii="Times New Roman" w:hAnsi="Times New Roman"/>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"_Toc165901949" </w:instrText>
      </w:r>
      <w:r>
        <w:fldChar w:fldCharType="separate"/>
      </w:r>
      <w:r>
        <w:rPr>
          <w:rStyle w:val="33"/>
          <w:rFonts w:ascii="Times New Roman" w:hAnsi="Times New Roman" w:eastAsia="仿宋_GB2312"/>
          <w:bCs/>
          <w:i w:val="0"/>
          <w:iCs w:val="0"/>
          <w:sz w:val="28"/>
        </w:rPr>
        <w:t>第一节  环境影响分析</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_Toc165901949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38</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"_Toc165901950" </w:instrText>
      </w:r>
      <w:r>
        <w:fldChar w:fldCharType="separate"/>
      </w:r>
      <w:r>
        <w:rPr>
          <w:rStyle w:val="33"/>
          <w:rFonts w:ascii="Times New Roman" w:hAnsi="Times New Roman" w:eastAsia="仿宋_GB2312"/>
          <w:bCs/>
          <w:i w:val="0"/>
          <w:iCs w:val="0"/>
          <w:sz w:val="28"/>
        </w:rPr>
        <w:t>第二节  环境保护措施</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_Toc165901950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39</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0"/>
        <w:tabs>
          <w:tab w:val="right" w:leader="dot" w:pos="8302"/>
        </w:tabs>
        <w:rPr>
          <w:rStyle w:val="33"/>
          <w:rFonts w:ascii="Times New Roman" w:hAnsi="Times New Roman"/>
        </w:rPr>
      </w:pPr>
      <w:r>
        <w:fldChar w:fldCharType="begin"/>
      </w:r>
      <w:r>
        <w:instrText xml:space="preserve"> HYPERLINK \l "_Toc165901951" </w:instrText>
      </w:r>
      <w:r>
        <w:fldChar w:fldCharType="separate"/>
      </w:r>
      <w:r>
        <w:rPr>
          <w:rStyle w:val="33"/>
          <w:rFonts w:ascii="Times New Roman" w:hAnsi="Times New Roman"/>
        </w:rPr>
        <w:t>第五章  保障措施</w:t>
      </w:r>
      <w:r>
        <w:rPr>
          <w:rStyle w:val="33"/>
          <w:rFonts w:ascii="Times New Roman" w:hAnsi="Times New Roman"/>
        </w:rPr>
        <w:tab/>
      </w:r>
      <w:r>
        <w:rPr>
          <w:rStyle w:val="33"/>
          <w:rFonts w:ascii="Times New Roman" w:hAnsi="Times New Roman"/>
        </w:rPr>
        <w:fldChar w:fldCharType="begin"/>
      </w:r>
      <w:r>
        <w:rPr>
          <w:rStyle w:val="33"/>
          <w:rFonts w:ascii="Times New Roman" w:hAnsi="Times New Roman"/>
        </w:rPr>
        <w:instrText xml:space="preserve"> PAGEREF _Toc165901951 \h </w:instrText>
      </w:r>
      <w:r>
        <w:rPr>
          <w:rStyle w:val="33"/>
          <w:rFonts w:ascii="Times New Roman" w:hAnsi="Times New Roman"/>
        </w:rPr>
        <w:fldChar w:fldCharType="separate"/>
      </w:r>
      <w:r>
        <w:rPr>
          <w:rStyle w:val="33"/>
          <w:rFonts w:ascii="Times New Roman" w:hAnsi="Times New Roman"/>
        </w:rPr>
        <w:t>42</w:t>
      </w:r>
      <w:r>
        <w:rPr>
          <w:rStyle w:val="33"/>
          <w:rFonts w:ascii="Times New Roman" w:hAnsi="Times New Roman"/>
        </w:rPr>
        <w:fldChar w:fldCharType="end"/>
      </w:r>
      <w:r>
        <w:rPr>
          <w:rStyle w:val="33"/>
          <w:rFonts w:ascii="Times New Roman" w:hAnsi="Times New Roman"/>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"_Toc165901952" </w:instrText>
      </w:r>
      <w:r>
        <w:fldChar w:fldCharType="separate"/>
      </w:r>
      <w:r>
        <w:rPr>
          <w:rStyle w:val="33"/>
          <w:rFonts w:ascii="Times New Roman" w:hAnsi="Times New Roman" w:eastAsia="仿宋_GB2312"/>
          <w:bCs/>
          <w:i w:val="0"/>
          <w:iCs w:val="0"/>
          <w:sz w:val="28"/>
        </w:rPr>
        <w:t>第一节  加强组织领导</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_Toc165901952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42</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"_Toc165901953" </w:instrText>
      </w:r>
      <w:r>
        <w:fldChar w:fldCharType="separate"/>
      </w:r>
      <w:r>
        <w:rPr>
          <w:rStyle w:val="33"/>
          <w:rFonts w:ascii="Times New Roman" w:hAnsi="Times New Roman" w:eastAsia="仿宋_GB2312"/>
          <w:bCs/>
          <w:i w:val="0"/>
          <w:iCs w:val="0"/>
          <w:sz w:val="28"/>
        </w:rPr>
        <w:t>第二节  落实政策支持</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_Toc165901953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42</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"_Toc165901954" </w:instrText>
      </w:r>
      <w:r>
        <w:fldChar w:fldCharType="separate"/>
      </w:r>
      <w:r>
        <w:rPr>
          <w:rStyle w:val="33"/>
          <w:rFonts w:ascii="Times New Roman" w:hAnsi="Times New Roman" w:eastAsia="仿宋_GB2312"/>
          <w:bCs/>
          <w:i w:val="0"/>
          <w:iCs w:val="0"/>
          <w:sz w:val="28"/>
        </w:rPr>
        <w:t>第三节  实施规划评估</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_Toc165901954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42</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3"/>
        <w:tabs>
          <w:tab w:val="right" w:leader="dot" w:pos="8302"/>
        </w:tabs>
        <w:spacing w:before="240" w:after="120"/>
        <w:rPr>
          <w:rStyle w:val="33"/>
          <w:rFonts w:ascii="Times New Roman" w:hAnsi="Times New Roman" w:eastAsia="仿宋_GB2312"/>
          <w:bCs/>
          <w:sz w:val="28"/>
        </w:rPr>
      </w:pPr>
      <w:r>
        <w:fldChar w:fldCharType="begin"/>
      </w:r>
      <w:r>
        <w:instrText xml:space="preserve"> HYPERLINK \l "_Toc165901955" </w:instrText>
      </w:r>
      <w:r>
        <w:fldChar w:fldCharType="separate"/>
      </w:r>
      <w:r>
        <w:rPr>
          <w:rStyle w:val="33"/>
          <w:rFonts w:ascii="Times New Roman" w:hAnsi="Times New Roman" w:eastAsia="仿宋_GB2312"/>
          <w:bCs/>
          <w:i w:val="0"/>
          <w:iCs w:val="0"/>
          <w:sz w:val="28"/>
        </w:rPr>
        <w:t>第四节  强化宣传引导</w:t>
      </w:r>
      <w:r>
        <w:rPr>
          <w:rStyle w:val="33"/>
          <w:rFonts w:ascii="Times New Roman" w:hAnsi="Times New Roman" w:eastAsia="仿宋_GB2312"/>
          <w:bCs/>
          <w:i w:val="0"/>
          <w:iCs w:val="0"/>
          <w:sz w:val="28"/>
        </w:rPr>
        <w:tab/>
      </w:r>
      <w:r>
        <w:rPr>
          <w:rStyle w:val="33"/>
          <w:rFonts w:ascii="Times New Roman" w:hAnsi="Times New Roman" w:eastAsia="仿宋_GB2312"/>
          <w:bCs/>
          <w:i w:val="0"/>
          <w:iCs w:val="0"/>
          <w:sz w:val="28"/>
        </w:rPr>
        <w:fldChar w:fldCharType="begin"/>
      </w:r>
      <w:r>
        <w:rPr>
          <w:rStyle w:val="33"/>
          <w:rFonts w:ascii="Times New Roman" w:hAnsi="Times New Roman" w:eastAsia="仿宋_GB2312"/>
          <w:bCs/>
          <w:i w:val="0"/>
          <w:iCs w:val="0"/>
          <w:sz w:val="28"/>
        </w:rPr>
        <w:instrText xml:space="preserve"> PAGEREF _Toc165901955 \h </w:instrText>
      </w:r>
      <w:r>
        <w:rPr>
          <w:rStyle w:val="33"/>
          <w:rFonts w:ascii="Times New Roman" w:hAnsi="Times New Roman" w:eastAsia="仿宋_GB2312"/>
          <w:bCs/>
          <w:i w:val="0"/>
          <w:iCs w:val="0"/>
          <w:sz w:val="28"/>
        </w:rPr>
        <w:fldChar w:fldCharType="separate"/>
      </w:r>
      <w:r>
        <w:rPr>
          <w:rStyle w:val="33"/>
          <w:rFonts w:ascii="Times New Roman" w:hAnsi="Times New Roman" w:eastAsia="仿宋_GB2312"/>
          <w:bCs/>
          <w:i w:val="0"/>
          <w:iCs w:val="0"/>
          <w:sz w:val="28"/>
        </w:rPr>
        <w:t>43</w:t>
      </w:r>
      <w:r>
        <w:rPr>
          <w:rStyle w:val="33"/>
          <w:rFonts w:ascii="Times New Roman" w:hAnsi="Times New Roman" w:eastAsia="仿宋_GB2312"/>
          <w:bCs/>
          <w:i w:val="0"/>
          <w:iCs w:val="0"/>
          <w:sz w:val="28"/>
        </w:rPr>
        <w:fldChar w:fldCharType="end"/>
      </w:r>
      <w:r>
        <w:rPr>
          <w:rStyle w:val="33"/>
          <w:rFonts w:ascii="Times New Roman" w:hAnsi="Times New Roman" w:eastAsia="仿宋_GB2312"/>
          <w:bCs/>
          <w:i w:val="0"/>
          <w:iCs w:val="0"/>
          <w:sz w:val="28"/>
        </w:rPr>
        <w:fldChar w:fldCharType="end"/>
      </w:r>
    </w:p>
    <w:p>
      <w:pPr>
        <w:pStyle w:val="20"/>
        <w:tabs>
          <w:tab w:val="right" w:leader="dot" w:pos="8302"/>
        </w:tabs>
        <w:rPr>
          <w:rFonts w:ascii="Times New Roman" w:hAnsi="Times New Roman" w:eastAsiaTheme="minorEastAsia"/>
          <w:bCs w:val="0"/>
          <w:sz w:val="21"/>
          <w:szCs w:val="22"/>
        </w:rPr>
      </w:pPr>
      <w:r>
        <w:fldChar w:fldCharType="begin"/>
      </w:r>
      <w:r>
        <w:instrText xml:space="preserve"> HYPERLINK \l "_Toc165901956" </w:instrText>
      </w:r>
      <w:r>
        <w:fldChar w:fldCharType="separate"/>
      </w:r>
      <w:r>
        <w:rPr>
          <w:rStyle w:val="33"/>
          <w:rFonts w:ascii="Times New Roman" w:hAnsi="Times New Roman"/>
        </w:rPr>
        <w:t>附表  韶关市能源发展规划重点项目列表</w:t>
      </w:r>
      <w:r>
        <w:rPr>
          <w:rStyle w:val="33"/>
          <w:rFonts w:ascii="Times New Roman" w:hAnsi="Times New Roman"/>
        </w:rPr>
        <w:tab/>
      </w:r>
      <w:r>
        <w:rPr>
          <w:rStyle w:val="33"/>
          <w:rFonts w:ascii="Times New Roman" w:hAnsi="Times New Roman"/>
        </w:rPr>
        <w:fldChar w:fldCharType="begin"/>
      </w:r>
      <w:r>
        <w:rPr>
          <w:rStyle w:val="33"/>
          <w:rFonts w:ascii="Times New Roman" w:hAnsi="Times New Roman"/>
        </w:rPr>
        <w:instrText xml:space="preserve"> PAGEREF _Toc165901956 \h </w:instrText>
      </w:r>
      <w:r>
        <w:rPr>
          <w:rStyle w:val="33"/>
          <w:rFonts w:ascii="Times New Roman" w:hAnsi="Times New Roman"/>
        </w:rPr>
        <w:fldChar w:fldCharType="separate"/>
      </w:r>
      <w:r>
        <w:rPr>
          <w:rStyle w:val="33"/>
          <w:rFonts w:ascii="Times New Roman" w:hAnsi="Times New Roman"/>
        </w:rPr>
        <w:t>44</w:t>
      </w:r>
      <w:r>
        <w:rPr>
          <w:rStyle w:val="33"/>
          <w:rFonts w:ascii="Times New Roman" w:hAnsi="Times New Roman"/>
        </w:rPr>
        <w:fldChar w:fldCharType="end"/>
      </w:r>
      <w:r>
        <w:rPr>
          <w:rStyle w:val="33"/>
          <w:rFonts w:ascii="Times New Roman" w:hAnsi="Times New Roman"/>
        </w:rPr>
        <w:fldChar w:fldCharType="end"/>
      </w:r>
    </w:p>
    <w:p>
      <w:pPr>
        <w:pStyle w:val="20"/>
        <w:tabs>
          <w:tab w:val="right" w:leader="dot" w:pos="8302"/>
        </w:tabs>
        <w:spacing w:line="560" w:lineRule="exact"/>
        <w:rPr>
          <w:rFonts w:ascii="Times New Roman" w:hAnsi="Times New Roman"/>
          <w:b w:val="0"/>
          <w:bCs w:val="0"/>
          <w:sz w:val="24"/>
          <w:szCs w:val="24"/>
        </w:rPr>
      </w:pPr>
      <w:r>
        <w:rPr>
          <w:rFonts w:ascii="Times New Roman" w:hAnsi="Times New Roman"/>
          <w:bCs w:val="0"/>
          <w:szCs w:val="28"/>
        </w:rPr>
        <w:fldChar w:fldCharType="end"/>
      </w:r>
    </w:p>
    <w:p>
      <w:pPr>
        <w:spacing w:before="240" w:after="120"/>
        <w:ind w:firstLine="600"/>
        <w:rPr>
          <w:rFonts w:eastAsia="仿宋_GB2312"/>
        </w:rPr>
        <w:sectPr>
          <w:footerReference r:id="rId9" w:type="default"/>
          <w:pgSz w:w="11906" w:h="16838"/>
          <w:pgMar w:top="1701" w:right="1417" w:bottom="1417" w:left="1587" w:header="850" w:footer="992" w:gutter="0"/>
          <w:pgNumType w:fmt="numberInDash" w:start="1"/>
          <w:cols w:space="0" w:num="1"/>
          <w:titlePg/>
          <w:rtlGutter w:val="0"/>
          <w:docGrid w:linePitch="381" w:charSpace="0"/>
        </w:sectPr>
      </w:pPr>
    </w:p>
    <w:p>
      <w:pPr>
        <w:pStyle w:val="4"/>
        <w:rPr>
          <w:rFonts w:ascii="Times New Roman"/>
        </w:rPr>
      </w:pPr>
      <w:bookmarkStart w:id="9" w:name="_Toc165901934"/>
      <w:r>
        <w:rPr>
          <w:rFonts w:ascii="Times New Roman"/>
        </w:rPr>
        <w:t>第一章  发展基础</w:t>
      </w:r>
      <w:bookmarkEnd w:id="9"/>
    </w:p>
    <w:p>
      <w:pPr>
        <w:pStyle w:val="5"/>
      </w:pPr>
      <w:bookmarkStart w:id="10" w:name="_Toc165901935"/>
      <w:r>
        <w:t>第一节  发展现状</w:t>
      </w:r>
      <w:bookmarkEnd w:id="10"/>
    </w:p>
    <w:p>
      <w:pPr>
        <w:pStyle w:val="58"/>
        <w:ind w:firstLine="640"/>
        <w:rPr>
          <w:rFonts w:ascii="Times New Roman" w:hAnsi="Times New Roman"/>
          <w:sz w:val="32"/>
          <w:szCs w:val="32"/>
        </w:rPr>
      </w:pPr>
      <w:r>
        <w:rPr>
          <w:rFonts w:ascii="Times New Roman" w:hAnsi="Times New Roman"/>
          <w:sz w:val="32"/>
          <w:szCs w:val="32"/>
        </w:rPr>
        <w:t>在市委、市政府的坚强领导下，我市深入贯彻落实“四个革命、一个合作”能源安全新战略，不断优化能源供应结构，加快推动可再生能源建设，夯实能源基础设施，大力推进节能减排降碳，积极推进能源技术创新，巩固拓展能源优势产业，能源安全保障能力持续提升，能源清洁化水平不断提高，能源新技术新产业逐步涌现，为经济社会发展提供了强有力的支撑。</w:t>
      </w:r>
    </w:p>
    <w:bookmarkEnd w:id="2"/>
    <w:bookmarkEnd w:id="3"/>
    <w:p>
      <w:pPr>
        <w:pStyle w:val="58"/>
        <w:ind w:firstLine="640"/>
        <w:rPr>
          <w:rFonts w:ascii="Times New Roman" w:hAnsi="Times New Roman"/>
          <w:sz w:val="32"/>
          <w:szCs w:val="32"/>
        </w:rPr>
      </w:pPr>
      <w:bookmarkStart w:id="11" w:name="_Toc14791486"/>
      <w:r>
        <w:rPr>
          <w:rFonts w:ascii="Times New Roman" w:hAnsi="Times New Roman"/>
          <w:bCs/>
          <w:color w:val="000000"/>
          <w:sz w:val="32"/>
          <w:szCs w:val="32"/>
        </w:rPr>
        <w:t>——</w:t>
      </w:r>
      <w:r>
        <w:rPr>
          <w:rFonts w:ascii="Times New Roman" w:hAnsi="Times New Roman"/>
          <w:b/>
          <w:sz w:val="32"/>
          <w:szCs w:val="32"/>
        </w:rPr>
        <w:t>电力基础设施不断完善</w:t>
      </w:r>
      <w:r>
        <w:rPr>
          <w:rFonts w:ascii="Times New Roman" w:hAnsi="Times New Roman"/>
          <w:sz w:val="32"/>
          <w:szCs w:val="32"/>
        </w:rPr>
        <w:t>。大力巩固电力供应保障基础，有序推进可再生能源发电项目建设，建成广东华电南雄“上大压小”热电联产工程，以及金泽光伏、大布风电等一批清洁能源发电项目，“十三五”期间新增电源装机容量共308万千瓦，其中清洁能源项目装机142万千瓦。“十四五”前三年新增电源装机容量136.7万千瓦，其中新能源发电装机130万千瓦。不断完善电网网架结构，形成以500千伏曲江站、</w:t>
      </w:r>
      <w:r>
        <w:rPr>
          <w:rFonts w:hint="eastAsia" w:ascii="Times New Roman" w:hAnsi="Times New Roman"/>
          <w:sz w:val="32"/>
          <w:szCs w:val="32"/>
        </w:rPr>
        <w:t>丹霞</w:t>
      </w:r>
      <w:r>
        <w:rPr>
          <w:rFonts w:ascii="Times New Roman" w:hAnsi="Times New Roman"/>
          <w:sz w:val="32"/>
          <w:szCs w:val="32"/>
        </w:rPr>
        <w:t>站为核心，220千伏电网为骨架，“双核三环四链”的网架结构。县域电网形成了以220千伏变电站为枢纽，110千伏变电站向县城中心等重要负荷直接供电，35千伏变电站作为补充的供电网络。</w:t>
      </w:r>
    </w:p>
    <w:p>
      <w:pPr>
        <w:pStyle w:val="58"/>
        <w:ind w:firstLine="640"/>
        <w:rPr>
          <w:rStyle w:val="123"/>
          <w:rFonts w:ascii="Times New Roman" w:hAnsi="Times New Roman"/>
          <w:sz w:val="32"/>
          <w:szCs w:val="32"/>
        </w:rPr>
      </w:pPr>
      <w:r>
        <w:rPr>
          <w:rFonts w:ascii="Times New Roman" w:hAnsi="Times New Roman"/>
          <w:bCs/>
          <w:color w:val="000000"/>
          <w:sz w:val="32"/>
          <w:szCs w:val="32"/>
        </w:rPr>
        <w:t>——</w:t>
      </w:r>
      <w:r>
        <w:rPr>
          <w:rStyle w:val="123"/>
          <w:rFonts w:ascii="Times New Roman" w:hAnsi="Times New Roman"/>
          <w:b/>
          <w:sz w:val="32"/>
          <w:szCs w:val="32"/>
        </w:rPr>
        <w:t>油气储运体系加速建成</w:t>
      </w:r>
      <w:r>
        <w:rPr>
          <w:rStyle w:val="123"/>
          <w:rFonts w:ascii="Times New Roman" w:hAnsi="Times New Roman"/>
          <w:sz w:val="32"/>
          <w:szCs w:val="32"/>
        </w:rPr>
        <w:t>。“多气源、一张网”的天然气供应保障格局加快形成，天然气和成品油储运能力显著提升。截至2023年底，全市已建成天然气主干管道596千米，输气能力135.48亿立方米/年。</w:t>
      </w:r>
      <w:r>
        <w:rPr>
          <w:rStyle w:val="123"/>
          <w:rFonts w:hint="eastAsia" w:ascii="Times New Roman" w:hAnsi="Times New Roman"/>
          <w:sz w:val="32"/>
          <w:szCs w:val="32"/>
        </w:rPr>
        <w:t>全市现有1家成品油批发企业。现有商业油库2座，总库容4.65万立方米。共有加油站266座（含高速路加油站36座），其中国有加油站184座，民营加油站82座</w:t>
      </w:r>
      <w:r>
        <w:rPr>
          <w:rStyle w:val="123"/>
          <w:rFonts w:ascii="Times New Roman" w:hAnsi="Times New Roman"/>
          <w:sz w:val="32"/>
          <w:szCs w:val="32"/>
        </w:rPr>
        <w:t>。</w:t>
      </w:r>
    </w:p>
    <w:p>
      <w:pPr>
        <w:pStyle w:val="58"/>
        <w:ind w:firstLine="640"/>
        <w:rPr>
          <w:rFonts w:ascii="Times New Roman" w:hAnsi="Times New Roman"/>
          <w:bCs/>
          <w:color w:val="000000"/>
          <w:sz w:val="32"/>
          <w:szCs w:val="32"/>
        </w:rPr>
      </w:pPr>
      <w:r>
        <w:rPr>
          <w:rFonts w:ascii="Times New Roman" w:hAnsi="Times New Roman"/>
          <w:bCs/>
          <w:color w:val="000000"/>
          <w:sz w:val="32"/>
          <w:szCs w:val="32"/>
        </w:rPr>
        <w:t>——</w:t>
      </w:r>
      <w:r>
        <w:rPr>
          <w:rFonts w:ascii="Times New Roman" w:hAnsi="Times New Roman"/>
          <w:b/>
          <w:bCs/>
          <w:color w:val="000000"/>
          <w:sz w:val="32"/>
          <w:szCs w:val="32"/>
        </w:rPr>
        <w:t>能源消费总量有效控制</w:t>
      </w:r>
      <w:r>
        <w:rPr>
          <w:rFonts w:ascii="Times New Roman" w:hAnsi="Times New Roman"/>
          <w:bCs/>
          <w:color w:val="000000"/>
          <w:sz w:val="32"/>
          <w:szCs w:val="32"/>
        </w:rPr>
        <w:t>。2020年能源消费总量1278万吨标煤</w:t>
      </w:r>
      <w:r>
        <w:rPr>
          <w:rFonts w:hint="eastAsia" w:ascii="Times New Roman" w:hAnsi="Times New Roman"/>
          <w:bCs/>
          <w:color w:val="000000"/>
          <w:sz w:val="32"/>
          <w:szCs w:val="32"/>
          <w:lang w:eastAsia="zh-CN"/>
        </w:rPr>
        <w:t>（等价值，下同）</w:t>
      </w:r>
      <w:r>
        <w:rPr>
          <w:rFonts w:ascii="Times New Roman" w:hAnsi="Times New Roman"/>
          <w:bCs/>
          <w:color w:val="000000"/>
          <w:sz w:val="32"/>
          <w:szCs w:val="32"/>
        </w:rPr>
        <w:t>，“十三五”年均增速4.8%；2023年能源消费总量1382.35万吨标煤，“十四五”前三年年均增速2.65%。能源消费结构进一步优化，煤炭消费得到有效控制。</w:t>
      </w:r>
    </w:p>
    <w:p>
      <w:pPr>
        <w:pStyle w:val="58"/>
        <w:ind w:firstLine="640"/>
        <w:rPr>
          <w:rFonts w:ascii="Times New Roman" w:hAnsi="Times New Roman"/>
          <w:bCs/>
          <w:color w:val="000000"/>
          <w:sz w:val="32"/>
          <w:szCs w:val="32"/>
        </w:rPr>
      </w:pPr>
      <w:r>
        <w:rPr>
          <w:rFonts w:ascii="Times New Roman" w:hAnsi="Times New Roman"/>
          <w:bCs/>
          <w:color w:val="000000"/>
          <w:sz w:val="32"/>
          <w:szCs w:val="32"/>
        </w:rPr>
        <w:t>——</w:t>
      </w:r>
      <w:r>
        <w:rPr>
          <w:rFonts w:ascii="Times New Roman" w:hAnsi="Times New Roman"/>
          <w:b/>
          <w:bCs/>
          <w:color w:val="000000"/>
          <w:sz w:val="32"/>
          <w:szCs w:val="32"/>
        </w:rPr>
        <w:t>能源利用效率持续提升</w:t>
      </w:r>
      <w:r>
        <w:rPr>
          <w:rFonts w:ascii="Times New Roman" w:hAnsi="Times New Roman"/>
          <w:bCs/>
          <w:color w:val="000000"/>
          <w:sz w:val="32"/>
          <w:szCs w:val="32"/>
        </w:rPr>
        <w:t>。严格落实“双控”任务，成立了市节能减排领导小组，逐年制定出台《韶关市年度节能“双控”目标工作方案》等政策举措，强化源头管控，倒逼产业转型升级。严格落实项目能耗等量置换管理办法，在招商引资和承接产业转移的过程中把好能耗准入关，严格控制新建企业的工业增加值单耗不得超过我市单位GDP能耗，并对老项目进行治理或者关停现有规模小、工艺落后、污染严重的生产设施。杜绝一切以技改项目名义扩大用能规模，严格要求对扩建、改建和技术改造项目用“以新带老”的方式，在新上能耗项目时一并对老项目进行整改或者关停现有规模小、工艺落后、污染严重的生产设施，做到“等量替代”甚至“减量替代”，有效控制增量。2023年，全市能耗强度上升1.6%，未完成省下达我市“十四五”能耗强度目标进度。</w:t>
      </w:r>
    </w:p>
    <w:p>
      <w:pPr>
        <w:pStyle w:val="58"/>
        <w:ind w:firstLine="640"/>
        <w:rPr>
          <w:rStyle w:val="123"/>
          <w:rFonts w:ascii="Times New Roman" w:hAnsi="Times New Roman"/>
          <w:sz w:val="32"/>
          <w:szCs w:val="32"/>
        </w:rPr>
      </w:pPr>
      <w:r>
        <w:rPr>
          <w:rFonts w:ascii="Times New Roman" w:hAnsi="Times New Roman"/>
          <w:bCs/>
          <w:color w:val="000000"/>
          <w:sz w:val="32"/>
          <w:szCs w:val="32"/>
        </w:rPr>
        <w:t>——</w:t>
      </w:r>
      <w:r>
        <w:rPr>
          <w:rFonts w:ascii="Times New Roman" w:hAnsi="Times New Roman"/>
          <w:b/>
          <w:bCs/>
          <w:color w:val="000000"/>
          <w:sz w:val="32"/>
          <w:szCs w:val="32"/>
        </w:rPr>
        <w:t>能源产业发展不断突破</w:t>
      </w:r>
      <w:r>
        <w:rPr>
          <w:rFonts w:ascii="Times New Roman" w:hAnsi="Times New Roman"/>
          <w:bCs/>
          <w:color w:val="000000"/>
          <w:sz w:val="32"/>
          <w:szCs w:val="32"/>
        </w:rPr>
        <w:t>。加快推动产业转型升级，能源科技装备技术不断创新突破。作为广东省装备制造业主要的基础零部件基地和配套基地，我市装备制造业已成为主导产业，目前正抢抓“双区”建设的重大机遇，加快培育发展智能制造产业，全力打造珠江西岸先进装备制造产业带配套区。全市现有装备制造业规上企业上百家，国家级企业技术中心1个、省级企业技术中心和工程技术研发中心41个、市级工程技术研发中心31个，良好的制造业基础和技术条件为光伏产业发展提供有力支撑。先后引进多家大型新能源龙头企业，推动总投资600亿元的新能源产业项目落地建设。</w:t>
      </w:r>
    </w:p>
    <w:p>
      <w:pPr>
        <w:pStyle w:val="36"/>
      </w:pPr>
    </w:p>
    <w:p>
      <w:pPr>
        <w:pStyle w:val="5"/>
      </w:pPr>
      <w:bookmarkStart w:id="12" w:name="_Toc165901936"/>
      <w:bookmarkStart w:id="13" w:name="_Toc30169928"/>
      <w:r>
        <w:t>第二节  发展机遇</w:t>
      </w:r>
      <w:bookmarkEnd w:id="12"/>
    </w:p>
    <w:p>
      <w:pPr>
        <w:pStyle w:val="58"/>
        <w:ind w:firstLine="640"/>
        <w:rPr>
          <w:rFonts w:ascii="Times New Roman" w:hAnsi="Times New Roman"/>
          <w:sz w:val="32"/>
        </w:rPr>
      </w:pPr>
      <w:r>
        <w:rPr>
          <w:rFonts w:ascii="Times New Roman" w:hAnsi="Times New Roman"/>
          <w:sz w:val="32"/>
        </w:rPr>
        <w:t>当今世界正经历百年未有之大变局，新一轮科技革命和产业变革交汇融合，全球应对气候变化开启新征程，能源供需格局逐步向多极化发展，全球能源治理体系和国际竞争秩序加速演进。在能源结构转型的背景下，世界多国能源发展均致力于提升可再生能源消费比重，能源供应向清洁、低碳发展已成为大势所趋。落实碳达峰碳中和战略部署，我国将大力推进能源转型升级，促进能源绿色低碳发展，推动传统能源产业不断优化，加速能源科技创新和新兴能源产业不断涌现。</w:t>
      </w:r>
    </w:p>
    <w:p>
      <w:pPr>
        <w:pStyle w:val="58"/>
        <w:ind w:firstLine="640"/>
        <w:rPr>
          <w:rFonts w:ascii="Times New Roman" w:hAnsi="Times New Roman"/>
          <w:sz w:val="32"/>
        </w:rPr>
      </w:pPr>
      <w:r>
        <w:rPr>
          <w:rFonts w:hint="eastAsia" w:ascii="Times New Roman" w:hAnsi="Times New Roman"/>
          <w:sz w:val="32"/>
        </w:rPr>
        <w:t>自</w:t>
      </w:r>
      <w:r>
        <w:rPr>
          <w:rFonts w:ascii="Times New Roman" w:hAnsi="Times New Roman"/>
          <w:sz w:val="32"/>
        </w:rPr>
        <w:t>“十四五”</w:t>
      </w:r>
      <w:r>
        <w:rPr>
          <w:rFonts w:hint="eastAsia" w:ascii="Times New Roman" w:hAnsi="Times New Roman"/>
          <w:sz w:val="32"/>
        </w:rPr>
        <w:t>以来</w:t>
      </w:r>
      <w:r>
        <w:rPr>
          <w:rFonts w:ascii="Times New Roman" w:hAnsi="Times New Roman"/>
          <w:sz w:val="32"/>
        </w:rPr>
        <w:t>，全省全面推进能源高质量发展，构建清洁低碳、安全高效、智能创新</w:t>
      </w:r>
      <w:r>
        <w:rPr>
          <w:rFonts w:hint="eastAsia" w:ascii="Times New Roman" w:hAnsi="Times New Roman"/>
          <w:sz w:val="32"/>
        </w:rPr>
        <w:t>的</w:t>
      </w:r>
      <w:r>
        <w:rPr>
          <w:rFonts w:ascii="Times New Roman" w:hAnsi="Times New Roman"/>
          <w:sz w:val="32"/>
        </w:rPr>
        <w:t>现代能源体系。广东举全省之力推进粤港澳大湾区、深圳中国特色社会主义先行示范区建设，推动横琴、前海两个合作区建设，推动“一核一带一区”区域发展格局积厚成势，区位优势日益凸显，对我市能源安全保障、绿色低碳转型、技术和产业发展提出了更高要求。</w:t>
      </w:r>
    </w:p>
    <w:p>
      <w:pPr>
        <w:pStyle w:val="6"/>
        <w:numPr>
          <w:ilvl w:val="0"/>
          <w:numId w:val="2"/>
        </w:numPr>
        <w:rPr>
          <w:sz w:val="32"/>
        </w:rPr>
      </w:pPr>
      <w:r>
        <w:rPr>
          <w:sz w:val="32"/>
        </w:rPr>
        <w:t>能源安全发展形势</w:t>
      </w:r>
    </w:p>
    <w:p>
      <w:pPr>
        <w:pStyle w:val="58"/>
        <w:ind w:firstLine="640"/>
        <w:rPr>
          <w:rFonts w:ascii="Times New Roman" w:hAnsi="Times New Roman"/>
          <w:b/>
          <w:color w:val="000000"/>
          <w:sz w:val="32"/>
          <w:szCs w:val="32"/>
        </w:rPr>
      </w:pPr>
      <w:r>
        <w:rPr>
          <w:rFonts w:ascii="Times New Roman" w:hAnsi="Times New Roman"/>
          <w:color w:val="000000"/>
          <w:sz w:val="32"/>
          <w:szCs w:val="32"/>
        </w:rPr>
        <w:t>能源安全供给关系着我国经济社会发展全局，是最重要的安全之一。我国经济回升向好、长期向好的基本趋势没有改变。经济恢复时期也是能源需求旺盛的时期，中央经济工作会议指出，要加快建设新型能源体系，加强资源节约集约循环高效利用，提高能源资源安全保障能力。全国能源工作会议提出，加快建设新型能源体系、新型电力系统，加强能源产供储销体系建设。要扛牢能源安全首要职责，全力抓好能源增产保供，持续提高能源资源安全保障能力；要聚焦落实“双碳”目标任务，持续优化调整能源结构，大力提升新能源安全可靠替代水平，加快推进能源绿色低碳转型；要瞄准能源科技自立自强，深入实施创新驱动发展战略，完善能源科技创新体系，着力推动科技与产业融通衔接，扎实开展能源标准化工作，提升能源产业链自主可控水平，着力打造能源科技创新高地；要大力加强民生用能工程建设，推动农村能源清洁低碳转型，提升电动汽车充电基础设施水平，更好满足人民群众用能需求。</w:t>
      </w:r>
    </w:p>
    <w:p>
      <w:pPr>
        <w:pStyle w:val="6"/>
        <w:numPr>
          <w:ilvl w:val="0"/>
          <w:numId w:val="2"/>
        </w:numPr>
        <w:rPr>
          <w:sz w:val="32"/>
        </w:rPr>
      </w:pPr>
      <w:r>
        <w:rPr>
          <w:sz w:val="32"/>
        </w:rPr>
        <w:t>能源绿色低碳转型趋势</w:t>
      </w:r>
    </w:p>
    <w:p>
      <w:pPr>
        <w:pStyle w:val="58"/>
        <w:ind w:firstLine="640"/>
        <w:rPr>
          <w:rFonts w:ascii="Times New Roman" w:hAnsi="Times New Roman"/>
          <w:sz w:val="32"/>
        </w:rPr>
      </w:pPr>
      <w:r>
        <w:rPr>
          <w:rFonts w:ascii="Times New Roman" w:hAnsi="Times New Roman"/>
          <w:color w:val="000000"/>
          <w:sz w:val="32"/>
          <w:szCs w:val="32"/>
        </w:rPr>
        <w:t>在全球共同应对气候变化的大背景下，加快能源绿色低碳转型已成全球共识和共同行动。2023年以来，我国能源绿色低碳转型步伐加快，新能源保持快速发展良好势头，多项数据刷新历史纪录。随着新能源装机快速提升，如何更好“消化”新增绿电，成为全球性难题。数据显示，我国新能源利用率持续保持较高水平，自2018年以来连续多年超过95%。作为全球新能源装机第一大国，我国实现高水平新能源利用，为全球破解新能源消纳难题提供了有效样本。第28届联合国气候变化大会（COP28）提出，到2030年将全球可再生能源发电装机容量增加两倍，预计全球新能源发电将进入快速发展的新阶段。欧盟、美国等绿色贸易壁垒政策层出不穷，碳关税法案、新电池法规、清洁安全能源法案等多种国际贸易规则对出口产品的低碳生产提出更高要求，既迫使出口企业购买绿电同时加快推进生产制造节能降碳，也要求出口国推动电力低碳化发展，这将在客观上刺激新能源发展。根据国际能源署预测，未来5年全球可再生能源装机容量将迎来快速增长期，到2030年，世界能源系统将发生重大变化，</w:t>
      </w:r>
      <w:r>
        <w:rPr>
          <w:rFonts w:ascii="Times New Roman" w:hAnsi="Times New Roman"/>
          <w:bCs/>
          <w:color w:val="000000"/>
          <w:sz w:val="32"/>
          <w:szCs w:val="32"/>
        </w:rPr>
        <w:t>全球电动汽车的数量将是现在的近10倍，可再生能源在全球电力结构中的份额将接近50%。</w:t>
      </w:r>
    </w:p>
    <w:p>
      <w:pPr>
        <w:pStyle w:val="6"/>
        <w:numPr>
          <w:ilvl w:val="0"/>
          <w:numId w:val="2"/>
        </w:numPr>
        <w:rPr>
          <w:sz w:val="32"/>
        </w:rPr>
      </w:pPr>
      <w:r>
        <w:rPr>
          <w:sz w:val="32"/>
        </w:rPr>
        <w:t>能源技术和产业发展趋势</w:t>
      </w:r>
    </w:p>
    <w:p>
      <w:pPr>
        <w:pStyle w:val="58"/>
        <w:ind w:firstLine="640"/>
        <w:rPr>
          <w:rFonts w:ascii="Times New Roman" w:hAnsi="Times New Roman"/>
          <w:color w:val="000000"/>
          <w:sz w:val="32"/>
          <w:szCs w:val="32"/>
        </w:rPr>
      </w:pPr>
      <w:r>
        <w:rPr>
          <w:rFonts w:ascii="Times New Roman" w:hAnsi="Times New Roman"/>
          <w:color w:val="000000"/>
          <w:sz w:val="32"/>
          <w:szCs w:val="32"/>
        </w:rPr>
        <w:t>为应对日益严重的能源资源约束，生态环境恶化，气候变化加剧等重大挑战，各国纷纷推进低碳化乃至“去碳化”能源体系的发展步伐。随着可再生能源、储能、氢能等技术取得重大突破并逐步实现商业化，全球能源消费结构正在加快转型，非化石能源比重逐步提升。为有效应对大规模可再生能源发展给能源系统可靠性和稳定性带来的挑战，欧美发达国家积极探索发展包括先进可再生能源、高比例可再生能源友好并网、新一代电网、新型储能、氢能及燃料电池、多能互补与供需互动等新型电力系统技术。同时，信息、交通等领域的新技术与传统能源技术深度交叉融合，持续孕育兴起影响深远的新技术、新模式、新业态。美、欧、日等主要发达国家近年来在能源交叉融合技术方面开展了大量有益探索和实践。大数据、云计算、物联网、移动互联网、人工智能、区块链等为代表的先进信息技术与能源生产、传输、存储、消费以及能源市场等环节深度融合，持续催生具有设备智能、多能协同、信息对称、供需分散、系统扁平、交易开放等特征的智慧能源新技术、新模式、新业态。电动汽车及其网联技术、氢燃料电池车等低碳交通技术，推动能源、交通、信息三大基础设施网络互联互通、融合发展，正在开启能源、交通、信息领域新的重大变革。</w:t>
      </w:r>
    </w:p>
    <w:p>
      <w:pPr>
        <w:pStyle w:val="58"/>
        <w:ind w:firstLine="640"/>
        <w:rPr>
          <w:rFonts w:ascii="Times New Roman" w:hAnsi="Times New Roman"/>
          <w:color w:val="000000"/>
          <w:sz w:val="32"/>
          <w:szCs w:val="32"/>
        </w:rPr>
      </w:pPr>
    </w:p>
    <w:p>
      <w:pPr>
        <w:pStyle w:val="5"/>
        <w:rPr>
          <w:sz w:val="36"/>
        </w:rPr>
      </w:pPr>
      <w:bookmarkStart w:id="14" w:name="_Toc165901937"/>
      <w:r>
        <w:rPr>
          <w:sz w:val="36"/>
        </w:rPr>
        <w:t>第三节  面临挑战</w:t>
      </w:r>
      <w:bookmarkEnd w:id="14"/>
    </w:p>
    <w:p>
      <w:pPr>
        <w:pStyle w:val="6"/>
        <w:numPr>
          <w:ilvl w:val="0"/>
          <w:numId w:val="3"/>
        </w:numPr>
        <w:rPr>
          <w:sz w:val="32"/>
        </w:rPr>
      </w:pPr>
      <w:r>
        <w:rPr>
          <w:sz w:val="32"/>
        </w:rPr>
        <w:t>能源消费总量控制任务艰巨</w:t>
      </w:r>
    </w:p>
    <w:p>
      <w:pPr>
        <w:pStyle w:val="58"/>
        <w:ind w:firstLine="640"/>
        <w:rPr>
          <w:rFonts w:ascii="Times New Roman" w:hAnsi="Times New Roman"/>
          <w:sz w:val="32"/>
        </w:rPr>
      </w:pPr>
      <w:r>
        <w:rPr>
          <w:rFonts w:ascii="Times New Roman" w:hAnsi="Times New Roman"/>
          <w:sz w:val="32"/>
        </w:rPr>
        <w:t>随着“东数西算”工程全面启动，粤港澳大湾区枢纽将于韶关高新区设立数据中心集群，承接广州、深圳等地实时性算力需求，引导温冷业务向西部迁移，构建辐射华南乃至全国的实时性算力中心。我市推进“东数西算”将产生较大的用电用能需求。根据《韶关市国民经济与社会发展第十四五个五年规划和二〇三五年远景目标纲要》，到2025年末，全市生产总值超2100亿元，年均增长7%。随着我市加强与粤港澳大湾区和深圳中国特色社会主义先行示范区的产业合作，承接汽车制造、电器机械、精细化工、建筑材料等产业转移，推进京广铁路-乐广高速沿线机械制造、重型装备、电子信息、金属材料加工等重型产业集群发展，预计我市“十四五”及未来一段时期能源消费将维持刚性增长，能源消费总量控制任务依旧艰巨。</w:t>
      </w:r>
    </w:p>
    <w:p>
      <w:pPr>
        <w:pStyle w:val="6"/>
        <w:rPr>
          <w:sz w:val="32"/>
        </w:rPr>
      </w:pPr>
      <w:r>
        <w:rPr>
          <w:sz w:val="32"/>
        </w:rPr>
        <w:t>高耗能产业能源转型压力较大</w:t>
      </w:r>
    </w:p>
    <w:p>
      <w:pPr>
        <w:pStyle w:val="58"/>
        <w:ind w:firstLine="640"/>
        <w:rPr>
          <w:rFonts w:ascii="Times New Roman" w:hAnsi="Times New Roman"/>
          <w:sz w:val="32"/>
        </w:rPr>
      </w:pPr>
      <w:r>
        <w:rPr>
          <w:rFonts w:ascii="Times New Roman" w:hAnsi="Times New Roman"/>
          <w:sz w:val="32"/>
        </w:rPr>
        <w:t>我市是我广东省重要的老工业城市，化工、有色金属、发电、钢铁、建材等六大传统高耗能行业占据能源消费大头。2023年，全市五大高耗能产业能源消费总量为777.86万吨标煤，占全市规上工业能耗的86.4%。</w:t>
      </w:r>
      <w:r>
        <w:rPr>
          <w:rFonts w:ascii="Times New Roman" w:hAnsi="Times New Roman"/>
        </w:rPr>
        <w:t>五大高耗能行业中化学原料和化学制品制造业、黑色金属冶炼和压延加工业、有色金属冶炼和压延加工业以及电力、热力生产和供应业能源消费总量增速保持正增长，同比分别增长10.2%、12%、14%和6.4%，分别拉动规上工业能耗增长0.75个百分点、6.37个百分点、1.03个百分点和0.39个百分点；非金属矿物制品业能源消费总量同比下降14.2%，拉低规上工业能耗1.72个百分点，</w:t>
      </w:r>
      <w:r>
        <w:rPr>
          <w:rFonts w:ascii="Times New Roman" w:hAnsi="Times New Roman"/>
          <w:sz w:val="32"/>
        </w:rPr>
        <w:t>全市推动工业经济清洁能源消费转型压力较大。</w:t>
      </w:r>
    </w:p>
    <w:p>
      <w:pPr>
        <w:pStyle w:val="6"/>
      </w:pPr>
      <w:r>
        <w:t>新能源发展约束多产业薄弱</w:t>
      </w:r>
    </w:p>
    <w:p>
      <w:pPr>
        <w:spacing w:before="240" w:after="120" w:line="560" w:lineRule="exact"/>
        <w:ind w:firstLine="638"/>
        <w:rPr>
          <w:rFonts w:eastAsia="仿宋_GB2312"/>
          <w:color w:val="000000"/>
          <w:sz w:val="32"/>
          <w:szCs w:val="32"/>
        </w:rPr>
      </w:pPr>
      <w:r>
        <w:rPr>
          <w:rFonts w:eastAsia="仿宋_GB2312"/>
          <w:color w:val="000000"/>
          <w:sz w:val="32"/>
          <w:szCs w:val="32"/>
        </w:rPr>
        <w:t>我市风能、太阳能资源分布空间差异大、碎片化较为严重，且用地用林、生态等要素资源较为紧张，选址难度大，项目落地影响因素多。我市新能源资源多富集于乐昌、乳源、始兴、南雄、翁源等电力负荷较小、就近消纳能力有限的区域，新能源快速发展对电力送出通道提出了更高要求。新能源电力的间歇性和波动性要求电力系统配置更多的调节性资源，但市内电源调节能力有限，电力消纳难度较大。我市地处粤北山区，经济发展和交通运输条件相对较差，新能源产业发展的技术、人才、物流、市场等要素集聚程度较低，引进产业多为产业链价值较差的环节，缺乏吸引龙头企业的能力，产业价值作用如何发挥面临重大考验。</w:t>
      </w:r>
    </w:p>
    <w:p>
      <w:pPr>
        <w:pStyle w:val="58"/>
        <w:ind w:firstLine="960" w:firstLineChars="300"/>
        <w:rPr>
          <w:rFonts w:ascii="Times New Roman" w:hAnsi="Times New Roman"/>
          <w:sz w:val="32"/>
        </w:rPr>
        <w:sectPr>
          <w:footerReference r:id="rId10" w:type="default"/>
          <w:pgSz w:w="11906" w:h="16838"/>
          <w:pgMar w:top="1701" w:right="1417" w:bottom="1417" w:left="1587" w:header="850" w:footer="992" w:gutter="0"/>
          <w:pgNumType w:fmt="numberInDash"/>
          <w:cols w:space="0" w:num="1"/>
          <w:titlePg/>
          <w:rtlGutter w:val="0"/>
          <w:docGrid w:linePitch="381" w:charSpace="0"/>
        </w:sectPr>
      </w:pPr>
    </w:p>
    <w:bookmarkEnd w:id="13"/>
    <w:p>
      <w:pPr>
        <w:pStyle w:val="4"/>
        <w:rPr>
          <w:rFonts w:ascii="Times New Roman"/>
        </w:rPr>
      </w:pPr>
      <w:bookmarkStart w:id="15" w:name="_Toc165901938"/>
      <w:r>
        <w:rPr>
          <w:rFonts w:ascii="Times New Roman"/>
        </w:rPr>
        <w:t>第二章  总体要求</w:t>
      </w:r>
      <w:bookmarkEnd w:id="15"/>
    </w:p>
    <w:p>
      <w:pPr>
        <w:pStyle w:val="5"/>
      </w:pPr>
      <w:bookmarkStart w:id="16" w:name="_Toc165901939"/>
      <w:r>
        <w:t>第一节  指导思想</w:t>
      </w:r>
      <w:bookmarkEnd w:id="16"/>
    </w:p>
    <w:p>
      <w:pPr>
        <w:pStyle w:val="58"/>
        <w:ind w:firstLine="640"/>
        <w:rPr>
          <w:rFonts w:ascii="Times New Roman" w:hAnsi="Times New Roman"/>
          <w:color w:val="000000" w:themeColor="text1"/>
          <w:sz w:val="32"/>
          <w14:textFill>
            <w14:solidFill>
              <w14:schemeClr w14:val="tx1"/>
            </w14:solidFill>
          </w14:textFill>
        </w:rPr>
      </w:pPr>
      <w:bookmarkStart w:id="17" w:name="_Toc30169946"/>
      <w:r>
        <w:rPr>
          <w:rFonts w:ascii="Times New Roman" w:hAnsi="Times New Roman"/>
          <w:color w:val="000000" w:themeColor="text1"/>
          <w:sz w:val="32"/>
          <w14:textFill>
            <w14:solidFill>
              <w14:schemeClr w14:val="tx1"/>
            </w14:solidFill>
          </w14:textFill>
        </w:rPr>
        <w:t>坚持以习近平新时代中国特色社会主义思想为指导，深入贯彻党的二十大精神，完整、准确、全面贯彻新发展理念，坚持稳中求进工作总基调，以推动高质量发展为主题，以深化供给侧结构性改革为主线，以改革创新为根本动力，以满足人民日益增长的美好生活需要为根本目的，按照省委省政府“1310”决策部署和高质量发展要求，把握“百县千镇万村高质量发展工程”实施的机遇，紧紧围绕全力筑牢粤北生态屏障目标定位，增强能源安全保障能力，持续优化能源结构，不断提高能源利用效率，培育壮大新能源战略性新兴产业，加快农村能源绿色低碳转型，提升能源发展质量和效益，培育发展新质生产力的新动能，推动我市能源向清洁低碳、安全高效方向转变。</w:t>
      </w:r>
    </w:p>
    <w:p>
      <w:pPr>
        <w:pStyle w:val="58"/>
        <w:ind w:firstLine="640"/>
        <w:rPr>
          <w:rFonts w:ascii="Times New Roman" w:hAnsi="Times New Roman"/>
          <w:color w:val="000000" w:themeColor="text1"/>
          <w:sz w:val="32"/>
          <w14:textFill>
            <w14:solidFill>
              <w14:schemeClr w14:val="tx1"/>
            </w14:solidFill>
          </w14:textFill>
        </w:rPr>
      </w:pPr>
    </w:p>
    <w:p>
      <w:pPr>
        <w:pStyle w:val="5"/>
        <w:rPr>
          <w:sz w:val="36"/>
        </w:rPr>
      </w:pPr>
      <w:bookmarkStart w:id="18" w:name="_Toc165901940"/>
      <w:r>
        <w:rPr>
          <w:sz w:val="36"/>
        </w:rPr>
        <w:t>第二节  基本原则</w:t>
      </w:r>
      <w:bookmarkEnd w:id="17"/>
      <w:bookmarkEnd w:id="18"/>
    </w:p>
    <w:p>
      <w:pPr>
        <w:pStyle w:val="58"/>
        <w:ind w:firstLine="643"/>
        <w:rPr>
          <w:rFonts w:ascii="Times New Roman" w:hAnsi="Times New Roman"/>
          <w:sz w:val="32"/>
        </w:rPr>
      </w:pPr>
      <w:r>
        <w:rPr>
          <w:rFonts w:ascii="Times New Roman" w:hAnsi="Times New Roman"/>
          <w:b/>
          <w:sz w:val="32"/>
        </w:rPr>
        <w:t>——保障供应，安全发展。</w:t>
      </w:r>
      <w:r>
        <w:rPr>
          <w:rFonts w:ascii="Times New Roman" w:hAnsi="Times New Roman"/>
          <w:sz w:val="32"/>
        </w:rPr>
        <w:t>坚持能源发展服务于经济社会需要的宗旨，夯实能源供应保障基础，稳妥有序推进新能源发展，保持能源生产供应相对稳定，保障能源重大基础设施安全，强化能源行业安全生产管理，为完成“十四五”目标提供强有力保障。</w:t>
      </w:r>
    </w:p>
    <w:p>
      <w:pPr>
        <w:pStyle w:val="58"/>
        <w:ind w:firstLine="643"/>
        <w:rPr>
          <w:rFonts w:ascii="Times New Roman" w:hAnsi="Times New Roman"/>
          <w:sz w:val="32"/>
        </w:rPr>
      </w:pPr>
      <w:r>
        <w:rPr>
          <w:rFonts w:ascii="Times New Roman" w:hAnsi="Times New Roman"/>
          <w:b/>
          <w:sz w:val="32"/>
        </w:rPr>
        <w:t>——清洁低碳，绿色发展。</w:t>
      </w:r>
      <w:r>
        <w:rPr>
          <w:rFonts w:ascii="Times New Roman" w:hAnsi="Times New Roman"/>
          <w:sz w:val="32"/>
        </w:rPr>
        <w:t>牢牢把握生态文明建设要求，统筹推进非化石能源规模化发展与化石能源清洁高效利用，推动主要用能产业绿色发展，优化调整能源结构，加快能源发展方式转变，推动增量需求主要依托清洁能源，加速能源向清洁低碳转型。</w:t>
      </w:r>
    </w:p>
    <w:p>
      <w:pPr>
        <w:pStyle w:val="58"/>
        <w:ind w:firstLine="643"/>
        <w:rPr>
          <w:rFonts w:ascii="Times New Roman" w:hAnsi="Times New Roman"/>
          <w:sz w:val="32"/>
        </w:rPr>
      </w:pPr>
      <w:r>
        <w:rPr>
          <w:rFonts w:ascii="Times New Roman" w:hAnsi="Times New Roman"/>
          <w:b/>
          <w:sz w:val="32"/>
        </w:rPr>
        <w:t>——创新引领，优质发展。</w:t>
      </w:r>
      <w:r>
        <w:rPr>
          <w:rFonts w:ascii="Times New Roman" w:hAnsi="Times New Roman"/>
          <w:sz w:val="32"/>
        </w:rPr>
        <w:t>把提升能源科技水平作为能源转型发展的突破口，发挥企业技术创新主体作用，推进产学研深度融合，推动能源技术从引进跟随向自主创新转变，加快能源新技术新模式示范应用，形成能源科技创新上下游联动的一体化创新发展模式。</w:t>
      </w:r>
    </w:p>
    <w:p>
      <w:pPr>
        <w:pStyle w:val="58"/>
        <w:ind w:firstLine="643"/>
        <w:rPr>
          <w:rFonts w:ascii="Times New Roman" w:hAnsi="Times New Roman"/>
          <w:sz w:val="32"/>
        </w:rPr>
      </w:pPr>
      <w:r>
        <w:rPr>
          <w:rFonts w:ascii="Times New Roman" w:hAnsi="Times New Roman"/>
          <w:b/>
          <w:sz w:val="32"/>
        </w:rPr>
        <w:t>——统筹兼顾，协调发展。</w:t>
      </w:r>
      <w:bookmarkStart w:id="19" w:name="_Toc30169947"/>
      <w:r>
        <w:rPr>
          <w:rFonts w:ascii="Times New Roman" w:hAnsi="Times New Roman"/>
          <w:sz w:val="32"/>
        </w:rPr>
        <w:t>结合城镇化、新农村和美丽乡村建设，同步配套清洁、高效能源基础设施，提升农村生活用能水平，增强农村用电安全性和稳定性，积极发展农光互补、渔光互补工程等建设，实现产业做强与人民群众用能改善有机统一。</w:t>
      </w:r>
    </w:p>
    <w:p>
      <w:pPr>
        <w:pStyle w:val="58"/>
        <w:ind w:firstLine="640"/>
        <w:rPr>
          <w:rFonts w:ascii="Times New Roman" w:hAnsi="Times New Roman"/>
          <w:sz w:val="32"/>
        </w:rPr>
      </w:pPr>
    </w:p>
    <w:p>
      <w:pPr>
        <w:pStyle w:val="5"/>
        <w:rPr>
          <w:sz w:val="36"/>
        </w:rPr>
      </w:pPr>
      <w:bookmarkStart w:id="20" w:name="_Toc165901941"/>
      <w:r>
        <w:rPr>
          <w:sz w:val="36"/>
        </w:rPr>
        <w:t>第三节  发展目标</w:t>
      </w:r>
      <w:bookmarkEnd w:id="4"/>
      <w:bookmarkEnd w:id="5"/>
      <w:bookmarkEnd w:id="11"/>
      <w:bookmarkEnd w:id="19"/>
      <w:bookmarkEnd w:id="20"/>
    </w:p>
    <w:p>
      <w:pPr>
        <w:pStyle w:val="58"/>
        <w:ind w:firstLine="643"/>
        <w:rPr>
          <w:rFonts w:ascii="Times New Roman" w:hAnsi="Times New Roman"/>
          <w:sz w:val="32"/>
        </w:rPr>
      </w:pPr>
      <w:r>
        <w:rPr>
          <w:rFonts w:ascii="Times New Roman" w:hAnsi="Times New Roman"/>
          <w:b/>
          <w:sz w:val="32"/>
        </w:rPr>
        <w:t>到</w:t>
      </w:r>
      <w:r>
        <w:rPr>
          <w:rFonts w:ascii="Times New Roman" w:hAnsi="Times New Roman"/>
          <w:sz w:val="32"/>
        </w:rPr>
        <w:t>2025</w:t>
      </w:r>
      <w:r>
        <w:rPr>
          <w:rFonts w:ascii="Times New Roman" w:hAnsi="Times New Roman"/>
          <w:b/>
          <w:sz w:val="32"/>
        </w:rPr>
        <w:t>年</w:t>
      </w:r>
      <w:r>
        <w:rPr>
          <w:rFonts w:ascii="Times New Roman" w:hAnsi="Times New Roman"/>
          <w:sz w:val="32"/>
        </w:rPr>
        <w:t>，能源安全供应保障能力进一步强化，能源绿色低碳转型实现新突破，能源科技创新应用水平逐步提升，能源产业规模不断壮大，城乡居民生活用能品质持续改善，基本建成坚强韧性、绿色低碳现代能源体系。</w:t>
      </w:r>
    </w:p>
    <w:p>
      <w:pPr>
        <w:pStyle w:val="6"/>
        <w:numPr>
          <w:ilvl w:val="0"/>
          <w:numId w:val="4"/>
        </w:numPr>
      </w:pPr>
      <w:r>
        <w:t>能源利用效率实现新提升</w:t>
      </w:r>
    </w:p>
    <w:p>
      <w:pPr>
        <w:pStyle w:val="58"/>
        <w:ind w:firstLine="640"/>
        <w:rPr>
          <w:rFonts w:ascii="Times New Roman" w:hAnsi="Times New Roman"/>
          <w:sz w:val="32"/>
        </w:rPr>
      </w:pPr>
      <w:r>
        <w:rPr>
          <w:rFonts w:ascii="Times New Roman" w:hAnsi="Times New Roman"/>
          <w:sz w:val="32"/>
        </w:rPr>
        <w:t>强化能源、碳排放总量和强度双控，</w:t>
      </w:r>
      <w:r>
        <w:rPr>
          <w:rFonts w:hint="eastAsia" w:ascii="仿宋_GB2312" w:hAnsi="仿宋_GB2312" w:eastAsia="仿宋_GB2312" w:cs="仿宋_GB2312"/>
          <w:kern w:val="2"/>
          <w:sz w:val="32"/>
          <w:szCs w:val="32"/>
          <w:lang w:val="en-US" w:eastAsia="zh-CN" w:bidi="ar-SA"/>
        </w:rPr>
        <w:t>到2025年，全市单位地区生产总值能源消耗比2020年下降15.5%（激励目标下降16%），能源消费总量得到合理控制</w:t>
      </w:r>
      <w:r>
        <w:rPr>
          <w:rFonts w:ascii="Times New Roman" w:hAnsi="Times New Roman"/>
          <w:sz w:val="32"/>
        </w:rPr>
        <w:t>。能源效率持续提升，单位地区生产总值能耗、二氧化碳排放进一步下降，完成省下达任务。</w:t>
      </w:r>
    </w:p>
    <w:p>
      <w:pPr>
        <w:pStyle w:val="6"/>
        <w:numPr>
          <w:ilvl w:val="0"/>
          <w:numId w:val="4"/>
        </w:numPr>
        <w:rPr>
          <w:sz w:val="32"/>
        </w:rPr>
      </w:pPr>
      <w:r>
        <w:rPr>
          <w:sz w:val="32"/>
        </w:rPr>
        <w:t>能源绿色低碳转型实现新突破</w:t>
      </w:r>
    </w:p>
    <w:p>
      <w:pPr>
        <w:pStyle w:val="58"/>
        <w:ind w:firstLine="640"/>
        <w:rPr>
          <w:rFonts w:ascii="Times New Roman" w:hAnsi="Times New Roman"/>
          <w:sz w:val="32"/>
        </w:rPr>
      </w:pPr>
      <w:r>
        <w:rPr>
          <w:rFonts w:ascii="Times New Roman" w:hAnsi="Times New Roman"/>
          <w:sz w:val="32"/>
        </w:rPr>
        <w:t>大力推进“控煤、稳气、少油、强电、增绿”。2025年总装机容量达到1028万千瓦，其中</w:t>
      </w:r>
      <w:r>
        <w:rPr>
          <w:rFonts w:hint="eastAsia" w:ascii="Times New Roman" w:hAnsi="Times New Roman"/>
          <w:sz w:val="32"/>
          <w:lang w:eastAsia="zh-CN"/>
        </w:rPr>
        <w:t>可再生能源</w:t>
      </w:r>
      <w:r>
        <w:rPr>
          <w:rFonts w:ascii="Times New Roman" w:hAnsi="Times New Roman"/>
          <w:sz w:val="32"/>
        </w:rPr>
        <w:t>装机比重提高至</w:t>
      </w:r>
      <w:r>
        <w:rPr>
          <w:rFonts w:hint="eastAsia" w:ascii="Times New Roman" w:hAnsi="Times New Roman"/>
          <w:sz w:val="32"/>
          <w:lang w:val="en-US" w:eastAsia="zh-CN"/>
        </w:rPr>
        <w:t>5</w:t>
      </w:r>
      <w:r>
        <w:rPr>
          <w:rFonts w:ascii="Times New Roman" w:hAnsi="Times New Roman"/>
          <w:sz w:val="32"/>
        </w:rPr>
        <w:t>0%</w:t>
      </w:r>
      <w:r>
        <w:rPr>
          <w:rFonts w:hint="eastAsia" w:ascii="Times New Roman" w:hAnsi="Times New Roman"/>
          <w:sz w:val="32"/>
          <w:lang w:eastAsia="zh-CN"/>
        </w:rPr>
        <w:t>以上</w:t>
      </w:r>
      <w:r>
        <w:rPr>
          <w:rFonts w:ascii="Times New Roman" w:hAnsi="Times New Roman"/>
          <w:sz w:val="32"/>
        </w:rPr>
        <w:t>，新能源消纳率保持100%。</w:t>
      </w:r>
    </w:p>
    <w:p>
      <w:pPr>
        <w:pStyle w:val="6"/>
        <w:numPr>
          <w:ilvl w:val="0"/>
          <w:numId w:val="4"/>
        </w:numPr>
        <w:rPr>
          <w:sz w:val="32"/>
        </w:rPr>
      </w:pPr>
      <w:r>
        <w:rPr>
          <w:sz w:val="32"/>
        </w:rPr>
        <w:t>坚强韧性能源体系建设取得新进展</w:t>
      </w:r>
    </w:p>
    <w:p>
      <w:pPr>
        <w:pStyle w:val="58"/>
        <w:ind w:firstLine="640"/>
        <w:rPr>
          <w:rFonts w:ascii="Times New Roman" w:hAnsi="Times New Roman"/>
          <w:sz w:val="32"/>
        </w:rPr>
      </w:pPr>
      <w:r>
        <w:rPr>
          <w:rFonts w:ascii="Times New Roman" w:hAnsi="Times New Roman"/>
          <w:sz w:val="32"/>
        </w:rPr>
        <w:t>全市供电可靠率达到99.9</w:t>
      </w:r>
      <w:r>
        <w:rPr>
          <w:rFonts w:hint="eastAsia" w:ascii="Times New Roman" w:hAnsi="Times New Roman"/>
          <w:sz w:val="32"/>
          <w:lang w:val="en-US" w:eastAsia="zh-CN"/>
        </w:rPr>
        <w:t>6</w:t>
      </w:r>
      <w:r>
        <w:rPr>
          <w:rFonts w:ascii="Times New Roman" w:hAnsi="Times New Roman"/>
          <w:sz w:val="32"/>
        </w:rPr>
        <w:t>2%，电网高峰负荷削峰能力达到最高用电负荷3%至5%。天然气和成品油储备达到国家要求。基本完成全市燃煤锅炉清洁改造。形成反应快速、处置高效应急保障体系。</w:t>
      </w:r>
    </w:p>
    <w:p>
      <w:pPr>
        <w:pStyle w:val="58"/>
        <w:ind w:firstLine="640"/>
        <w:rPr>
          <w:rFonts w:ascii="Times New Roman" w:hAnsi="Times New Roman"/>
          <w:sz w:val="32"/>
        </w:rPr>
      </w:pPr>
      <w:r>
        <w:rPr>
          <w:rFonts w:ascii="Times New Roman" w:hAnsi="Times New Roman"/>
          <w:sz w:val="32"/>
        </w:rPr>
        <w:t>展望2035年，全市能源高质量发展取得决定性进展，全面建成坚强韧性、绿色低碳智慧能源体系，能源利用效率较“十四五”时期大幅提升，绿色低碳关键核心技术推广应用实现重大突破，城乡用能服务差异进一步减小。全市能源消费总量进入达峰平台期。</w:t>
      </w:r>
    </w:p>
    <w:p>
      <w:pPr>
        <w:pStyle w:val="124"/>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pStyle w:val="4"/>
        <w:rPr>
          <w:rFonts w:ascii="Times New Roman"/>
          <w:sz w:val="40"/>
        </w:rPr>
      </w:pPr>
      <w:bookmarkStart w:id="21" w:name="_Toc165901942"/>
      <w:r>
        <w:rPr>
          <w:rFonts w:ascii="Times New Roman"/>
          <w:sz w:val="40"/>
        </w:rPr>
        <w:t>第三章  重点任务</w:t>
      </w:r>
      <w:bookmarkEnd w:id="21"/>
    </w:p>
    <w:p>
      <w:pPr>
        <w:pStyle w:val="5"/>
        <w:rPr>
          <w:sz w:val="36"/>
        </w:rPr>
      </w:pPr>
      <w:bookmarkStart w:id="22" w:name="_Toc165901943"/>
      <w:r>
        <w:rPr>
          <w:sz w:val="36"/>
        </w:rPr>
        <w:t>第一节  建设绿色低碳的能源供应系统</w:t>
      </w:r>
      <w:bookmarkEnd w:id="22"/>
    </w:p>
    <w:p>
      <w:pPr>
        <w:pStyle w:val="58"/>
        <w:ind w:firstLine="640"/>
        <w:rPr>
          <w:rFonts w:ascii="Times New Roman" w:hAnsi="Times New Roman"/>
          <w:sz w:val="32"/>
        </w:rPr>
      </w:pPr>
      <w:r>
        <w:rPr>
          <w:rFonts w:ascii="Times New Roman" w:hAnsi="Times New Roman"/>
          <w:sz w:val="32"/>
        </w:rPr>
        <w:t>坚持因地制宜的发展思路，推动可再生能源有序利用，逐步扩大可再生能源发电规模，优化能源结构。结合我市资源条件大力发展光伏发电，推进陆上风电、抽水蓄能项目建设，提升电力系统调节能力，大力促进能源绿色低碳转型。</w:t>
      </w:r>
    </w:p>
    <w:p>
      <w:pPr>
        <w:pStyle w:val="6"/>
        <w:numPr>
          <w:ilvl w:val="0"/>
          <w:numId w:val="5"/>
        </w:numPr>
      </w:pPr>
      <w:r>
        <w:rPr>
          <w:sz w:val="32"/>
        </w:rPr>
        <w:t>大力发展光伏发电</w:t>
      </w:r>
    </w:p>
    <w:p>
      <w:pPr>
        <w:pStyle w:val="177"/>
        <w:spacing w:before="240" w:after="120"/>
        <w:rPr>
          <w:color w:val="auto"/>
        </w:rPr>
      </w:pPr>
      <w:r>
        <w:t>坚持集中式和分布式并举，优先发展分布式，有序开发集中式，大力提升光伏发电规</w:t>
      </w:r>
      <w:r>
        <w:rPr>
          <w:color w:val="auto"/>
        </w:rPr>
        <w:t>模</w:t>
      </w:r>
      <w:r>
        <w:rPr>
          <w:rFonts w:hint="eastAsia"/>
          <w:color w:val="auto"/>
        </w:rPr>
        <w:t>，保障我市未来社会经济发展和大数据产业发展用电需求</w:t>
      </w:r>
      <w:r>
        <w:rPr>
          <w:color w:val="auto"/>
        </w:rPr>
        <w:t>。“十四五”期间新增浈江犁市光伏、始兴马市光伏、南雄古市光</w:t>
      </w:r>
      <w:r>
        <w:t>伏等一批光伏发电项目。到2025年，光伏发电装机规模达到300万千瓦左右；“十五五”期间，大力推进</w:t>
      </w:r>
      <w:r>
        <w:rPr>
          <w:rFonts w:hint="eastAsia"/>
          <w:lang w:eastAsia="zh-CN"/>
        </w:rPr>
        <w:t>分布式光伏项目建设，</w:t>
      </w:r>
      <w:r>
        <w:t>至2030年，光伏发电装机规模争取突破700万千瓦。至2035年，光伏发电装机规模争取达到800万千瓦。</w:t>
      </w:r>
    </w:p>
    <w:p>
      <w:pPr>
        <w:pStyle w:val="177"/>
        <w:spacing w:before="240" w:after="120"/>
        <w:ind w:firstLine="643"/>
      </w:pPr>
      <w:r>
        <w:rPr>
          <w:b/>
        </w:rPr>
        <w:t>统筹推进屋顶光伏建设。</w:t>
      </w:r>
      <w:r>
        <w:t>综合屋顶资源产权归属、开发难易度、项目成熟度等情况，集中资源推进党政机关、学校、大型场馆等公共机构屋顶光伏开发。结合新型城镇化建设、旧城镇改造、新农村建设等工作，在有条件的村镇，采取“政府引导、企业自愿、金融支持、社会参与”的方式，推动构建以光伏为主的新能源微能网，提升村镇用能清洁化、电气化水平，探索开展屋顶光伏开发试点村镇和样板工程，以点带面形成若干光伏小镇、光伏新村的开发建设，实现居民的“阳光收益”，支撑乡村振兴和“百千万工程”落地落实。</w:t>
      </w:r>
    </w:p>
    <w:p>
      <w:pPr>
        <w:pStyle w:val="177"/>
        <w:spacing w:before="240" w:after="120"/>
        <w:ind w:firstLine="643"/>
        <w:rPr>
          <w:color w:val="auto"/>
        </w:rPr>
      </w:pPr>
      <w:r>
        <w:rPr>
          <w:b/>
          <w:color w:val="auto"/>
        </w:rPr>
        <w:t>积极拓宽光伏多元化应用场景。</w:t>
      </w:r>
      <w:r>
        <w:rPr>
          <w:color w:val="auto"/>
        </w:rPr>
        <w:t>大力推进光伏建筑一体化建设，积极推动光伏与道路交通、5G基站、大数据中心、充电桩等基础设施建设的融合，探索光伏发电和新能源汽车融合应用。积极发展以光伏为主的微电网、直流配电网，扩大分布式光伏终端直接应用规模。在边远山区，结合新型储能，构建基于高比例新能源的独立供电系统，推动新能源直接应用。</w:t>
      </w:r>
    </w:p>
    <w:p>
      <w:pPr>
        <w:pStyle w:val="6"/>
        <w:rPr>
          <w:sz w:val="32"/>
        </w:rPr>
      </w:pPr>
      <w:r>
        <w:rPr>
          <w:sz w:val="32"/>
        </w:rPr>
        <w:t>适度开发陆上风电</w:t>
      </w:r>
    </w:p>
    <w:p>
      <w:pPr>
        <w:pStyle w:val="177"/>
        <w:spacing w:before="240" w:after="120"/>
      </w:pPr>
      <w:r>
        <w:t>坚持统筹规划、集散并举、有效利用的原则，有序推进风电的就地开发和高效利用。在有效保护国家重点生态功能区的基础上，充分发挥风能资源优势，积极推动陆上风电资源规模化开发。到2025年，风电总装机规模力争达到100万千瓦；到2030年，风电总装机规模达到400万千瓦；到2035年，风电总装机规模保持400万千瓦。</w:t>
      </w:r>
    </w:p>
    <w:p>
      <w:pPr>
        <w:pStyle w:val="177"/>
        <w:spacing w:before="240" w:after="120"/>
        <w:ind w:firstLine="643"/>
      </w:pPr>
      <w:r>
        <w:rPr>
          <w:b/>
        </w:rPr>
        <w:t>适度开发集中式陆上风电项目。</w:t>
      </w:r>
      <w:r>
        <w:rPr>
          <w:color w:val="auto"/>
        </w:rPr>
        <w:t>积极推进丰源风电、内石山风电、亚婆髻风电等已核准存量项目建设，推动项目用林、用地、环评等审批工作。在节约资源和保护环境的前提下，适度推进同福风电、坝仔风电、梅花风电等集中式优质风电项目开发建设。</w:t>
      </w:r>
    </w:p>
    <w:p>
      <w:pPr>
        <w:pStyle w:val="177"/>
        <w:spacing w:before="240" w:after="120"/>
        <w:ind w:firstLine="643"/>
        <w:rPr>
          <w:color w:val="auto"/>
        </w:rPr>
      </w:pPr>
      <w:r>
        <w:rPr>
          <w:b/>
          <w:color w:val="auto"/>
        </w:rPr>
        <w:t>有序发展分散式陆上风电。</w:t>
      </w:r>
      <w:r>
        <w:rPr>
          <w:color w:val="auto"/>
        </w:rPr>
        <w:t>有序发展符合技术规范要求且具备就近消纳条件的分散式风电项目，推动项目纳入省级专项规划。结合工业园区、特色小镇、美丽乡村、生态旅游等建设，鼓励因地制宜建设中小型风电项目，综合考虑资源、土地、交通以及自然环境等建设条件，充分利用电网现有变电站和线路，建设就近接入、就地消纳的分散式风电项目。</w:t>
      </w:r>
    </w:p>
    <w:p>
      <w:pPr>
        <w:pStyle w:val="6"/>
        <w:rPr>
          <w:sz w:val="32"/>
        </w:rPr>
      </w:pPr>
      <w:r>
        <w:rPr>
          <w:sz w:val="32"/>
        </w:rPr>
        <w:t>稳步推进生物质能</w:t>
      </w:r>
    </w:p>
    <w:p>
      <w:pPr>
        <w:pStyle w:val="177"/>
        <w:spacing w:before="240" w:after="120"/>
        <w:ind w:firstLine="643"/>
        <w:rPr>
          <w:b/>
        </w:rPr>
      </w:pPr>
      <w:r>
        <w:rPr>
          <w:b/>
        </w:rPr>
        <w:t>加强生活垃圾焚烧发电设施建设。</w:t>
      </w:r>
      <w:r>
        <w:t>统筹规划生活垃圾焚烧处理设施布局，在合理选择建设地址、有效控制污染物排放和落实环保措施的前提下，高质量建设垃圾发电项目，提升生活垃圾焚烧发电占比，</w:t>
      </w:r>
      <w:r>
        <w:rPr>
          <w:bCs/>
        </w:rPr>
        <w:t>推动生活垃圾的资源化利用。加快应用现代垃圾焚烧处理及污染防治技术，提高垃圾焚烧发电环保水平，加强宣传和舆论引导，避免和减少邻避效应。</w:t>
      </w:r>
      <w:r>
        <w:t>推进翁源县新建垃圾焚烧发电厂、曲江区将军岭垃圾发电厂扩建工程的前期工作。</w:t>
      </w:r>
    </w:p>
    <w:p>
      <w:pPr>
        <w:pStyle w:val="58"/>
        <w:ind w:firstLine="643"/>
        <w:rPr>
          <w:rFonts w:ascii="Times New Roman" w:hAnsi="Times New Roman"/>
          <w:sz w:val="32"/>
        </w:rPr>
      </w:pPr>
      <w:r>
        <w:rPr>
          <w:rFonts w:ascii="Times New Roman" w:hAnsi="Times New Roman"/>
          <w:b/>
          <w:sz w:val="32"/>
        </w:rPr>
        <w:t>稳步发展生物质发电。</w:t>
      </w:r>
      <w:r>
        <w:rPr>
          <w:rFonts w:ascii="Times New Roman" w:hAnsi="Times New Roman"/>
          <w:sz w:val="32"/>
        </w:rPr>
        <w:t>按照因地制宜、统筹兼顾、综合利用、提高效率的思路，在农林资源丰富的武江区、南雄市等区域，合理规划布局生物质发电项目，提高生物质能利用效率和效益。鼓励采用高参数蒸汽循环发电技术，提高能源转化效率。推动生物质气化技术多元化发展，鼓励企业采用包括气化、热解、发酵制沼气等先进气化技术，督促实施燃气净化环保工艺。在畜禽养殖集中区积极推进建设生物天然气工程。</w:t>
      </w:r>
    </w:p>
    <w:p>
      <w:pPr>
        <w:pStyle w:val="6"/>
      </w:pPr>
      <w:r>
        <w:t>推进储能电站建设</w:t>
      </w:r>
    </w:p>
    <w:p>
      <w:pPr>
        <w:pStyle w:val="58"/>
        <w:ind w:firstLine="643"/>
        <w:rPr>
          <w:rFonts w:ascii="Times New Roman" w:hAnsi="Times New Roman"/>
          <w:sz w:val="32"/>
        </w:rPr>
      </w:pPr>
      <w:r>
        <w:rPr>
          <w:rFonts w:ascii="Times New Roman" w:hAnsi="Times New Roman"/>
          <w:b/>
          <w:sz w:val="32"/>
        </w:rPr>
        <w:t>加快抽水蓄能电站建设</w:t>
      </w:r>
      <w:r>
        <w:rPr>
          <w:rFonts w:ascii="Times New Roman" w:hAnsi="Times New Roman"/>
          <w:sz w:val="32"/>
        </w:rPr>
        <w:t>。提升新型电力系统对高比例可再生能源的适应能力，促进新能源发展，有效缓解电网调峰压力。加快推进已纳入国家《抽水蓄能中长期发展规划（2021-2035年）》的新丰、乐昌抽水蓄能电站项目开工建设；推动条件较为成熟的始兴山口、乳源、仁化</w:t>
      </w:r>
      <w:r>
        <w:rPr>
          <w:rFonts w:hint="eastAsia" w:ascii="Times New Roman" w:hAnsi="Times New Roman"/>
          <w:sz w:val="32"/>
        </w:rPr>
        <w:t>、翁源</w:t>
      </w:r>
      <w:r>
        <w:rPr>
          <w:rFonts w:ascii="Times New Roman" w:hAnsi="Times New Roman"/>
          <w:sz w:val="32"/>
        </w:rPr>
        <w:t>等抽水蓄能项目纳入国家抽水蓄能中长期发展相关规划。充分挖掘境内丰富的小水电资源，推进小型抽水蓄能建设、小微型抽水蓄能示范和水电梯级融合改造，利用小型水库及水电站的上下级固有落差，形成以上库、下库天然立体构造，因地制宜建设及改造小型抽水蓄能电站，探索与分布式发电结合的小微型抽水蓄能电站建设的互融互促模式，提升新能源融合发展、促一体化运行。到2025年，抽水蓄能争取开工建设240万千瓦，争取2030年前后，建成投产抽水蓄能电站240万千瓦。</w:t>
      </w:r>
    </w:p>
    <w:p>
      <w:pPr>
        <w:pStyle w:val="177"/>
        <w:spacing w:before="240" w:after="120"/>
        <w:ind w:firstLine="643"/>
        <w:rPr>
          <w:rFonts w:ascii="Times New Roman" w:hAnsi="Times New Roman"/>
          <w:sz w:val="32"/>
        </w:rPr>
      </w:pPr>
      <w:r>
        <w:rPr>
          <w:rFonts w:eastAsia="仿宋"/>
          <w:b/>
        </w:rPr>
        <w:t>促进新型储能应用示范</w:t>
      </w:r>
      <w:r>
        <w:rPr>
          <w:rFonts w:eastAsia="仿宋"/>
        </w:rPr>
        <w:t>。</w:t>
      </w:r>
      <w:r>
        <w:t>落实完善新能源场站配套新型储能要求，发挥储能对于扩大新能源消纳、促进新能源发展的效益，提升新能源并网友好性。根据省和国家、行业对新能源场站储能配置要求，在新能源富集的乐昌、南雄、仁化、始兴、乳</w:t>
      </w:r>
      <w:r>
        <w:rPr>
          <w:color w:val="auto"/>
        </w:rPr>
        <w:t>源</w:t>
      </w:r>
      <w:r>
        <w:rPr>
          <w:rFonts w:hint="eastAsia"/>
          <w:color w:val="auto"/>
        </w:rPr>
        <w:t>、翁源</w:t>
      </w:r>
      <w:r>
        <w:rPr>
          <w:color w:val="auto"/>
        </w:rPr>
        <w:t>等地区</w:t>
      </w:r>
      <w:r>
        <w:t>布局一批独立共享储能电站，为近区新能源提供租赁服务，提高新能源消纳率及系统安全运行水平，提升新能源电力的可持续性与可控性。独立共享储能电站接入点应在新能源场站公共并网点或有多个新能源场站接入的公共汇集点，单个项目规模可控制在约15万千瓦。</w:t>
      </w:r>
      <w:r>
        <w:rPr>
          <w:color w:val="auto"/>
        </w:rPr>
        <w:t>鼓励社会资本参与储能项目投资、建设、运营，逐步引导储能系统参与现货市场交易，参与多类型电力辅助服务，通过销售稀缺性、高价值的电能资源实现经济收益提升。充分发挥储能调峰调频、应急备用、容量支撑等多元功能，促进储能在电源侧及电网侧灵活调节场景应用。利用韶关储能产业集群优势，创新探索新型储能技术与电力系统融合发展的新场景，推动多元化储能技术开发及示范应用。到2025年，力争新能源发电项目配建新型储能规模达到30万千瓦以上；至2030年，建成新型储能规模达到100万千瓦以上；至2035年，建成新型储能规模达到120万千瓦。</w:t>
      </w:r>
    </w:p>
    <w:p>
      <w:pPr>
        <w:pStyle w:val="6"/>
        <w:rPr>
          <w:sz w:val="32"/>
        </w:rPr>
      </w:pPr>
      <w:r>
        <w:rPr>
          <w:sz w:val="32"/>
        </w:rPr>
        <w:t>积极开发地热能资源</w:t>
      </w:r>
    </w:p>
    <w:p>
      <w:pPr>
        <w:spacing w:before="240" w:after="120"/>
        <w:ind w:firstLine="642" w:firstLineChars="200"/>
        <w:rPr>
          <w:rFonts w:eastAsia="仿宋_GB2312"/>
          <w:sz w:val="32"/>
          <w:szCs w:val="30"/>
        </w:rPr>
      </w:pPr>
      <w:r>
        <w:rPr>
          <w:rFonts w:eastAsia="仿宋_GB2312"/>
          <w:b/>
          <w:sz w:val="32"/>
          <w:szCs w:val="30"/>
        </w:rPr>
        <w:t>积极探索地热能开发利用。</w:t>
      </w:r>
      <w:r>
        <w:rPr>
          <w:rFonts w:eastAsia="仿宋_GB2312"/>
          <w:sz w:val="32"/>
          <w:szCs w:val="30"/>
        </w:rPr>
        <w:t>开展地热能资源发展潜力勘查和评价，做好地热能开发利用与</w:t>
      </w:r>
      <w:r>
        <w:rPr>
          <w:rFonts w:hint="eastAsia" w:eastAsia="仿宋_GB2312"/>
          <w:sz w:val="32"/>
          <w:szCs w:val="30"/>
        </w:rPr>
        <w:t>国土空间</w:t>
      </w:r>
      <w:r>
        <w:rPr>
          <w:rFonts w:eastAsia="仿宋_GB2312"/>
          <w:sz w:val="32"/>
          <w:szCs w:val="30"/>
        </w:rPr>
        <w:t>规划相衔接，加大浅层地热能开发利用推广力度，推广地热能与集中供热、制冷、燃机发电等方面综合应用。在地热温度普遍大于65摄氏度的曲江、翁源、新丰地区探索地热发电的可行性。充分利用地热资源进行制冷成熟且高效的技术，对浈江、曲江、南雄、始兴等地热温度普遍位于浅层50-65摄氏度的地热能进行制冷开发，聚焦韶关数据中心集群起步区，探索利用地热能为数据中心机房降温，打造地热高质量开发利用的“韶关模式”。在仁化、乳源等地热温度普遍低于50摄氏度的地区，挖掘温泉、干燥等综合利用项目开发潜力。</w:t>
      </w:r>
    </w:p>
    <w:p>
      <w:pPr>
        <w:pStyle w:val="5"/>
      </w:pPr>
      <w:bookmarkStart w:id="23" w:name="_Toc165901944"/>
      <w:r>
        <w:t>第二节  夯实安全可靠的能源保障基础</w:t>
      </w:r>
      <w:bookmarkEnd w:id="23"/>
    </w:p>
    <w:p>
      <w:pPr>
        <w:pStyle w:val="58"/>
        <w:ind w:firstLine="640"/>
        <w:rPr>
          <w:rFonts w:ascii="Times New Roman" w:hAnsi="Times New Roman"/>
          <w:sz w:val="32"/>
        </w:rPr>
      </w:pPr>
      <w:r>
        <w:rPr>
          <w:rFonts w:ascii="Times New Roman" w:hAnsi="Times New Roman"/>
          <w:sz w:val="32"/>
        </w:rPr>
        <w:t>以保障能源安全为核心要务，推进能源基础设施建设，提升能源储备能力，夯实能源供应保障基础，不断加强能源供应保障，推进建立能源多元供应体系，打造多渠道、多层次、安全可靠的能源保障体系。</w:t>
      </w:r>
    </w:p>
    <w:p>
      <w:pPr>
        <w:pStyle w:val="6"/>
        <w:numPr>
          <w:ilvl w:val="0"/>
          <w:numId w:val="6"/>
        </w:numPr>
        <w:rPr>
          <w:sz w:val="32"/>
        </w:rPr>
      </w:pPr>
      <w:r>
        <w:rPr>
          <w:sz w:val="32"/>
        </w:rPr>
        <w:t>推进煤电高质量发展</w:t>
      </w:r>
    </w:p>
    <w:p>
      <w:pPr>
        <w:pStyle w:val="58"/>
        <w:ind w:firstLine="640"/>
        <w:rPr>
          <w:rFonts w:ascii="Times New Roman" w:hAnsi="Times New Roman"/>
          <w:bCs/>
          <w:color w:val="000000" w:themeColor="text1"/>
          <w:sz w:val="32"/>
          <w:szCs w:val="32"/>
          <w14:textFill>
            <w14:solidFill>
              <w14:schemeClr w14:val="tx1"/>
            </w14:solidFill>
          </w14:textFill>
        </w:rPr>
      </w:pPr>
      <w:r>
        <w:rPr>
          <w:rFonts w:ascii="Times New Roman" w:hAnsi="Times New Roman"/>
          <w:bCs/>
          <w:color w:val="000000" w:themeColor="text1"/>
          <w:sz w:val="32"/>
          <w:szCs w:val="32"/>
          <w14:textFill>
            <w14:solidFill>
              <w14:schemeClr w14:val="tx1"/>
            </w14:solidFill>
          </w14:textFill>
        </w:rPr>
        <w:t>立足我国“富煤、缺油、少气”的基本国情，发挥煤炭在能源结构中的压舱石作用，深入推进煤电清洁、高效、灵活、智能化发展。把握广东省新增一批支撑性和调节性煤电契机，根据发展需要合理建设先进煤电，大力实施煤电节能降碳改造、灵活性改造、供热改造，积极谋划韶关电厂“上大压小”前期工作。发挥煤电托底保障作用。推进国粤韶关电厂二期首台（套）重大技术装备“70</w:t>
      </w:r>
      <w:r>
        <w:rPr>
          <w:rFonts w:hint="eastAsia" w:ascii="Times New Roman" w:hAnsi="Times New Roman"/>
          <w:bCs/>
          <w:color w:val="000000" w:themeColor="text1"/>
          <w:sz w:val="32"/>
          <w:szCs w:val="32"/>
          <w14:textFill>
            <w14:solidFill>
              <w14:schemeClr w14:val="tx1"/>
            </w14:solidFill>
          </w14:textFill>
        </w:rPr>
        <w:t>万千</w:t>
      </w:r>
      <w:r>
        <w:rPr>
          <w:rFonts w:ascii="Times New Roman" w:hAnsi="Times New Roman"/>
          <w:bCs/>
          <w:color w:val="000000" w:themeColor="text1"/>
          <w:sz w:val="32"/>
          <w:szCs w:val="32"/>
          <w14:textFill>
            <w14:solidFill>
              <w14:schemeClr w14:val="tx1"/>
            </w14:solidFill>
          </w14:textFill>
        </w:rPr>
        <w:t>瓦超超临界循环流化床锅炉”示范应用依托工程，提升电力供应保障能力。</w:t>
      </w:r>
    </w:p>
    <w:p>
      <w:pPr>
        <w:pStyle w:val="6"/>
        <w:numPr>
          <w:ilvl w:val="0"/>
          <w:numId w:val="6"/>
        </w:numPr>
      </w:pPr>
      <w:r>
        <w:t>适度发展天然气热电联产</w:t>
      </w:r>
    </w:p>
    <w:p>
      <w:pPr>
        <w:spacing w:before="240" w:after="120"/>
        <w:ind w:firstLine="602" w:firstLineChars="200"/>
        <w:rPr>
          <w:szCs w:val="30"/>
        </w:rPr>
      </w:pPr>
      <w:r>
        <w:rPr>
          <w:rFonts w:eastAsia="仿宋_GB2312"/>
          <w:b/>
          <w:sz w:val="30"/>
          <w:szCs w:val="30"/>
        </w:rPr>
        <w:t>按照“以热定电”原则发展天然气热电联产。</w:t>
      </w:r>
      <w:r>
        <w:rPr>
          <w:rFonts w:eastAsia="仿宋_GB2312"/>
          <w:sz w:val="30"/>
          <w:szCs w:val="30"/>
        </w:rPr>
        <w:t>以供热为主确定天然气热电联产项目布局和建设规模，推进乳源县高新技术产业开发区天然气热电联产项目开发建设，为高新区园区提供良好的电力和供热负荷供应基础保障，进一步提高地区清洁能源水平。</w:t>
      </w:r>
    </w:p>
    <w:p>
      <w:pPr>
        <w:pStyle w:val="6"/>
        <w:numPr>
          <w:ilvl w:val="0"/>
          <w:numId w:val="6"/>
        </w:numPr>
        <w:rPr>
          <w:sz w:val="32"/>
        </w:rPr>
      </w:pPr>
      <w:r>
        <w:rPr>
          <w:sz w:val="32"/>
        </w:rPr>
        <w:t>提高天然气供应保障能力</w:t>
      </w:r>
    </w:p>
    <w:p>
      <w:pPr>
        <w:pStyle w:val="58"/>
        <w:ind w:firstLine="640"/>
        <w:rPr>
          <w:rFonts w:ascii="Times New Roman" w:hAnsi="Times New Roman"/>
          <w:sz w:val="32"/>
        </w:rPr>
      </w:pPr>
      <w:r>
        <w:rPr>
          <w:rFonts w:ascii="Times New Roman" w:hAnsi="Times New Roman"/>
          <w:sz w:val="32"/>
        </w:rPr>
        <w:t>以我市天然气需求分布为导向，结合广东省天然气输配网络，加快市域天然气管道规划布局。规划建设乐昌天然气支干线（乐昌支线及坪石镇支线）、乳源支干线（韶关-乳源项目）、仁化支线、始兴支线、南雄支线、曲江支线、翁源支线、新丰专线等8条“县县通”工程管道，提升资源保障能力，实现我市天然气主干管网“县县通”。按照政府储备与企业储备相结合、储备与产供储销协同发展的原则，加强天然气储备能力建设。</w:t>
      </w:r>
    </w:p>
    <w:p>
      <w:pPr>
        <w:pStyle w:val="9"/>
        <w:rPr>
          <w:rFonts w:ascii="Times New Roman" w:hAnsi="Times New Roman" w:eastAsia="仿宋"/>
        </w:rPr>
      </w:pPr>
      <w:r>
        <w:rPr>
          <w:rFonts w:ascii="Times New Roman" w:hAnsi="Times New Roman" w:eastAsia="仿宋"/>
        </w:rPr>
        <w:t>专栏 韶关市天然气供应重点建设工程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pStyle w:val="7"/>
              <w:keepNext w:val="0"/>
              <w:keepLines w:val="0"/>
              <w:widowControl w:val="0"/>
              <w:spacing w:before="0" w:beforeLines="0" w:after="0" w:afterLines="0" w:line="440" w:lineRule="exact"/>
              <w:ind w:firstLine="0" w:firstLineChars="0"/>
              <w:outlineLvl w:val="3"/>
              <w:rPr>
                <w:rFonts w:eastAsia="仿宋"/>
                <w:sz w:val="32"/>
              </w:rPr>
            </w:pPr>
            <w:r>
              <w:rPr>
                <w:b w:val="0"/>
              </w:rPr>
              <w:t>建设乐昌天然气支干线（乐昌支线及坪石镇支线）、乳源支干线（韶关-乳源项目）、仁化支线、始兴支线、南雄支线、曲江支线、翁源支线、新丰专线等8条“县县通”工程管道。</w:t>
            </w:r>
          </w:p>
        </w:tc>
      </w:tr>
    </w:tbl>
    <w:p>
      <w:pPr>
        <w:pStyle w:val="6"/>
        <w:numPr>
          <w:ilvl w:val="0"/>
          <w:numId w:val="6"/>
        </w:numPr>
        <w:rPr>
          <w:sz w:val="32"/>
        </w:rPr>
      </w:pPr>
      <w:r>
        <w:rPr>
          <w:sz w:val="32"/>
        </w:rPr>
        <w:t>保障清洁油品安全稳定</w:t>
      </w:r>
    </w:p>
    <w:p>
      <w:pPr>
        <w:pStyle w:val="58"/>
        <w:ind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加强加油站行业发展的宏观调控和管理，逐步建立起与我市社会经济发展相适应、满足消费需要、布局合理、竞争有序、功能完善、安全高效的成品油分销体系。优化加油站点布局，完善零售终端服务功能，促进行业发展平稳有序。“十四五”规划增加油站布点74座（含单列的23座偏远乡镇站布点），到2025年，规划全市加油站296座（不含高速公路加油站）。</w:t>
      </w:r>
    </w:p>
    <w:p>
      <w:pPr>
        <w:pStyle w:val="9"/>
        <w:rPr>
          <w:rFonts w:ascii="Times New Roman" w:hAnsi="Times New Roman"/>
        </w:rPr>
      </w:pPr>
      <w:r>
        <w:rPr>
          <w:rFonts w:ascii="Times New Roman" w:hAnsi="Times New Roman"/>
        </w:rPr>
        <w:t>专栏 韶关市油品供应重点建设工程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pStyle w:val="7"/>
              <w:keepNext w:val="0"/>
              <w:keepLines w:val="0"/>
              <w:widowControl w:val="0"/>
              <w:spacing w:before="0" w:beforeLines="0" w:after="0" w:afterLines="0" w:line="440" w:lineRule="exact"/>
              <w:ind w:firstLine="0" w:firstLineChars="0"/>
              <w:outlineLvl w:val="3"/>
              <w:rPr>
                <w:b w:val="0"/>
              </w:rPr>
            </w:pPr>
            <w:r>
              <w:rPr>
                <w:b w:val="0"/>
              </w:rPr>
              <w:t>1. 韶关城区（武江区、浈江区、曲江区）：建设25座加油站。</w:t>
            </w:r>
          </w:p>
          <w:p>
            <w:pPr>
              <w:pStyle w:val="7"/>
              <w:keepNext w:val="0"/>
              <w:keepLines w:val="0"/>
              <w:widowControl w:val="0"/>
              <w:spacing w:before="0" w:beforeLines="0" w:after="0" w:afterLines="0" w:line="440" w:lineRule="exact"/>
              <w:ind w:firstLine="0" w:firstLineChars="0"/>
              <w:outlineLvl w:val="3"/>
              <w:rPr>
                <w:b w:val="0"/>
              </w:rPr>
            </w:pPr>
            <w:r>
              <w:rPr>
                <w:b w:val="0"/>
              </w:rPr>
              <w:t>2. 乐昌市：建设9座加油站。</w:t>
            </w:r>
          </w:p>
          <w:p>
            <w:pPr>
              <w:pStyle w:val="7"/>
              <w:keepNext w:val="0"/>
              <w:keepLines w:val="0"/>
              <w:widowControl w:val="0"/>
              <w:spacing w:before="0" w:beforeLines="0" w:after="0" w:afterLines="0" w:line="440" w:lineRule="exact"/>
              <w:ind w:firstLine="0" w:firstLineChars="0"/>
              <w:outlineLvl w:val="3"/>
              <w:rPr>
                <w:b w:val="0"/>
              </w:rPr>
            </w:pPr>
            <w:r>
              <w:rPr>
                <w:b w:val="0"/>
              </w:rPr>
              <w:t>3. 南雄市：建设5座加油站。</w:t>
            </w:r>
          </w:p>
          <w:p>
            <w:pPr>
              <w:pStyle w:val="7"/>
              <w:keepNext w:val="0"/>
              <w:keepLines w:val="0"/>
              <w:widowControl w:val="0"/>
              <w:spacing w:before="0" w:beforeLines="0" w:after="0" w:afterLines="0" w:line="440" w:lineRule="exact"/>
              <w:ind w:firstLine="0" w:firstLineChars="0"/>
              <w:outlineLvl w:val="3"/>
              <w:rPr>
                <w:b w:val="0"/>
              </w:rPr>
            </w:pPr>
            <w:r>
              <w:rPr>
                <w:b w:val="0"/>
              </w:rPr>
              <w:t>4. 仁化县：建设8座加油站。</w:t>
            </w:r>
          </w:p>
          <w:p>
            <w:pPr>
              <w:pStyle w:val="7"/>
              <w:keepNext w:val="0"/>
              <w:keepLines w:val="0"/>
              <w:widowControl w:val="0"/>
              <w:spacing w:before="0" w:beforeLines="0" w:after="0" w:afterLines="0" w:line="440" w:lineRule="exact"/>
              <w:ind w:firstLine="0" w:firstLineChars="0"/>
              <w:outlineLvl w:val="3"/>
              <w:rPr>
                <w:b w:val="0"/>
              </w:rPr>
            </w:pPr>
            <w:r>
              <w:rPr>
                <w:b w:val="0"/>
              </w:rPr>
              <w:t>5. 乳源县：建设6座加油站。</w:t>
            </w:r>
          </w:p>
          <w:p>
            <w:pPr>
              <w:pStyle w:val="7"/>
              <w:keepNext w:val="0"/>
              <w:keepLines w:val="0"/>
              <w:widowControl w:val="0"/>
              <w:spacing w:before="0" w:beforeLines="0" w:after="0" w:afterLines="0" w:line="440" w:lineRule="exact"/>
              <w:ind w:firstLine="0" w:firstLineChars="0"/>
              <w:outlineLvl w:val="3"/>
              <w:rPr>
                <w:b w:val="0"/>
              </w:rPr>
            </w:pPr>
            <w:r>
              <w:rPr>
                <w:b w:val="0"/>
              </w:rPr>
              <w:t>6. 始兴县：建设11座加油站。</w:t>
            </w:r>
          </w:p>
          <w:p>
            <w:pPr>
              <w:pStyle w:val="7"/>
              <w:keepNext w:val="0"/>
              <w:keepLines w:val="0"/>
              <w:widowControl w:val="0"/>
              <w:spacing w:before="0" w:beforeLines="0" w:after="0" w:afterLines="0" w:line="440" w:lineRule="exact"/>
              <w:ind w:firstLine="0" w:firstLineChars="0"/>
              <w:outlineLvl w:val="3"/>
              <w:rPr>
                <w:b w:val="0"/>
              </w:rPr>
            </w:pPr>
            <w:r>
              <w:rPr>
                <w:b w:val="0"/>
              </w:rPr>
              <w:t>7. 翁源县：建设7座加油站。</w:t>
            </w:r>
          </w:p>
          <w:p>
            <w:pPr>
              <w:pStyle w:val="7"/>
              <w:keepNext w:val="0"/>
              <w:keepLines w:val="0"/>
              <w:widowControl w:val="0"/>
              <w:spacing w:before="0" w:beforeLines="0" w:after="0" w:afterLines="0" w:line="440" w:lineRule="exact"/>
              <w:ind w:firstLine="0" w:firstLineChars="0"/>
              <w:outlineLvl w:val="3"/>
              <w:rPr>
                <w:rFonts w:eastAsia="仿宋"/>
                <w:sz w:val="32"/>
                <w:szCs w:val="32"/>
              </w:rPr>
            </w:pPr>
            <w:r>
              <w:rPr>
                <w:b w:val="0"/>
              </w:rPr>
              <w:t>8. 新丰县：建设3座加油站。</w:t>
            </w:r>
          </w:p>
        </w:tc>
      </w:tr>
    </w:tbl>
    <w:p>
      <w:pPr>
        <w:pStyle w:val="58"/>
        <w:ind w:firstLine="0" w:firstLineChars="0"/>
        <w:rPr>
          <w:rFonts w:ascii="Times New Roman" w:hAnsi="Times New Roman"/>
          <w:sz w:val="32"/>
          <w:szCs w:val="32"/>
        </w:rPr>
      </w:pPr>
    </w:p>
    <w:p>
      <w:pPr>
        <w:pStyle w:val="6"/>
        <w:numPr>
          <w:ilvl w:val="0"/>
          <w:numId w:val="6"/>
        </w:numPr>
        <w:rPr>
          <w:sz w:val="32"/>
        </w:rPr>
      </w:pPr>
      <w:r>
        <w:rPr>
          <w:sz w:val="32"/>
        </w:rPr>
        <w:t>建设坚强可靠的电网结构</w:t>
      </w:r>
    </w:p>
    <w:p>
      <w:pPr>
        <w:pStyle w:val="58"/>
        <w:ind w:firstLine="643"/>
        <w:rPr>
          <w:rFonts w:ascii="Times New Roman" w:hAnsi="Times New Roman"/>
          <w:sz w:val="32"/>
        </w:rPr>
      </w:pPr>
      <w:r>
        <w:rPr>
          <w:rFonts w:ascii="Times New Roman" w:hAnsi="Times New Roman"/>
          <w:b/>
          <w:sz w:val="32"/>
        </w:rPr>
        <w:t>优化主网结构</w:t>
      </w:r>
      <w:r>
        <w:rPr>
          <w:rFonts w:ascii="Times New Roman" w:hAnsi="Times New Roman"/>
          <w:sz w:val="32"/>
        </w:rPr>
        <w:t>。</w:t>
      </w:r>
      <w:r>
        <w:rPr>
          <w:rFonts w:ascii="Times New Roman" w:hAnsi="Times New Roman"/>
          <w:sz w:val="32"/>
          <w:szCs w:val="32"/>
        </w:rPr>
        <w:t>强化送受端地区网架结构，提升电网基础设施支撑能力，在乐昌和始兴统筹配套风电和光伏发电基地，提升韶关现有曲江至花都、丹霞至库湾的500千伏外送通道新能源电量输送比例，推动新能源在珠三角地区消纳。提升基础设施利用率，推动既有火电“点对网”专用输电通道兼顾新能源送出。优化新建北电南送通道布局，加快建设500千伏始兴至国能清远电厂输电通道，形成韶关电力外送由北至南三大通道。</w:t>
      </w:r>
      <w:r>
        <w:rPr>
          <w:rFonts w:ascii="Times New Roman" w:hAnsi="Times New Roman"/>
          <w:sz w:val="32"/>
        </w:rPr>
        <w:t>“十四五”期间，规划新增500千伏主变容量150万千伏安，220千伏主变容量282万千伏安，110和35千伏降压变容量215万千伏安，线路145千米。220千伏电网逐步形成以500千伏变电站为中心、220千伏电源为支撑的链式或环网结构，110和35千伏电网实现以220千伏变电站为中心的放射形或环形开环供电的结构。110千伏及以上电网逐步实现分区供电模式，具备事故情况下相互支援能力。</w:t>
      </w:r>
    </w:p>
    <w:p>
      <w:pPr>
        <w:pStyle w:val="58"/>
        <w:ind w:firstLine="643"/>
        <w:rPr>
          <w:rFonts w:ascii="Times New Roman" w:hAnsi="Times New Roman"/>
          <w:sz w:val="32"/>
        </w:rPr>
      </w:pPr>
      <w:r>
        <w:rPr>
          <w:rFonts w:ascii="Times New Roman" w:hAnsi="Times New Roman"/>
          <w:b/>
          <w:sz w:val="32"/>
        </w:rPr>
        <w:t>完善配网建设</w:t>
      </w:r>
      <w:r>
        <w:rPr>
          <w:rFonts w:ascii="Times New Roman" w:hAnsi="Times New Roman"/>
          <w:sz w:val="32"/>
        </w:rPr>
        <w:t>。基本消除老旧居民小区配电网安全隐患，提高居民用电质量。推动配电网扩容改造和智能化升级，提升配电网柔性开放接入能力、灵活控制能力和抗扰动能力。“十四五”期间，规划新建10千伏线路3097千米，0.4千伏线路约40千米，新建及改造公用配电站124座，容量共计约32万千伏安。完善各电网节点变电站及线路，并形成合理的配电网结构。城市供电可靠性达到99.9%以上。到2025年，初步构建适应新能源并网和多元负荷互动需要的新型电力系统。到2035年，消纳新能源电力的能力大幅提升，支撑新能源消纳率保持100%。</w:t>
      </w:r>
    </w:p>
    <w:p>
      <w:pPr>
        <w:pStyle w:val="9"/>
        <w:rPr>
          <w:rFonts w:ascii="Times New Roman" w:hAnsi="Times New Roman" w:eastAsia="仿宋"/>
        </w:rPr>
      </w:pPr>
      <w:r>
        <w:rPr>
          <w:rFonts w:ascii="Times New Roman" w:hAnsi="Times New Roman" w:eastAsia="仿宋"/>
        </w:rPr>
        <w:t>专栏 韶关市220千伏及以上电网重点建设工程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tcPr>
          <w:p>
            <w:pPr>
              <w:pStyle w:val="7"/>
              <w:keepNext w:val="0"/>
              <w:keepLines w:val="0"/>
              <w:widowControl w:val="0"/>
              <w:spacing w:before="0" w:beforeLines="0" w:after="0" w:afterLines="0" w:line="440" w:lineRule="exact"/>
              <w:ind w:firstLine="0" w:firstLineChars="0"/>
              <w:outlineLvl w:val="3"/>
              <w:rPr>
                <w:b w:val="0"/>
              </w:rPr>
            </w:pPr>
            <w:r>
              <w:rPr>
                <w:b w:val="0"/>
              </w:rPr>
              <w:t>1. 500千伏输变电工程：推进500千伏乐昌汇集站新建工程、500千伏始兴汇集站新建工程建设。</w:t>
            </w:r>
          </w:p>
          <w:p>
            <w:pPr>
              <w:pStyle w:val="7"/>
              <w:keepNext w:val="0"/>
              <w:keepLines w:val="0"/>
              <w:widowControl w:val="0"/>
              <w:spacing w:before="0" w:beforeLines="0" w:after="0" w:afterLines="0" w:line="440" w:lineRule="exact"/>
              <w:ind w:firstLine="0" w:firstLineChars="0"/>
              <w:outlineLvl w:val="3"/>
              <w:rPr>
                <w:rFonts w:eastAsia="仿宋"/>
                <w:bCs w:val="0"/>
                <w:color w:val="000000" w:themeColor="text1"/>
                <w:sz w:val="24"/>
                <w:szCs w:val="32"/>
                <w14:textFill>
                  <w14:solidFill>
                    <w14:schemeClr w14:val="tx1"/>
                  </w14:solidFill>
                </w14:textFill>
              </w:rPr>
            </w:pPr>
            <w:r>
              <w:rPr>
                <w:b w:val="0"/>
              </w:rPr>
              <w:t>2. 220千伏输变电工程：推进韶关220千伏数据1输变电工程、国粤韶关电厂二期接入系统工程、220千伏马坝站扩建第三台主变工程、韶关220千伏阳岗输变电工程、韶关220千伏华韶输变电工程</w:t>
            </w:r>
            <w:r>
              <w:rPr>
                <w:rFonts w:hint="eastAsia"/>
                <w:b w:val="0"/>
                <w:color w:val="FF0000"/>
              </w:rPr>
              <w:t>、</w:t>
            </w:r>
            <w:r>
              <w:rPr>
                <w:rFonts w:hint="eastAsia"/>
                <w:b w:val="0"/>
              </w:rPr>
              <w:t>2</w:t>
            </w:r>
            <w:r>
              <w:rPr>
                <w:b w:val="0"/>
              </w:rPr>
              <w:t>20</w:t>
            </w:r>
            <w:r>
              <w:rPr>
                <w:rFonts w:hint="eastAsia"/>
                <w:b w:val="0"/>
              </w:rPr>
              <w:t>千伏古市输变电工程、2</w:t>
            </w:r>
            <w:r>
              <w:rPr>
                <w:b w:val="0"/>
              </w:rPr>
              <w:t>20</w:t>
            </w:r>
            <w:r>
              <w:rPr>
                <w:rFonts w:hint="eastAsia"/>
                <w:b w:val="0"/>
              </w:rPr>
              <w:t>千伏坑口输变电工程、2</w:t>
            </w:r>
            <w:r>
              <w:rPr>
                <w:b w:val="0"/>
              </w:rPr>
              <w:t>20</w:t>
            </w:r>
            <w:r>
              <w:rPr>
                <w:rFonts w:hint="eastAsia"/>
                <w:b w:val="0"/>
              </w:rPr>
              <w:t>千伏新庄输变电工程</w:t>
            </w:r>
            <w:r>
              <w:rPr>
                <w:b w:val="0"/>
              </w:rPr>
              <w:t>建设。</w:t>
            </w:r>
          </w:p>
        </w:tc>
      </w:tr>
    </w:tbl>
    <w:p>
      <w:pPr>
        <w:pStyle w:val="5"/>
      </w:pPr>
      <w:bookmarkStart w:id="24" w:name="_Toc165901945"/>
      <w:r>
        <w:t>第三节  打造清洁高效的能源消费模式</w:t>
      </w:r>
      <w:bookmarkEnd w:id="24"/>
    </w:p>
    <w:p>
      <w:pPr>
        <w:pStyle w:val="58"/>
        <w:ind w:firstLine="64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32"/>
          <w:szCs w:val="32"/>
          <w14:textFill>
            <w14:solidFill>
              <w14:schemeClr w14:val="tx1"/>
            </w14:solidFill>
          </w14:textFill>
        </w:rPr>
        <w:t>严格落实节能优先战略，大力调整产业结构，推动用能方式绿色低碳转型，持续深化重点行业领域节能降碳，推动形成绿色化、高效化的生产生活方式。</w:t>
      </w:r>
    </w:p>
    <w:p>
      <w:pPr>
        <w:pStyle w:val="6"/>
        <w:numPr>
          <w:ilvl w:val="0"/>
          <w:numId w:val="7"/>
        </w:numPr>
        <w:rPr>
          <w:sz w:val="32"/>
        </w:rPr>
      </w:pPr>
      <w:r>
        <w:rPr>
          <w:sz w:val="32"/>
        </w:rPr>
        <w:t>深入落实能耗“双控”管理</w:t>
      </w:r>
    </w:p>
    <w:p>
      <w:pPr>
        <w:pStyle w:val="58"/>
        <w:ind w:firstLine="640"/>
        <w:rPr>
          <w:rFonts w:ascii="Times New Roman" w:hAnsi="Times New Roman"/>
          <w:sz w:val="32"/>
          <w:szCs w:val="32"/>
        </w:rPr>
      </w:pPr>
      <w:r>
        <w:rPr>
          <w:rFonts w:ascii="Times New Roman" w:hAnsi="Times New Roman"/>
          <w:sz w:val="32"/>
          <w:szCs w:val="32"/>
        </w:rPr>
        <w:t>坚持节能优先的能源发展战略，遏制高耗能高排放项目盲目发展，严格实施节能审查制度，把控好“两高一低”项目用能准入关、审批关，做好新建扩建钢铁、水泥、玻璃等项目的节能审查。落实省用能预算管理要求，完善节能标准体系，强化节能监督检查，持续淘汰重点耗能行业落后产能。探索区域节能工作机制，将节能工作与区域支柱产业、区域产业结构结合起来，推动区域能效水平综合提升。严格落实能耗“双控”目标责任制，推动能耗“双控”向碳排放总量和强度“双控”转变。到2025年，全市单位地区生产总值能源消耗比2020年下降15.5%（激励目标下降16%），能源消费总量得到合理控制。到2035年，能源利用效率较“十四五”时期大幅提升，实现能耗“双控”向碳排放总量和强度“双控”转变。</w:t>
      </w:r>
    </w:p>
    <w:p>
      <w:pPr>
        <w:pStyle w:val="6"/>
        <w:rPr>
          <w:sz w:val="32"/>
        </w:rPr>
      </w:pPr>
      <w:r>
        <w:rPr>
          <w:sz w:val="32"/>
        </w:rPr>
        <w:t>深化工业节能低碳改造</w:t>
      </w:r>
    </w:p>
    <w:p>
      <w:pPr>
        <w:pStyle w:val="58"/>
        <w:ind w:firstLine="640"/>
        <w:rPr>
          <w:rFonts w:ascii="Times New Roman" w:hAnsi="Times New Roman"/>
          <w:sz w:val="32"/>
          <w:szCs w:val="32"/>
        </w:rPr>
      </w:pPr>
      <w:r>
        <w:rPr>
          <w:rFonts w:ascii="Times New Roman" w:hAnsi="Times New Roman"/>
          <w:sz w:val="32"/>
          <w:szCs w:val="32"/>
        </w:rPr>
        <w:t>以绿色低碳发展为引领，把优化工业结构和提高能效作为推进工业节能降碳的重要途径，加快形成绿色生产方式，培育制造业绿色发展新动能。推广燃料电池在工矿区、重点产业园区等示范应用，统筹推进绿氢终端供应设施和能力建设。积极探索氢气在冶金化工领域的替代应用，降低冶金化工领域化石能源消耗。持续推进不符合地区功能定位的产业动态调整退出。深挖工业节能潜力，组织开展工业企业能源审计，加强重点用能设备节能审查和日常监管。推广先进高效产品设备，加快淘汰落后低效设备，支持企业实施绿色节能技术改造。</w:t>
      </w:r>
    </w:p>
    <w:p>
      <w:pPr>
        <w:pStyle w:val="6"/>
        <w:rPr>
          <w:sz w:val="32"/>
        </w:rPr>
      </w:pPr>
      <w:r>
        <w:rPr>
          <w:sz w:val="32"/>
        </w:rPr>
        <w:t>实施</w:t>
      </w:r>
      <w:bookmarkStart w:id="25" w:name="_Hlk135043518"/>
      <w:r>
        <w:rPr>
          <w:sz w:val="32"/>
        </w:rPr>
        <w:t>建筑领域</w:t>
      </w:r>
      <w:bookmarkEnd w:id="25"/>
      <w:r>
        <w:rPr>
          <w:sz w:val="32"/>
        </w:rPr>
        <w:t>节能降碳</w:t>
      </w:r>
    </w:p>
    <w:p>
      <w:pPr>
        <w:pStyle w:val="58"/>
        <w:ind w:firstLine="640"/>
        <w:rPr>
          <w:rFonts w:ascii="Times New Roman" w:hAnsi="Times New Roman"/>
          <w:sz w:val="32"/>
          <w:szCs w:val="32"/>
        </w:rPr>
      </w:pPr>
      <w:r>
        <w:rPr>
          <w:rStyle w:val="180"/>
          <w:rFonts w:hint="default" w:ascii="Times New Roman" w:hAnsi="Times New Roman"/>
        </w:rPr>
        <w:t>以绿色建筑高质量发展推动城乡建设更高质量、人居环境更加优良、人民生活更有品质、温室气体更少排放，到</w:t>
      </w:r>
      <w:r>
        <w:rPr>
          <w:rStyle w:val="181"/>
          <w:rFonts w:ascii="Times New Roman" w:hAnsi="Times New Roman"/>
        </w:rPr>
        <w:t>2025</w:t>
      </w:r>
      <w:r>
        <w:rPr>
          <w:rStyle w:val="180"/>
          <w:rFonts w:hint="default" w:ascii="Times New Roman" w:hAnsi="Times New Roman"/>
        </w:rPr>
        <w:t>年，全面建设绿色建筑，以装配式建筑、绿色建材产业为代表的新型建筑工业化加快发展，可再生能源利用得到进一步发展，为城乡建设领域</w:t>
      </w:r>
      <w:r>
        <w:rPr>
          <w:rStyle w:val="181"/>
          <w:rFonts w:ascii="Times New Roman" w:hAnsi="Times New Roman"/>
        </w:rPr>
        <w:t>2030</w:t>
      </w:r>
      <w:r>
        <w:rPr>
          <w:rStyle w:val="180"/>
          <w:rFonts w:hint="default" w:ascii="Times New Roman" w:hAnsi="Times New Roman"/>
        </w:rPr>
        <w:t>年前碳达峰奠定坚实基础。到</w:t>
      </w:r>
      <w:r>
        <w:rPr>
          <w:rStyle w:val="181"/>
          <w:rFonts w:ascii="Times New Roman" w:hAnsi="Times New Roman"/>
        </w:rPr>
        <w:t>2025</w:t>
      </w:r>
      <w:r>
        <w:rPr>
          <w:rStyle w:val="180"/>
          <w:rFonts w:hint="default" w:ascii="Times New Roman" w:hAnsi="Times New Roman"/>
        </w:rPr>
        <w:t>年，韶关市全面建设绿色建筑，城镇绿色建筑占当年新建民用建筑比例达到</w:t>
      </w:r>
      <w:r>
        <w:rPr>
          <w:rStyle w:val="181"/>
          <w:rFonts w:ascii="Times New Roman" w:hAnsi="Times New Roman"/>
        </w:rPr>
        <w:t>100%</w:t>
      </w:r>
      <w:r>
        <w:rPr>
          <w:rStyle w:val="180"/>
          <w:rFonts w:hint="default" w:ascii="Times New Roman" w:hAnsi="Times New Roman"/>
        </w:rPr>
        <w:t>；积极推动星级绿色建筑的建设，一星及以上等级绿色建筑占城镇新增民用绿色建筑比例达到</w:t>
      </w:r>
      <w:r>
        <w:rPr>
          <w:rStyle w:val="181"/>
          <w:rFonts w:ascii="Times New Roman" w:hAnsi="Times New Roman"/>
        </w:rPr>
        <w:t>25%</w:t>
      </w:r>
      <w:r>
        <w:rPr>
          <w:rStyle w:val="180"/>
          <w:rFonts w:hint="default" w:ascii="Times New Roman" w:hAnsi="Times New Roman"/>
        </w:rPr>
        <w:t>；努力提升建筑能效水平，其中：城镇新建居住建筑能效水平提升比例达到</w:t>
      </w:r>
      <w:r>
        <w:rPr>
          <w:rStyle w:val="181"/>
          <w:rFonts w:ascii="Times New Roman" w:hAnsi="Times New Roman"/>
        </w:rPr>
        <w:t>30%</w:t>
      </w:r>
      <w:r>
        <w:rPr>
          <w:rStyle w:val="180"/>
          <w:rFonts w:hint="default" w:ascii="Times New Roman" w:hAnsi="Times New Roman"/>
        </w:rPr>
        <w:t>，城镇新建公共建筑能效水平提升比例达到</w:t>
      </w:r>
      <w:r>
        <w:rPr>
          <w:rStyle w:val="181"/>
          <w:rFonts w:ascii="Times New Roman" w:hAnsi="Times New Roman"/>
        </w:rPr>
        <w:t>20%</w:t>
      </w:r>
      <w:r>
        <w:rPr>
          <w:rStyle w:val="180"/>
          <w:rFonts w:hint="default" w:ascii="Times New Roman" w:hAnsi="Times New Roman"/>
        </w:rPr>
        <w:t>。完成既有建筑节能改造面积</w:t>
      </w:r>
      <w:r>
        <w:rPr>
          <w:rStyle w:val="181"/>
          <w:rFonts w:ascii="Times New Roman" w:hAnsi="Times New Roman"/>
        </w:rPr>
        <w:t>50</w:t>
      </w:r>
      <w:r>
        <w:rPr>
          <w:rStyle w:val="180"/>
          <w:rFonts w:hint="default" w:ascii="Times New Roman" w:hAnsi="Times New Roman"/>
        </w:rPr>
        <w:t>万平方米以上，新增太阳能光电建筑应用装机容量0.</w:t>
      </w:r>
      <w:r>
        <w:rPr>
          <w:rStyle w:val="181"/>
          <w:rFonts w:ascii="Times New Roman" w:hAnsi="Times New Roman"/>
        </w:rPr>
        <w:t>5</w:t>
      </w:r>
      <w:r>
        <w:rPr>
          <w:rStyle w:val="181"/>
          <w:rFonts w:hint="eastAsia" w:ascii="Times New Roman" w:hAnsi="Times New Roman"/>
        </w:rPr>
        <w:t>万千瓦</w:t>
      </w:r>
      <w:r>
        <w:rPr>
          <w:rStyle w:val="180"/>
          <w:rFonts w:hint="default" w:ascii="Times New Roman" w:hAnsi="Times New Roman"/>
        </w:rPr>
        <w:t>。</w:t>
      </w:r>
    </w:p>
    <w:p>
      <w:pPr>
        <w:pStyle w:val="6"/>
        <w:rPr>
          <w:sz w:val="32"/>
        </w:rPr>
      </w:pPr>
      <w:r>
        <w:rPr>
          <w:sz w:val="32"/>
        </w:rPr>
        <w:t>推动交通用能绿色低碳转型</w:t>
      </w:r>
    </w:p>
    <w:p>
      <w:pPr>
        <w:pStyle w:val="58"/>
        <w:ind w:firstLine="643"/>
        <w:rPr>
          <w:rFonts w:ascii="Times New Roman" w:hAnsi="Times New Roman"/>
          <w:sz w:val="32"/>
          <w:szCs w:val="32"/>
        </w:rPr>
      </w:pPr>
      <w:r>
        <w:rPr>
          <w:rFonts w:ascii="Times New Roman" w:hAnsi="Times New Roman"/>
          <w:b/>
          <w:sz w:val="32"/>
          <w:szCs w:val="32"/>
        </w:rPr>
        <w:t>优化交通出行结构</w:t>
      </w:r>
      <w:r>
        <w:rPr>
          <w:rFonts w:ascii="Times New Roman" w:hAnsi="Times New Roman"/>
          <w:sz w:val="32"/>
          <w:szCs w:val="32"/>
        </w:rPr>
        <w:t>。持续提升道路设施网、轨道交通网、地面公交网、慢行系统一体化发展水平，增强公众绿色出行获得感。完善道路停车差别化收费政策，降低小客车出行需求和使用强度。到2025年，</w:t>
      </w:r>
      <w:bookmarkStart w:id="26" w:name="_Hlk135043579"/>
      <w:r>
        <w:rPr>
          <w:rFonts w:ascii="Times New Roman" w:hAnsi="Times New Roman"/>
          <w:sz w:val="32"/>
          <w:szCs w:val="32"/>
        </w:rPr>
        <w:t>中心城区绿色出行比例</w:t>
      </w:r>
      <w:bookmarkEnd w:id="26"/>
      <w:r>
        <w:rPr>
          <w:rFonts w:ascii="Times New Roman" w:hAnsi="Times New Roman"/>
          <w:sz w:val="32"/>
          <w:szCs w:val="32"/>
        </w:rPr>
        <w:t>提高至70%左右；到2035年，绿色出行比例进一步提高，达到72%左右。</w:t>
      </w:r>
    </w:p>
    <w:p>
      <w:pPr>
        <w:pStyle w:val="58"/>
        <w:ind w:firstLine="643"/>
        <w:rPr>
          <w:rFonts w:ascii="Times New Roman" w:hAnsi="Times New Roman"/>
          <w:sz w:val="32"/>
          <w:szCs w:val="32"/>
        </w:rPr>
      </w:pPr>
      <w:r>
        <w:rPr>
          <w:rFonts w:ascii="Times New Roman" w:hAnsi="Times New Roman"/>
          <w:b/>
          <w:sz w:val="32"/>
          <w:szCs w:val="32"/>
        </w:rPr>
        <w:t>提高货运绿色水平</w:t>
      </w:r>
      <w:r>
        <w:rPr>
          <w:rFonts w:ascii="Times New Roman" w:hAnsi="Times New Roman"/>
          <w:sz w:val="32"/>
          <w:szCs w:val="32"/>
        </w:rPr>
        <w:t>。持续推进大宗生产生活物资运输“公转铁”，构建“铁路+新能源车”绿色物流运输新模式，实现铁路运输与城市配送有效衔接。加快推动城市燃油货运车辆清洁替代，发展绿色物流，推动建设燃料电池汽车货运示范专线。推广内河LNG、电力等清洁能源应用，积极推进内河船舶受电设施改造和靠港使用岸电，有序推进船舶与港口应用LNG工作，逐步扩大LNG燃料、电能、氢能等新能源在水运行业的应用范围，将北江航道打造成绿色智能航道。加快淘汰高污染、高耗能的客船和老旧运输船舶。</w:t>
      </w:r>
    </w:p>
    <w:p>
      <w:pPr>
        <w:pStyle w:val="58"/>
        <w:ind w:firstLine="643"/>
        <w:rPr>
          <w:rFonts w:ascii="Times New Roman" w:hAnsi="Times New Roman"/>
          <w:sz w:val="32"/>
          <w:szCs w:val="32"/>
        </w:rPr>
      </w:pPr>
      <w:r>
        <w:rPr>
          <w:rFonts w:ascii="Times New Roman" w:hAnsi="Times New Roman"/>
          <w:b/>
          <w:sz w:val="32"/>
          <w:szCs w:val="32"/>
        </w:rPr>
        <w:t>调整交通能源结构</w:t>
      </w:r>
      <w:r>
        <w:rPr>
          <w:rFonts w:ascii="Times New Roman" w:hAnsi="Times New Roman"/>
          <w:sz w:val="32"/>
          <w:szCs w:val="32"/>
        </w:rPr>
        <w:t>。</w:t>
      </w:r>
      <w:r>
        <w:rPr>
          <w:rFonts w:ascii="Times New Roman" w:hAnsi="Times New Roman"/>
          <w:sz w:val="32"/>
        </w:rPr>
        <w:t>加大新能源和清洁能源在城市公共交通和客货运输领域的应用。</w:t>
      </w:r>
      <w:r>
        <w:rPr>
          <w:rFonts w:ascii="Times New Roman" w:hAnsi="Times New Roman"/>
          <w:sz w:val="32"/>
          <w:szCs w:val="32"/>
        </w:rPr>
        <w:t>提高交通领域绿氢使用比例。</w:t>
      </w:r>
      <w:r>
        <w:rPr>
          <w:rFonts w:ascii="Times New Roman" w:hAnsi="Times New Roman"/>
          <w:sz w:val="32"/>
        </w:rPr>
        <w:t>探索推进燃料乙醇、生物柴油等清洁液体燃料商业化应用，在科学研究动力和安全性能的基础上，扩大在重型道路交通、航运中对汽油柴油的规模化替代。加快充电桩、加氢站建设，到2025年，新能源汽车新车销量占比力争达到20%，实现城市短途客运、城市公交、出租车100%更换为清洁、环保的新能源车。</w:t>
      </w:r>
    </w:p>
    <w:p>
      <w:pPr>
        <w:pStyle w:val="6"/>
        <w:rPr>
          <w:sz w:val="32"/>
        </w:rPr>
      </w:pPr>
      <w:r>
        <w:rPr>
          <w:sz w:val="32"/>
        </w:rPr>
        <w:t>打造数据中心绿色用能示范</w:t>
      </w:r>
    </w:p>
    <w:p>
      <w:pPr>
        <w:pStyle w:val="58"/>
        <w:ind w:firstLine="643"/>
        <w:rPr>
          <w:rFonts w:ascii="Times New Roman" w:hAnsi="Times New Roman"/>
          <w:b/>
          <w:sz w:val="32"/>
          <w:szCs w:val="32"/>
        </w:rPr>
      </w:pPr>
      <w:r>
        <w:rPr>
          <w:rFonts w:hint="eastAsia" w:ascii="Times New Roman" w:hAnsi="Times New Roman"/>
          <w:b/>
          <w:sz w:val="32"/>
          <w:szCs w:val="32"/>
        </w:rPr>
        <w:t>探索数据中心集群源网荷储一体化建设。</w:t>
      </w:r>
      <w:r>
        <w:rPr>
          <w:rFonts w:hint="eastAsia" w:ascii="Times New Roman" w:hAnsi="Times New Roman"/>
          <w:sz w:val="32"/>
          <w:szCs w:val="32"/>
        </w:rPr>
        <w:t>梳理韶关数据中心集群起步区周边可开发的光伏、风电资源，制定新能源电力专供（点对点售电）、代理购售电方案，分阶段加强对数据中心集群的电力保供。第一阶段考虑采用新能源电力叠加售电业务对集群供电；第二阶段考虑采用源网荷储一体化试点方案，利用南方电网2</w:t>
      </w:r>
      <w:r>
        <w:rPr>
          <w:rFonts w:ascii="Times New Roman" w:hAnsi="Times New Roman"/>
          <w:sz w:val="32"/>
          <w:szCs w:val="32"/>
        </w:rPr>
        <w:t>20</w:t>
      </w:r>
      <w:r>
        <w:rPr>
          <w:rFonts w:hint="eastAsia" w:ascii="Times New Roman" w:hAnsi="Times New Roman"/>
          <w:sz w:val="32"/>
          <w:szCs w:val="32"/>
        </w:rPr>
        <w:t>千伏骨干网络主供电、新能源发电电源接入增量配电网，叠加售电业务及电化学储能为调节手段对集群供电，有效降低用户综合用电成本。</w:t>
      </w:r>
    </w:p>
    <w:p>
      <w:pPr>
        <w:pStyle w:val="58"/>
        <w:ind w:firstLine="643"/>
        <w:rPr>
          <w:rFonts w:ascii="Times New Roman" w:hAnsi="Times New Roman"/>
          <w:sz w:val="32"/>
          <w:szCs w:val="32"/>
        </w:rPr>
      </w:pPr>
      <w:r>
        <w:rPr>
          <w:rFonts w:ascii="Times New Roman" w:hAnsi="Times New Roman"/>
          <w:b/>
          <w:sz w:val="32"/>
          <w:szCs w:val="32"/>
        </w:rPr>
        <w:t>提升数据中心能效水平</w:t>
      </w:r>
      <w:r>
        <w:rPr>
          <w:rFonts w:ascii="Times New Roman" w:hAnsi="Times New Roman"/>
          <w:sz w:val="32"/>
          <w:szCs w:val="32"/>
        </w:rPr>
        <w:t>。进一步整合存量数据中心，加快老旧数据中心绿色技术应用和改造。优化数据中心能源供给和利用，鼓励新建数据中心通过自建分布式可再生能源设施、绿色电力交易、购买绿电证书等方式逐年提高可再生能源利用比例。强化绿色设计，动态调整5G基站功率，提高设备机房维护结构性能，合理选择空调冷源，加快现有老旧高耗能设备退网，有效降低5G基站能耗。</w:t>
      </w:r>
    </w:p>
    <w:p>
      <w:pPr>
        <w:pStyle w:val="58"/>
        <w:ind w:firstLine="643"/>
        <w:rPr>
          <w:rFonts w:ascii="Times New Roman" w:hAnsi="Times New Roman"/>
          <w:sz w:val="32"/>
          <w:szCs w:val="32"/>
        </w:rPr>
      </w:pPr>
      <w:r>
        <w:rPr>
          <w:rFonts w:ascii="Times New Roman" w:hAnsi="Times New Roman"/>
          <w:b/>
          <w:sz w:val="32"/>
          <w:szCs w:val="32"/>
        </w:rPr>
        <w:t>构建园区级综合能源系统</w:t>
      </w:r>
      <w:r>
        <w:rPr>
          <w:rFonts w:ascii="Times New Roman" w:hAnsi="Times New Roman"/>
          <w:sz w:val="32"/>
          <w:szCs w:val="32"/>
        </w:rPr>
        <w:t>。匹配我市气候特征、负荷特性和数据中心用能特征，构建集成天然气分布式能源、光伏发电、储能的园区级数据中心综合能源系统，实现数据机房能源效率最大化和环境影响最小化，推动绿色数据中心园区创建、运维和改造，引导数据中心走高效、清洁、集约、循环的绿色发展道路。</w:t>
      </w:r>
    </w:p>
    <w:p>
      <w:pPr>
        <w:pStyle w:val="6"/>
        <w:rPr>
          <w:sz w:val="32"/>
        </w:rPr>
      </w:pPr>
      <w:r>
        <w:rPr>
          <w:sz w:val="32"/>
        </w:rPr>
        <w:t>践行绿色低碳生活新风尚</w:t>
      </w:r>
    </w:p>
    <w:p>
      <w:pPr>
        <w:pStyle w:val="58"/>
        <w:ind w:firstLine="640"/>
        <w:rPr>
          <w:rFonts w:ascii="Times New Roman" w:hAnsi="Times New Roman"/>
          <w:sz w:val="32"/>
          <w:szCs w:val="32"/>
        </w:rPr>
        <w:sectPr>
          <w:pgSz w:w="11906" w:h="16838"/>
          <w:pgMar w:top="1701" w:right="1417" w:bottom="1417" w:left="1587" w:header="850" w:footer="992" w:gutter="0"/>
          <w:pgNumType w:fmt="numberInDash"/>
          <w:cols w:space="0" w:num="1"/>
          <w:titlePg/>
          <w:rtlGutter w:val="0"/>
          <w:docGrid w:linePitch="381" w:charSpace="0"/>
        </w:sectPr>
      </w:pPr>
      <w:r>
        <w:rPr>
          <w:rFonts w:ascii="Times New Roman" w:hAnsi="Times New Roman"/>
          <w:sz w:val="32"/>
          <w:szCs w:val="32"/>
        </w:rPr>
        <w:t>深入开展绿色低碳全民行动，利用全国节能宣传周等平台，加强生态文明宣传教育，大力倡导简约适度、绿色低碳、文明健康的生活方式。实施绿色家庭、绿色学校、绿色社区等领域绿色生活创建。党政机关、国有企业、学校等企事业单位带头采取更严格、更精细化的节能管理措施。坚决遏制奢侈浪费和不合理消费，引导全社会形成勤俭节约的社会风尚。建设慢行友好城市，提升绿色出行服务水平。</w:t>
      </w:r>
    </w:p>
    <w:p>
      <w:pPr>
        <w:pStyle w:val="5"/>
      </w:pPr>
      <w:bookmarkStart w:id="27" w:name="_Toc165901946"/>
      <w:r>
        <w:t>第四节  培育特色创新的能源产业集群</w:t>
      </w:r>
      <w:bookmarkEnd w:id="27"/>
    </w:p>
    <w:p>
      <w:pPr>
        <w:pStyle w:val="58"/>
        <w:ind w:firstLine="640"/>
        <w:rPr>
          <w:rFonts w:ascii="Times New Roman" w:hAnsi="Times New Roman"/>
          <w:sz w:val="32"/>
          <w:szCs w:val="32"/>
        </w:rPr>
      </w:pPr>
      <w:r>
        <w:rPr>
          <w:rFonts w:ascii="Times New Roman" w:hAnsi="Times New Roman"/>
          <w:sz w:val="32"/>
          <w:szCs w:val="32"/>
        </w:rPr>
        <w:t>发挥光伏发电、风电项目建设带动作用，积极引进光伏逆变器及智能组件、风机制造产业，推动“新能源+”示范产业，在北部山区形成具有韶关特色的产业链高地。坚持以科技创新为引领，加速推动我市新能源装备技术、产业链协同发展，推动新能源产业项目落地建设。积极推进绿色环保产业发展壮大，加强绿色技术和模式供给，健全绿色产业金融体系，打造节能环保全产业链。</w:t>
      </w:r>
    </w:p>
    <w:p>
      <w:pPr>
        <w:pStyle w:val="6"/>
        <w:numPr>
          <w:ilvl w:val="0"/>
          <w:numId w:val="8"/>
        </w:numPr>
        <w:rPr>
          <w:sz w:val="32"/>
        </w:rPr>
      </w:pPr>
      <w:r>
        <w:rPr>
          <w:sz w:val="32"/>
        </w:rPr>
        <w:t>搭建科技创新支撑平台</w:t>
      </w:r>
    </w:p>
    <w:p>
      <w:pPr>
        <w:pStyle w:val="58"/>
        <w:ind w:firstLine="640"/>
        <w:rPr>
          <w:rFonts w:ascii="Times New Roman" w:hAnsi="Times New Roman"/>
          <w:sz w:val="32"/>
          <w:szCs w:val="32"/>
        </w:rPr>
      </w:pPr>
      <w:r>
        <w:rPr>
          <w:rFonts w:ascii="Times New Roman" w:hAnsi="Times New Roman"/>
          <w:sz w:val="32"/>
          <w:szCs w:val="32"/>
        </w:rPr>
        <w:t>完善以企业为主体、市场为导向、产学研深度融合的技术创新体系，通过资源整合和体制机制创新，在绿色石化及固废处理领域进行前瞻性布局，构建我市“金字塔”型科技创新平台体系。推进韶关市数字化绿色低碳微循环基地第一期项目建设，提升有机废弃物能源化开发与综合利用、无废城市建设、废弃资源的综合开发利用等相关产业技术发展能力，增强创新驱动能力。</w:t>
      </w:r>
    </w:p>
    <w:p>
      <w:pPr>
        <w:pStyle w:val="6"/>
        <w:rPr>
          <w:sz w:val="32"/>
        </w:rPr>
      </w:pPr>
      <w:r>
        <w:rPr>
          <w:sz w:val="32"/>
        </w:rPr>
        <w:t>推动能源技术创新及示范应用</w:t>
      </w:r>
    </w:p>
    <w:p>
      <w:pPr>
        <w:pStyle w:val="58"/>
        <w:ind w:firstLine="640"/>
        <w:rPr>
          <w:rFonts w:ascii="Times New Roman" w:hAnsi="Times New Roman"/>
          <w:sz w:val="32"/>
          <w:szCs w:val="32"/>
        </w:rPr>
      </w:pPr>
      <w:r>
        <w:rPr>
          <w:rFonts w:ascii="Times New Roman" w:hAnsi="Times New Roman"/>
          <w:sz w:val="32"/>
          <w:szCs w:val="32"/>
        </w:rPr>
        <w:t>开展绿色低碳前沿技术研究，充分发挥技术创新对能源发展的引领作用。开展传统能源高效利用和节能降碳技术的研发，探索开展氢能替代、二氧化碳捕集与封存等关键技术研发。依托我市科技创新平台，重点开展电解水制氢、氢气纯化、低温液氢、低压固态储氢等氢能关键技术研究，支持相关技术创新与示范应用项目的设立。加大资金和政策扶持力度，推动能源技术创新成果示范应用，通过示范项目进一步带动能源技术迭代创新。</w:t>
      </w:r>
    </w:p>
    <w:p>
      <w:pPr>
        <w:pStyle w:val="6"/>
        <w:rPr>
          <w:sz w:val="32"/>
        </w:rPr>
      </w:pPr>
      <w:r>
        <w:rPr>
          <w:sz w:val="32"/>
        </w:rPr>
        <w:t>创新发展光伏风电储能产业</w:t>
      </w:r>
    </w:p>
    <w:p>
      <w:pPr>
        <w:pStyle w:val="58"/>
        <w:ind w:firstLine="640"/>
        <w:rPr>
          <w:rFonts w:ascii="Times New Roman" w:hAnsi="Times New Roman"/>
          <w:sz w:val="32"/>
          <w:szCs w:val="32"/>
        </w:rPr>
      </w:pPr>
      <w:r>
        <w:rPr>
          <w:rFonts w:ascii="Times New Roman" w:hAnsi="Times New Roman"/>
          <w:sz w:val="32"/>
          <w:szCs w:val="32"/>
        </w:rPr>
        <w:t>面向新能源产业发展需求，坚持高端化、差异化发展路线，发挥我市在矿产资源、产业基础、应用市场等方面的优势，强化龙头骨干企业的引领带头作用，积极开展以商招商，进一步延伸产业链、提升价值链、完善供应链，优化产业布局，打造千亿级的新能源产业集群。规划建设碳中和产业园，依托三峡、明阳、新源清材等太阳能、风电、储能领域具有优势和潜力的龙头企业，吸纳集聚上下游产业链装备制造企业入驻。重点招引深圳永泰数能科技、昆宇新能源、惠州亿纬锂能、东莞互赢能源科技、广东思泉新材料、深圳市行之达电子、阳光电源股份等企业。加快推进明阳风电主机制造中心、异质结光伏电池及组件制造中心、三峡风机塔筒、三峡光伏支架综合制造基地、明德电器输变电设备、乾鸿电气变压器项目等项目建设。</w:t>
      </w:r>
      <w:r>
        <w:rPr>
          <w:rFonts w:ascii="Times New Roman" w:hAnsi="Times New Roman"/>
        </w:rPr>
        <w:t>抢占新型储能产业发展先机，</w:t>
      </w:r>
      <w:r>
        <w:rPr>
          <w:rFonts w:ascii="Times New Roman" w:hAnsi="Times New Roman"/>
          <w:sz w:val="32"/>
          <w:szCs w:val="32"/>
        </w:rPr>
        <w:t>积极谋划新源芯安高性能电解液示范产线、新源清材电化学关键材料、国电投绿能科技新能源及配套储能、海得装备制造华南中心配套新型储能电站等项目。</w:t>
      </w:r>
    </w:p>
    <w:p>
      <w:pPr>
        <w:pStyle w:val="6"/>
        <w:rPr>
          <w:sz w:val="32"/>
        </w:rPr>
      </w:pPr>
      <w:r>
        <w:rPr>
          <w:sz w:val="32"/>
        </w:rPr>
        <w:t>重点培育节能环保产业</w:t>
      </w:r>
    </w:p>
    <w:p>
      <w:pPr>
        <w:pStyle w:val="58"/>
        <w:ind w:firstLine="640"/>
        <w:rPr>
          <w:rFonts w:ascii="Times New Roman" w:hAnsi="Times New Roman"/>
          <w:sz w:val="32"/>
          <w:szCs w:val="32"/>
        </w:rPr>
      </w:pPr>
      <w:r>
        <w:rPr>
          <w:rFonts w:ascii="Times New Roman" w:hAnsi="Times New Roman"/>
          <w:sz w:val="32"/>
          <w:szCs w:val="32"/>
        </w:rPr>
        <w:t>以节能环保、清洁能源、循环经济等为突破方向，发展能源及节能环保成套（台）装备制造业。依托白云电器智能电网产业基地项目，以特高压、大容量及小型化、低材耗为突破方向，发展输配电及控制设备，重点发展节能/特种变压器、高压气体绝缘开关柜及开关成套设备等输配电设备。围绕我市及周边省市工业、建筑、城市生活等领域，突破发展先进脱硫、脱硝、除尘等大气污染治理装备，城市污水、工业废水等水污染治理装备，城市垃圾智能处理设备等固体废物处理装备、自动/远程/便携式环境监测设备。积极引导企业采取清洁生产工艺，加强对重点企业的清洁生产审核，加强环境污染治理、节能环保等标准约束，支持建材企业采用水泥窑协同处置生活垃圾焚烧飞灰技术，实现资源循环利用。</w:t>
      </w:r>
    </w:p>
    <w:p>
      <w:pPr>
        <w:pStyle w:val="6"/>
        <w:rPr>
          <w:sz w:val="32"/>
        </w:rPr>
      </w:pPr>
      <w:r>
        <w:rPr>
          <w:rFonts w:hint="eastAsia"/>
          <w:sz w:val="32"/>
        </w:rPr>
        <w:t>探索绿电消费“隔墙售电”机制</w:t>
      </w:r>
    </w:p>
    <w:p>
      <w:pPr>
        <w:pStyle w:val="58"/>
        <w:ind w:firstLine="640"/>
        <w:rPr>
          <w:rFonts w:ascii="Times New Roman" w:hAnsi="Times New Roman"/>
          <w:b/>
          <w:sz w:val="32"/>
          <w:szCs w:val="32"/>
        </w:rPr>
      </w:pPr>
      <w:r>
        <w:rPr>
          <w:rFonts w:hint="eastAsia" w:hAnsi="仿宋_GB2312" w:cs="仿宋_GB2312"/>
          <w:kern w:val="44"/>
          <w:sz w:val="32"/>
          <w:szCs w:val="32"/>
        </w:rPr>
        <w:t>隔墙售电是促进分布式新能源消纳的关键机制之一，即分布式发电通过配电网直接将电能销售给周边的电力用户，此交易模式下分布式发电项目电力供应不再局限于单一的用户，可在接入点上一级变压器供电区域范围内灵活选择用户，有助于加速分布式新能源消纳，降低输配电成本，较常规电力交易可使买卖双方更多获益。按照“权责对等”的原则，健全隔墙售电交易机制，既考虑分布式发电带来的社会效益，也体现分布式发电应承担的配网改造及系统备用相关成本，探索“谁受益、谁承担”的价格机制将隔墙售电引发的系统成本向交易主体定向疏导。循序渐进、</w:t>
      </w:r>
      <w:r>
        <w:rPr>
          <w:rFonts w:hint="eastAsia" w:hAnsi="仿宋_GB2312" w:cs="仿宋_GB2312"/>
          <w:bCs/>
          <w:kern w:val="44"/>
          <w:sz w:val="32"/>
          <w:szCs w:val="32"/>
        </w:rPr>
        <w:t>先易后难、以点带面推进“隔墙售电”铺开。</w:t>
      </w:r>
      <w:r>
        <w:rPr>
          <w:rFonts w:hint="eastAsia" w:hAnsi="仿宋_GB2312" w:cs="仿宋_GB2312"/>
          <w:kern w:val="44"/>
          <w:sz w:val="32"/>
          <w:szCs w:val="32"/>
        </w:rPr>
        <w:t>隔墙售电交易以“先试点、再推广”方式稳妥推进，优先在屋顶条件好、绿电交易需求足的工业园区先行试点分布式光伏发电交易，机制探索成熟后逐步推广。</w:t>
      </w:r>
    </w:p>
    <w:p>
      <w:pPr>
        <w:pStyle w:val="5"/>
      </w:pPr>
      <w:bookmarkStart w:id="28" w:name="_Toc165901947"/>
      <w:r>
        <w:t>第五节  形成绿色多元的农村能源体系</w:t>
      </w:r>
      <w:bookmarkEnd w:id="28"/>
    </w:p>
    <w:p>
      <w:pPr>
        <w:pStyle w:val="58"/>
        <w:ind w:firstLine="640"/>
        <w:rPr>
          <w:rFonts w:ascii="Times New Roman" w:hAnsi="Times New Roman"/>
          <w:sz w:val="32"/>
          <w:szCs w:val="32"/>
        </w:rPr>
      </w:pPr>
      <w:r>
        <w:rPr>
          <w:rFonts w:ascii="Times New Roman" w:hAnsi="Times New Roman"/>
          <w:sz w:val="32"/>
          <w:szCs w:val="32"/>
        </w:rPr>
        <w:t>统筹能源发展与乡村振兴战略有效衔接，推进“百县千镇万村高质量发展工程”落地，全面深入摸清全市105个乡镇（街道）、1444个村（社区）能源基础设施和能源资源情况，着力补齐乡村地区能源基础设施短板，着力盘活农村能源资源，积极推动农村能源供给侧</w:t>
      </w:r>
      <w:r>
        <w:rPr>
          <w:rFonts w:hint="eastAsia" w:ascii="Times New Roman" w:hAnsi="Times New Roman"/>
          <w:sz w:val="32"/>
          <w:szCs w:val="32"/>
          <w:lang w:eastAsia="zh-CN"/>
        </w:rPr>
        <w:t>结构性</w:t>
      </w:r>
      <w:r>
        <w:rPr>
          <w:rFonts w:ascii="Times New Roman" w:hAnsi="Times New Roman"/>
          <w:sz w:val="32"/>
          <w:szCs w:val="32"/>
        </w:rPr>
        <w:t>改革及消费侧升级，构建高质量现代农村能源体系。</w:t>
      </w:r>
    </w:p>
    <w:p>
      <w:pPr>
        <w:pStyle w:val="6"/>
        <w:numPr>
          <w:ilvl w:val="0"/>
          <w:numId w:val="9"/>
        </w:numPr>
        <w:rPr>
          <w:sz w:val="32"/>
        </w:rPr>
      </w:pPr>
      <w:r>
        <w:rPr>
          <w:sz w:val="32"/>
        </w:rPr>
        <w:t>优化农村能源供给结构</w:t>
      </w:r>
    </w:p>
    <w:p>
      <w:pPr>
        <w:pStyle w:val="58"/>
        <w:ind w:firstLine="640"/>
        <w:rPr>
          <w:rFonts w:ascii="Times New Roman" w:hAnsi="Times New Roman"/>
          <w:sz w:val="32"/>
          <w:szCs w:val="32"/>
        </w:rPr>
      </w:pPr>
      <w:r>
        <w:rPr>
          <w:rFonts w:ascii="Times New Roman" w:hAnsi="Times New Roman"/>
          <w:sz w:val="32"/>
          <w:szCs w:val="32"/>
        </w:rPr>
        <w:t>加强农村能源多能互补和综合利用，推进农业</w:t>
      </w:r>
      <w:bookmarkStart w:id="44" w:name="_GoBack"/>
      <w:bookmarkEnd w:id="44"/>
      <w:r>
        <w:rPr>
          <w:rFonts w:ascii="Times New Roman" w:hAnsi="Times New Roman"/>
          <w:sz w:val="32"/>
          <w:szCs w:val="32"/>
        </w:rPr>
        <w:t>供给侧结构性改革。因地制宜利用农林废弃物、畜禽养殖废弃物、农村生活垃圾等资源，支持规模化沼气综合利用示范项目建设，积极开展畜禽粪污综合利用试点，重点研究开发多联产技术产品深加工等关键技术，建设农村代谢共生产业园，将农林废物、农村生活垃圾、畜禽粪便等的治理和利用与现代能源、化工结合，提高现代农业的附加值。结合新农村建设推广太阳能路灯、村镇级光伏集中应用，开展对生物燃气和生物有机肥等终端产品补贴示范，通过补贴带动和促进农村可再生能源可持续发展。推进绿色能源县、乡、村建设，加强以太阳能、生物沼气为重点的清洁能源建设及相关技术服务，实现农村用能方式的根本性转变。</w:t>
      </w:r>
    </w:p>
    <w:p>
      <w:pPr>
        <w:pStyle w:val="6"/>
        <w:rPr>
          <w:sz w:val="32"/>
        </w:rPr>
      </w:pPr>
      <w:r>
        <w:rPr>
          <w:sz w:val="32"/>
        </w:rPr>
        <w:t>加强农村能源基础设施建设</w:t>
      </w:r>
    </w:p>
    <w:p>
      <w:pPr>
        <w:pStyle w:val="58"/>
        <w:ind w:firstLine="640"/>
        <w:rPr>
          <w:rFonts w:ascii="Times New Roman" w:hAnsi="Times New Roman"/>
          <w:sz w:val="32"/>
          <w:szCs w:val="32"/>
        </w:rPr>
      </w:pPr>
      <w:r>
        <w:rPr>
          <w:rFonts w:ascii="Times New Roman" w:hAnsi="Times New Roman"/>
          <w:sz w:val="32"/>
          <w:szCs w:val="32"/>
        </w:rPr>
        <w:t>加快升级改造农村电网，推进乡村电力主网、配网和老旧线路设备改造与建设，加强农村各类线网管理。提高农村电网智能化水平，加快配电自动化、线路调压器等新技术新设备的推广应用，进一步缩小城乡供电服务差距，逐步实现城乡电力服务一体化。支持城镇供气管网向农村社区延伸覆盖，提升农村地区燃气普及率，推广农村智能微管网工程，推进天然气进入农业产业园。“十四五”末，完成中心村农网升级改造，并完成现存的农村电网短板问题整改，农村电网配网自动化覆盖率达到95%以上，供电可靠性达到99.8%以上，基本建成现代农村电网。</w:t>
      </w:r>
    </w:p>
    <w:p>
      <w:pPr>
        <w:pStyle w:val="6"/>
        <w:rPr>
          <w:sz w:val="32"/>
        </w:rPr>
      </w:pPr>
      <w:r>
        <w:rPr>
          <w:sz w:val="32"/>
        </w:rPr>
        <w:t>提升农村能源运维服务能力</w:t>
      </w:r>
    </w:p>
    <w:p>
      <w:pPr>
        <w:pStyle w:val="58"/>
        <w:ind w:firstLine="640"/>
        <w:rPr>
          <w:rFonts w:ascii="Times New Roman" w:hAnsi="Times New Roman"/>
          <w:sz w:val="32"/>
          <w:szCs w:val="32"/>
        </w:rPr>
      </w:pPr>
      <w:r>
        <w:rPr>
          <w:rFonts w:ascii="Times New Roman" w:hAnsi="Times New Roman"/>
          <w:sz w:val="32"/>
          <w:szCs w:val="32"/>
        </w:rPr>
        <w:t>按照城乡统筹和普遍服务的原则，以能源公共服务均等化为导向，结合城镇化进程和新型农村社区建设，统筹完善城乡能源供应网络、技术和服务体系，推动城乡能源一体化发展，提高城乡能源公共服务均等化水平。积极建立各类能源设施维修和技术服务站，培育农村能源专业化服务业企业和人才，加快提高向农村提供能源普遍服务的能力。根据农村用能特点和农民经济承受能力，积极探索能源服务商业模式和运行机制，引导鼓励社会主体参与，通过特许经营、招标等方式，择优选择有质量保证、长期经营能力强的能源建设和服务企业，实行市场化运作，统一负责农村能源建设，运营管理和技术服务等事务。</w:t>
      </w:r>
    </w:p>
    <w:p>
      <w:pPr>
        <w:pStyle w:val="6"/>
        <w:rPr>
          <w:sz w:val="32"/>
        </w:rPr>
      </w:pPr>
      <w:r>
        <w:rPr>
          <w:sz w:val="32"/>
        </w:rPr>
        <w:t>探索发展农村“互联网+”智慧能源</w:t>
      </w:r>
    </w:p>
    <w:p>
      <w:pPr>
        <w:pStyle w:val="58"/>
        <w:ind w:firstLine="640"/>
        <w:rPr>
          <w:rFonts w:ascii="Times New Roman" w:hAnsi="Times New Roman"/>
          <w:sz w:val="32"/>
          <w:szCs w:val="32"/>
        </w:rPr>
        <w:sectPr>
          <w:pgSz w:w="11906" w:h="16838"/>
          <w:pgMar w:top="1701" w:right="1417" w:bottom="1417" w:left="1587" w:header="850" w:footer="992" w:gutter="0"/>
          <w:pgNumType w:fmt="numberInDash"/>
          <w:cols w:space="0" w:num="1"/>
          <w:titlePg/>
          <w:rtlGutter w:val="0"/>
          <w:docGrid w:linePitch="381" w:charSpace="0"/>
        </w:sectPr>
      </w:pPr>
      <w:r>
        <w:rPr>
          <w:rFonts w:ascii="Times New Roman" w:hAnsi="Times New Roman"/>
          <w:sz w:val="32"/>
          <w:szCs w:val="32"/>
        </w:rPr>
        <w:t>提高分布式电网接入能力，发挥不同能源在季节、天气、地域上的互补作用，打造具有农村特色的“源网荷储用”协调发展的能源互联网。以农业生产、乡村产业、农村生活、供电服务为重点，实施农网加强工程和智慧用能示范项目，探索建设农村能源革命示范区，鼓励发展农村智慧能源服务站、农村电气化智慧大棚、电气化水产、电气化畜牧养殖、果蔬加工、智慧家居等智慧能源示范项目。</w:t>
      </w:r>
    </w:p>
    <w:p>
      <w:pPr>
        <w:pStyle w:val="4"/>
        <w:rPr>
          <w:rFonts w:ascii="Times New Roman"/>
          <w:sz w:val="32"/>
          <w:szCs w:val="32"/>
        </w:rPr>
      </w:pPr>
      <w:bookmarkStart w:id="29" w:name="_Toc165901948"/>
      <w:r>
        <w:rPr>
          <w:rFonts w:ascii="Times New Roman"/>
          <w:sz w:val="32"/>
          <w:szCs w:val="32"/>
        </w:rPr>
        <w:t>第四章  环境影响评价</w:t>
      </w:r>
      <w:bookmarkEnd w:id="29"/>
    </w:p>
    <w:p>
      <w:pPr>
        <w:pStyle w:val="5"/>
      </w:pPr>
      <w:bookmarkStart w:id="30" w:name="_Toc165901949"/>
      <w:r>
        <w:t>第一节  环境影响分析</w:t>
      </w:r>
      <w:bookmarkEnd w:id="30"/>
    </w:p>
    <w:p>
      <w:pPr>
        <w:pStyle w:val="58"/>
        <w:ind w:firstLine="640"/>
        <w:rPr>
          <w:rFonts w:ascii="Times New Roman" w:hAnsi="Times New Roman"/>
          <w:sz w:val="32"/>
          <w:szCs w:val="32"/>
        </w:rPr>
      </w:pPr>
      <w:r>
        <w:rPr>
          <w:rFonts w:ascii="Times New Roman" w:hAnsi="Times New Roman"/>
          <w:sz w:val="32"/>
          <w:szCs w:val="32"/>
        </w:rPr>
        <w:t>本规划与国家、广东省及我市重大发展战略和相关政策进行了充分衔接，以构建清洁低碳、安全高效的现代能源体系为目标，促进能源发展与环境保护目标协调统一。本规划深入贯彻落实国家及广东省能源发展“十四五”规划和《韶关市国民经济和社会发展第十四个五年规划和二</w:t>
      </w:r>
      <w:r>
        <w:rPr>
          <w:rFonts w:ascii="Times New Roman" w:hAnsi="Times New Roman" w:eastAsia="微软雅黑"/>
          <w:sz w:val="32"/>
          <w:szCs w:val="32"/>
        </w:rPr>
        <w:t>〇</w:t>
      </w:r>
      <w:r>
        <w:rPr>
          <w:rFonts w:ascii="Times New Roman" w:hAnsi="Times New Roman"/>
          <w:sz w:val="32"/>
          <w:szCs w:val="32"/>
        </w:rPr>
        <w:t>三五年远景目标纲要》总体要求，在保障经济社会持续健康发展的前提下，通过积极提升能源利用效率、保持能源需求低速增长，持续优化能源供应结构和消费模式，促进能源消费更加高效、清洁、低碳，环境效益进一步凸显。</w:t>
      </w:r>
    </w:p>
    <w:p>
      <w:pPr>
        <w:pStyle w:val="58"/>
        <w:ind w:firstLine="643"/>
        <w:rPr>
          <w:rFonts w:ascii="Times New Roman" w:hAnsi="Times New Roman"/>
          <w:sz w:val="32"/>
          <w:szCs w:val="32"/>
        </w:rPr>
      </w:pPr>
      <w:r>
        <w:rPr>
          <w:rFonts w:ascii="Times New Roman" w:hAnsi="Times New Roman"/>
          <w:b/>
          <w:sz w:val="32"/>
          <w:szCs w:val="32"/>
        </w:rPr>
        <w:t>优化能源结构，提升环境质量</w:t>
      </w:r>
      <w:r>
        <w:rPr>
          <w:rFonts w:ascii="Times New Roman" w:hAnsi="Times New Roman"/>
          <w:sz w:val="32"/>
          <w:szCs w:val="32"/>
        </w:rPr>
        <w:t>。把清洁低碳发展作为主攻方向，大力发展新能源及可再生能源，合理控制煤炭消费总量，稳步替代化石能源消耗，持续优化能源结构，有效降低温室气体和污染物排放强度。重点推进风电、太阳能等可再生能源利用，有序实施外电提质增效工程。深入贯彻落实省有关推动落后产能退出的工作部署，加强节能监察结果的分析应用，鼓励企业积极参与节能诊断、实施节能技术改造，推进重点行业、区域工业能效水平提升。</w:t>
      </w:r>
    </w:p>
    <w:p>
      <w:pPr>
        <w:pStyle w:val="58"/>
        <w:ind w:firstLine="643"/>
        <w:rPr>
          <w:rFonts w:ascii="Times New Roman" w:hAnsi="Times New Roman"/>
          <w:sz w:val="32"/>
          <w:szCs w:val="32"/>
        </w:rPr>
      </w:pPr>
      <w:r>
        <w:rPr>
          <w:rFonts w:ascii="Times New Roman" w:hAnsi="Times New Roman"/>
          <w:b/>
          <w:sz w:val="32"/>
          <w:szCs w:val="32"/>
        </w:rPr>
        <w:t>降低项目建设及运行期间环境影响</w:t>
      </w:r>
      <w:r>
        <w:rPr>
          <w:rFonts w:ascii="Times New Roman" w:hAnsi="Times New Roman"/>
          <w:sz w:val="32"/>
          <w:szCs w:val="32"/>
        </w:rPr>
        <w:t>。在能源项目建设施工阶段，会造成一定程度的植被破坏、改变地形地貌、水土流失等环境影响，并产生噪声、扬尘、废水、固体废物等污染，同时对项目区域生物产生不利影响。火电项目运行期间，会有一定的气态、液态、固态废物和热量排放；光伏和风电项目运行期间会产生较弱电磁辐射，影响鸟类栖息和迁移；输变电工程运行期间，会产生工频电场、磁感、无线电干扰、噪声及生态影响；油气设施运行期间会对大气、土壤和水环境产生一定影响。</w:t>
      </w:r>
    </w:p>
    <w:p>
      <w:pPr>
        <w:pStyle w:val="58"/>
        <w:ind w:firstLine="640"/>
        <w:rPr>
          <w:rFonts w:ascii="Times New Roman" w:hAnsi="Times New Roman"/>
          <w:sz w:val="32"/>
          <w:szCs w:val="32"/>
        </w:rPr>
      </w:pPr>
    </w:p>
    <w:p>
      <w:pPr>
        <w:pStyle w:val="5"/>
      </w:pPr>
      <w:bookmarkStart w:id="31" w:name="_Toc165901950"/>
      <w:r>
        <w:t>第二节  环境保护措施</w:t>
      </w:r>
      <w:bookmarkEnd w:id="31"/>
    </w:p>
    <w:p>
      <w:pPr>
        <w:pStyle w:val="58"/>
        <w:ind w:firstLine="640"/>
        <w:rPr>
          <w:rFonts w:ascii="Times New Roman" w:hAnsi="Times New Roman"/>
          <w:sz w:val="32"/>
          <w:szCs w:val="32"/>
        </w:rPr>
      </w:pPr>
      <w:r>
        <w:rPr>
          <w:rFonts w:ascii="Times New Roman" w:hAnsi="Times New Roman"/>
          <w:sz w:val="32"/>
          <w:szCs w:val="32"/>
        </w:rPr>
        <w:t>坚持清洁低碳，绿色发展的原则，注重在能源生产、能源储运以及能源消费过程中的环境保护；发挥节能制度的控制作用，发挥科技创新的支撑作用，发挥专项规划的引领作用；深化节能减排、深化政策支持、深化要素支撑；实现能源与生态环境的和谐发展。</w:t>
      </w:r>
    </w:p>
    <w:p>
      <w:pPr>
        <w:pStyle w:val="58"/>
        <w:ind w:firstLine="643"/>
        <w:rPr>
          <w:rFonts w:ascii="Times New Roman" w:hAnsi="Times New Roman"/>
          <w:sz w:val="32"/>
          <w:szCs w:val="32"/>
        </w:rPr>
      </w:pPr>
      <w:r>
        <w:rPr>
          <w:rFonts w:ascii="Times New Roman" w:hAnsi="Times New Roman"/>
          <w:b/>
          <w:sz w:val="32"/>
          <w:szCs w:val="32"/>
        </w:rPr>
        <w:t>加强过程监控，减轻环境影响</w:t>
      </w:r>
      <w:r>
        <w:rPr>
          <w:rFonts w:ascii="Times New Roman" w:hAnsi="Times New Roman"/>
          <w:sz w:val="32"/>
          <w:szCs w:val="32"/>
        </w:rPr>
        <w:t>。加强能源项目建设及运行过程中的噪声、废弃物、植被破坏的监控与影响评价。重点加强光伏项目建设运行过程中的水土保持和环境修复，降低生态环境影响。健全碳计量标准装置，为温室气体排放可测量、可报告、可核查提供计量支撑。实施能源生产、储运及消费全过程跟踪，通过法律、行政及经济等手段预防干预项目实施对环境的影响。发挥专项规划的引领作用，切实做好能源规划与电力、电网、油气、可再生能源、氢能、水域岸线保护与利用等专项规划的衔接，坚持能源发展与环境保护并重，突出加强重点生态功能区和生态脆弱区的保护。发挥环保、节能制度的控制作用，自觉遵守《中华人民共和国环境保护法》《中华人民共和国节约能源法》等法律法规，认真执行环境影响评价制度，加强能源项目节能评估审查。发挥科技创新支撑作用，积极运用先进清洁生产技术和废弃资源综合利用技术，减少污染物排放，降低能源生产和转化过程对土地资源、水资源、生态环境等不良影响，严格落实企业环保主体责任，增强自主减排动力。</w:t>
      </w:r>
    </w:p>
    <w:p>
      <w:pPr>
        <w:pStyle w:val="58"/>
        <w:ind w:firstLine="643"/>
        <w:rPr>
          <w:rFonts w:ascii="Times New Roman" w:hAnsi="Times New Roman"/>
          <w:sz w:val="32"/>
          <w:szCs w:val="32"/>
        </w:rPr>
      </w:pPr>
      <w:r>
        <w:rPr>
          <w:rFonts w:ascii="Times New Roman" w:hAnsi="Times New Roman"/>
          <w:b/>
          <w:sz w:val="32"/>
          <w:szCs w:val="32"/>
        </w:rPr>
        <w:t>加强空间管控，保障基础设施安全。</w:t>
      </w:r>
      <w:r>
        <w:rPr>
          <w:sz w:val="32"/>
        </w:rPr>
        <w:t>与属地自然资源等相关部门沟通对接，确保各重点项目符合国土空间规划管控要求</w:t>
      </w:r>
      <w:r>
        <w:rPr>
          <w:rFonts w:hint="eastAsia"/>
          <w:sz w:val="32"/>
        </w:rPr>
        <w:t>。</w:t>
      </w:r>
      <w:r>
        <w:rPr>
          <w:rStyle w:val="180"/>
          <w:rFonts w:hint="default" w:ascii="Times New Roman" w:hAnsi="Times New Roman"/>
          <w:color w:val="auto"/>
        </w:rPr>
        <w:t>光伏项目不得新增占用耕地。光伏电站</w:t>
      </w:r>
      <w:r>
        <w:rPr>
          <w:rStyle w:val="180"/>
          <w:rFonts w:hint="default" w:ascii="Times New Roman" w:hAnsi="Times New Roman"/>
        </w:rPr>
        <w:t>、风力发电等项目不得在河道、湖泊、水库内建设。在湖泊周边、水库库汊建设光伏、风电项目的，要科学论证，严格管控，不得布设在具有防洪、供水功能和水生态、水环境保护需求的区域，不得妨碍行洪通畅，不得危害水库大坝和堤防等水利工程设施安全，不得影响河势。能源建设项目涉及河道管理或水利工程的，应报相应的水行政主管部门审查批准同意后方可开工建设。</w:t>
      </w:r>
    </w:p>
    <w:p>
      <w:pPr>
        <w:pStyle w:val="58"/>
        <w:ind w:firstLine="643"/>
        <w:rPr>
          <w:rFonts w:ascii="Times New Roman" w:hAnsi="Times New Roman"/>
          <w:sz w:val="32"/>
          <w:szCs w:val="32"/>
        </w:rPr>
        <w:sectPr>
          <w:pgSz w:w="11906" w:h="16838"/>
          <w:pgMar w:top="1701" w:right="1417" w:bottom="1417" w:left="1587" w:header="850" w:footer="992" w:gutter="0"/>
          <w:pgNumType w:fmt="numberInDash"/>
          <w:cols w:space="0" w:num="1"/>
          <w:titlePg/>
          <w:rtlGutter w:val="0"/>
          <w:docGrid w:linePitch="381" w:charSpace="0"/>
        </w:sectPr>
      </w:pPr>
      <w:r>
        <w:rPr>
          <w:rFonts w:ascii="Times New Roman" w:hAnsi="Times New Roman"/>
          <w:b/>
          <w:sz w:val="32"/>
          <w:szCs w:val="32"/>
        </w:rPr>
        <w:t>整治恢复并举，提升社会效益</w:t>
      </w:r>
      <w:r>
        <w:rPr>
          <w:rFonts w:ascii="Times New Roman" w:hAnsi="Times New Roman"/>
          <w:sz w:val="32"/>
          <w:szCs w:val="32"/>
        </w:rPr>
        <w:t>。大力开展环境治理与恢复，营造全社会节能减排的良好氛围。加速完成现役机组超低排放改造，通过改进机组设计、合理安排防护等措施，完善电力安全保障能力，加强光伏及风电项目建设过程中的水土保持和环境修复，降低风机运行噪音和电网电磁辐射等区域性环境影响。在山区、丘陵区、风沙区以及水土保持规划确定的容易发生水土流失的其他区域开办可能造成水土流失的建设项目，生产建设单位应当编制水土保持方案，报县级以上人民政府水行政主管部门审批并执行经批准的方案。优化油气管网布局，推进管道共建公用，减少耕地占用，及时复垦，保护自然地形地貌。</w:t>
      </w:r>
    </w:p>
    <w:p>
      <w:pPr>
        <w:pStyle w:val="4"/>
        <w:rPr>
          <w:rFonts w:ascii="Times New Roman"/>
          <w:sz w:val="32"/>
          <w:szCs w:val="32"/>
        </w:rPr>
      </w:pPr>
      <w:bookmarkStart w:id="32" w:name="_Toc165901951"/>
      <w:bookmarkStart w:id="33" w:name="_Hlk134773913"/>
      <w:r>
        <w:rPr>
          <w:rFonts w:ascii="Times New Roman"/>
          <w:sz w:val="32"/>
          <w:szCs w:val="32"/>
        </w:rPr>
        <w:t>第五章  保障措施</w:t>
      </w:r>
      <w:bookmarkEnd w:id="32"/>
    </w:p>
    <w:bookmarkEnd w:id="33"/>
    <w:p>
      <w:pPr>
        <w:pStyle w:val="5"/>
      </w:pPr>
      <w:bookmarkStart w:id="34" w:name="_Toc14789491"/>
      <w:bookmarkStart w:id="35" w:name="_Toc14791533"/>
      <w:bookmarkStart w:id="36" w:name="_Toc8314484"/>
      <w:bookmarkStart w:id="37" w:name="_Toc165901952"/>
      <w:r>
        <w:t>第一节</w:t>
      </w:r>
      <w:bookmarkEnd w:id="34"/>
      <w:bookmarkEnd w:id="35"/>
      <w:bookmarkEnd w:id="36"/>
      <w:r>
        <w:t xml:space="preserve">  加强组织领导</w:t>
      </w:r>
      <w:bookmarkEnd w:id="37"/>
    </w:p>
    <w:p>
      <w:pPr>
        <w:pStyle w:val="58"/>
        <w:ind w:firstLine="640"/>
        <w:rPr>
          <w:rFonts w:ascii="Times New Roman" w:hAnsi="Times New Roman"/>
          <w:sz w:val="32"/>
          <w:szCs w:val="32"/>
        </w:rPr>
      </w:pPr>
      <w:r>
        <w:rPr>
          <w:rFonts w:ascii="Times New Roman" w:hAnsi="Times New Roman"/>
          <w:sz w:val="32"/>
          <w:szCs w:val="32"/>
        </w:rPr>
        <w:t>建立健全以市发展和改革局组织协调、相关职能部门积极配合、各县（市、区）政府和重点能源企业细化落实的能源规划实施工作机制。加强对能源重大战略问题的研究和审议，推动规划顺利实施。贯彻落实国家和广东省能源领域法规政策，及时制定和发布本地配套落实政策。发挥组织领导作用，指导相关能源企业依据本规划制定企业发展规划和实施方案，按照规定开展项目建设工作。</w:t>
      </w:r>
    </w:p>
    <w:p>
      <w:pPr>
        <w:pStyle w:val="5"/>
      </w:pPr>
      <w:bookmarkStart w:id="38" w:name="_Toc165901953"/>
      <w:bookmarkStart w:id="39" w:name="_Toc14791536"/>
      <w:bookmarkStart w:id="40" w:name="_Toc14789494"/>
      <w:bookmarkStart w:id="41" w:name="_Toc8314487"/>
      <w:r>
        <w:t>第二节  落实政策支持</w:t>
      </w:r>
      <w:bookmarkEnd w:id="38"/>
    </w:p>
    <w:p>
      <w:pPr>
        <w:pStyle w:val="58"/>
        <w:ind w:firstLine="640"/>
        <w:rPr>
          <w:rFonts w:ascii="Times New Roman" w:hAnsi="Times New Roman"/>
          <w:sz w:val="32"/>
          <w:szCs w:val="32"/>
        </w:rPr>
      </w:pPr>
      <w:r>
        <w:rPr>
          <w:rFonts w:ascii="Times New Roman" w:hAnsi="Times New Roman"/>
          <w:sz w:val="32"/>
          <w:szCs w:val="32"/>
        </w:rPr>
        <w:t>加强能源政策研究，发挥政策引导、支持、促进作用。针对重点领域开展政策和机制专项研究，尽快出台相关实施细则。进一步完善能源发展相关价格、财税、投资、金融等支持政策，积极配合省推进电力体制改革、油气体制改革，理顺油气管道建设运营机制和价格机制。强化政策引导和扶持，加大财政对本市能源发展特别是氢能等新兴清洁能源开发利用的支持力度，支持构建乡村现代能源体系建设。加强与国土空间规划、新型城镇化规划等专项规划的衔接，加大资金、土地等要素对规划实施的保障力度。</w:t>
      </w:r>
    </w:p>
    <w:p>
      <w:pPr>
        <w:pStyle w:val="5"/>
      </w:pPr>
      <w:bookmarkStart w:id="42" w:name="_Toc165901954"/>
      <w:r>
        <w:t>第三节</w:t>
      </w:r>
      <w:bookmarkEnd w:id="39"/>
      <w:bookmarkEnd w:id="40"/>
      <w:bookmarkEnd w:id="41"/>
      <w:r>
        <w:t xml:space="preserve">  实施规划评估</w:t>
      </w:r>
      <w:bookmarkEnd w:id="42"/>
    </w:p>
    <w:p>
      <w:pPr>
        <w:pStyle w:val="58"/>
        <w:ind w:firstLine="960" w:firstLineChars="300"/>
        <w:rPr>
          <w:rFonts w:ascii="Times New Roman" w:hAnsi="Times New Roman"/>
          <w:sz w:val="32"/>
          <w:szCs w:val="32"/>
        </w:rPr>
      </w:pPr>
      <w:r>
        <w:rPr>
          <w:rFonts w:ascii="Times New Roman" w:hAnsi="Times New Roman"/>
          <w:sz w:val="32"/>
          <w:szCs w:val="32"/>
        </w:rPr>
        <w:t>建立健全规划实施责任机制，形成能源主管部门牵头组织协调、其他有关部门分工配合、各地政府和能源企业细化落实的工作机制，形成推动规划实施的整体合力。加强规划实施评估，适时进行滚动修编。强化规划刚性管理，完善评估考核制度，将规划指标完成情况纳入政府综合考核和绩效评价体系，确保规划提出的各项任务落到实处，强化能源规划对全市能源改革发展的指导地位。</w:t>
      </w:r>
    </w:p>
    <w:p>
      <w:pPr>
        <w:pStyle w:val="5"/>
      </w:pPr>
      <w:bookmarkStart w:id="43" w:name="_Toc165901955"/>
      <w:r>
        <w:t>第四节  强化宣传引导</w:t>
      </w:r>
      <w:bookmarkEnd w:id="43"/>
    </w:p>
    <w:p>
      <w:pPr>
        <w:pStyle w:val="58"/>
        <w:ind w:firstLine="640"/>
        <w:rPr>
          <w:rFonts w:ascii="Times New Roman" w:hAnsi="Times New Roman"/>
          <w:sz w:val="32"/>
          <w:szCs w:val="32"/>
        </w:rPr>
      </w:pPr>
      <w:r>
        <w:rPr>
          <w:rFonts w:ascii="Times New Roman" w:hAnsi="Times New Roman"/>
          <w:sz w:val="32"/>
          <w:szCs w:val="32"/>
        </w:rPr>
        <w:t>多元化加强新闻宣传、政策解读和教育普及，推广绿色低碳、节能降耗的能源发展理念。加强舆论引导，传递有利于推进规划实施的好声音和正能量，积极营造绿色用能、节约用能的社会氛围，推动形成社会共识和自觉意识。发挥舆论监督作用，完善公众参与机制，加强能源信息公开，不断提高群众在全市绿色低碳发展道路中的参与度。</w:t>
      </w:r>
    </w:p>
    <w:sectPr>
      <w:pgSz w:w="11906" w:h="16838"/>
      <w:pgMar w:top="1701" w:right="1417" w:bottom="1417" w:left="1587" w:header="850" w:footer="992" w:gutter="0"/>
      <w:pgNumType w:fmt="numberInDash"/>
      <w:cols w:space="0" w:num="1"/>
      <w:titlePg/>
      <w:rtlGutter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TimesNewRomanPSMT">
    <w:altName w:val="Nimbus Roman No9 L"/>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240" w:after="12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240" w:after="120"/>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240" w:after="120"/>
      <w:ind w:firstLine="36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spacing w:before="240" w:after="120"/>
                            <w:ind w:firstLine="360"/>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III</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8"/>
                      <w:spacing w:before="240" w:after="120"/>
                      <w:ind w:firstLine="360"/>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III</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240" w:after="12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spacing w:before="240" w:after="120"/>
                            <w:ind w:firstLine="360"/>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6</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8"/>
                      <w:spacing w:before="240" w:after="120"/>
                      <w:ind w:firstLine="360"/>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6</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2"/>
      <w:pBdr>
        <w:bottom w:val="none" w:color="auto" w:sz="0" w:space="0"/>
      </w:pBdr>
      <w:spacing w:before="24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F59E5"/>
    <w:multiLevelType w:val="multilevel"/>
    <w:tmpl w:val="59FF59E5"/>
    <w:lvl w:ilvl="0" w:tentative="0">
      <w:start w:val="1"/>
      <w:numFmt w:val="decimal"/>
      <w:pStyle w:val="6"/>
      <w:lvlText w:val="%1、"/>
      <w:lvlJc w:val="left"/>
      <w:pPr>
        <w:ind w:left="1322" w:hanging="720"/>
      </w:pPr>
      <w:rPr>
        <w:rFonts w:hint="default"/>
        <w:b/>
        <w:color w:val="auto"/>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HorizontalSpacing w:val="0"/>
  <w:drawingGridVerticalSpacing w:val="381"/>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YzIxMmM5YThlMTI5Y2U3MGY0NWRiMTBjZjgwODMifQ=="/>
  </w:docVars>
  <w:rsids>
    <w:rsidRoot w:val="00172A27"/>
    <w:rsid w:val="0000132B"/>
    <w:rsid w:val="00001EC5"/>
    <w:rsid w:val="00005B25"/>
    <w:rsid w:val="00005C44"/>
    <w:rsid w:val="0000699B"/>
    <w:rsid w:val="00006E6C"/>
    <w:rsid w:val="00006F9F"/>
    <w:rsid w:val="00010CD2"/>
    <w:rsid w:val="00012372"/>
    <w:rsid w:val="00013114"/>
    <w:rsid w:val="000133F4"/>
    <w:rsid w:val="00014DA6"/>
    <w:rsid w:val="000151A1"/>
    <w:rsid w:val="00015869"/>
    <w:rsid w:val="000158CA"/>
    <w:rsid w:val="0001684E"/>
    <w:rsid w:val="00016A5F"/>
    <w:rsid w:val="00020C93"/>
    <w:rsid w:val="00021299"/>
    <w:rsid w:val="00021DAD"/>
    <w:rsid w:val="000245B0"/>
    <w:rsid w:val="0002497F"/>
    <w:rsid w:val="00024B69"/>
    <w:rsid w:val="00025A2C"/>
    <w:rsid w:val="00025E5A"/>
    <w:rsid w:val="00027465"/>
    <w:rsid w:val="00027ED5"/>
    <w:rsid w:val="000310E7"/>
    <w:rsid w:val="00031162"/>
    <w:rsid w:val="000311EC"/>
    <w:rsid w:val="000322E9"/>
    <w:rsid w:val="000324AC"/>
    <w:rsid w:val="000329C2"/>
    <w:rsid w:val="00032D91"/>
    <w:rsid w:val="00034294"/>
    <w:rsid w:val="000344E9"/>
    <w:rsid w:val="00034E94"/>
    <w:rsid w:val="00035376"/>
    <w:rsid w:val="00036231"/>
    <w:rsid w:val="00036723"/>
    <w:rsid w:val="00036A21"/>
    <w:rsid w:val="00040199"/>
    <w:rsid w:val="000409ED"/>
    <w:rsid w:val="00040C2E"/>
    <w:rsid w:val="0004295B"/>
    <w:rsid w:val="00043195"/>
    <w:rsid w:val="00043602"/>
    <w:rsid w:val="0004365F"/>
    <w:rsid w:val="00043680"/>
    <w:rsid w:val="00043FB8"/>
    <w:rsid w:val="0004461F"/>
    <w:rsid w:val="00044E04"/>
    <w:rsid w:val="00044EAF"/>
    <w:rsid w:val="000452B9"/>
    <w:rsid w:val="0004592C"/>
    <w:rsid w:val="00045BE9"/>
    <w:rsid w:val="000463F2"/>
    <w:rsid w:val="00046A4E"/>
    <w:rsid w:val="00050A58"/>
    <w:rsid w:val="000511E0"/>
    <w:rsid w:val="00051880"/>
    <w:rsid w:val="00051C55"/>
    <w:rsid w:val="0005260A"/>
    <w:rsid w:val="00053845"/>
    <w:rsid w:val="00053AFC"/>
    <w:rsid w:val="0005400E"/>
    <w:rsid w:val="000546A2"/>
    <w:rsid w:val="0005595D"/>
    <w:rsid w:val="000560A4"/>
    <w:rsid w:val="000562AB"/>
    <w:rsid w:val="000563BF"/>
    <w:rsid w:val="000565AA"/>
    <w:rsid w:val="000602E7"/>
    <w:rsid w:val="00062E72"/>
    <w:rsid w:val="000635A0"/>
    <w:rsid w:val="00063A12"/>
    <w:rsid w:val="00064A57"/>
    <w:rsid w:val="000657A8"/>
    <w:rsid w:val="00065924"/>
    <w:rsid w:val="00066BFE"/>
    <w:rsid w:val="00066D53"/>
    <w:rsid w:val="000703F6"/>
    <w:rsid w:val="00070B08"/>
    <w:rsid w:val="00070EA4"/>
    <w:rsid w:val="000716C2"/>
    <w:rsid w:val="00072883"/>
    <w:rsid w:val="00072F21"/>
    <w:rsid w:val="00073382"/>
    <w:rsid w:val="00073D2C"/>
    <w:rsid w:val="00073E38"/>
    <w:rsid w:val="00073F2C"/>
    <w:rsid w:val="00074110"/>
    <w:rsid w:val="00074688"/>
    <w:rsid w:val="0007487B"/>
    <w:rsid w:val="00074BD9"/>
    <w:rsid w:val="00075124"/>
    <w:rsid w:val="00075134"/>
    <w:rsid w:val="00075482"/>
    <w:rsid w:val="00075B9D"/>
    <w:rsid w:val="0007645E"/>
    <w:rsid w:val="00076625"/>
    <w:rsid w:val="000805EE"/>
    <w:rsid w:val="00080B03"/>
    <w:rsid w:val="00080C6B"/>
    <w:rsid w:val="000823D0"/>
    <w:rsid w:val="000839D9"/>
    <w:rsid w:val="00083C0F"/>
    <w:rsid w:val="00084090"/>
    <w:rsid w:val="00084E7C"/>
    <w:rsid w:val="000851F8"/>
    <w:rsid w:val="00085A62"/>
    <w:rsid w:val="00086072"/>
    <w:rsid w:val="00086405"/>
    <w:rsid w:val="000864C7"/>
    <w:rsid w:val="00087164"/>
    <w:rsid w:val="000872A0"/>
    <w:rsid w:val="000875D5"/>
    <w:rsid w:val="0008777A"/>
    <w:rsid w:val="00091447"/>
    <w:rsid w:val="00092AE4"/>
    <w:rsid w:val="00092EF3"/>
    <w:rsid w:val="00093B20"/>
    <w:rsid w:val="00093F05"/>
    <w:rsid w:val="00094198"/>
    <w:rsid w:val="00094C66"/>
    <w:rsid w:val="00095F20"/>
    <w:rsid w:val="00096876"/>
    <w:rsid w:val="00096AD9"/>
    <w:rsid w:val="00096DD8"/>
    <w:rsid w:val="00097657"/>
    <w:rsid w:val="000A041D"/>
    <w:rsid w:val="000A0F6E"/>
    <w:rsid w:val="000A1477"/>
    <w:rsid w:val="000A263E"/>
    <w:rsid w:val="000A38E0"/>
    <w:rsid w:val="000A3F00"/>
    <w:rsid w:val="000A43A8"/>
    <w:rsid w:val="000A5443"/>
    <w:rsid w:val="000A5AE8"/>
    <w:rsid w:val="000A667D"/>
    <w:rsid w:val="000A719E"/>
    <w:rsid w:val="000A772B"/>
    <w:rsid w:val="000B1194"/>
    <w:rsid w:val="000B1E60"/>
    <w:rsid w:val="000B2B2E"/>
    <w:rsid w:val="000B2FEE"/>
    <w:rsid w:val="000B4BF7"/>
    <w:rsid w:val="000B4BF8"/>
    <w:rsid w:val="000B6264"/>
    <w:rsid w:val="000B69C6"/>
    <w:rsid w:val="000B7268"/>
    <w:rsid w:val="000B7BFD"/>
    <w:rsid w:val="000C0344"/>
    <w:rsid w:val="000C0584"/>
    <w:rsid w:val="000C0E0E"/>
    <w:rsid w:val="000C0FCA"/>
    <w:rsid w:val="000C1703"/>
    <w:rsid w:val="000C240E"/>
    <w:rsid w:val="000C38FC"/>
    <w:rsid w:val="000C4293"/>
    <w:rsid w:val="000C44E4"/>
    <w:rsid w:val="000C47FB"/>
    <w:rsid w:val="000C4D79"/>
    <w:rsid w:val="000C5D65"/>
    <w:rsid w:val="000C70E0"/>
    <w:rsid w:val="000C72B6"/>
    <w:rsid w:val="000C73D4"/>
    <w:rsid w:val="000C7BD4"/>
    <w:rsid w:val="000D0386"/>
    <w:rsid w:val="000D1839"/>
    <w:rsid w:val="000D1A89"/>
    <w:rsid w:val="000D2E42"/>
    <w:rsid w:val="000D3E1E"/>
    <w:rsid w:val="000D4036"/>
    <w:rsid w:val="000D44F9"/>
    <w:rsid w:val="000D52C9"/>
    <w:rsid w:val="000D6CB6"/>
    <w:rsid w:val="000D78F5"/>
    <w:rsid w:val="000E083E"/>
    <w:rsid w:val="000E0B8C"/>
    <w:rsid w:val="000E344B"/>
    <w:rsid w:val="000E3463"/>
    <w:rsid w:val="000E37A1"/>
    <w:rsid w:val="000E469B"/>
    <w:rsid w:val="000E4C31"/>
    <w:rsid w:val="000E570E"/>
    <w:rsid w:val="000E589F"/>
    <w:rsid w:val="000E6106"/>
    <w:rsid w:val="000E6274"/>
    <w:rsid w:val="000E628E"/>
    <w:rsid w:val="000E697F"/>
    <w:rsid w:val="000E6BAF"/>
    <w:rsid w:val="000E6EF3"/>
    <w:rsid w:val="000F001E"/>
    <w:rsid w:val="000F007A"/>
    <w:rsid w:val="000F07AB"/>
    <w:rsid w:val="000F0F1B"/>
    <w:rsid w:val="000F1EFF"/>
    <w:rsid w:val="000F21E4"/>
    <w:rsid w:val="000F523E"/>
    <w:rsid w:val="000F5B32"/>
    <w:rsid w:val="000F5DBE"/>
    <w:rsid w:val="000F6126"/>
    <w:rsid w:val="000F637B"/>
    <w:rsid w:val="0010066D"/>
    <w:rsid w:val="00101873"/>
    <w:rsid w:val="00103E0F"/>
    <w:rsid w:val="0010421A"/>
    <w:rsid w:val="00104500"/>
    <w:rsid w:val="00107CA4"/>
    <w:rsid w:val="00107DD8"/>
    <w:rsid w:val="00110525"/>
    <w:rsid w:val="00110A44"/>
    <w:rsid w:val="00110D17"/>
    <w:rsid w:val="00110DF1"/>
    <w:rsid w:val="00111000"/>
    <w:rsid w:val="0011104D"/>
    <w:rsid w:val="00111805"/>
    <w:rsid w:val="00111C5B"/>
    <w:rsid w:val="001143AF"/>
    <w:rsid w:val="00114686"/>
    <w:rsid w:val="00115F82"/>
    <w:rsid w:val="001169EC"/>
    <w:rsid w:val="001169FE"/>
    <w:rsid w:val="001171B4"/>
    <w:rsid w:val="001177DA"/>
    <w:rsid w:val="00117A3B"/>
    <w:rsid w:val="00120D4D"/>
    <w:rsid w:val="001217B4"/>
    <w:rsid w:val="00122653"/>
    <w:rsid w:val="00122829"/>
    <w:rsid w:val="0012317A"/>
    <w:rsid w:val="00123418"/>
    <w:rsid w:val="00124094"/>
    <w:rsid w:val="00124430"/>
    <w:rsid w:val="00124729"/>
    <w:rsid w:val="0012654C"/>
    <w:rsid w:val="00126BE1"/>
    <w:rsid w:val="0012704D"/>
    <w:rsid w:val="00127F75"/>
    <w:rsid w:val="001303B1"/>
    <w:rsid w:val="0013054C"/>
    <w:rsid w:val="001326E5"/>
    <w:rsid w:val="00133D7C"/>
    <w:rsid w:val="00133F53"/>
    <w:rsid w:val="00135141"/>
    <w:rsid w:val="00135210"/>
    <w:rsid w:val="0013707D"/>
    <w:rsid w:val="00140732"/>
    <w:rsid w:val="00140978"/>
    <w:rsid w:val="00141E34"/>
    <w:rsid w:val="00141FDF"/>
    <w:rsid w:val="00142041"/>
    <w:rsid w:val="0014227B"/>
    <w:rsid w:val="0014230D"/>
    <w:rsid w:val="00142B91"/>
    <w:rsid w:val="00144317"/>
    <w:rsid w:val="0014471F"/>
    <w:rsid w:val="001463C5"/>
    <w:rsid w:val="00146F68"/>
    <w:rsid w:val="0014747A"/>
    <w:rsid w:val="00150E2D"/>
    <w:rsid w:val="00151B1A"/>
    <w:rsid w:val="00151D7F"/>
    <w:rsid w:val="00152917"/>
    <w:rsid w:val="00152AFF"/>
    <w:rsid w:val="001530A6"/>
    <w:rsid w:val="00153AE6"/>
    <w:rsid w:val="0015446A"/>
    <w:rsid w:val="00154E5B"/>
    <w:rsid w:val="0016027D"/>
    <w:rsid w:val="0016046A"/>
    <w:rsid w:val="00160545"/>
    <w:rsid w:val="00160951"/>
    <w:rsid w:val="00160AE4"/>
    <w:rsid w:val="00160B41"/>
    <w:rsid w:val="0016274E"/>
    <w:rsid w:val="00163247"/>
    <w:rsid w:val="00163A9C"/>
    <w:rsid w:val="00163D1C"/>
    <w:rsid w:val="00163EBC"/>
    <w:rsid w:val="0016572C"/>
    <w:rsid w:val="0016634B"/>
    <w:rsid w:val="00167185"/>
    <w:rsid w:val="001676AA"/>
    <w:rsid w:val="00170D52"/>
    <w:rsid w:val="0017139B"/>
    <w:rsid w:val="00172636"/>
    <w:rsid w:val="00172A27"/>
    <w:rsid w:val="001730E2"/>
    <w:rsid w:val="00173836"/>
    <w:rsid w:val="00174033"/>
    <w:rsid w:val="0017553E"/>
    <w:rsid w:val="00176148"/>
    <w:rsid w:val="001775EE"/>
    <w:rsid w:val="001804B4"/>
    <w:rsid w:val="00181C69"/>
    <w:rsid w:val="00182FE0"/>
    <w:rsid w:val="00184227"/>
    <w:rsid w:val="00185A38"/>
    <w:rsid w:val="0018653C"/>
    <w:rsid w:val="001868DE"/>
    <w:rsid w:val="00186C51"/>
    <w:rsid w:val="00187C00"/>
    <w:rsid w:val="00190B65"/>
    <w:rsid w:val="00191D3A"/>
    <w:rsid w:val="001923AE"/>
    <w:rsid w:val="00192ECC"/>
    <w:rsid w:val="00192F48"/>
    <w:rsid w:val="0019468D"/>
    <w:rsid w:val="001956FE"/>
    <w:rsid w:val="0019579E"/>
    <w:rsid w:val="00196130"/>
    <w:rsid w:val="00196DF6"/>
    <w:rsid w:val="001973A8"/>
    <w:rsid w:val="001A05C8"/>
    <w:rsid w:val="001A07F1"/>
    <w:rsid w:val="001A0C24"/>
    <w:rsid w:val="001A13B7"/>
    <w:rsid w:val="001A1A38"/>
    <w:rsid w:val="001A1D16"/>
    <w:rsid w:val="001A1E28"/>
    <w:rsid w:val="001A2D0E"/>
    <w:rsid w:val="001A2DDA"/>
    <w:rsid w:val="001A2DF8"/>
    <w:rsid w:val="001A34F4"/>
    <w:rsid w:val="001A4001"/>
    <w:rsid w:val="001A4957"/>
    <w:rsid w:val="001A5C2F"/>
    <w:rsid w:val="001A62BC"/>
    <w:rsid w:val="001A6EAB"/>
    <w:rsid w:val="001A6FC7"/>
    <w:rsid w:val="001A7977"/>
    <w:rsid w:val="001A7E60"/>
    <w:rsid w:val="001B0B8D"/>
    <w:rsid w:val="001B1CE7"/>
    <w:rsid w:val="001B1FA3"/>
    <w:rsid w:val="001B2202"/>
    <w:rsid w:val="001B224D"/>
    <w:rsid w:val="001B2435"/>
    <w:rsid w:val="001B250C"/>
    <w:rsid w:val="001B283D"/>
    <w:rsid w:val="001B31F1"/>
    <w:rsid w:val="001B3716"/>
    <w:rsid w:val="001B49B6"/>
    <w:rsid w:val="001B4B01"/>
    <w:rsid w:val="001B5B73"/>
    <w:rsid w:val="001B760C"/>
    <w:rsid w:val="001C187B"/>
    <w:rsid w:val="001C3DC1"/>
    <w:rsid w:val="001C3F93"/>
    <w:rsid w:val="001C4E85"/>
    <w:rsid w:val="001C7021"/>
    <w:rsid w:val="001C7213"/>
    <w:rsid w:val="001D0BA8"/>
    <w:rsid w:val="001D0CFB"/>
    <w:rsid w:val="001D0E4F"/>
    <w:rsid w:val="001D14C3"/>
    <w:rsid w:val="001D3F29"/>
    <w:rsid w:val="001D47C4"/>
    <w:rsid w:val="001D4B6F"/>
    <w:rsid w:val="001D4CF0"/>
    <w:rsid w:val="001D5733"/>
    <w:rsid w:val="001D59B2"/>
    <w:rsid w:val="001D5F0C"/>
    <w:rsid w:val="001D67EE"/>
    <w:rsid w:val="001D6928"/>
    <w:rsid w:val="001D6AC9"/>
    <w:rsid w:val="001D78C3"/>
    <w:rsid w:val="001E00F2"/>
    <w:rsid w:val="001E05B7"/>
    <w:rsid w:val="001E0DDD"/>
    <w:rsid w:val="001E117E"/>
    <w:rsid w:val="001E1640"/>
    <w:rsid w:val="001E1CAC"/>
    <w:rsid w:val="001E224D"/>
    <w:rsid w:val="001E2CCA"/>
    <w:rsid w:val="001E370F"/>
    <w:rsid w:val="001E39F4"/>
    <w:rsid w:val="001E49E3"/>
    <w:rsid w:val="001E5114"/>
    <w:rsid w:val="001E571A"/>
    <w:rsid w:val="001E58C2"/>
    <w:rsid w:val="001E5DAB"/>
    <w:rsid w:val="001E5F61"/>
    <w:rsid w:val="001E6121"/>
    <w:rsid w:val="001E6A2F"/>
    <w:rsid w:val="001E6F7B"/>
    <w:rsid w:val="001E750C"/>
    <w:rsid w:val="001F1A86"/>
    <w:rsid w:val="001F1BE8"/>
    <w:rsid w:val="001F1E98"/>
    <w:rsid w:val="001F1EE0"/>
    <w:rsid w:val="001F42F9"/>
    <w:rsid w:val="001F46B0"/>
    <w:rsid w:val="001F4763"/>
    <w:rsid w:val="001F4BF5"/>
    <w:rsid w:val="001F4E18"/>
    <w:rsid w:val="001F597D"/>
    <w:rsid w:val="001F6735"/>
    <w:rsid w:val="001F69CC"/>
    <w:rsid w:val="001F69F8"/>
    <w:rsid w:val="001F6C70"/>
    <w:rsid w:val="001F6F86"/>
    <w:rsid w:val="001F72E1"/>
    <w:rsid w:val="00200267"/>
    <w:rsid w:val="00200461"/>
    <w:rsid w:val="00200733"/>
    <w:rsid w:val="00200EAB"/>
    <w:rsid w:val="002024DB"/>
    <w:rsid w:val="0020300A"/>
    <w:rsid w:val="0020337E"/>
    <w:rsid w:val="002037E4"/>
    <w:rsid w:val="0020496C"/>
    <w:rsid w:val="002054BB"/>
    <w:rsid w:val="00205523"/>
    <w:rsid w:val="002059E5"/>
    <w:rsid w:val="00206A12"/>
    <w:rsid w:val="00206AF4"/>
    <w:rsid w:val="00206E9F"/>
    <w:rsid w:val="0020754F"/>
    <w:rsid w:val="0020756F"/>
    <w:rsid w:val="00207E9F"/>
    <w:rsid w:val="00207F8D"/>
    <w:rsid w:val="00211269"/>
    <w:rsid w:val="00211363"/>
    <w:rsid w:val="00211DCA"/>
    <w:rsid w:val="002120A1"/>
    <w:rsid w:val="002122C5"/>
    <w:rsid w:val="00212B6C"/>
    <w:rsid w:val="00213163"/>
    <w:rsid w:val="002141BB"/>
    <w:rsid w:val="002146A4"/>
    <w:rsid w:val="0021495B"/>
    <w:rsid w:val="002169C8"/>
    <w:rsid w:val="00216AF2"/>
    <w:rsid w:val="00216BDF"/>
    <w:rsid w:val="0021792A"/>
    <w:rsid w:val="00217E48"/>
    <w:rsid w:val="00217FBC"/>
    <w:rsid w:val="00220DAC"/>
    <w:rsid w:val="00222BC3"/>
    <w:rsid w:val="002235AF"/>
    <w:rsid w:val="00224270"/>
    <w:rsid w:val="00224534"/>
    <w:rsid w:val="002245C0"/>
    <w:rsid w:val="00224C78"/>
    <w:rsid w:val="00225082"/>
    <w:rsid w:val="00226480"/>
    <w:rsid w:val="002264AE"/>
    <w:rsid w:val="00230389"/>
    <w:rsid w:val="00230786"/>
    <w:rsid w:val="00230C70"/>
    <w:rsid w:val="00230F67"/>
    <w:rsid w:val="00231489"/>
    <w:rsid w:val="00231BE3"/>
    <w:rsid w:val="002326A9"/>
    <w:rsid w:val="00232B71"/>
    <w:rsid w:val="00232DE9"/>
    <w:rsid w:val="002333C5"/>
    <w:rsid w:val="00233752"/>
    <w:rsid w:val="00233F38"/>
    <w:rsid w:val="00234841"/>
    <w:rsid w:val="00237155"/>
    <w:rsid w:val="0023750F"/>
    <w:rsid w:val="00241E70"/>
    <w:rsid w:val="00242E89"/>
    <w:rsid w:val="0024319E"/>
    <w:rsid w:val="00243552"/>
    <w:rsid w:val="002445EC"/>
    <w:rsid w:val="00244C6B"/>
    <w:rsid w:val="00244E0F"/>
    <w:rsid w:val="00245AE6"/>
    <w:rsid w:val="00247664"/>
    <w:rsid w:val="002477A0"/>
    <w:rsid w:val="00247B16"/>
    <w:rsid w:val="00247D8D"/>
    <w:rsid w:val="00250111"/>
    <w:rsid w:val="00250851"/>
    <w:rsid w:val="00251899"/>
    <w:rsid w:val="0025191C"/>
    <w:rsid w:val="00251D75"/>
    <w:rsid w:val="00251F62"/>
    <w:rsid w:val="0025331D"/>
    <w:rsid w:val="002541C5"/>
    <w:rsid w:val="002543B6"/>
    <w:rsid w:val="0025505E"/>
    <w:rsid w:val="00255568"/>
    <w:rsid w:val="002555E6"/>
    <w:rsid w:val="00255724"/>
    <w:rsid w:val="002560A4"/>
    <w:rsid w:val="0025696C"/>
    <w:rsid w:val="00257C75"/>
    <w:rsid w:val="0026008B"/>
    <w:rsid w:val="00260350"/>
    <w:rsid w:val="00261723"/>
    <w:rsid w:val="00261C04"/>
    <w:rsid w:val="0026233D"/>
    <w:rsid w:val="00262377"/>
    <w:rsid w:val="00263415"/>
    <w:rsid w:val="00264A8F"/>
    <w:rsid w:val="0026544D"/>
    <w:rsid w:val="002654BB"/>
    <w:rsid w:val="002654D9"/>
    <w:rsid w:val="00265919"/>
    <w:rsid w:val="00266211"/>
    <w:rsid w:val="00266662"/>
    <w:rsid w:val="00266867"/>
    <w:rsid w:val="00266BFC"/>
    <w:rsid w:val="00267615"/>
    <w:rsid w:val="00270458"/>
    <w:rsid w:val="00270520"/>
    <w:rsid w:val="00270FBC"/>
    <w:rsid w:val="0027154C"/>
    <w:rsid w:val="00271DC5"/>
    <w:rsid w:val="00271EA3"/>
    <w:rsid w:val="002739E2"/>
    <w:rsid w:val="00274AB1"/>
    <w:rsid w:val="002750D3"/>
    <w:rsid w:val="00275C31"/>
    <w:rsid w:val="00275FCA"/>
    <w:rsid w:val="002760B4"/>
    <w:rsid w:val="00276D6F"/>
    <w:rsid w:val="00276E5F"/>
    <w:rsid w:val="00276F6D"/>
    <w:rsid w:val="0027721E"/>
    <w:rsid w:val="0027772B"/>
    <w:rsid w:val="00280A30"/>
    <w:rsid w:val="00280C7A"/>
    <w:rsid w:val="0028114E"/>
    <w:rsid w:val="00281452"/>
    <w:rsid w:val="00281CFF"/>
    <w:rsid w:val="002823C1"/>
    <w:rsid w:val="002825FB"/>
    <w:rsid w:val="0028325C"/>
    <w:rsid w:val="00283611"/>
    <w:rsid w:val="002842D2"/>
    <w:rsid w:val="002842F5"/>
    <w:rsid w:val="0028508E"/>
    <w:rsid w:val="0028569D"/>
    <w:rsid w:val="00285736"/>
    <w:rsid w:val="00286FA3"/>
    <w:rsid w:val="00287733"/>
    <w:rsid w:val="0029006E"/>
    <w:rsid w:val="0029058A"/>
    <w:rsid w:val="00290E82"/>
    <w:rsid w:val="002921E3"/>
    <w:rsid w:val="00293280"/>
    <w:rsid w:val="002932A7"/>
    <w:rsid w:val="00293787"/>
    <w:rsid w:val="002958B5"/>
    <w:rsid w:val="00296132"/>
    <w:rsid w:val="00296280"/>
    <w:rsid w:val="002964F0"/>
    <w:rsid w:val="002965B9"/>
    <w:rsid w:val="002977F9"/>
    <w:rsid w:val="002A0777"/>
    <w:rsid w:val="002A0B8A"/>
    <w:rsid w:val="002A0EF1"/>
    <w:rsid w:val="002A20A3"/>
    <w:rsid w:val="002A28EE"/>
    <w:rsid w:val="002A385D"/>
    <w:rsid w:val="002A3FC4"/>
    <w:rsid w:val="002A482A"/>
    <w:rsid w:val="002A4C2F"/>
    <w:rsid w:val="002A569F"/>
    <w:rsid w:val="002A696F"/>
    <w:rsid w:val="002A6FF8"/>
    <w:rsid w:val="002A7B34"/>
    <w:rsid w:val="002B0090"/>
    <w:rsid w:val="002B021B"/>
    <w:rsid w:val="002B0BE2"/>
    <w:rsid w:val="002B1182"/>
    <w:rsid w:val="002B146C"/>
    <w:rsid w:val="002B1A5D"/>
    <w:rsid w:val="002B1FAE"/>
    <w:rsid w:val="002B263C"/>
    <w:rsid w:val="002B2929"/>
    <w:rsid w:val="002B3335"/>
    <w:rsid w:val="002B35C7"/>
    <w:rsid w:val="002B423F"/>
    <w:rsid w:val="002B4373"/>
    <w:rsid w:val="002B43EF"/>
    <w:rsid w:val="002B4713"/>
    <w:rsid w:val="002B4A9C"/>
    <w:rsid w:val="002B4BEF"/>
    <w:rsid w:val="002B62E3"/>
    <w:rsid w:val="002B6A72"/>
    <w:rsid w:val="002B6E79"/>
    <w:rsid w:val="002B70A8"/>
    <w:rsid w:val="002B719E"/>
    <w:rsid w:val="002B765C"/>
    <w:rsid w:val="002B7F77"/>
    <w:rsid w:val="002C016E"/>
    <w:rsid w:val="002C09EF"/>
    <w:rsid w:val="002C0E41"/>
    <w:rsid w:val="002C21F7"/>
    <w:rsid w:val="002C4B2B"/>
    <w:rsid w:val="002C4D67"/>
    <w:rsid w:val="002C5066"/>
    <w:rsid w:val="002C59EF"/>
    <w:rsid w:val="002C6326"/>
    <w:rsid w:val="002C633A"/>
    <w:rsid w:val="002C7A8E"/>
    <w:rsid w:val="002D0237"/>
    <w:rsid w:val="002D0B07"/>
    <w:rsid w:val="002D0C7B"/>
    <w:rsid w:val="002D1637"/>
    <w:rsid w:val="002D2266"/>
    <w:rsid w:val="002D2F8F"/>
    <w:rsid w:val="002D3053"/>
    <w:rsid w:val="002D3A14"/>
    <w:rsid w:val="002D3F86"/>
    <w:rsid w:val="002D4CF3"/>
    <w:rsid w:val="002D60F0"/>
    <w:rsid w:val="002D66BF"/>
    <w:rsid w:val="002D67AF"/>
    <w:rsid w:val="002D6A98"/>
    <w:rsid w:val="002D7DA9"/>
    <w:rsid w:val="002E0842"/>
    <w:rsid w:val="002E0BE1"/>
    <w:rsid w:val="002E1D72"/>
    <w:rsid w:val="002E3685"/>
    <w:rsid w:val="002E3800"/>
    <w:rsid w:val="002E3BA5"/>
    <w:rsid w:val="002E43FE"/>
    <w:rsid w:val="002E47C3"/>
    <w:rsid w:val="002E4D69"/>
    <w:rsid w:val="002E53B6"/>
    <w:rsid w:val="002E5CF5"/>
    <w:rsid w:val="002E5F44"/>
    <w:rsid w:val="002E684F"/>
    <w:rsid w:val="002E7CCD"/>
    <w:rsid w:val="002F029C"/>
    <w:rsid w:val="002F0BD2"/>
    <w:rsid w:val="002F1C3D"/>
    <w:rsid w:val="002F1C83"/>
    <w:rsid w:val="002F1CBD"/>
    <w:rsid w:val="002F224A"/>
    <w:rsid w:val="002F2A42"/>
    <w:rsid w:val="002F2F7B"/>
    <w:rsid w:val="002F455C"/>
    <w:rsid w:val="002F4C21"/>
    <w:rsid w:val="002F4F7B"/>
    <w:rsid w:val="002F6E7F"/>
    <w:rsid w:val="002F7029"/>
    <w:rsid w:val="002F7179"/>
    <w:rsid w:val="002F7621"/>
    <w:rsid w:val="002F7793"/>
    <w:rsid w:val="002F7BAD"/>
    <w:rsid w:val="003002A3"/>
    <w:rsid w:val="0030130C"/>
    <w:rsid w:val="0030224D"/>
    <w:rsid w:val="003024F7"/>
    <w:rsid w:val="003030D8"/>
    <w:rsid w:val="00303A61"/>
    <w:rsid w:val="00306B5A"/>
    <w:rsid w:val="00306F1F"/>
    <w:rsid w:val="003072DF"/>
    <w:rsid w:val="00310DB3"/>
    <w:rsid w:val="00312B06"/>
    <w:rsid w:val="0031374B"/>
    <w:rsid w:val="00313E70"/>
    <w:rsid w:val="00314D8C"/>
    <w:rsid w:val="00316D12"/>
    <w:rsid w:val="00317031"/>
    <w:rsid w:val="00317A1F"/>
    <w:rsid w:val="00317A78"/>
    <w:rsid w:val="0032007A"/>
    <w:rsid w:val="0032017E"/>
    <w:rsid w:val="00320FC7"/>
    <w:rsid w:val="0032150B"/>
    <w:rsid w:val="00321762"/>
    <w:rsid w:val="00321EB2"/>
    <w:rsid w:val="003222D0"/>
    <w:rsid w:val="00322C63"/>
    <w:rsid w:val="00323B99"/>
    <w:rsid w:val="00324422"/>
    <w:rsid w:val="003244E5"/>
    <w:rsid w:val="003252FC"/>
    <w:rsid w:val="00325D10"/>
    <w:rsid w:val="00325EF5"/>
    <w:rsid w:val="00325F90"/>
    <w:rsid w:val="00326D26"/>
    <w:rsid w:val="00330B05"/>
    <w:rsid w:val="00331128"/>
    <w:rsid w:val="00332CC2"/>
    <w:rsid w:val="00332E10"/>
    <w:rsid w:val="00332F28"/>
    <w:rsid w:val="00333162"/>
    <w:rsid w:val="0033460B"/>
    <w:rsid w:val="003346D1"/>
    <w:rsid w:val="003349CD"/>
    <w:rsid w:val="003352D3"/>
    <w:rsid w:val="00336442"/>
    <w:rsid w:val="00337582"/>
    <w:rsid w:val="003411B3"/>
    <w:rsid w:val="00342D26"/>
    <w:rsid w:val="0034324D"/>
    <w:rsid w:val="0034482B"/>
    <w:rsid w:val="00344AA7"/>
    <w:rsid w:val="00344FD8"/>
    <w:rsid w:val="003454BE"/>
    <w:rsid w:val="0034594A"/>
    <w:rsid w:val="00345C03"/>
    <w:rsid w:val="0034620E"/>
    <w:rsid w:val="00346D7B"/>
    <w:rsid w:val="00346E26"/>
    <w:rsid w:val="00346F5E"/>
    <w:rsid w:val="0034774A"/>
    <w:rsid w:val="003477FB"/>
    <w:rsid w:val="0034788F"/>
    <w:rsid w:val="003501E1"/>
    <w:rsid w:val="00350BE5"/>
    <w:rsid w:val="00351B3E"/>
    <w:rsid w:val="003520E2"/>
    <w:rsid w:val="00352B7E"/>
    <w:rsid w:val="00352BB9"/>
    <w:rsid w:val="0035334A"/>
    <w:rsid w:val="0035368D"/>
    <w:rsid w:val="00354145"/>
    <w:rsid w:val="00354614"/>
    <w:rsid w:val="00354DA6"/>
    <w:rsid w:val="00355062"/>
    <w:rsid w:val="003552A1"/>
    <w:rsid w:val="00355314"/>
    <w:rsid w:val="00356076"/>
    <w:rsid w:val="003573B8"/>
    <w:rsid w:val="00357B82"/>
    <w:rsid w:val="00360D92"/>
    <w:rsid w:val="00360E96"/>
    <w:rsid w:val="00361991"/>
    <w:rsid w:val="00361A8B"/>
    <w:rsid w:val="003629C7"/>
    <w:rsid w:val="00362F67"/>
    <w:rsid w:val="003637E4"/>
    <w:rsid w:val="00363DD9"/>
    <w:rsid w:val="00363E25"/>
    <w:rsid w:val="00364355"/>
    <w:rsid w:val="00364C71"/>
    <w:rsid w:val="00365125"/>
    <w:rsid w:val="00365681"/>
    <w:rsid w:val="00365883"/>
    <w:rsid w:val="00366590"/>
    <w:rsid w:val="00367CB5"/>
    <w:rsid w:val="00370713"/>
    <w:rsid w:val="00372C36"/>
    <w:rsid w:val="0037353B"/>
    <w:rsid w:val="0037373B"/>
    <w:rsid w:val="00373BFC"/>
    <w:rsid w:val="00373F1D"/>
    <w:rsid w:val="0037423C"/>
    <w:rsid w:val="00375F47"/>
    <w:rsid w:val="00376165"/>
    <w:rsid w:val="00377483"/>
    <w:rsid w:val="00377B6C"/>
    <w:rsid w:val="00377E3C"/>
    <w:rsid w:val="00380567"/>
    <w:rsid w:val="00381346"/>
    <w:rsid w:val="0038226D"/>
    <w:rsid w:val="003823E7"/>
    <w:rsid w:val="00383977"/>
    <w:rsid w:val="00383EEC"/>
    <w:rsid w:val="003843E8"/>
    <w:rsid w:val="003853DE"/>
    <w:rsid w:val="00386DF6"/>
    <w:rsid w:val="0039071E"/>
    <w:rsid w:val="003909ED"/>
    <w:rsid w:val="00390D98"/>
    <w:rsid w:val="00392561"/>
    <w:rsid w:val="00392A2B"/>
    <w:rsid w:val="0039331F"/>
    <w:rsid w:val="00394FD1"/>
    <w:rsid w:val="00395517"/>
    <w:rsid w:val="00396215"/>
    <w:rsid w:val="00397D63"/>
    <w:rsid w:val="003A01F1"/>
    <w:rsid w:val="003A0CE0"/>
    <w:rsid w:val="003A1721"/>
    <w:rsid w:val="003A1A8B"/>
    <w:rsid w:val="003A247E"/>
    <w:rsid w:val="003A28D3"/>
    <w:rsid w:val="003A3031"/>
    <w:rsid w:val="003A376B"/>
    <w:rsid w:val="003A45ED"/>
    <w:rsid w:val="003A5264"/>
    <w:rsid w:val="003A5544"/>
    <w:rsid w:val="003A5F83"/>
    <w:rsid w:val="003A6042"/>
    <w:rsid w:val="003A680B"/>
    <w:rsid w:val="003A6838"/>
    <w:rsid w:val="003A7583"/>
    <w:rsid w:val="003A786D"/>
    <w:rsid w:val="003A79E1"/>
    <w:rsid w:val="003A7ADF"/>
    <w:rsid w:val="003A7E52"/>
    <w:rsid w:val="003B0323"/>
    <w:rsid w:val="003B0DD8"/>
    <w:rsid w:val="003B1D5F"/>
    <w:rsid w:val="003B29AF"/>
    <w:rsid w:val="003B32F2"/>
    <w:rsid w:val="003B377A"/>
    <w:rsid w:val="003B3E45"/>
    <w:rsid w:val="003B43A7"/>
    <w:rsid w:val="003B45D3"/>
    <w:rsid w:val="003B48DC"/>
    <w:rsid w:val="003B4909"/>
    <w:rsid w:val="003B6611"/>
    <w:rsid w:val="003B67C3"/>
    <w:rsid w:val="003B74AD"/>
    <w:rsid w:val="003C010B"/>
    <w:rsid w:val="003C0AAB"/>
    <w:rsid w:val="003C0F9A"/>
    <w:rsid w:val="003C144D"/>
    <w:rsid w:val="003C1480"/>
    <w:rsid w:val="003C18C5"/>
    <w:rsid w:val="003C1EB1"/>
    <w:rsid w:val="003C1EDF"/>
    <w:rsid w:val="003C25CA"/>
    <w:rsid w:val="003C27E7"/>
    <w:rsid w:val="003C2AAF"/>
    <w:rsid w:val="003C2B10"/>
    <w:rsid w:val="003C2B80"/>
    <w:rsid w:val="003C3403"/>
    <w:rsid w:val="003C3A0F"/>
    <w:rsid w:val="003C3AF8"/>
    <w:rsid w:val="003C4001"/>
    <w:rsid w:val="003C4D43"/>
    <w:rsid w:val="003C57A4"/>
    <w:rsid w:val="003C5C09"/>
    <w:rsid w:val="003C61DD"/>
    <w:rsid w:val="003C6802"/>
    <w:rsid w:val="003D00C8"/>
    <w:rsid w:val="003D01EB"/>
    <w:rsid w:val="003D1172"/>
    <w:rsid w:val="003D17B6"/>
    <w:rsid w:val="003D25F8"/>
    <w:rsid w:val="003D3060"/>
    <w:rsid w:val="003D45BD"/>
    <w:rsid w:val="003D5077"/>
    <w:rsid w:val="003D6749"/>
    <w:rsid w:val="003D7B22"/>
    <w:rsid w:val="003D7C8A"/>
    <w:rsid w:val="003E08AB"/>
    <w:rsid w:val="003E193D"/>
    <w:rsid w:val="003E284A"/>
    <w:rsid w:val="003E3244"/>
    <w:rsid w:val="003E32FB"/>
    <w:rsid w:val="003E35BA"/>
    <w:rsid w:val="003E393F"/>
    <w:rsid w:val="003E444F"/>
    <w:rsid w:val="003E48BE"/>
    <w:rsid w:val="003E4E0C"/>
    <w:rsid w:val="003E57E7"/>
    <w:rsid w:val="003E58FC"/>
    <w:rsid w:val="003E6DDC"/>
    <w:rsid w:val="003E6FAD"/>
    <w:rsid w:val="003E744E"/>
    <w:rsid w:val="003E7726"/>
    <w:rsid w:val="003F005F"/>
    <w:rsid w:val="003F00D0"/>
    <w:rsid w:val="003F143E"/>
    <w:rsid w:val="003F1A44"/>
    <w:rsid w:val="003F2DEE"/>
    <w:rsid w:val="003F30E3"/>
    <w:rsid w:val="003F4B3B"/>
    <w:rsid w:val="003F4B4F"/>
    <w:rsid w:val="003F54F4"/>
    <w:rsid w:val="003F5593"/>
    <w:rsid w:val="003F7632"/>
    <w:rsid w:val="003F7AC1"/>
    <w:rsid w:val="003F7E0C"/>
    <w:rsid w:val="0040071E"/>
    <w:rsid w:val="00401C6F"/>
    <w:rsid w:val="00401FE2"/>
    <w:rsid w:val="00402221"/>
    <w:rsid w:val="0040286D"/>
    <w:rsid w:val="00402903"/>
    <w:rsid w:val="00402B33"/>
    <w:rsid w:val="0040364A"/>
    <w:rsid w:val="00403B52"/>
    <w:rsid w:val="004050F1"/>
    <w:rsid w:val="00405181"/>
    <w:rsid w:val="00406F96"/>
    <w:rsid w:val="00406FBD"/>
    <w:rsid w:val="00407B12"/>
    <w:rsid w:val="0041097D"/>
    <w:rsid w:val="00410B9F"/>
    <w:rsid w:val="00410EF5"/>
    <w:rsid w:val="004114C9"/>
    <w:rsid w:val="00411FEA"/>
    <w:rsid w:val="00413879"/>
    <w:rsid w:val="00413978"/>
    <w:rsid w:val="00414016"/>
    <w:rsid w:val="0041414E"/>
    <w:rsid w:val="00414BEF"/>
    <w:rsid w:val="004154CD"/>
    <w:rsid w:val="0041576E"/>
    <w:rsid w:val="00415A3F"/>
    <w:rsid w:val="00415F3B"/>
    <w:rsid w:val="00416987"/>
    <w:rsid w:val="00422097"/>
    <w:rsid w:val="00422099"/>
    <w:rsid w:val="00422504"/>
    <w:rsid w:val="00422AC5"/>
    <w:rsid w:val="00422F8E"/>
    <w:rsid w:val="00423621"/>
    <w:rsid w:val="00423BB7"/>
    <w:rsid w:val="00423F1C"/>
    <w:rsid w:val="0042421B"/>
    <w:rsid w:val="004244F3"/>
    <w:rsid w:val="00425140"/>
    <w:rsid w:val="004273CF"/>
    <w:rsid w:val="00427933"/>
    <w:rsid w:val="004300CD"/>
    <w:rsid w:val="00430402"/>
    <w:rsid w:val="0043055C"/>
    <w:rsid w:val="00432433"/>
    <w:rsid w:val="00433C9C"/>
    <w:rsid w:val="00433E9A"/>
    <w:rsid w:val="00434333"/>
    <w:rsid w:val="00434B50"/>
    <w:rsid w:val="004354E5"/>
    <w:rsid w:val="00435859"/>
    <w:rsid w:val="004358EB"/>
    <w:rsid w:val="00435961"/>
    <w:rsid w:val="00436554"/>
    <w:rsid w:val="00436938"/>
    <w:rsid w:val="00436D92"/>
    <w:rsid w:val="00436F82"/>
    <w:rsid w:val="00437EFA"/>
    <w:rsid w:val="00440BA5"/>
    <w:rsid w:val="004413BE"/>
    <w:rsid w:val="00442465"/>
    <w:rsid w:val="004426D2"/>
    <w:rsid w:val="00443E96"/>
    <w:rsid w:val="004449D5"/>
    <w:rsid w:val="00445E8B"/>
    <w:rsid w:val="004470D3"/>
    <w:rsid w:val="0044764C"/>
    <w:rsid w:val="00447D5A"/>
    <w:rsid w:val="0045183F"/>
    <w:rsid w:val="004518AA"/>
    <w:rsid w:val="00451B22"/>
    <w:rsid w:val="00451DE0"/>
    <w:rsid w:val="0045207F"/>
    <w:rsid w:val="00452746"/>
    <w:rsid w:val="0045382E"/>
    <w:rsid w:val="004544D0"/>
    <w:rsid w:val="0045471B"/>
    <w:rsid w:val="0045504B"/>
    <w:rsid w:val="00456F77"/>
    <w:rsid w:val="00457385"/>
    <w:rsid w:val="00457D0C"/>
    <w:rsid w:val="0046041A"/>
    <w:rsid w:val="0046051A"/>
    <w:rsid w:val="00460D18"/>
    <w:rsid w:val="00466BC5"/>
    <w:rsid w:val="0046738F"/>
    <w:rsid w:val="00467EE8"/>
    <w:rsid w:val="00470610"/>
    <w:rsid w:val="004710A1"/>
    <w:rsid w:val="004722D0"/>
    <w:rsid w:val="0047357C"/>
    <w:rsid w:val="00474153"/>
    <w:rsid w:val="0047444F"/>
    <w:rsid w:val="0047477A"/>
    <w:rsid w:val="00475C5C"/>
    <w:rsid w:val="004763C6"/>
    <w:rsid w:val="0047706D"/>
    <w:rsid w:val="004778CD"/>
    <w:rsid w:val="00480659"/>
    <w:rsid w:val="00480C35"/>
    <w:rsid w:val="004813C2"/>
    <w:rsid w:val="00481DCF"/>
    <w:rsid w:val="004827E1"/>
    <w:rsid w:val="0048303B"/>
    <w:rsid w:val="00484F62"/>
    <w:rsid w:val="0048561B"/>
    <w:rsid w:val="00485D74"/>
    <w:rsid w:val="00486D7B"/>
    <w:rsid w:val="004904FC"/>
    <w:rsid w:val="00490530"/>
    <w:rsid w:val="00490A9F"/>
    <w:rsid w:val="00490E20"/>
    <w:rsid w:val="00492732"/>
    <w:rsid w:val="004928EF"/>
    <w:rsid w:val="00492E58"/>
    <w:rsid w:val="00492EE6"/>
    <w:rsid w:val="0049341B"/>
    <w:rsid w:val="004935CE"/>
    <w:rsid w:val="004937FC"/>
    <w:rsid w:val="00494147"/>
    <w:rsid w:val="00494472"/>
    <w:rsid w:val="004948A3"/>
    <w:rsid w:val="00494900"/>
    <w:rsid w:val="00494D7E"/>
    <w:rsid w:val="004955EE"/>
    <w:rsid w:val="00495752"/>
    <w:rsid w:val="00495AF0"/>
    <w:rsid w:val="00495ECC"/>
    <w:rsid w:val="00496274"/>
    <w:rsid w:val="00496B45"/>
    <w:rsid w:val="00496CEB"/>
    <w:rsid w:val="00496DAF"/>
    <w:rsid w:val="00496DE0"/>
    <w:rsid w:val="00496FEC"/>
    <w:rsid w:val="00497312"/>
    <w:rsid w:val="004A0F35"/>
    <w:rsid w:val="004A2E86"/>
    <w:rsid w:val="004A54EB"/>
    <w:rsid w:val="004A6BF8"/>
    <w:rsid w:val="004A7285"/>
    <w:rsid w:val="004A79C9"/>
    <w:rsid w:val="004A7D05"/>
    <w:rsid w:val="004A7D3A"/>
    <w:rsid w:val="004A7E12"/>
    <w:rsid w:val="004B0438"/>
    <w:rsid w:val="004B11A0"/>
    <w:rsid w:val="004B1E77"/>
    <w:rsid w:val="004B1F2F"/>
    <w:rsid w:val="004B2479"/>
    <w:rsid w:val="004B3001"/>
    <w:rsid w:val="004B4D14"/>
    <w:rsid w:val="004B4E7F"/>
    <w:rsid w:val="004B5DBE"/>
    <w:rsid w:val="004B7307"/>
    <w:rsid w:val="004B7DBE"/>
    <w:rsid w:val="004C06B4"/>
    <w:rsid w:val="004C080C"/>
    <w:rsid w:val="004C08B8"/>
    <w:rsid w:val="004C23D0"/>
    <w:rsid w:val="004C2EB4"/>
    <w:rsid w:val="004C3032"/>
    <w:rsid w:val="004C32BD"/>
    <w:rsid w:val="004C4655"/>
    <w:rsid w:val="004C590E"/>
    <w:rsid w:val="004C66DD"/>
    <w:rsid w:val="004C7015"/>
    <w:rsid w:val="004C7A5C"/>
    <w:rsid w:val="004C7C3D"/>
    <w:rsid w:val="004D1257"/>
    <w:rsid w:val="004D189D"/>
    <w:rsid w:val="004D22C8"/>
    <w:rsid w:val="004D2497"/>
    <w:rsid w:val="004D27B4"/>
    <w:rsid w:val="004D444A"/>
    <w:rsid w:val="004D458D"/>
    <w:rsid w:val="004D46E5"/>
    <w:rsid w:val="004D4AA8"/>
    <w:rsid w:val="004D51D7"/>
    <w:rsid w:val="004D5849"/>
    <w:rsid w:val="004D7022"/>
    <w:rsid w:val="004D75E2"/>
    <w:rsid w:val="004D7E8B"/>
    <w:rsid w:val="004E1941"/>
    <w:rsid w:val="004E41CE"/>
    <w:rsid w:val="004E4506"/>
    <w:rsid w:val="004E4838"/>
    <w:rsid w:val="004E4D36"/>
    <w:rsid w:val="004E4F55"/>
    <w:rsid w:val="004E56F7"/>
    <w:rsid w:val="004E5A51"/>
    <w:rsid w:val="004E68BB"/>
    <w:rsid w:val="004F085D"/>
    <w:rsid w:val="004F131C"/>
    <w:rsid w:val="004F17F9"/>
    <w:rsid w:val="004F1C08"/>
    <w:rsid w:val="004F1DE6"/>
    <w:rsid w:val="004F2219"/>
    <w:rsid w:val="004F232E"/>
    <w:rsid w:val="004F366C"/>
    <w:rsid w:val="004F3FD5"/>
    <w:rsid w:val="004F4977"/>
    <w:rsid w:val="004F4BB6"/>
    <w:rsid w:val="004F50B3"/>
    <w:rsid w:val="004F5AF7"/>
    <w:rsid w:val="004F5BDA"/>
    <w:rsid w:val="004F683A"/>
    <w:rsid w:val="004F7066"/>
    <w:rsid w:val="004F74DD"/>
    <w:rsid w:val="004F789D"/>
    <w:rsid w:val="004F7EDB"/>
    <w:rsid w:val="00500137"/>
    <w:rsid w:val="005003DD"/>
    <w:rsid w:val="00501DBB"/>
    <w:rsid w:val="0050428A"/>
    <w:rsid w:val="0050489A"/>
    <w:rsid w:val="00504E22"/>
    <w:rsid w:val="00510C00"/>
    <w:rsid w:val="00510C3A"/>
    <w:rsid w:val="00510CE5"/>
    <w:rsid w:val="005115C2"/>
    <w:rsid w:val="00511840"/>
    <w:rsid w:val="00512590"/>
    <w:rsid w:val="0051261E"/>
    <w:rsid w:val="0051264F"/>
    <w:rsid w:val="00512DE2"/>
    <w:rsid w:val="005139E0"/>
    <w:rsid w:val="00513FB3"/>
    <w:rsid w:val="00515405"/>
    <w:rsid w:val="00515D66"/>
    <w:rsid w:val="00515FAD"/>
    <w:rsid w:val="0051687A"/>
    <w:rsid w:val="00516DB4"/>
    <w:rsid w:val="0052008B"/>
    <w:rsid w:val="00520112"/>
    <w:rsid w:val="00520498"/>
    <w:rsid w:val="00520DD7"/>
    <w:rsid w:val="005214EC"/>
    <w:rsid w:val="00522A65"/>
    <w:rsid w:val="00522BF3"/>
    <w:rsid w:val="00522C64"/>
    <w:rsid w:val="00522D25"/>
    <w:rsid w:val="0052370B"/>
    <w:rsid w:val="005239DF"/>
    <w:rsid w:val="00523CA5"/>
    <w:rsid w:val="005253B6"/>
    <w:rsid w:val="00527602"/>
    <w:rsid w:val="00527877"/>
    <w:rsid w:val="0053139B"/>
    <w:rsid w:val="00533D5F"/>
    <w:rsid w:val="00533EFD"/>
    <w:rsid w:val="0053657A"/>
    <w:rsid w:val="005378D3"/>
    <w:rsid w:val="00540C0D"/>
    <w:rsid w:val="00542E4D"/>
    <w:rsid w:val="00545354"/>
    <w:rsid w:val="00545876"/>
    <w:rsid w:val="005461FD"/>
    <w:rsid w:val="0055223F"/>
    <w:rsid w:val="005532B6"/>
    <w:rsid w:val="005534FB"/>
    <w:rsid w:val="005535C5"/>
    <w:rsid w:val="00553E62"/>
    <w:rsid w:val="005546C6"/>
    <w:rsid w:val="00554B7F"/>
    <w:rsid w:val="00554F72"/>
    <w:rsid w:val="00555AA2"/>
    <w:rsid w:val="00557534"/>
    <w:rsid w:val="00560553"/>
    <w:rsid w:val="00560D56"/>
    <w:rsid w:val="00561C84"/>
    <w:rsid w:val="00562D2A"/>
    <w:rsid w:val="00563FDB"/>
    <w:rsid w:val="005648E0"/>
    <w:rsid w:val="0056607D"/>
    <w:rsid w:val="005660AC"/>
    <w:rsid w:val="005668ED"/>
    <w:rsid w:val="005702A9"/>
    <w:rsid w:val="00570B9A"/>
    <w:rsid w:val="00572082"/>
    <w:rsid w:val="005722F9"/>
    <w:rsid w:val="00572E95"/>
    <w:rsid w:val="00573375"/>
    <w:rsid w:val="0057629E"/>
    <w:rsid w:val="00576529"/>
    <w:rsid w:val="005778AA"/>
    <w:rsid w:val="00577D43"/>
    <w:rsid w:val="0058054F"/>
    <w:rsid w:val="00580A12"/>
    <w:rsid w:val="00580B9C"/>
    <w:rsid w:val="005812A4"/>
    <w:rsid w:val="005814B4"/>
    <w:rsid w:val="0058189C"/>
    <w:rsid w:val="00581C68"/>
    <w:rsid w:val="00582526"/>
    <w:rsid w:val="0058261E"/>
    <w:rsid w:val="00583116"/>
    <w:rsid w:val="00583535"/>
    <w:rsid w:val="00583C5A"/>
    <w:rsid w:val="0058432F"/>
    <w:rsid w:val="005844E0"/>
    <w:rsid w:val="005867F6"/>
    <w:rsid w:val="00587A4B"/>
    <w:rsid w:val="00587B78"/>
    <w:rsid w:val="00590924"/>
    <w:rsid w:val="00590C89"/>
    <w:rsid w:val="00591033"/>
    <w:rsid w:val="00591609"/>
    <w:rsid w:val="0059166B"/>
    <w:rsid w:val="005917A7"/>
    <w:rsid w:val="00593BEF"/>
    <w:rsid w:val="00594272"/>
    <w:rsid w:val="00595279"/>
    <w:rsid w:val="00595815"/>
    <w:rsid w:val="0059582A"/>
    <w:rsid w:val="00595885"/>
    <w:rsid w:val="0059595C"/>
    <w:rsid w:val="00595D70"/>
    <w:rsid w:val="00595EC6"/>
    <w:rsid w:val="005973AA"/>
    <w:rsid w:val="00597A2F"/>
    <w:rsid w:val="00597FA9"/>
    <w:rsid w:val="005A0368"/>
    <w:rsid w:val="005A1038"/>
    <w:rsid w:val="005A28AB"/>
    <w:rsid w:val="005A28FA"/>
    <w:rsid w:val="005A3816"/>
    <w:rsid w:val="005A3F01"/>
    <w:rsid w:val="005A5E67"/>
    <w:rsid w:val="005A6236"/>
    <w:rsid w:val="005A633F"/>
    <w:rsid w:val="005A63B6"/>
    <w:rsid w:val="005A6D3D"/>
    <w:rsid w:val="005A731E"/>
    <w:rsid w:val="005A7A25"/>
    <w:rsid w:val="005B03BA"/>
    <w:rsid w:val="005B0D14"/>
    <w:rsid w:val="005B17DE"/>
    <w:rsid w:val="005B217E"/>
    <w:rsid w:val="005B24BA"/>
    <w:rsid w:val="005B2559"/>
    <w:rsid w:val="005B29D4"/>
    <w:rsid w:val="005B3353"/>
    <w:rsid w:val="005B3792"/>
    <w:rsid w:val="005B3800"/>
    <w:rsid w:val="005B3DC8"/>
    <w:rsid w:val="005B4173"/>
    <w:rsid w:val="005B4DF1"/>
    <w:rsid w:val="005B5991"/>
    <w:rsid w:val="005B5B8A"/>
    <w:rsid w:val="005B5B9B"/>
    <w:rsid w:val="005B6F23"/>
    <w:rsid w:val="005B7A09"/>
    <w:rsid w:val="005C0B1B"/>
    <w:rsid w:val="005C18BA"/>
    <w:rsid w:val="005C1941"/>
    <w:rsid w:val="005C1C0F"/>
    <w:rsid w:val="005C1F2A"/>
    <w:rsid w:val="005C206F"/>
    <w:rsid w:val="005C2E3F"/>
    <w:rsid w:val="005C3DF2"/>
    <w:rsid w:val="005C3FB7"/>
    <w:rsid w:val="005C417C"/>
    <w:rsid w:val="005C473A"/>
    <w:rsid w:val="005C592F"/>
    <w:rsid w:val="005C71B1"/>
    <w:rsid w:val="005C7888"/>
    <w:rsid w:val="005D0933"/>
    <w:rsid w:val="005D1585"/>
    <w:rsid w:val="005D2300"/>
    <w:rsid w:val="005D2713"/>
    <w:rsid w:val="005D2F28"/>
    <w:rsid w:val="005D42C0"/>
    <w:rsid w:val="005D4B2B"/>
    <w:rsid w:val="005D4B7F"/>
    <w:rsid w:val="005D510D"/>
    <w:rsid w:val="005D5495"/>
    <w:rsid w:val="005D5E80"/>
    <w:rsid w:val="005D6C73"/>
    <w:rsid w:val="005D7674"/>
    <w:rsid w:val="005E0D34"/>
    <w:rsid w:val="005E11CC"/>
    <w:rsid w:val="005E1510"/>
    <w:rsid w:val="005E209C"/>
    <w:rsid w:val="005E29CE"/>
    <w:rsid w:val="005E2A28"/>
    <w:rsid w:val="005E2DFD"/>
    <w:rsid w:val="005E356D"/>
    <w:rsid w:val="005E4321"/>
    <w:rsid w:val="005E4A70"/>
    <w:rsid w:val="005E4C4F"/>
    <w:rsid w:val="005E4DCF"/>
    <w:rsid w:val="005E546B"/>
    <w:rsid w:val="005E65BC"/>
    <w:rsid w:val="005E67AF"/>
    <w:rsid w:val="005E708E"/>
    <w:rsid w:val="005E7244"/>
    <w:rsid w:val="005F07E9"/>
    <w:rsid w:val="005F0B7A"/>
    <w:rsid w:val="005F0F57"/>
    <w:rsid w:val="005F1C34"/>
    <w:rsid w:val="005F2D53"/>
    <w:rsid w:val="005F2FC3"/>
    <w:rsid w:val="005F38DF"/>
    <w:rsid w:val="005F41B9"/>
    <w:rsid w:val="005F531E"/>
    <w:rsid w:val="005F6918"/>
    <w:rsid w:val="00600392"/>
    <w:rsid w:val="00600652"/>
    <w:rsid w:val="006006E0"/>
    <w:rsid w:val="00602064"/>
    <w:rsid w:val="00602953"/>
    <w:rsid w:val="00602AE8"/>
    <w:rsid w:val="006038DB"/>
    <w:rsid w:val="00603EE1"/>
    <w:rsid w:val="00604798"/>
    <w:rsid w:val="00605208"/>
    <w:rsid w:val="006053D4"/>
    <w:rsid w:val="00605794"/>
    <w:rsid w:val="00605A56"/>
    <w:rsid w:val="00605DDF"/>
    <w:rsid w:val="006068DE"/>
    <w:rsid w:val="00606C66"/>
    <w:rsid w:val="006079DD"/>
    <w:rsid w:val="00607BCA"/>
    <w:rsid w:val="006111B5"/>
    <w:rsid w:val="00611950"/>
    <w:rsid w:val="00611A6C"/>
    <w:rsid w:val="00611C42"/>
    <w:rsid w:val="00612C59"/>
    <w:rsid w:val="00612F81"/>
    <w:rsid w:val="006133E9"/>
    <w:rsid w:val="00613452"/>
    <w:rsid w:val="00613478"/>
    <w:rsid w:val="00613A9C"/>
    <w:rsid w:val="00613D94"/>
    <w:rsid w:val="00614180"/>
    <w:rsid w:val="00621D7A"/>
    <w:rsid w:val="00621EBC"/>
    <w:rsid w:val="006249C9"/>
    <w:rsid w:val="006251C1"/>
    <w:rsid w:val="00625566"/>
    <w:rsid w:val="00626102"/>
    <w:rsid w:val="0062619A"/>
    <w:rsid w:val="006274C7"/>
    <w:rsid w:val="006305ED"/>
    <w:rsid w:val="00631602"/>
    <w:rsid w:val="006316D7"/>
    <w:rsid w:val="00631903"/>
    <w:rsid w:val="0063200A"/>
    <w:rsid w:val="006326ED"/>
    <w:rsid w:val="00633321"/>
    <w:rsid w:val="0063453F"/>
    <w:rsid w:val="00635333"/>
    <w:rsid w:val="00636574"/>
    <w:rsid w:val="0063673C"/>
    <w:rsid w:val="00640028"/>
    <w:rsid w:val="006412ED"/>
    <w:rsid w:val="00641E08"/>
    <w:rsid w:val="00641F7B"/>
    <w:rsid w:val="006421E8"/>
    <w:rsid w:val="00642E2E"/>
    <w:rsid w:val="006447B4"/>
    <w:rsid w:val="00646B4E"/>
    <w:rsid w:val="006470AF"/>
    <w:rsid w:val="0064769A"/>
    <w:rsid w:val="00647F04"/>
    <w:rsid w:val="00651921"/>
    <w:rsid w:val="00651FF0"/>
    <w:rsid w:val="006526B6"/>
    <w:rsid w:val="00652D09"/>
    <w:rsid w:val="0065302C"/>
    <w:rsid w:val="00654C22"/>
    <w:rsid w:val="00655858"/>
    <w:rsid w:val="006559A4"/>
    <w:rsid w:val="00656173"/>
    <w:rsid w:val="006562F9"/>
    <w:rsid w:val="0065685F"/>
    <w:rsid w:val="006572A6"/>
    <w:rsid w:val="00660DC0"/>
    <w:rsid w:val="006620AC"/>
    <w:rsid w:val="006621FD"/>
    <w:rsid w:val="00663BAC"/>
    <w:rsid w:val="00663FCF"/>
    <w:rsid w:val="00665AD2"/>
    <w:rsid w:val="00667738"/>
    <w:rsid w:val="00667F2B"/>
    <w:rsid w:val="00670426"/>
    <w:rsid w:val="00670531"/>
    <w:rsid w:val="00671B14"/>
    <w:rsid w:val="00672484"/>
    <w:rsid w:val="006727D5"/>
    <w:rsid w:val="006728AB"/>
    <w:rsid w:val="006732BD"/>
    <w:rsid w:val="0067350B"/>
    <w:rsid w:val="0067350F"/>
    <w:rsid w:val="0067367A"/>
    <w:rsid w:val="00673E36"/>
    <w:rsid w:val="006748FA"/>
    <w:rsid w:val="0067557B"/>
    <w:rsid w:val="006755E2"/>
    <w:rsid w:val="00676336"/>
    <w:rsid w:val="0067695C"/>
    <w:rsid w:val="00676E85"/>
    <w:rsid w:val="00677BCB"/>
    <w:rsid w:val="00677D44"/>
    <w:rsid w:val="00681998"/>
    <w:rsid w:val="00681ACB"/>
    <w:rsid w:val="00681BEA"/>
    <w:rsid w:val="0068269C"/>
    <w:rsid w:val="00682868"/>
    <w:rsid w:val="006834FF"/>
    <w:rsid w:val="00685F8F"/>
    <w:rsid w:val="00690399"/>
    <w:rsid w:val="00690752"/>
    <w:rsid w:val="00690DBD"/>
    <w:rsid w:val="00690E98"/>
    <w:rsid w:val="00690FA2"/>
    <w:rsid w:val="00691C26"/>
    <w:rsid w:val="006928B9"/>
    <w:rsid w:val="00692B27"/>
    <w:rsid w:val="00692D02"/>
    <w:rsid w:val="00693552"/>
    <w:rsid w:val="0069355F"/>
    <w:rsid w:val="006948FC"/>
    <w:rsid w:val="0069500F"/>
    <w:rsid w:val="0069501D"/>
    <w:rsid w:val="00695E87"/>
    <w:rsid w:val="00695FC6"/>
    <w:rsid w:val="00696219"/>
    <w:rsid w:val="00696AA9"/>
    <w:rsid w:val="00696DBD"/>
    <w:rsid w:val="00697DA0"/>
    <w:rsid w:val="006A1632"/>
    <w:rsid w:val="006A1DF4"/>
    <w:rsid w:val="006A3628"/>
    <w:rsid w:val="006A3E0D"/>
    <w:rsid w:val="006A3FD3"/>
    <w:rsid w:val="006A5BE0"/>
    <w:rsid w:val="006A63EA"/>
    <w:rsid w:val="006A650D"/>
    <w:rsid w:val="006A6D46"/>
    <w:rsid w:val="006A7B2B"/>
    <w:rsid w:val="006A7B5E"/>
    <w:rsid w:val="006A7ECF"/>
    <w:rsid w:val="006B176E"/>
    <w:rsid w:val="006B20FB"/>
    <w:rsid w:val="006B3318"/>
    <w:rsid w:val="006B3AE0"/>
    <w:rsid w:val="006B476A"/>
    <w:rsid w:val="006B6032"/>
    <w:rsid w:val="006B6C3D"/>
    <w:rsid w:val="006C17B4"/>
    <w:rsid w:val="006C1A9B"/>
    <w:rsid w:val="006C1D0C"/>
    <w:rsid w:val="006C2180"/>
    <w:rsid w:val="006C2864"/>
    <w:rsid w:val="006C33CF"/>
    <w:rsid w:val="006C34F3"/>
    <w:rsid w:val="006C38D5"/>
    <w:rsid w:val="006C3B0B"/>
    <w:rsid w:val="006C433A"/>
    <w:rsid w:val="006C487B"/>
    <w:rsid w:val="006C7594"/>
    <w:rsid w:val="006D257E"/>
    <w:rsid w:val="006D25A1"/>
    <w:rsid w:val="006D2805"/>
    <w:rsid w:val="006D28F8"/>
    <w:rsid w:val="006D3E64"/>
    <w:rsid w:val="006D417C"/>
    <w:rsid w:val="006D46FB"/>
    <w:rsid w:val="006D470A"/>
    <w:rsid w:val="006D49E3"/>
    <w:rsid w:val="006D4EE3"/>
    <w:rsid w:val="006D5749"/>
    <w:rsid w:val="006D630F"/>
    <w:rsid w:val="006D662E"/>
    <w:rsid w:val="006D70C7"/>
    <w:rsid w:val="006D766D"/>
    <w:rsid w:val="006D76EA"/>
    <w:rsid w:val="006D7B50"/>
    <w:rsid w:val="006D7C6F"/>
    <w:rsid w:val="006E0A0F"/>
    <w:rsid w:val="006E0D10"/>
    <w:rsid w:val="006E0E8E"/>
    <w:rsid w:val="006E20E8"/>
    <w:rsid w:val="006E2CE7"/>
    <w:rsid w:val="006E35E1"/>
    <w:rsid w:val="006E3930"/>
    <w:rsid w:val="006E3A0A"/>
    <w:rsid w:val="006E4143"/>
    <w:rsid w:val="006E4EEE"/>
    <w:rsid w:val="006E57CE"/>
    <w:rsid w:val="006E5882"/>
    <w:rsid w:val="006E6153"/>
    <w:rsid w:val="006E6549"/>
    <w:rsid w:val="006F018F"/>
    <w:rsid w:val="006F063E"/>
    <w:rsid w:val="006F0E09"/>
    <w:rsid w:val="006F20BD"/>
    <w:rsid w:val="006F2AD5"/>
    <w:rsid w:val="006F2FDF"/>
    <w:rsid w:val="006F3146"/>
    <w:rsid w:val="006F3E0C"/>
    <w:rsid w:val="006F405D"/>
    <w:rsid w:val="006F4C2A"/>
    <w:rsid w:val="006F5414"/>
    <w:rsid w:val="006F6BE4"/>
    <w:rsid w:val="006F7449"/>
    <w:rsid w:val="0070112D"/>
    <w:rsid w:val="007011A2"/>
    <w:rsid w:val="007015E1"/>
    <w:rsid w:val="00702071"/>
    <w:rsid w:val="0070331C"/>
    <w:rsid w:val="0070393F"/>
    <w:rsid w:val="00703A42"/>
    <w:rsid w:val="00703B97"/>
    <w:rsid w:val="0070485A"/>
    <w:rsid w:val="00704A76"/>
    <w:rsid w:val="00704B83"/>
    <w:rsid w:val="00705E64"/>
    <w:rsid w:val="00706C03"/>
    <w:rsid w:val="00707D72"/>
    <w:rsid w:val="00707EEC"/>
    <w:rsid w:val="007104EB"/>
    <w:rsid w:val="00710800"/>
    <w:rsid w:val="0071084E"/>
    <w:rsid w:val="0071186F"/>
    <w:rsid w:val="007125ED"/>
    <w:rsid w:val="007125F6"/>
    <w:rsid w:val="007126AC"/>
    <w:rsid w:val="00712D78"/>
    <w:rsid w:val="00712F25"/>
    <w:rsid w:val="0071329A"/>
    <w:rsid w:val="00713C55"/>
    <w:rsid w:val="00714B36"/>
    <w:rsid w:val="00715597"/>
    <w:rsid w:val="00716EA2"/>
    <w:rsid w:val="00717232"/>
    <w:rsid w:val="00720E9F"/>
    <w:rsid w:val="00721A14"/>
    <w:rsid w:val="00721AF0"/>
    <w:rsid w:val="00721FF5"/>
    <w:rsid w:val="007220F7"/>
    <w:rsid w:val="00722777"/>
    <w:rsid w:val="007238A9"/>
    <w:rsid w:val="007248DB"/>
    <w:rsid w:val="00724B29"/>
    <w:rsid w:val="007259A7"/>
    <w:rsid w:val="00725A12"/>
    <w:rsid w:val="0072603E"/>
    <w:rsid w:val="007262B2"/>
    <w:rsid w:val="007265E6"/>
    <w:rsid w:val="007267D4"/>
    <w:rsid w:val="00726A9C"/>
    <w:rsid w:val="007272AC"/>
    <w:rsid w:val="00727522"/>
    <w:rsid w:val="007277B6"/>
    <w:rsid w:val="00730DE9"/>
    <w:rsid w:val="0073375E"/>
    <w:rsid w:val="007345B7"/>
    <w:rsid w:val="00734C91"/>
    <w:rsid w:val="00734CEF"/>
    <w:rsid w:val="0073713C"/>
    <w:rsid w:val="0073792A"/>
    <w:rsid w:val="007400D1"/>
    <w:rsid w:val="007404BE"/>
    <w:rsid w:val="00740A89"/>
    <w:rsid w:val="00740DAD"/>
    <w:rsid w:val="007414AA"/>
    <w:rsid w:val="00741BFB"/>
    <w:rsid w:val="00742C0A"/>
    <w:rsid w:val="00743257"/>
    <w:rsid w:val="0074363F"/>
    <w:rsid w:val="00744295"/>
    <w:rsid w:val="00744327"/>
    <w:rsid w:val="0074440A"/>
    <w:rsid w:val="00744C24"/>
    <w:rsid w:val="007453BB"/>
    <w:rsid w:val="00745F7B"/>
    <w:rsid w:val="007477B3"/>
    <w:rsid w:val="00747932"/>
    <w:rsid w:val="007506C4"/>
    <w:rsid w:val="007515F3"/>
    <w:rsid w:val="007518C8"/>
    <w:rsid w:val="00751A30"/>
    <w:rsid w:val="0075235A"/>
    <w:rsid w:val="00752E48"/>
    <w:rsid w:val="00752F7C"/>
    <w:rsid w:val="0075430F"/>
    <w:rsid w:val="00754526"/>
    <w:rsid w:val="00754D63"/>
    <w:rsid w:val="00755F32"/>
    <w:rsid w:val="00755F68"/>
    <w:rsid w:val="00757E77"/>
    <w:rsid w:val="007600A3"/>
    <w:rsid w:val="00761085"/>
    <w:rsid w:val="0076253D"/>
    <w:rsid w:val="007626D4"/>
    <w:rsid w:val="00762FE6"/>
    <w:rsid w:val="0076304F"/>
    <w:rsid w:val="0076330F"/>
    <w:rsid w:val="00764C60"/>
    <w:rsid w:val="007664E8"/>
    <w:rsid w:val="007668B2"/>
    <w:rsid w:val="00766E00"/>
    <w:rsid w:val="0077080D"/>
    <w:rsid w:val="007708CA"/>
    <w:rsid w:val="0077092A"/>
    <w:rsid w:val="00770AE6"/>
    <w:rsid w:val="00770F72"/>
    <w:rsid w:val="00771077"/>
    <w:rsid w:val="0077109A"/>
    <w:rsid w:val="007716FF"/>
    <w:rsid w:val="0077189E"/>
    <w:rsid w:val="00771968"/>
    <w:rsid w:val="00772416"/>
    <w:rsid w:val="0077258A"/>
    <w:rsid w:val="00773674"/>
    <w:rsid w:val="00774B68"/>
    <w:rsid w:val="00775FB6"/>
    <w:rsid w:val="00776062"/>
    <w:rsid w:val="00776FBC"/>
    <w:rsid w:val="00780919"/>
    <w:rsid w:val="00780C55"/>
    <w:rsid w:val="00781338"/>
    <w:rsid w:val="007816DF"/>
    <w:rsid w:val="007819A5"/>
    <w:rsid w:val="00782392"/>
    <w:rsid w:val="00783AAA"/>
    <w:rsid w:val="0079001E"/>
    <w:rsid w:val="00790650"/>
    <w:rsid w:val="00790E50"/>
    <w:rsid w:val="00791978"/>
    <w:rsid w:val="00791AAA"/>
    <w:rsid w:val="00791DBB"/>
    <w:rsid w:val="007922E8"/>
    <w:rsid w:val="00792BA8"/>
    <w:rsid w:val="00793424"/>
    <w:rsid w:val="0079363E"/>
    <w:rsid w:val="00793998"/>
    <w:rsid w:val="00793FAC"/>
    <w:rsid w:val="007967C8"/>
    <w:rsid w:val="00797A8B"/>
    <w:rsid w:val="00797B08"/>
    <w:rsid w:val="007A089A"/>
    <w:rsid w:val="007A18C7"/>
    <w:rsid w:val="007A23EC"/>
    <w:rsid w:val="007A26D2"/>
    <w:rsid w:val="007A2CB4"/>
    <w:rsid w:val="007A2CCC"/>
    <w:rsid w:val="007A347B"/>
    <w:rsid w:val="007A3703"/>
    <w:rsid w:val="007A4B1E"/>
    <w:rsid w:val="007A5350"/>
    <w:rsid w:val="007A5489"/>
    <w:rsid w:val="007A60A8"/>
    <w:rsid w:val="007A6165"/>
    <w:rsid w:val="007A6295"/>
    <w:rsid w:val="007B1DD2"/>
    <w:rsid w:val="007B25AA"/>
    <w:rsid w:val="007B2B57"/>
    <w:rsid w:val="007B2DFD"/>
    <w:rsid w:val="007B2E72"/>
    <w:rsid w:val="007B30E3"/>
    <w:rsid w:val="007B353F"/>
    <w:rsid w:val="007B36E1"/>
    <w:rsid w:val="007B3ADE"/>
    <w:rsid w:val="007B4746"/>
    <w:rsid w:val="007B4DC7"/>
    <w:rsid w:val="007B5514"/>
    <w:rsid w:val="007B5A0F"/>
    <w:rsid w:val="007B5DAC"/>
    <w:rsid w:val="007B60CD"/>
    <w:rsid w:val="007B6D6E"/>
    <w:rsid w:val="007B703B"/>
    <w:rsid w:val="007B739D"/>
    <w:rsid w:val="007B7592"/>
    <w:rsid w:val="007B7668"/>
    <w:rsid w:val="007B7A58"/>
    <w:rsid w:val="007B7B14"/>
    <w:rsid w:val="007B7EE2"/>
    <w:rsid w:val="007C029C"/>
    <w:rsid w:val="007C058B"/>
    <w:rsid w:val="007C06F3"/>
    <w:rsid w:val="007C09AD"/>
    <w:rsid w:val="007C1091"/>
    <w:rsid w:val="007C15F2"/>
    <w:rsid w:val="007C1797"/>
    <w:rsid w:val="007C1864"/>
    <w:rsid w:val="007C1D29"/>
    <w:rsid w:val="007C1D86"/>
    <w:rsid w:val="007C214B"/>
    <w:rsid w:val="007C2662"/>
    <w:rsid w:val="007C3990"/>
    <w:rsid w:val="007C43A4"/>
    <w:rsid w:val="007C5758"/>
    <w:rsid w:val="007C5B1B"/>
    <w:rsid w:val="007C6C3D"/>
    <w:rsid w:val="007C6E48"/>
    <w:rsid w:val="007C705C"/>
    <w:rsid w:val="007C7F14"/>
    <w:rsid w:val="007D101C"/>
    <w:rsid w:val="007D16D4"/>
    <w:rsid w:val="007D2487"/>
    <w:rsid w:val="007D2D5C"/>
    <w:rsid w:val="007D30E1"/>
    <w:rsid w:val="007D3A25"/>
    <w:rsid w:val="007D44A3"/>
    <w:rsid w:val="007D5771"/>
    <w:rsid w:val="007D5FF7"/>
    <w:rsid w:val="007D62A3"/>
    <w:rsid w:val="007D6B75"/>
    <w:rsid w:val="007D7F63"/>
    <w:rsid w:val="007E0175"/>
    <w:rsid w:val="007E1010"/>
    <w:rsid w:val="007E175F"/>
    <w:rsid w:val="007E1C05"/>
    <w:rsid w:val="007E33BA"/>
    <w:rsid w:val="007E35B5"/>
    <w:rsid w:val="007E393D"/>
    <w:rsid w:val="007E3BE6"/>
    <w:rsid w:val="007E3F8F"/>
    <w:rsid w:val="007E4145"/>
    <w:rsid w:val="007E4436"/>
    <w:rsid w:val="007E44B7"/>
    <w:rsid w:val="007E4EE9"/>
    <w:rsid w:val="007E5060"/>
    <w:rsid w:val="007E513E"/>
    <w:rsid w:val="007E5600"/>
    <w:rsid w:val="007E626B"/>
    <w:rsid w:val="007E64DB"/>
    <w:rsid w:val="007E6C5F"/>
    <w:rsid w:val="007E7C63"/>
    <w:rsid w:val="007E7D53"/>
    <w:rsid w:val="007E7E92"/>
    <w:rsid w:val="007F1632"/>
    <w:rsid w:val="007F2286"/>
    <w:rsid w:val="007F246D"/>
    <w:rsid w:val="007F2A10"/>
    <w:rsid w:val="007F2B74"/>
    <w:rsid w:val="007F2C8A"/>
    <w:rsid w:val="007F2D87"/>
    <w:rsid w:val="007F303B"/>
    <w:rsid w:val="007F37ED"/>
    <w:rsid w:val="007F39A3"/>
    <w:rsid w:val="007F3E05"/>
    <w:rsid w:val="007F44B7"/>
    <w:rsid w:val="007F4527"/>
    <w:rsid w:val="007F4584"/>
    <w:rsid w:val="007F4E4D"/>
    <w:rsid w:val="007F5567"/>
    <w:rsid w:val="007F56EE"/>
    <w:rsid w:val="007F5FFF"/>
    <w:rsid w:val="007F62B0"/>
    <w:rsid w:val="007F67D1"/>
    <w:rsid w:val="007F6C1E"/>
    <w:rsid w:val="007F7858"/>
    <w:rsid w:val="008003E5"/>
    <w:rsid w:val="008008E5"/>
    <w:rsid w:val="008014D7"/>
    <w:rsid w:val="008014DA"/>
    <w:rsid w:val="00801808"/>
    <w:rsid w:val="00801A50"/>
    <w:rsid w:val="0080205D"/>
    <w:rsid w:val="00802847"/>
    <w:rsid w:val="0080323B"/>
    <w:rsid w:val="00803BF6"/>
    <w:rsid w:val="00804663"/>
    <w:rsid w:val="00804AEC"/>
    <w:rsid w:val="008053BA"/>
    <w:rsid w:val="00805FA7"/>
    <w:rsid w:val="00806089"/>
    <w:rsid w:val="008067C8"/>
    <w:rsid w:val="00806B9A"/>
    <w:rsid w:val="00806D6A"/>
    <w:rsid w:val="00806FB1"/>
    <w:rsid w:val="008070B2"/>
    <w:rsid w:val="00807123"/>
    <w:rsid w:val="00810B34"/>
    <w:rsid w:val="008113CD"/>
    <w:rsid w:val="00811D4D"/>
    <w:rsid w:val="00811FB0"/>
    <w:rsid w:val="00812534"/>
    <w:rsid w:val="008129DC"/>
    <w:rsid w:val="00813D0C"/>
    <w:rsid w:val="00813DA4"/>
    <w:rsid w:val="0081578B"/>
    <w:rsid w:val="008159CE"/>
    <w:rsid w:val="00815A4D"/>
    <w:rsid w:val="00817920"/>
    <w:rsid w:val="00817BD3"/>
    <w:rsid w:val="00817D15"/>
    <w:rsid w:val="00817DC3"/>
    <w:rsid w:val="0082007C"/>
    <w:rsid w:val="008207AC"/>
    <w:rsid w:val="00820D8D"/>
    <w:rsid w:val="00821018"/>
    <w:rsid w:val="008217BA"/>
    <w:rsid w:val="00822950"/>
    <w:rsid w:val="00823301"/>
    <w:rsid w:val="008234DB"/>
    <w:rsid w:val="0082450F"/>
    <w:rsid w:val="00824CC8"/>
    <w:rsid w:val="00824F3C"/>
    <w:rsid w:val="00824FDB"/>
    <w:rsid w:val="00825A68"/>
    <w:rsid w:val="00825F9D"/>
    <w:rsid w:val="00827399"/>
    <w:rsid w:val="00827484"/>
    <w:rsid w:val="008278B6"/>
    <w:rsid w:val="00827C6D"/>
    <w:rsid w:val="0083160C"/>
    <w:rsid w:val="0083172F"/>
    <w:rsid w:val="00833132"/>
    <w:rsid w:val="00833425"/>
    <w:rsid w:val="008334CB"/>
    <w:rsid w:val="00834104"/>
    <w:rsid w:val="0083473C"/>
    <w:rsid w:val="00835736"/>
    <w:rsid w:val="008361E5"/>
    <w:rsid w:val="00837AA3"/>
    <w:rsid w:val="00837BCE"/>
    <w:rsid w:val="00837F27"/>
    <w:rsid w:val="00840089"/>
    <w:rsid w:val="00840538"/>
    <w:rsid w:val="00840671"/>
    <w:rsid w:val="00841BB1"/>
    <w:rsid w:val="008426C7"/>
    <w:rsid w:val="00842D2A"/>
    <w:rsid w:val="00843CEF"/>
    <w:rsid w:val="008447F6"/>
    <w:rsid w:val="00844A4A"/>
    <w:rsid w:val="008450C7"/>
    <w:rsid w:val="008450E6"/>
    <w:rsid w:val="0084569C"/>
    <w:rsid w:val="00845E46"/>
    <w:rsid w:val="0084694A"/>
    <w:rsid w:val="00846F1B"/>
    <w:rsid w:val="00847692"/>
    <w:rsid w:val="00847D9E"/>
    <w:rsid w:val="00850390"/>
    <w:rsid w:val="00850555"/>
    <w:rsid w:val="00850D4E"/>
    <w:rsid w:val="00850E05"/>
    <w:rsid w:val="008513D5"/>
    <w:rsid w:val="0085174D"/>
    <w:rsid w:val="008519E7"/>
    <w:rsid w:val="00852519"/>
    <w:rsid w:val="00852700"/>
    <w:rsid w:val="0085285F"/>
    <w:rsid w:val="00853789"/>
    <w:rsid w:val="00853952"/>
    <w:rsid w:val="00854333"/>
    <w:rsid w:val="008554E9"/>
    <w:rsid w:val="008555FE"/>
    <w:rsid w:val="00855BA4"/>
    <w:rsid w:val="008561AD"/>
    <w:rsid w:val="00856868"/>
    <w:rsid w:val="00856F86"/>
    <w:rsid w:val="00857324"/>
    <w:rsid w:val="008619C3"/>
    <w:rsid w:val="00861A1E"/>
    <w:rsid w:val="00861F0C"/>
    <w:rsid w:val="0086231A"/>
    <w:rsid w:val="008632B0"/>
    <w:rsid w:val="00863603"/>
    <w:rsid w:val="008640D2"/>
    <w:rsid w:val="00865A39"/>
    <w:rsid w:val="00866168"/>
    <w:rsid w:val="00866ADE"/>
    <w:rsid w:val="00867A2C"/>
    <w:rsid w:val="00867AD8"/>
    <w:rsid w:val="00867CCF"/>
    <w:rsid w:val="00867E05"/>
    <w:rsid w:val="00870837"/>
    <w:rsid w:val="00870DAD"/>
    <w:rsid w:val="00871FF0"/>
    <w:rsid w:val="00872149"/>
    <w:rsid w:val="0087258C"/>
    <w:rsid w:val="00874B23"/>
    <w:rsid w:val="00874D7F"/>
    <w:rsid w:val="00875424"/>
    <w:rsid w:val="00875975"/>
    <w:rsid w:val="008773D1"/>
    <w:rsid w:val="00877693"/>
    <w:rsid w:val="008778AE"/>
    <w:rsid w:val="0088006D"/>
    <w:rsid w:val="00880F58"/>
    <w:rsid w:val="00881932"/>
    <w:rsid w:val="00882315"/>
    <w:rsid w:val="0088240C"/>
    <w:rsid w:val="0088242F"/>
    <w:rsid w:val="00882912"/>
    <w:rsid w:val="00882A16"/>
    <w:rsid w:val="00882BDB"/>
    <w:rsid w:val="00883593"/>
    <w:rsid w:val="0088413B"/>
    <w:rsid w:val="0088471F"/>
    <w:rsid w:val="00884B60"/>
    <w:rsid w:val="00884BF5"/>
    <w:rsid w:val="00885237"/>
    <w:rsid w:val="00885703"/>
    <w:rsid w:val="008859D8"/>
    <w:rsid w:val="00885D57"/>
    <w:rsid w:val="00886012"/>
    <w:rsid w:val="00886E84"/>
    <w:rsid w:val="00886F10"/>
    <w:rsid w:val="008904E0"/>
    <w:rsid w:val="00890AD5"/>
    <w:rsid w:val="00890E09"/>
    <w:rsid w:val="00891067"/>
    <w:rsid w:val="008911F6"/>
    <w:rsid w:val="008912C6"/>
    <w:rsid w:val="00891535"/>
    <w:rsid w:val="008926EC"/>
    <w:rsid w:val="00892DC7"/>
    <w:rsid w:val="00893DD1"/>
    <w:rsid w:val="00894B59"/>
    <w:rsid w:val="008954E8"/>
    <w:rsid w:val="00895653"/>
    <w:rsid w:val="00895EE8"/>
    <w:rsid w:val="00895FAC"/>
    <w:rsid w:val="008961F0"/>
    <w:rsid w:val="00896706"/>
    <w:rsid w:val="0089731F"/>
    <w:rsid w:val="00897F0B"/>
    <w:rsid w:val="008A031F"/>
    <w:rsid w:val="008A172B"/>
    <w:rsid w:val="008A2EA4"/>
    <w:rsid w:val="008A350D"/>
    <w:rsid w:val="008A36E2"/>
    <w:rsid w:val="008A437C"/>
    <w:rsid w:val="008A479D"/>
    <w:rsid w:val="008A4AB3"/>
    <w:rsid w:val="008A5ABB"/>
    <w:rsid w:val="008A5E63"/>
    <w:rsid w:val="008A66DC"/>
    <w:rsid w:val="008A686A"/>
    <w:rsid w:val="008A71D0"/>
    <w:rsid w:val="008A7841"/>
    <w:rsid w:val="008A7C44"/>
    <w:rsid w:val="008B1E2E"/>
    <w:rsid w:val="008B2168"/>
    <w:rsid w:val="008B225E"/>
    <w:rsid w:val="008B2CAC"/>
    <w:rsid w:val="008B440A"/>
    <w:rsid w:val="008B4E4C"/>
    <w:rsid w:val="008B5761"/>
    <w:rsid w:val="008B6257"/>
    <w:rsid w:val="008B6340"/>
    <w:rsid w:val="008B666D"/>
    <w:rsid w:val="008B7877"/>
    <w:rsid w:val="008B7D90"/>
    <w:rsid w:val="008C025A"/>
    <w:rsid w:val="008C0567"/>
    <w:rsid w:val="008C17F9"/>
    <w:rsid w:val="008C2017"/>
    <w:rsid w:val="008C29A1"/>
    <w:rsid w:val="008C36CD"/>
    <w:rsid w:val="008C55DA"/>
    <w:rsid w:val="008C586A"/>
    <w:rsid w:val="008C5F70"/>
    <w:rsid w:val="008C67CE"/>
    <w:rsid w:val="008C6E23"/>
    <w:rsid w:val="008C7C1B"/>
    <w:rsid w:val="008C7FE7"/>
    <w:rsid w:val="008D02E4"/>
    <w:rsid w:val="008D091A"/>
    <w:rsid w:val="008D0C52"/>
    <w:rsid w:val="008D1BD6"/>
    <w:rsid w:val="008D25C6"/>
    <w:rsid w:val="008D2610"/>
    <w:rsid w:val="008D2AC2"/>
    <w:rsid w:val="008D2E3A"/>
    <w:rsid w:val="008D3149"/>
    <w:rsid w:val="008D3F19"/>
    <w:rsid w:val="008D41CA"/>
    <w:rsid w:val="008D434D"/>
    <w:rsid w:val="008D43C7"/>
    <w:rsid w:val="008D4786"/>
    <w:rsid w:val="008D49F7"/>
    <w:rsid w:val="008D59AB"/>
    <w:rsid w:val="008D5DC0"/>
    <w:rsid w:val="008D64B2"/>
    <w:rsid w:val="008D7050"/>
    <w:rsid w:val="008D7424"/>
    <w:rsid w:val="008D7A79"/>
    <w:rsid w:val="008E0098"/>
    <w:rsid w:val="008E0454"/>
    <w:rsid w:val="008E07FC"/>
    <w:rsid w:val="008E0906"/>
    <w:rsid w:val="008E0942"/>
    <w:rsid w:val="008E0963"/>
    <w:rsid w:val="008E128D"/>
    <w:rsid w:val="008E4A70"/>
    <w:rsid w:val="008E4C73"/>
    <w:rsid w:val="008E4FF8"/>
    <w:rsid w:val="008E5AFD"/>
    <w:rsid w:val="008E5BF2"/>
    <w:rsid w:val="008E62F9"/>
    <w:rsid w:val="008E672B"/>
    <w:rsid w:val="008E6A26"/>
    <w:rsid w:val="008E7DA2"/>
    <w:rsid w:val="008F051A"/>
    <w:rsid w:val="008F0AB1"/>
    <w:rsid w:val="008F0D97"/>
    <w:rsid w:val="008F1106"/>
    <w:rsid w:val="008F132C"/>
    <w:rsid w:val="008F1D6A"/>
    <w:rsid w:val="008F30E6"/>
    <w:rsid w:val="008F466B"/>
    <w:rsid w:val="008F4776"/>
    <w:rsid w:val="008F4A2F"/>
    <w:rsid w:val="008F4DA5"/>
    <w:rsid w:val="008F7F2D"/>
    <w:rsid w:val="00901DBF"/>
    <w:rsid w:val="009020DC"/>
    <w:rsid w:val="009025D2"/>
    <w:rsid w:val="009027B9"/>
    <w:rsid w:val="009030CE"/>
    <w:rsid w:val="009047E0"/>
    <w:rsid w:val="009056C7"/>
    <w:rsid w:val="00905B37"/>
    <w:rsid w:val="00906378"/>
    <w:rsid w:val="0090660C"/>
    <w:rsid w:val="009102F9"/>
    <w:rsid w:val="00910F53"/>
    <w:rsid w:val="00911CA1"/>
    <w:rsid w:val="00912B04"/>
    <w:rsid w:val="00912F89"/>
    <w:rsid w:val="009139A3"/>
    <w:rsid w:val="00914178"/>
    <w:rsid w:val="00914D53"/>
    <w:rsid w:val="009151A8"/>
    <w:rsid w:val="009151E0"/>
    <w:rsid w:val="00915492"/>
    <w:rsid w:val="00915BF0"/>
    <w:rsid w:val="00916517"/>
    <w:rsid w:val="00916758"/>
    <w:rsid w:val="00916896"/>
    <w:rsid w:val="00916E8E"/>
    <w:rsid w:val="009205E5"/>
    <w:rsid w:val="009219A1"/>
    <w:rsid w:val="00922855"/>
    <w:rsid w:val="00922BA1"/>
    <w:rsid w:val="0092471F"/>
    <w:rsid w:val="00926E84"/>
    <w:rsid w:val="00930055"/>
    <w:rsid w:val="0093186C"/>
    <w:rsid w:val="00932EAB"/>
    <w:rsid w:val="00932EE6"/>
    <w:rsid w:val="009347C2"/>
    <w:rsid w:val="009347EB"/>
    <w:rsid w:val="00934A0E"/>
    <w:rsid w:val="0093652C"/>
    <w:rsid w:val="0093663C"/>
    <w:rsid w:val="0094083F"/>
    <w:rsid w:val="009420AD"/>
    <w:rsid w:val="009421CC"/>
    <w:rsid w:val="00942666"/>
    <w:rsid w:val="00942BB4"/>
    <w:rsid w:val="009438EC"/>
    <w:rsid w:val="00943C46"/>
    <w:rsid w:val="00944726"/>
    <w:rsid w:val="009453F8"/>
    <w:rsid w:val="00945B30"/>
    <w:rsid w:val="00946134"/>
    <w:rsid w:val="009462CA"/>
    <w:rsid w:val="009466FC"/>
    <w:rsid w:val="00946ACA"/>
    <w:rsid w:val="00947B18"/>
    <w:rsid w:val="00950256"/>
    <w:rsid w:val="00951A79"/>
    <w:rsid w:val="00953259"/>
    <w:rsid w:val="00953787"/>
    <w:rsid w:val="00953D3B"/>
    <w:rsid w:val="0095412B"/>
    <w:rsid w:val="0095480C"/>
    <w:rsid w:val="00954D87"/>
    <w:rsid w:val="009550DB"/>
    <w:rsid w:val="00955B54"/>
    <w:rsid w:val="00957DDE"/>
    <w:rsid w:val="00957E9C"/>
    <w:rsid w:val="00960EE7"/>
    <w:rsid w:val="009612F2"/>
    <w:rsid w:val="009618F4"/>
    <w:rsid w:val="00962BD2"/>
    <w:rsid w:val="00962F5F"/>
    <w:rsid w:val="0096343A"/>
    <w:rsid w:val="0096362F"/>
    <w:rsid w:val="0096401B"/>
    <w:rsid w:val="009642A1"/>
    <w:rsid w:val="00964313"/>
    <w:rsid w:val="00964799"/>
    <w:rsid w:val="00964D0C"/>
    <w:rsid w:val="00964D95"/>
    <w:rsid w:val="00965A3D"/>
    <w:rsid w:val="00965FA0"/>
    <w:rsid w:val="009660CC"/>
    <w:rsid w:val="009668C5"/>
    <w:rsid w:val="00966AE6"/>
    <w:rsid w:val="00966D8D"/>
    <w:rsid w:val="00967F6B"/>
    <w:rsid w:val="00970460"/>
    <w:rsid w:val="00971B24"/>
    <w:rsid w:val="00972DD2"/>
    <w:rsid w:val="0097371D"/>
    <w:rsid w:val="009741D1"/>
    <w:rsid w:val="009750BF"/>
    <w:rsid w:val="009756FC"/>
    <w:rsid w:val="00975844"/>
    <w:rsid w:val="00976248"/>
    <w:rsid w:val="009768C0"/>
    <w:rsid w:val="00977102"/>
    <w:rsid w:val="00980953"/>
    <w:rsid w:val="00980CFF"/>
    <w:rsid w:val="00980E0B"/>
    <w:rsid w:val="00981217"/>
    <w:rsid w:val="00981B84"/>
    <w:rsid w:val="0098251D"/>
    <w:rsid w:val="009844A5"/>
    <w:rsid w:val="00984AA6"/>
    <w:rsid w:val="009856C0"/>
    <w:rsid w:val="0098629E"/>
    <w:rsid w:val="0098663F"/>
    <w:rsid w:val="00986CFD"/>
    <w:rsid w:val="00987939"/>
    <w:rsid w:val="00990385"/>
    <w:rsid w:val="009912CA"/>
    <w:rsid w:val="0099147C"/>
    <w:rsid w:val="009918EF"/>
    <w:rsid w:val="0099249A"/>
    <w:rsid w:val="00992B06"/>
    <w:rsid w:val="00993A35"/>
    <w:rsid w:val="00994151"/>
    <w:rsid w:val="00994367"/>
    <w:rsid w:val="00994BED"/>
    <w:rsid w:val="009961E4"/>
    <w:rsid w:val="009972E3"/>
    <w:rsid w:val="00997891"/>
    <w:rsid w:val="009A01E5"/>
    <w:rsid w:val="009A0494"/>
    <w:rsid w:val="009A04A8"/>
    <w:rsid w:val="009A1BEC"/>
    <w:rsid w:val="009A1F4C"/>
    <w:rsid w:val="009A25F4"/>
    <w:rsid w:val="009A2CB6"/>
    <w:rsid w:val="009A34F8"/>
    <w:rsid w:val="009A36E0"/>
    <w:rsid w:val="009A388D"/>
    <w:rsid w:val="009A3F5A"/>
    <w:rsid w:val="009A4298"/>
    <w:rsid w:val="009A54B3"/>
    <w:rsid w:val="009A5807"/>
    <w:rsid w:val="009A5EC0"/>
    <w:rsid w:val="009A6103"/>
    <w:rsid w:val="009A61FF"/>
    <w:rsid w:val="009A6291"/>
    <w:rsid w:val="009A7CF1"/>
    <w:rsid w:val="009B01DD"/>
    <w:rsid w:val="009B17F8"/>
    <w:rsid w:val="009B21DC"/>
    <w:rsid w:val="009B3220"/>
    <w:rsid w:val="009B4BC3"/>
    <w:rsid w:val="009B617A"/>
    <w:rsid w:val="009B679B"/>
    <w:rsid w:val="009C07E0"/>
    <w:rsid w:val="009C09B0"/>
    <w:rsid w:val="009C0AB1"/>
    <w:rsid w:val="009C18CE"/>
    <w:rsid w:val="009C1D6E"/>
    <w:rsid w:val="009C2469"/>
    <w:rsid w:val="009C3605"/>
    <w:rsid w:val="009C3D6C"/>
    <w:rsid w:val="009C47FD"/>
    <w:rsid w:val="009C5CA3"/>
    <w:rsid w:val="009C6291"/>
    <w:rsid w:val="009C6DA1"/>
    <w:rsid w:val="009C6F19"/>
    <w:rsid w:val="009C75C2"/>
    <w:rsid w:val="009C7EAF"/>
    <w:rsid w:val="009D0948"/>
    <w:rsid w:val="009D0B1A"/>
    <w:rsid w:val="009D198E"/>
    <w:rsid w:val="009D1FA8"/>
    <w:rsid w:val="009D2188"/>
    <w:rsid w:val="009D24AE"/>
    <w:rsid w:val="009D28AD"/>
    <w:rsid w:val="009D31BA"/>
    <w:rsid w:val="009D3338"/>
    <w:rsid w:val="009D34E6"/>
    <w:rsid w:val="009D3B06"/>
    <w:rsid w:val="009D3E1A"/>
    <w:rsid w:val="009D3F27"/>
    <w:rsid w:val="009D429F"/>
    <w:rsid w:val="009D497E"/>
    <w:rsid w:val="009D508D"/>
    <w:rsid w:val="009D5690"/>
    <w:rsid w:val="009D684A"/>
    <w:rsid w:val="009D6B28"/>
    <w:rsid w:val="009D6CCC"/>
    <w:rsid w:val="009D7187"/>
    <w:rsid w:val="009E008E"/>
    <w:rsid w:val="009E026F"/>
    <w:rsid w:val="009E03DB"/>
    <w:rsid w:val="009E0A9F"/>
    <w:rsid w:val="009E18C1"/>
    <w:rsid w:val="009E1BED"/>
    <w:rsid w:val="009E2746"/>
    <w:rsid w:val="009E35DD"/>
    <w:rsid w:val="009E3AE6"/>
    <w:rsid w:val="009E5E35"/>
    <w:rsid w:val="009E63F9"/>
    <w:rsid w:val="009E64AF"/>
    <w:rsid w:val="009E6E96"/>
    <w:rsid w:val="009E6F8D"/>
    <w:rsid w:val="009E7688"/>
    <w:rsid w:val="009E78D1"/>
    <w:rsid w:val="009E7C26"/>
    <w:rsid w:val="009E7FFB"/>
    <w:rsid w:val="009F039C"/>
    <w:rsid w:val="009F1199"/>
    <w:rsid w:val="009F1290"/>
    <w:rsid w:val="009F1779"/>
    <w:rsid w:val="009F2013"/>
    <w:rsid w:val="009F319B"/>
    <w:rsid w:val="009F34C0"/>
    <w:rsid w:val="009F380F"/>
    <w:rsid w:val="009F4064"/>
    <w:rsid w:val="009F5454"/>
    <w:rsid w:val="009F5AD4"/>
    <w:rsid w:val="009F63FC"/>
    <w:rsid w:val="009F66CF"/>
    <w:rsid w:val="009F6750"/>
    <w:rsid w:val="009F6C29"/>
    <w:rsid w:val="009F714B"/>
    <w:rsid w:val="00A00C43"/>
    <w:rsid w:val="00A02C3F"/>
    <w:rsid w:val="00A02FB0"/>
    <w:rsid w:val="00A0389D"/>
    <w:rsid w:val="00A03B1C"/>
    <w:rsid w:val="00A03EDF"/>
    <w:rsid w:val="00A04603"/>
    <w:rsid w:val="00A04D7D"/>
    <w:rsid w:val="00A062E1"/>
    <w:rsid w:val="00A06C9F"/>
    <w:rsid w:val="00A06F57"/>
    <w:rsid w:val="00A07341"/>
    <w:rsid w:val="00A07AEA"/>
    <w:rsid w:val="00A07B94"/>
    <w:rsid w:val="00A07D4B"/>
    <w:rsid w:val="00A10288"/>
    <w:rsid w:val="00A119E3"/>
    <w:rsid w:val="00A12D31"/>
    <w:rsid w:val="00A13567"/>
    <w:rsid w:val="00A13A0A"/>
    <w:rsid w:val="00A13DAA"/>
    <w:rsid w:val="00A14F9B"/>
    <w:rsid w:val="00A1659E"/>
    <w:rsid w:val="00A16615"/>
    <w:rsid w:val="00A16A97"/>
    <w:rsid w:val="00A17776"/>
    <w:rsid w:val="00A2090E"/>
    <w:rsid w:val="00A212DC"/>
    <w:rsid w:val="00A21CBA"/>
    <w:rsid w:val="00A2216D"/>
    <w:rsid w:val="00A221AA"/>
    <w:rsid w:val="00A23837"/>
    <w:rsid w:val="00A24961"/>
    <w:rsid w:val="00A24C7E"/>
    <w:rsid w:val="00A25633"/>
    <w:rsid w:val="00A25BCC"/>
    <w:rsid w:val="00A273F2"/>
    <w:rsid w:val="00A27571"/>
    <w:rsid w:val="00A279D3"/>
    <w:rsid w:val="00A30501"/>
    <w:rsid w:val="00A3090F"/>
    <w:rsid w:val="00A319A4"/>
    <w:rsid w:val="00A32212"/>
    <w:rsid w:val="00A32242"/>
    <w:rsid w:val="00A3234C"/>
    <w:rsid w:val="00A32394"/>
    <w:rsid w:val="00A3287B"/>
    <w:rsid w:val="00A33A7A"/>
    <w:rsid w:val="00A340DA"/>
    <w:rsid w:val="00A34785"/>
    <w:rsid w:val="00A350E4"/>
    <w:rsid w:val="00A35A37"/>
    <w:rsid w:val="00A36EA6"/>
    <w:rsid w:val="00A3720A"/>
    <w:rsid w:val="00A37449"/>
    <w:rsid w:val="00A400C9"/>
    <w:rsid w:val="00A40879"/>
    <w:rsid w:val="00A41EFB"/>
    <w:rsid w:val="00A42BC9"/>
    <w:rsid w:val="00A42D2D"/>
    <w:rsid w:val="00A43313"/>
    <w:rsid w:val="00A4369B"/>
    <w:rsid w:val="00A43BEB"/>
    <w:rsid w:val="00A4401F"/>
    <w:rsid w:val="00A4439B"/>
    <w:rsid w:val="00A4441F"/>
    <w:rsid w:val="00A46296"/>
    <w:rsid w:val="00A46DC3"/>
    <w:rsid w:val="00A46DFA"/>
    <w:rsid w:val="00A46E9F"/>
    <w:rsid w:val="00A4735B"/>
    <w:rsid w:val="00A4768B"/>
    <w:rsid w:val="00A51747"/>
    <w:rsid w:val="00A51E0F"/>
    <w:rsid w:val="00A522A8"/>
    <w:rsid w:val="00A53B97"/>
    <w:rsid w:val="00A53BD8"/>
    <w:rsid w:val="00A541F7"/>
    <w:rsid w:val="00A54B83"/>
    <w:rsid w:val="00A54B8E"/>
    <w:rsid w:val="00A55171"/>
    <w:rsid w:val="00A55809"/>
    <w:rsid w:val="00A56BA7"/>
    <w:rsid w:val="00A570A1"/>
    <w:rsid w:val="00A60E64"/>
    <w:rsid w:val="00A6127B"/>
    <w:rsid w:val="00A61700"/>
    <w:rsid w:val="00A61E99"/>
    <w:rsid w:val="00A61FE0"/>
    <w:rsid w:val="00A6255E"/>
    <w:rsid w:val="00A63202"/>
    <w:rsid w:val="00A64D74"/>
    <w:rsid w:val="00A64E5D"/>
    <w:rsid w:val="00A64F47"/>
    <w:rsid w:val="00A6698F"/>
    <w:rsid w:val="00A670E8"/>
    <w:rsid w:val="00A70204"/>
    <w:rsid w:val="00A703EE"/>
    <w:rsid w:val="00A709FA"/>
    <w:rsid w:val="00A71C21"/>
    <w:rsid w:val="00A71F92"/>
    <w:rsid w:val="00A721EF"/>
    <w:rsid w:val="00A7339C"/>
    <w:rsid w:val="00A73A87"/>
    <w:rsid w:val="00A74A56"/>
    <w:rsid w:val="00A755FF"/>
    <w:rsid w:val="00A76D45"/>
    <w:rsid w:val="00A7762E"/>
    <w:rsid w:val="00A77B23"/>
    <w:rsid w:val="00A77D4D"/>
    <w:rsid w:val="00A80AAA"/>
    <w:rsid w:val="00A80BE0"/>
    <w:rsid w:val="00A825C7"/>
    <w:rsid w:val="00A82A50"/>
    <w:rsid w:val="00A82AB4"/>
    <w:rsid w:val="00A82C42"/>
    <w:rsid w:val="00A82E51"/>
    <w:rsid w:val="00A831D4"/>
    <w:rsid w:val="00A83200"/>
    <w:rsid w:val="00A83C3F"/>
    <w:rsid w:val="00A841BC"/>
    <w:rsid w:val="00A8448A"/>
    <w:rsid w:val="00A849AC"/>
    <w:rsid w:val="00A84B0D"/>
    <w:rsid w:val="00A84CAD"/>
    <w:rsid w:val="00A84F16"/>
    <w:rsid w:val="00A8507E"/>
    <w:rsid w:val="00A8532C"/>
    <w:rsid w:val="00A875B5"/>
    <w:rsid w:val="00A8761E"/>
    <w:rsid w:val="00A87E75"/>
    <w:rsid w:val="00A9000F"/>
    <w:rsid w:val="00A916AB"/>
    <w:rsid w:val="00A91C2F"/>
    <w:rsid w:val="00A927C0"/>
    <w:rsid w:val="00A92880"/>
    <w:rsid w:val="00A930EE"/>
    <w:rsid w:val="00A947BB"/>
    <w:rsid w:val="00A95614"/>
    <w:rsid w:val="00A95DC7"/>
    <w:rsid w:val="00A96CB2"/>
    <w:rsid w:val="00A96FE1"/>
    <w:rsid w:val="00A97895"/>
    <w:rsid w:val="00A97ED3"/>
    <w:rsid w:val="00AA00F0"/>
    <w:rsid w:val="00AA0683"/>
    <w:rsid w:val="00AA0806"/>
    <w:rsid w:val="00AA083E"/>
    <w:rsid w:val="00AA27DB"/>
    <w:rsid w:val="00AA2A66"/>
    <w:rsid w:val="00AA2D3C"/>
    <w:rsid w:val="00AA4A05"/>
    <w:rsid w:val="00AA5E72"/>
    <w:rsid w:val="00AA75FD"/>
    <w:rsid w:val="00AA7C29"/>
    <w:rsid w:val="00AA7C47"/>
    <w:rsid w:val="00AB0204"/>
    <w:rsid w:val="00AB13FB"/>
    <w:rsid w:val="00AB185C"/>
    <w:rsid w:val="00AB35A1"/>
    <w:rsid w:val="00AB4AF3"/>
    <w:rsid w:val="00AB4CE1"/>
    <w:rsid w:val="00AB4D4E"/>
    <w:rsid w:val="00AB73BE"/>
    <w:rsid w:val="00AB7599"/>
    <w:rsid w:val="00AB7948"/>
    <w:rsid w:val="00AB7C5E"/>
    <w:rsid w:val="00AC07A6"/>
    <w:rsid w:val="00AC0B0E"/>
    <w:rsid w:val="00AC0DE0"/>
    <w:rsid w:val="00AC1933"/>
    <w:rsid w:val="00AC334F"/>
    <w:rsid w:val="00AC39D2"/>
    <w:rsid w:val="00AC3EA3"/>
    <w:rsid w:val="00AC418C"/>
    <w:rsid w:val="00AC4C0B"/>
    <w:rsid w:val="00AC4F0D"/>
    <w:rsid w:val="00AC4F12"/>
    <w:rsid w:val="00AC5DE8"/>
    <w:rsid w:val="00AC64CD"/>
    <w:rsid w:val="00AC69EE"/>
    <w:rsid w:val="00AC7B11"/>
    <w:rsid w:val="00AD06F7"/>
    <w:rsid w:val="00AD0DFE"/>
    <w:rsid w:val="00AD0FD9"/>
    <w:rsid w:val="00AD107C"/>
    <w:rsid w:val="00AD163A"/>
    <w:rsid w:val="00AD1B0F"/>
    <w:rsid w:val="00AD33A9"/>
    <w:rsid w:val="00AD36A5"/>
    <w:rsid w:val="00AD3BCE"/>
    <w:rsid w:val="00AD3DC5"/>
    <w:rsid w:val="00AD4297"/>
    <w:rsid w:val="00AD4C56"/>
    <w:rsid w:val="00AD62E4"/>
    <w:rsid w:val="00AD6D24"/>
    <w:rsid w:val="00AD77EE"/>
    <w:rsid w:val="00AE0E0B"/>
    <w:rsid w:val="00AE11D7"/>
    <w:rsid w:val="00AE12E1"/>
    <w:rsid w:val="00AE1ABC"/>
    <w:rsid w:val="00AE1D6A"/>
    <w:rsid w:val="00AE1F0D"/>
    <w:rsid w:val="00AE24F5"/>
    <w:rsid w:val="00AE322F"/>
    <w:rsid w:val="00AE3AF5"/>
    <w:rsid w:val="00AE3DA2"/>
    <w:rsid w:val="00AE40B3"/>
    <w:rsid w:val="00AE40CF"/>
    <w:rsid w:val="00AE433D"/>
    <w:rsid w:val="00AE524A"/>
    <w:rsid w:val="00AE6EBA"/>
    <w:rsid w:val="00AE73A1"/>
    <w:rsid w:val="00AE7955"/>
    <w:rsid w:val="00AF0A80"/>
    <w:rsid w:val="00AF11E9"/>
    <w:rsid w:val="00AF1753"/>
    <w:rsid w:val="00AF1DBA"/>
    <w:rsid w:val="00AF21CB"/>
    <w:rsid w:val="00AF2510"/>
    <w:rsid w:val="00AF2B49"/>
    <w:rsid w:val="00AF2D63"/>
    <w:rsid w:val="00AF2FC8"/>
    <w:rsid w:val="00AF3E37"/>
    <w:rsid w:val="00AF3F1D"/>
    <w:rsid w:val="00AF4999"/>
    <w:rsid w:val="00AF4A12"/>
    <w:rsid w:val="00AF4E75"/>
    <w:rsid w:val="00AF596B"/>
    <w:rsid w:val="00AF69C1"/>
    <w:rsid w:val="00AF6C69"/>
    <w:rsid w:val="00AF763A"/>
    <w:rsid w:val="00B001F9"/>
    <w:rsid w:val="00B004BF"/>
    <w:rsid w:val="00B00D51"/>
    <w:rsid w:val="00B031AF"/>
    <w:rsid w:val="00B03676"/>
    <w:rsid w:val="00B03FA7"/>
    <w:rsid w:val="00B041A1"/>
    <w:rsid w:val="00B04481"/>
    <w:rsid w:val="00B04B40"/>
    <w:rsid w:val="00B0546C"/>
    <w:rsid w:val="00B06085"/>
    <w:rsid w:val="00B067E0"/>
    <w:rsid w:val="00B06809"/>
    <w:rsid w:val="00B06E76"/>
    <w:rsid w:val="00B10B1E"/>
    <w:rsid w:val="00B11C14"/>
    <w:rsid w:val="00B11E6B"/>
    <w:rsid w:val="00B12167"/>
    <w:rsid w:val="00B1232F"/>
    <w:rsid w:val="00B13373"/>
    <w:rsid w:val="00B136E5"/>
    <w:rsid w:val="00B13737"/>
    <w:rsid w:val="00B1384A"/>
    <w:rsid w:val="00B14DC1"/>
    <w:rsid w:val="00B154CD"/>
    <w:rsid w:val="00B1571E"/>
    <w:rsid w:val="00B16364"/>
    <w:rsid w:val="00B16D4F"/>
    <w:rsid w:val="00B203E4"/>
    <w:rsid w:val="00B21257"/>
    <w:rsid w:val="00B2168E"/>
    <w:rsid w:val="00B243F3"/>
    <w:rsid w:val="00B2497C"/>
    <w:rsid w:val="00B24DE8"/>
    <w:rsid w:val="00B25C35"/>
    <w:rsid w:val="00B2618A"/>
    <w:rsid w:val="00B2638B"/>
    <w:rsid w:val="00B26FDB"/>
    <w:rsid w:val="00B2723B"/>
    <w:rsid w:val="00B2730C"/>
    <w:rsid w:val="00B274E7"/>
    <w:rsid w:val="00B275C6"/>
    <w:rsid w:val="00B27716"/>
    <w:rsid w:val="00B305ED"/>
    <w:rsid w:val="00B30A99"/>
    <w:rsid w:val="00B3125B"/>
    <w:rsid w:val="00B3209F"/>
    <w:rsid w:val="00B325B6"/>
    <w:rsid w:val="00B345A3"/>
    <w:rsid w:val="00B351F7"/>
    <w:rsid w:val="00B36564"/>
    <w:rsid w:val="00B36595"/>
    <w:rsid w:val="00B37A2C"/>
    <w:rsid w:val="00B37A43"/>
    <w:rsid w:val="00B40C3A"/>
    <w:rsid w:val="00B40D12"/>
    <w:rsid w:val="00B41B53"/>
    <w:rsid w:val="00B41C55"/>
    <w:rsid w:val="00B42D5C"/>
    <w:rsid w:val="00B42D80"/>
    <w:rsid w:val="00B43B91"/>
    <w:rsid w:val="00B43BE1"/>
    <w:rsid w:val="00B43D09"/>
    <w:rsid w:val="00B43D5A"/>
    <w:rsid w:val="00B43F38"/>
    <w:rsid w:val="00B44B9E"/>
    <w:rsid w:val="00B452B1"/>
    <w:rsid w:val="00B452DD"/>
    <w:rsid w:val="00B45C4D"/>
    <w:rsid w:val="00B46626"/>
    <w:rsid w:val="00B47340"/>
    <w:rsid w:val="00B501E8"/>
    <w:rsid w:val="00B51C7F"/>
    <w:rsid w:val="00B51EE1"/>
    <w:rsid w:val="00B521E9"/>
    <w:rsid w:val="00B528EE"/>
    <w:rsid w:val="00B52AAD"/>
    <w:rsid w:val="00B53B33"/>
    <w:rsid w:val="00B55BEB"/>
    <w:rsid w:val="00B563AC"/>
    <w:rsid w:val="00B56992"/>
    <w:rsid w:val="00B57031"/>
    <w:rsid w:val="00B57463"/>
    <w:rsid w:val="00B57905"/>
    <w:rsid w:val="00B61071"/>
    <w:rsid w:val="00B61327"/>
    <w:rsid w:val="00B62873"/>
    <w:rsid w:val="00B62C98"/>
    <w:rsid w:val="00B62F17"/>
    <w:rsid w:val="00B6383D"/>
    <w:rsid w:val="00B63B4E"/>
    <w:rsid w:val="00B64048"/>
    <w:rsid w:val="00B64DFF"/>
    <w:rsid w:val="00B65330"/>
    <w:rsid w:val="00B6618F"/>
    <w:rsid w:val="00B66B16"/>
    <w:rsid w:val="00B670C3"/>
    <w:rsid w:val="00B7012D"/>
    <w:rsid w:val="00B70555"/>
    <w:rsid w:val="00B70773"/>
    <w:rsid w:val="00B70AB0"/>
    <w:rsid w:val="00B7279F"/>
    <w:rsid w:val="00B72CA0"/>
    <w:rsid w:val="00B72CA4"/>
    <w:rsid w:val="00B73508"/>
    <w:rsid w:val="00B73F04"/>
    <w:rsid w:val="00B740BD"/>
    <w:rsid w:val="00B75177"/>
    <w:rsid w:val="00B7534B"/>
    <w:rsid w:val="00B7554A"/>
    <w:rsid w:val="00B75970"/>
    <w:rsid w:val="00B77283"/>
    <w:rsid w:val="00B77482"/>
    <w:rsid w:val="00B77E32"/>
    <w:rsid w:val="00B80BC6"/>
    <w:rsid w:val="00B80E52"/>
    <w:rsid w:val="00B82796"/>
    <w:rsid w:val="00B83B64"/>
    <w:rsid w:val="00B84860"/>
    <w:rsid w:val="00B854A2"/>
    <w:rsid w:val="00B85CBC"/>
    <w:rsid w:val="00B85DED"/>
    <w:rsid w:val="00B868DE"/>
    <w:rsid w:val="00B875CC"/>
    <w:rsid w:val="00B9042E"/>
    <w:rsid w:val="00B90435"/>
    <w:rsid w:val="00B90F42"/>
    <w:rsid w:val="00B90F61"/>
    <w:rsid w:val="00B912BF"/>
    <w:rsid w:val="00B91687"/>
    <w:rsid w:val="00B9252E"/>
    <w:rsid w:val="00B92C22"/>
    <w:rsid w:val="00B947E4"/>
    <w:rsid w:val="00B94872"/>
    <w:rsid w:val="00B9587A"/>
    <w:rsid w:val="00B96553"/>
    <w:rsid w:val="00B9684C"/>
    <w:rsid w:val="00BA0EEF"/>
    <w:rsid w:val="00BA2422"/>
    <w:rsid w:val="00BA24C7"/>
    <w:rsid w:val="00BA25C1"/>
    <w:rsid w:val="00BA2753"/>
    <w:rsid w:val="00BA2770"/>
    <w:rsid w:val="00BA5281"/>
    <w:rsid w:val="00BA5725"/>
    <w:rsid w:val="00BA5CE5"/>
    <w:rsid w:val="00BA600B"/>
    <w:rsid w:val="00BA703D"/>
    <w:rsid w:val="00BA7EFD"/>
    <w:rsid w:val="00BB0135"/>
    <w:rsid w:val="00BB06D9"/>
    <w:rsid w:val="00BB09D0"/>
    <w:rsid w:val="00BB0F65"/>
    <w:rsid w:val="00BB107D"/>
    <w:rsid w:val="00BB1652"/>
    <w:rsid w:val="00BB2371"/>
    <w:rsid w:val="00BB2706"/>
    <w:rsid w:val="00BB5688"/>
    <w:rsid w:val="00BB6400"/>
    <w:rsid w:val="00BC10FC"/>
    <w:rsid w:val="00BC15AC"/>
    <w:rsid w:val="00BC1A61"/>
    <w:rsid w:val="00BC26E5"/>
    <w:rsid w:val="00BC331F"/>
    <w:rsid w:val="00BC3CC8"/>
    <w:rsid w:val="00BC4498"/>
    <w:rsid w:val="00BC49D1"/>
    <w:rsid w:val="00BC6103"/>
    <w:rsid w:val="00BC765B"/>
    <w:rsid w:val="00BC7D03"/>
    <w:rsid w:val="00BD0218"/>
    <w:rsid w:val="00BD083B"/>
    <w:rsid w:val="00BD0AC5"/>
    <w:rsid w:val="00BD12AC"/>
    <w:rsid w:val="00BD163A"/>
    <w:rsid w:val="00BD20F9"/>
    <w:rsid w:val="00BD271A"/>
    <w:rsid w:val="00BD351F"/>
    <w:rsid w:val="00BD42F6"/>
    <w:rsid w:val="00BD49ED"/>
    <w:rsid w:val="00BD54F7"/>
    <w:rsid w:val="00BD597A"/>
    <w:rsid w:val="00BD647E"/>
    <w:rsid w:val="00BD67B1"/>
    <w:rsid w:val="00BD69A3"/>
    <w:rsid w:val="00BD7ACF"/>
    <w:rsid w:val="00BD7E49"/>
    <w:rsid w:val="00BE0624"/>
    <w:rsid w:val="00BE14E7"/>
    <w:rsid w:val="00BE3674"/>
    <w:rsid w:val="00BE38D2"/>
    <w:rsid w:val="00BE4ED3"/>
    <w:rsid w:val="00BE4FCB"/>
    <w:rsid w:val="00BE5053"/>
    <w:rsid w:val="00BE59A5"/>
    <w:rsid w:val="00BE6229"/>
    <w:rsid w:val="00BE685D"/>
    <w:rsid w:val="00BE71B1"/>
    <w:rsid w:val="00BE72C5"/>
    <w:rsid w:val="00BE75C0"/>
    <w:rsid w:val="00BF047C"/>
    <w:rsid w:val="00BF112F"/>
    <w:rsid w:val="00BF1189"/>
    <w:rsid w:val="00BF16EF"/>
    <w:rsid w:val="00BF2736"/>
    <w:rsid w:val="00BF2FAB"/>
    <w:rsid w:val="00BF3168"/>
    <w:rsid w:val="00BF357B"/>
    <w:rsid w:val="00BF402A"/>
    <w:rsid w:val="00BF414F"/>
    <w:rsid w:val="00BF435D"/>
    <w:rsid w:val="00BF539E"/>
    <w:rsid w:val="00BF58B9"/>
    <w:rsid w:val="00BF657A"/>
    <w:rsid w:val="00BF79F3"/>
    <w:rsid w:val="00BF7B0E"/>
    <w:rsid w:val="00C00737"/>
    <w:rsid w:val="00C00C29"/>
    <w:rsid w:val="00C00D1D"/>
    <w:rsid w:val="00C00E70"/>
    <w:rsid w:val="00C00E79"/>
    <w:rsid w:val="00C00F7F"/>
    <w:rsid w:val="00C01484"/>
    <w:rsid w:val="00C01D1F"/>
    <w:rsid w:val="00C01E5F"/>
    <w:rsid w:val="00C03326"/>
    <w:rsid w:val="00C04803"/>
    <w:rsid w:val="00C051FE"/>
    <w:rsid w:val="00C1029C"/>
    <w:rsid w:val="00C10589"/>
    <w:rsid w:val="00C10CF7"/>
    <w:rsid w:val="00C112A1"/>
    <w:rsid w:val="00C117E2"/>
    <w:rsid w:val="00C118BA"/>
    <w:rsid w:val="00C119C9"/>
    <w:rsid w:val="00C11FEE"/>
    <w:rsid w:val="00C120A5"/>
    <w:rsid w:val="00C13E58"/>
    <w:rsid w:val="00C14B47"/>
    <w:rsid w:val="00C15400"/>
    <w:rsid w:val="00C15496"/>
    <w:rsid w:val="00C15C73"/>
    <w:rsid w:val="00C16335"/>
    <w:rsid w:val="00C16823"/>
    <w:rsid w:val="00C16B91"/>
    <w:rsid w:val="00C16D8C"/>
    <w:rsid w:val="00C1706E"/>
    <w:rsid w:val="00C17270"/>
    <w:rsid w:val="00C17DF0"/>
    <w:rsid w:val="00C21A56"/>
    <w:rsid w:val="00C21B5E"/>
    <w:rsid w:val="00C226CA"/>
    <w:rsid w:val="00C23629"/>
    <w:rsid w:val="00C23AA1"/>
    <w:rsid w:val="00C24907"/>
    <w:rsid w:val="00C24C73"/>
    <w:rsid w:val="00C25182"/>
    <w:rsid w:val="00C2530D"/>
    <w:rsid w:val="00C26870"/>
    <w:rsid w:val="00C270C6"/>
    <w:rsid w:val="00C30119"/>
    <w:rsid w:val="00C30259"/>
    <w:rsid w:val="00C3048C"/>
    <w:rsid w:val="00C30BDB"/>
    <w:rsid w:val="00C31031"/>
    <w:rsid w:val="00C3129D"/>
    <w:rsid w:val="00C312E5"/>
    <w:rsid w:val="00C32332"/>
    <w:rsid w:val="00C328C1"/>
    <w:rsid w:val="00C32D1F"/>
    <w:rsid w:val="00C33E09"/>
    <w:rsid w:val="00C33E57"/>
    <w:rsid w:val="00C35903"/>
    <w:rsid w:val="00C36D7E"/>
    <w:rsid w:val="00C36EE6"/>
    <w:rsid w:val="00C377FA"/>
    <w:rsid w:val="00C37954"/>
    <w:rsid w:val="00C4015B"/>
    <w:rsid w:val="00C409E3"/>
    <w:rsid w:val="00C41BBB"/>
    <w:rsid w:val="00C423E7"/>
    <w:rsid w:val="00C43221"/>
    <w:rsid w:val="00C43B14"/>
    <w:rsid w:val="00C440CE"/>
    <w:rsid w:val="00C4486E"/>
    <w:rsid w:val="00C44D64"/>
    <w:rsid w:val="00C44DE2"/>
    <w:rsid w:val="00C4588D"/>
    <w:rsid w:val="00C458B8"/>
    <w:rsid w:val="00C45D72"/>
    <w:rsid w:val="00C46082"/>
    <w:rsid w:val="00C476E2"/>
    <w:rsid w:val="00C479F8"/>
    <w:rsid w:val="00C47AE7"/>
    <w:rsid w:val="00C5006E"/>
    <w:rsid w:val="00C508A6"/>
    <w:rsid w:val="00C50A22"/>
    <w:rsid w:val="00C524D9"/>
    <w:rsid w:val="00C52917"/>
    <w:rsid w:val="00C52B87"/>
    <w:rsid w:val="00C53B3F"/>
    <w:rsid w:val="00C542E0"/>
    <w:rsid w:val="00C5495D"/>
    <w:rsid w:val="00C54C1E"/>
    <w:rsid w:val="00C54CC7"/>
    <w:rsid w:val="00C55F5A"/>
    <w:rsid w:val="00C60735"/>
    <w:rsid w:val="00C61302"/>
    <w:rsid w:val="00C61542"/>
    <w:rsid w:val="00C61867"/>
    <w:rsid w:val="00C61FD9"/>
    <w:rsid w:val="00C62050"/>
    <w:rsid w:val="00C621C1"/>
    <w:rsid w:val="00C62782"/>
    <w:rsid w:val="00C62D9D"/>
    <w:rsid w:val="00C65199"/>
    <w:rsid w:val="00C6592E"/>
    <w:rsid w:val="00C66436"/>
    <w:rsid w:val="00C66CC3"/>
    <w:rsid w:val="00C676BC"/>
    <w:rsid w:val="00C7012B"/>
    <w:rsid w:val="00C7133C"/>
    <w:rsid w:val="00C71F54"/>
    <w:rsid w:val="00C7254F"/>
    <w:rsid w:val="00C74371"/>
    <w:rsid w:val="00C750A4"/>
    <w:rsid w:val="00C75A79"/>
    <w:rsid w:val="00C77221"/>
    <w:rsid w:val="00C778C9"/>
    <w:rsid w:val="00C801FD"/>
    <w:rsid w:val="00C80A87"/>
    <w:rsid w:val="00C82506"/>
    <w:rsid w:val="00C829CB"/>
    <w:rsid w:val="00C82F9D"/>
    <w:rsid w:val="00C834E3"/>
    <w:rsid w:val="00C835D0"/>
    <w:rsid w:val="00C83B42"/>
    <w:rsid w:val="00C846FE"/>
    <w:rsid w:val="00C84B3D"/>
    <w:rsid w:val="00C84CCC"/>
    <w:rsid w:val="00C85DF9"/>
    <w:rsid w:val="00C85ED8"/>
    <w:rsid w:val="00C861C3"/>
    <w:rsid w:val="00C9065A"/>
    <w:rsid w:val="00C90C05"/>
    <w:rsid w:val="00C916AC"/>
    <w:rsid w:val="00C91A92"/>
    <w:rsid w:val="00C91C2F"/>
    <w:rsid w:val="00C92431"/>
    <w:rsid w:val="00C92834"/>
    <w:rsid w:val="00C92C81"/>
    <w:rsid w:val="00C936A5"/>
    <w:rsid w:val="00C93EA6"/>
    <w:rsid w:val="00C94084"/>
    <w:rsid w:val="00C94840"/>
    <w:rsid w:val="00C949B2"/>
    <w:rsid w:val="00C95668"/>
    <w:rsid w:val="00C9566E"/>
    <w:rsid w:val="00C957D7"/>
    <w:rsid w:val="00C96927"/>
    <w:rsid w:val="00C96B90"/>
    <w:rsid w:val="00C9701D"/>
    <w:rsid w:val="00C973CE"/>
    <w:rsid w:val="00C97DF6"/>
    <w:rsid w:val="00CA0F39"/>
    <w:rsid w:val="00CA18AC"/>
    <w:rsid w:val="00CA1A7E"/>
    <w:rsid w:val="00CA2979"/>
    <w:rsid w:val="00CA36B1"/>
    <w:rsid w:val="00CA36CC"/>
    <w:rsid w:val="00CA3E71"/>
    <w:rsid w:val="00CA4549"/>
    <w:rsid w:val="00CA4FEB"/>
    <w:rsid w:val="00CA5347"/>
    <w:rsid w:val="00CA55CF"/>
    <w:rsid w:val="00CA64EF"/>
    <w:rsid w:val="00CA6583"/>
    <w:rsid w:val="00CA7C0B"/>
    <w:rsid w:val="00CA7DF9"/>
    <w:rsid w:val="00CB0252"/>
    <w:rsid w:val="00CB0941"/>
    <w:rsid w:val="00CB0BF6"/>
    <w:rsid w:val="00CB1237"/>
    <w:rsid w:val="00CB13CF"/>
    <w:rsid w:val="00CB15EC"/>
    <w:rsid w:val="00CB2486"/>
    <w:rsid w:val="00CB3403"/>
    <w:rsid w:val="00CB3495"/>
    <w:rsid w:val="00CB34BC"/>
    <w:rsid w:val="00CB3C1D"/>
    <w:rsid w:val="00CB4324"/>
    <w:rsid w:val="00CB4545"/>
    <w:rsid w:val="00CB50B7"/>
    <w:rsid w:val="00CB6FD4"/>
    <w:rsid w:val="00CB7446"/>
    <w:rsid w:val="00CB77BF"/>
    <w:rsid w:val="00CC0412"/>
    <w:rsid w:val="00CC09CB"/>
    <w:rsid w:val="00CC148D"/>
    <w:rsid w:val="00CC18CB"/>
    <w:rsid w:val="00CC24E2"/>
    <w:rsid w:val="00CC2C63"/>
    <w:rsid w:val="00CC2E6A"/>
    <w:rsid w:val="00CC4CF8"/>
    <w:rsid w:val="00CC5337"/>
    <w:rsid w:val="00CC5619"/>
    <w:rsid w:val="00CC574A"/>
    <w:rsid w:val="00CC5A84"/>
    <w:rsid w:val="00CC63B3"/>
    <w:rsid w:val="00CC6695"/>
    <w:rsid w:val="00CC7289"/>
    <w:rsid w:val="00CC731F"/>
    <w:rsid w:val="00CC74FA"/>
    <w:rsid w:val="00CD16CD"/>
    <w:rsid w:val="00CD1A9A"/>
    <w:rsid w:val="00CD1C16"/>
    <w:rsid w:val="00CD1CCE"/>
    <w:rsid w:val="00CD39EC"/>
    <w:rsid w:val="00CD3A8F"/>
    <w:rsid w:val="00CD3AC6"/>
    <w:rsid w:val="00CD4452"/>
    <w:rsid w:val="00CD5893"/>
    <w:rsid w:val="00CD685B"/>
    <w:rsid w:val="00CD6F33"/>
    <w:rsid w:val="00CD77CD"/>
    <w:rsid w:val="00CD7A5F"/>
    <w:rsid w:val="00CE016F"/>
    <w:rsid w:val="00CE110F"/>
    <w:rsid w:val="00CE3949"/>
    <w:rsid w:val="00CE3A9A"/>
    <w:rsid w:val="00CE5926"/>
    <w:rsid w:val="00CE6984"/>
    <w:rsid w:val="00CE6C31"/>
    <w:rsid w:val="00CE74F5"/>
    <w:rsid w:val="00CE7A80"/>
    <w:rsid w:val="00CE7BAF"/>
    <w:rsid w:val="00CF076C"/>
    <w:rsid w:val="00CF19F2"/>
    <w:rsid w:val="00CF3439"/>
    <w:rsid w:val="00CF4CF8"/>
    <w:rsid w:val="00CF4D6D"/>
    <w:rsid w:val="00CF4EBB"/>
    <w:rsid w:val="00CF592C"/>
    <w:rsid w:val="00CF5D0D"/>
    <w:rsid w:val="00CF62A3"/>
    <w:rsid w:val="00CF696A"/>
    <w:rsid w:val="00CF6988"/>
    <w:rsid w:val="00CF779E"/>
    <w:rsid w:val="00CF7C34"/>
    <w:rsid w:val="00D01893"/>
    <w:rsid w:val="00D0192D"/>
    <w:rsid w:val="00D01C65"/>
    <w:rsid w:val="00D0275A"/>
    <w:rsid w:val="00D02CDD"/>
    <w:rsid w:val="00D0313E"/>
    <w:rsid w:val="00D03C82"/>
    <w:rsid w:val="00D0454E"/>
    <w:rsid w:val="00D04EEC"/>
    <w:rsid w:val="00D06ABD"/>
    <w:rsid w:val="00D07714"/>
    <w:rsid w:val="00D079C2"/>
    <w:rsid w:val="00D10B21"/>
    <w:rsid w:val="00D113A8"/>
    <w:rsid w:val="00D114C2"/>
    <w:rsid w:val="00D118E0"/>
    <w:rsid w:val="00D1224A"/>
    <w:rsid w:val="00D12848"/>
    <w:rsid w:val="00D12C56"/>
    <w:rsid w:val="00D13994"/>
    <w:rsid w:val="00D13B38"/>
    <w:rsid w:val="00D145EA"/>
    <w:rsid w:val="00D149E5"/>
    <w:rsid w:val="00D14D9F"/>
    <w:rsid w:val="00D157FC"/>
    <w:rsid w:val="00D16DE0"/>
    <w:rsid w:val="00D1762D"/>
    <w:rsid w:val="00D17D05"/>
    <w:rsid w:val="00D17D50"/>
    <w:rsid w:val="00D2118F"/>
    <w:rsid w:val="00D2190C"/>
    <w:rsid w:val="00D21D53"/>
    <w:rsid w:val="00D234EF"/>
    <w:rsid w:val="00D23507"/>
    <w:rsid w:val="00D2399A"/>
    <w:rsid w:val="00D243DE"/>
    <w:rsid w:val="00D246B3"/>
    <w:rsid w:val="00D24873"/>
    <w:rsid w:val="00D24D03"/>
    <w:rsid w:val="00D24D3B"/>
    <w:rsid w:val="00D24D96"/>
    <w:rsid w:val="00D25797"/>
    <w:rsid w:val="00D25941"/>
    <w:rsid w:val="00D26142"/>
    <w:rsid w:val="00D2722B"/>
    <w:rsid w:val="00D2738A"/>
    <w:rsid w:val="00D273B5"/>
    <w:rsid w:val="00D27669"/>
    <w:rsid w:val="00D27AEB"/>
    <w:rsid w:val="00D27CA6"/>
    <w:rsid w:val="00D30271"/>
    <w:rsid w:val="00D305E8"/>
    <w:rsid w:val="00D313F4"/>
    <w:rsid w:val="00D31BD7"/>
    <w:rsid w:val="00D31F6C"/>
    <w:rsid w:val="00D33199"/>
    <w:rsid w:val="00D3319A"/>
    <w:rsid w:val="00D337A3"/>
    <w:rsid w:val="00D34587"/>
    <w:rsid w:val="00D346E4"/>
    <w:rsid w:val="00D35348"/>
    <w:rsid w:val="00D35C0C"/>
    <w:rsid w:val="00D36087"/>
    <w:rsid w:val="00D36B37"/>
    <w:rsid w:val="00D377A3"/>
    <w:rsid w:val="00D40492"/>
    <w:rsid w:val="00D4162B"/>
    <w:rsid w:val="00D42202"/>
    <w:rsid w:val="00D43831"/>
    <w:rsid w:val="00D4429F"/>
    <w:rsid w:val="00D45A0F"/>
    <w:rsid w:val="00D45CC5"/>
    <w:rsid w:val="00D465F2"/>
    <w:rsid w:val="00D4793D"/>
    <w:rsid w:val="00D47BCE"/>
    <w:rsid w:val="00D47F0D"/>
    <w:rsid w:val="00D5046C"/>
    <w:rsid w:val="00D513A7"/>
    <w:rsid w:val="00D516AA"/>
    <w:rsid w:val="00D51CF3"/>
    <w:rsid w:val="00D51FCB"/>
    <w:rsid w:val="00D53105"/>
    <w:rsid w:val="00D534EE"/>
    <w:rsid w:val="00D53C9C"/>
    <w:rsid w:val="00D549AE"/>
    <w:rsid w:val="00D54D07"/>
    <w:rsid w:val="00D56856"/>
    <w:rsid w:val="00D56FF7"/>
    <w:rsid w:val="00D5741D"/>
    <w:rsid w:val="00D57810"/>
    <w:rsid w:val="00D57E3C"/>
    <w:rsid w:val="00D60C0B"/>
    <w:rsid w:val="00D61F9B"/>
    <w:rsid w:val="00D62096"/>
    <w:rsid w:val="00D62472"/>
    <w:rsid w:val="00D62666"/>
    <w:rsid w:val="00D6320B"/>
    <w:rsid w:val="00D66472"/>
    <w:rsid w:val="00D6648B"/>
    <w:rsid w:val="00D66F38"/>
    <w:rsid w:val="00D67070"/>
    <w:rsid w:val="00D675DC"/>
    <w:rsid w:val="00D67955"/>
    <w:rsid w:val="00D702B2"/>
    <w:rsid w:val="00D7051C"/>
    <w:rsid w:val="00D7087D"/>
    <w:rsid w:val="00D71B2B"/>
    <w:rsid w:val="00D71E79"/>
    <w:rsid w:val="00D72077"/>
    <w:rsid w:val="00D72DEF"/>
    <w:rsid w:val="00D740A2"/>
    <w:rsid w:val="00D740B5"/>
    <w:rsid w:val="00D744C6"/>
    <w:rsid w:val="00D747B3"/>
    <w:rsid w:val="00D7588C"/>
    <w:rsid w:val="00D779E5"/>
    <w:rsid w:val="00D77AF0"/>
    <w:rsid w:val="00D77CA1"/>
    <w:rsid w:val="00D811C5"/>
    <w:rsid w:val="00D8276E"/>
    <w:rsid w:val="00D83A2E"/>
    <w:rsid w:val="00D83BC6"/>
    <w:rsid w:val="00D8401F"/>
    <w:rsid w:val="00D8449C"/>
    <w:rsid w:val="00D847CF"/>
    <w:rsid w:val="00D84BF6"/>
    <w:rsid w:val="00D85B57"/>
    <w:rsid w:val="00D862AA"/>
    <w:rsid w:val="00D90A6B"/>
    <w:rsid w:val="00D90C54"/>
    <w:rsid w:val="00D91A78"/>
    <w:rsid w:val="00D92296"/>
    <w:rsid w:val="00D93019"/>
    <w:rsid w:val="00D936A3"/>
    <w:rsid w:val="00D94288"/>
    <w:rsid w:val="00D944D8"/>
    <w:rsid w:val="00D94580"/>
    <w:rsid w:val="00D949CB"/>
    <w:rsid w:val="00D94E21"/>
    <w:rsid w:val="00D95BC7"/>
    <w:rsid w:val="00D95C53"/>
    <w:rsid w:val="00D972B0"/>
    <w:rsid w:val="00D97391"/>
    <w:rsid w:val="00D97B48"/>
    <w:rsid w:val="00D97D7C"/>
    <w:rsid w:val="00DA1595"/>
    <w:rsid w:val="00DA1E7A"/>
    <w:rsid w:val="00DA3F33"/>
    <w:rsid w:val="00DA42BB"/>
    <w:rsid w:val="00DA4975"/>
    <w:rsid w:val="00DA5729"/>
    <w:rsid w:val="00DA5933"/>
    <w:rsid w:val="00DA6D21"/>
    <w:rsid w:val="00DA7017"/>
    <w:rsid w:val="00DA70DC"/>
    <w:rsid w:val="00DA73B8"/>
    <w:rsid w:val="00DA7ADF"/>
    <w:rsid w:val="00DA7E22"/>
    <w:rsid w:val="00DB0164"/>
    <w:rsid w:val="00DB0521"/>
    <w:rsid w:val="00DB08BC"/>
    <w:rsid w:val="00DB1385"/>
    <w:rsid w:val="00DB1B09"/>
    <w:rsid w:val="00DB2209"/>
    <w:rsid w:val="00DB231B"/>
    <w:rsid w:val="00DB3CC7"/>
    <w:rsid w:val="00DB4B9F"/>
    <w:rsid w:val="00DB5DBF"/>
    <w:rsid w:val="00DB78FC"/>
    <w:rsid w:val="00DB7EE2"/>
    <w:rsid w:val="00DC03B2"/>
    <w:rsid w:val="00DC0B4A"/>
    <w:rsid w:val="00DC27BF"/>
    <w:rsid w:val="00DC3C63"/>
    <w:rsid w:val="00DC427E"/>
    <w:rsid w:val="00DC46C2"/>
    <w:rsid w:val="00DC473D"/>
    <w:rsid w:val="00DC56AA"/>
    <w:rsid w:val="00DC581D"/>
    <w:rsid w:val="00DC59F8"/>
    <w:rsid w:val="00DC61EF"/>
    <w:rsid w:val="00DC69E6"/>
    <w:rsid w:val="00DC7727"/>
    <w:rsid w:val="00DD07D6"/>
    <w:rsid w:val="00DD0C21"/>
    <w:rsid w:val="00DD0CC9"/>
    <w:rsid w:val="00DD0D2B"/>
    <w:rsid w:val="00DD1DEA"/>
    <w:rsid w:val="00DD1F27"/>
    <w:rsid w:val="00DD1F5C"/>
    <w:rsid w:val="00DD28B6"/>
    <w:rsid w:val="00DD3177"/>
    <w:rsid w:val="00DD3F74"/>
    <w:rsid w:val="00DD40DF"/>
    <w:rsid w:val="00DD4802"/>
    <w:rsid w:val="00DD508C"/>
    <w:rsid w:val="00DD511D"/>
    <w:rsid w:val="00DD68A4"/>
    <w:rsid w:val="00DD6CCE"/>
    <w:rsid w:val="00DD778A"/>
    <w:rsid w:val="00DD7E89"/>
    <w:rsid w:val="00DE0D8D"/>
    <w:rsid w:val="00DE11C0"/>
    <w:rsid w:val="00DE1638"/>
    <w:rsid w:val="00DE2AA5"/>
    <w:rsid w:val="00DE3547"/>
    <w:rsid w:val="00DE3DED"/>
    <w:rsid w:val="00DE4075"/>
    <w:rsid w:val="00DE4606"/>
    <w:rsid w:val="00DE4A74"/>
    <w:rsid w:val="00DE5BE6"/>
    <w:rsid w:val="00DE5E89"/>
    <w:rsid w:val="00DE6B9C"/>
    <w:rsid w:val="00DE768F"/>
    <w:rsid w:val="00DE772A"/>
    <w:rsid w:val="00DE7A0A"/>
    <w:rsid w:val="00DE7B05"/>
    <w:rsid w:val="00DF01F8"/>
    <w:rsid w:val="00DF0BC6"/>
    <w:rsid w:val="00DF1849"/>
    <w:rsid w:val="00DF1902"/>
    <w:rsid w:val="00DF2384"/>
    <w:rsid w:val="00DF3C1A"/>
    <w:rsid w:val="00DF3E63"/>
    <w:rsid w:val="00DF48E9"/>
    <w:rsid w:val="00DF6002"/>
    <w:rsid w:val="00DF756E"/>
    <w:rsid w:val="00E002A7"/>
    <w:rsid w:val="00E00690"/>
    <w:rsid w:val="00E0075B"/>
    <w:rsid w:val="00E01A6D"/>
    <w:rsid w:val="00E02DFA"/>
    <w:rsid w:val="00E0368D"/>
    <w:rsid w:val="00E03AC4"/>
    <w:rsid w:val="00E03D72"/>
    <w:rsid w:val="00E03D9E"/>
    <w:rsid w:val="00E04190"/>
    <w:rsid w:val="00E0424B"/>
    <w:rsid w:val="00E04353"/>
    <w:rsid w:val="00E045F9"/>
    <w:rsid w:val="00E05871"/>
    <w:rsid w:val="00E05CAE"/>
    <w:rsid w:val="00E06E02"/>
    <w:rsid w:val="00E07FA4"/>
    <w:rsid w:val="00E12AD0"/>
    <w:rsid w:val="00E13705"/>
    <w:rsid w:val="00E13E99"/>
    <w:rsid w:val="00E14AAC"/>
    <w:rsid w:val="00E15763"/>
    <w:rsid w:val="00E1620E"/>
    <w:rsid w:val="00E17E03"/>
    <w:rsid w:val="00E201A8"/>
    <w:rsid w:val="00E20CE8"/>
    <w:rsid w:val="00E21BEB"/>
    <w:rsid w:val="00E21EAF"/>
    <w:rsid w:val="00E23131"/>
    <w:rsid w:val="00E238CB"/>
    <w:rsid w:val="00E2397A"/>
    <w:rsid w:val="00E23A6C"/>
    <w:rsid w:val="00E23AA9"/>
    <w:rsid w:val="00E2409A"/>
    <w:rsid w:val="00E248E5"/>
    <w:rsid w:val="00E248FE"/>
    <w:rsid w:val="00E25056"/>
    <w:rsid w:val="00E25F7C"/>
    <w:rsid w:val="00E2646E"/>
    <w:rsid w:val="00E27A94"/>
    <w:rsid w:val="00E3046F"/>
    <w:rsid w:val="00E30738"/>
    <w:rsid w:val="00E30A5E"/>
    <w:rsid w:val="00E3159F"/>
    <w:rsid w:val="00E31684"/>
    <w:rsid w:val="00E31B70"/>
    <w:rsid w:val="00E32D35"/>
    <w:rsid w:val="00E33595"/>
    <w:rsid w:val="00E34945"/>
    <w:rsid w:val="00E353C2"/>
    <w:rsid w:val="00E35450"/>
    <w:rsid w:val="00E35B89"/>
    <w:rsid w:val="00E35C88"/>
    <w:rsid w:val="00E363EF"/>
    <w:rsid w:val="00E368DC"/>
    <w:rsid w:val="00E370EE"/>
    <w:rsid w:val="00E41915"/>
    <w:rsid w:val="00E423D1"/>
    <w:rsid w:val="00E42D5F"/>
    <w:rsid w:val="00E42F6E"/>
    <w:rsid w:val="00E43745"/>
    <w:rsid w:val="00E439C5"/>
    <w:rsid w:val="00E439D5"/>
    <w:rsid w:val="00E4491A"/>
    <w:rsid w:val="00E455FB"/>
    <w:rsid w:val="00E4796D"/>
    <w:rsid w:val="00E508C8"/>
    <w:rsid w:val="00E510CF"/>
    <w:rsid w:val="00E532CB"/>
    <w:rsid w:val="00E53C0E"/>
    <w:rsid w:val="00E54213"/>
    <w:rsid w:val="00E54356"/>
    <w:rsid w:val="00E54CCB"/>
    <w:rsid w:val="00E553AD"/>
    <w:rsid w:val="00E55FC2"/>
    <w:rsid w:val="00E564B4"/>
    <w:rsid w:val="00E56568"/>
    <w:rsid w:val="00E56926"/>
    <w:rsid w:val="00E56BDB"/>
    <w:rsid w:val="00E56E40"/>
    <w:rsid w:val="00E57015"/>
    <w:rsid w:val="00E615E3"/>
    <w:rsid w:val="00E616E8"/>
    <w:rsid w:val="00E633E7"/>
    <w:rsid w:val="00E636CB"/>
    <w:rsid w:val="00E63804"/>
    <w:rsid w:val="00E63D9F"/>
    <w:rsid w:val="00E63ED7"/>
    <w:rsid w:val="00E64113"/>
    <w:rsid w:val="00E642C6"/>
    <w:rsid w:val="00E6563C"/>
    <w:rsid w:val="00E65757"/>
    <w:rsid w:val="00E66DA0"/>
    <w:rsid w:val="00E67F0B"/>
    <w:rsid w:val="00E718B7"/>
    <w:rsid w:val="00E7192C"/>
    <w:rsid w:val="00E719AD"/>
    <w:rsid w:val="00E71EC3"/>
    <w:rsid w:val="00E7271C"/>
    <w:rsid w:val="00E728B0"/>
    <w:rsid w:val="00E73761"/>
    <w:rsid w:val="00E74292"/>
    <w:rsid w:val="00E7459D"/>
    <w:rsid w:val="00E763A6"/>
    <w:rsid w:val="00E76A55"/>
    <w:rsid w:val="00E773B3"/>
    <w:rsid w:val="00E80D7E"/>
    <w:rsid w:val="00E82009"/>
    <w:rsid w:val="00E83695"/>
    <w:rsid w:val="00E83C07"/>
    <w:rsid w:val="00E8601A"/>
    <w:rsid w:val="00E86EC4"/>
    <w:rsid w:val="00E87100"/>
    <w:rsid w:val="00E87DFA"/>
    <w:rsid w:val="00E90254"/>
    <w:rsid w:val="00E908EA"/>
    <w:rsid w:val="00E90DC0"/>
    <w:rsid w:val="00E9100D"/>
    <w:rsid w:val="00E9219D"/>
    <w:rsid w:val="00E929D6"/>
    <w:rsid w:val="00E93095"/>
    <w:rsid w:val="00E93D27"/>
    <w:rsid w:val="00E93E5B"/>
    <w:rsid w:val="00E93E5E"/>
    <w:rsid w:val="00E93ECE"/>
    <w:rsid w:val="00E943ED"/>
    <w:rsid w:val="00E94C5E"/>
    <w:rsid w:val="00E94DA1"/>
    <w:rsid w:val="00E96B1D"/>
    <w:rsid w:val="00E97838"/>
    <w:rsid w:val="00EA0F31"/>
    <w:rsid w:val="00EA3636"/>
    <w:rsid w:val="00EA39C5"/>
    <w:rsid w:val="00EA51E0"/>
    <w:rsid w:val="00EA65B8"/>
    <w:rsid w:val="00EA7678"/>
    <w:rsid w:val="00EB0666"/>
    <w:rsid w:val="00EB0D18"/>
    <w:rsid w:val="00EB1154"/>
    <w:rsid w:val="00EB1352"/>
    <w:rsid w:val="00EB285C"/>
    <w:rsid w:val="00EB2AB4"/>
    <w:rsid w:val="00EB3219"/>
    <w:rsid w:val="00EB35DB"/>
    <w:rsid w:val="00EB39C2"/>
    <w:rsid w:val="00EB39CA"/>
    <w:rsid w:val="00EB4775"/>
    <w:rsid w:val="00EB50D6"/>
    <w:rsid w:val="00EB543A"/>
    <w:rsid w:val="00EB57C9"/>
    <w:rsid w:val="00EB58B1"/>
    <w:rsid w:val="00EB5B6E"/>
    <w:rsid w:val="00EB5E0E"/>
    <w:rsid w:val="00EB5E21"/>
    <w:rsid w:val="00EB621B"/>
    <w:rsid w:val="00EB737F"/>
    <w:rsid w:val="00EB7A00"/>
    <w:rsid w:val="00EB7FB9"/>
    <w:rsid w:val="00EC0F84"/>
    <w:rsid w:val="00EC1316"/>
    <w:rsid w:val="00EC3735"/>
    <w:rsid w:val="00EC42A8"/>
    <w:rsid w:val="00EC4E18"/>
    <w:rsid w:val="00EC5930"/>
    <w:rsid w:val="00EC5C5C"/>
    <w:rsid w:val="00EC7C8A"/>
    <w:rsid w:val="00ED027D"/>
    <w:rsid w:val="00ED074B"/>
    <w:rsid w:val="00ED081B"/>
    <w:rsid w:val="00ED0CAC"/>
    <w:rsid w:val="00ED0DF3"/>
    <w:rsid w:val="00ED2473"/>
    <w:rsid w:val="00ED2FD7"/>
    <w:rsid w:val="00ED30F1"/>
    <w:rsid w:val="00ED398E"/>
    <w:rsid w:val="00ED4505"/>
    <w:rsid w:val="00ED5529"/>
    <w:rsid w:val="00ED5A9A"/>
    <w:rsid w:val="00ED60CC"/>
    <w:rsid w:val="00ED6D68"/>
    <w:rsid w:val="00ED7CCF"/>
    <w:rsid w:val="00EE00FB"/>
    <w:rsid w:val="00EE0D5E"/>
    <w:rsid w:val="00EE13AD"/>
    <w:rsid w:val="00EE1B3F"/>
    <w:rsid w:val="00EE200A"/>
    <w:rsid w:val="00EE276C"/>
    <w:rsid w:val="00EE2811"/>
    <w:rsid w:val="00EE285E"/>
    <w:rsid w:val="00EE42C9"/>
    <w:rsid w:val="00EE4600"/>
    <w:rsid w:val="00EE4834"/>
    <w:rsid w:val="00EE4A3D"/>
    <w:rsid w:val="00EE71B9"/>
    <w:rsid w:val="00EE7427"/>
    <w:rsid w:val="00EE74B1"/>
    <w:rsid w:val="00EE7F11"/>
    <w:rsid w:val="00EF17A3"/>
    <w:rsid w:val="00EF1BE9"/>
    <w:rsid w:val="00EF3F36"/>
    <w:rsid w:val="00EF406A"/>
    <w:rsid w:val="00EF41F4"/>
    <w:rsid w:val="00EF448C"/>
    <w:rsid w:val="00EF49CB"/>
    <w:rsid w:val="00EF5762"/>
    <w:rsid w:val="00EF5F28"/>
    <w:rsid w:val="00EF7C72"/>
    <w:rsid w:val="00F00E4A"/>
    <w:rsid w:val="00F0116A"/>
    <w:rsid w:val="00F0194E"/>
    <w:rsid w:val="00F01C34"/>
    <w:rsid w:val="00F0333C"/>
    <w:rsid w:val="00F03409"/>
    <w:rsid w:val="00F0409E"/>
    <w:rsid w:val="00F04D22"/>
    <w:rsid w:val="00F04F29"/>
    <w:rsid w:val="00F05635"/>
    <w:rsid w:val="00F05A78"/>
    <w:rsid w:val="00F063F4"/>
    <w:rsid w:val="00F06AE1"/>
    <w:rsid w:val="00F0770C"/>
    <w:rsid w:val="00F07845"/>
    <w:rsid w:val="00F07B63"/>
    <w:rsid w:val="00F10745"/>
    <w:rsid w:val="00F10C06"/>
    <w:rsid w:val="00F11113"/>
    <w:rsid w:val="00F14A3D"/>
    <w:rsid w:val="00F15CAA"/>
    <w:rsid w:val="00F15E73"/>
    <w:rsid w:val="00F16660"/>
    <w:rsid w:val="00F16A38"/>
    <w:rsid w:val="00F175BB"/>
    <w:rsid w:val="00F17952"/>
    <w:rsid w:val="00F20227"/>
    <w:rsid w:val="00F20C25"/>
    <w:rsid w:val="00F22352"/>
    <w:rsid w:val="00F227DD"/>
    <w:rsid w:val="00F24F20"/>
    <w:rsid w:val="00F24FC9"/>
    <w:rsid w:val="00F262CD"/>
    <w:rsid w:val="00F26537"/>
    <w:rsid w:val="00F26A77"/>
    <w:rsid w:val="00F27626"/>
    <w:rsid w:val="00F27B98"/>
    <w:rsid w:val="00F306FE"/>
    <w:rsid w:val="00F30E06"/>
    <w:rsid w:val="00F32954"/>
    <w:rsid w:val="00F33B30"/>
    <w:rsid w:val="00F33C7D"/>
    <w:rsid w:val="00F34A20"/>
    <w:rsid w:val="00F373F2"/>
    <w:rsid w:val="00F3799B"/>
    <w:rsid w:val="00F4096E"/>
    <w:rsid w:val="00F40D28"/>
    <w:rsid w:val="00F423F0"/>
    <w:rsid w:val="00F42BBE"/>
    <w:rsid w:val="00F4364A"/>
    <w:rsid w:val="00F44BE7"/>
    <w:rsid w:val="00F4561E"/>
    <w:rsid w:val="00F45F56"/>
    <w:rsid w:val="00F472EC"/>
    <w:rsid w:val="00F5041C"/>
    <w:rsid w:val="00F504F2"/>
    <w:rsid w:val="00F50825"/>
    <w:rsid w:val="00F50C96"/>
    <w:rsid w:val="00F526DB"/>
    <w:rsid w:val="00F53677"/>
    <w:rsid w:val="00F53727"/>
    <w:rsid w:val="00F54497"/>
    <w:rsid w:val="00F544BE"/>
    <w:rsid w:val="00F546FA"/>
    <w:rsid w:val="00F551A0"/>
    <w:rsid w:val="00F55561"/>
    <w:rsid w:val="00F5565E"/>
    <w:rsid w:val="00F5567E"/>
    <w:rsid w:val="00F557B1"/>
    <w:rsid w:val="00F5598B"/>
    <w:rsid w:val="00F55C86"/>
    <w:rsid w:val="00F56474"/>
    <w:rsid w:val="00F57106"/>
    <w:rsid w:val="00F60532"/>
    <w:rsid w:val="00F6086A"/>
    <w:rsid w:val="00F60D60"/>
    <w:rsid w:val="00F61290"/>
    <w:rsid w:val="00F61A4B"/>
    <w:rsid w:val="00F61BCE"/>
    <w:rsid w:val="00F6213E"/>
    <w:rsid w:val="00F627BC"/>
    <w:rsid w:val="00F63778"/>
    <w:rsid w:val="00F653B0"/>
    <w:rsid w:val="00F653CC"/>
    <w:rsid w:val="00F66DAF"/>
    <w:rsid w:val="00F672F5"/>
    <w:rsid w:val="00F70EC6"/>
    <w:rsid w:val="00F71CCB"/>
    <w:rsid w:val="00F71DEE"/>
    <w:rsid w:val="00F7255F"/>
    <w:rsid w:val="00F7259D"/>
    <w:rsid w:val="00F7287D"/>
    <w:rsid w:val="00F729C1"/>
    <w:rsid w:val="00F72B57"/>
    <w:rsid w:val="00F75F35"/>
    <w:rsid w:val="00F7664C"/>
    <w:rsid w:val="00F7675C"/>
    <w:rsid w:val="00F76D7F"/>
    <w:rsid w:val="00F774E9"/>
    <w:rsid w:val="00F777BA"/>
    <w:rsid w:val="00F77B79"/>
    <w:rsid w:val="00F80322"/>
    <w:rsid w:val="00F80C3B"/>
    <w:rsid w:val="00F8153E"/>
    <w:rsid w:val="00F81545"/>
    <w:rsid w:val="00F81B0C"/>
    <w:rsid w:val="00F8220E"/>
    <w:rsid w:val="00F82631"/>
    <w:rsid w:val="00F82ADA"/>
    <w:rsid w:val="00F82B3D"/>
    <w:rsid w:val="00F8306D"/>
    <w:rsid w:val="00F84783"/>
    <w:rsid w:val="00F84C99"/>
    <w:rsid w:val="00F84FE4"/>
    <w:rsid w:val="00F851CC"/>
    <w:rsid w:val="00F85A61"/>
    <w:rsid w:val="00F86ED0"/>
    <w:rsid w:val="00F8715B"/>
    <w:rsid w:val="00F9073E"/>
    <w:rsid w:val="00F91930"/>
    <w:rsid w:val="00F9302C"/>
    <w:rsid w:val="00F930E0"/>
    <w:rsid w:val="00F93EEF"/>
    <w:rsid w:val="00F9516D"/>
    <w:rsid w:val="00F95666"/>
    <w:rsid w:val="00F9575D"/>
    <w:rsid w:val="00F95FE4"/>
    <w:rsid w:val="00F96CC3"/>
    <w:rsid w:val="00FA0064"/>
    <w:rsid w:val="00FA365F"/>
    <w:rsid w:val="00FA4431"/>
    <w:rsid w:val="00FA721F"/>
    <w:rsid w:val="00FA7C48"/>
    <w:rsid w:val="00FB025F"/>
    <w:rsid w:val="00FB0A58"/>
    <w:rsid w:val="00FB0BC2"/>
    <w:rsid w:val="00FB1368"/>
    <w:rsid w:val="00FB15E9"/>
    <w:rsid w:val="00FB1601"/>
    <w:rsid w:val="00FB1D5C"/>
    <w:rsid w:val="00FB262E"/>
    <w:rsid w:val="00FB29EF"/>
    <w:rsid w:val="00FB3E58"/>
    <w:rsid w:val="00FB4C0A"/>
    <w:rsid w:val="00FB5F9B"/>
    <w:rsid w:val="00FB73C5"/>
    <w:rsid w:val="00FC014D"/>
    <w:rsid w:val="00FC0554"/>
    <w:rsid w:val="00FC0B06"/>
    <w:rsid w:val="00FC0F20"/>
    <w:rsid w:val="00FC2A5A"/>
    <w:rsid w:val="00FC32DF"/>
    <w:rsid w:val="00FC3852"/>
    <w:rsid w:val="00FC4738"/>
    <w:rsid w:val="00FC4899"/>
    <w:rsid w:val="00FC4CAB"/>
    <w:rsid w:val="00FC4CFF"/>
    <w:rsid w:val="00FC5A79"/>
    <w:rsid w:val="00FC5E7D"/>
    <w:rsid w:val="00FC5ED7"/>
    <w:rsid w:val="00FC6DF2"/>
    <w:rsid w:val="00FC7606"/>
    <w:rsid w:val="00FC7EF1"/>
    <w:rsid w:val="00FD020C"/>
    <w:rsid w:val="00FD03D5"/>
    <w:rsid w:val="00FD09F7"/>
    <w:rsid w:val="00FD0BC2"/>
    <w:rsid w:val="00FD0E8A"/>
    <w:rsid w:val="00FD2BFE"/>
    <w:rsid w:val="00FD2D09"/>
    <w:rsid w:val="00FD4A44"/>
    <w:rsid w:val="00FD5CF3"/>
    <w:rsid w:val="00FD5D8B"/>
    <w:rsid w:val="00FD5FD4"/>
    <w:rsid w:val="00FD6304"/>
    <w:rsid w:val="00FD649E"/>
    <w:rsid w:val="00FD67D3"/>
    <w:rsid w:val="00FD7803"/>
    <w:rsid w:val="00FE0915"/>
    <w:rsid w:val="00FE1DD4"/>
    <w:rsid w:val="00FE2042"/>
    <w:rsid w:val="00FE236B"/>
    <w:rsid w:val="00FE300C"/>
    <w:rsid w:val="00FE330F"/>
    <w:rsid w:val="00FE3F32"/>
    <w:rsid w:val="00FE46F9"/>
    <w:rsid w:val="00FE5F99"/>
    <w:rsid w:val="00FE66EA"/>
    <w:rsid w:val="00FE6F12"/>
    <w:rsid w:val="00FE7F56"/>
    <w:rsid w:val="00FF0114"/>
    <w:rsid w:val="00FF06A1"/>
    <w:rsid w:val="00FF313A"/>
    <w:rsid w:val="00FF335B"/>
    <w:rsid w:val="00FF3E86"/>
    <w:rsid w:val="00FF4FEB"/>
    <w:rsid w:val="00FF70AD"/>
    <w:rsid w:val="00FF7908"/>
    <w:rsid w:val="00FF7945"/>
    <w:rsid w:val="00FF79F9"/>
    <w:rsid w:val="12717E9B"/>
    <w:rsid w:val="13EFB011"/>
    <w:rsid w:val="17EEFF89"/>
    <w:rsid w:val="19B448AB"/>
    <w:rsid w:val="1CDAAB7D"/>
    <w:rsid w:val="1E907701"/>
    <w:rsid w:val="1FDF43DE"/>
    <w:rsid w:val="25BE49C2"/>
    <w:rsid w:val="27F6778D"/>
    <w:rsid w:val="2D003F7B"/>
    <w:rsid w:val="303C4977"/>
    <w:rsid w:val="384A4078"/>
    <w:rsid w:val="39FD0206"/>
    <w:rsid w:val="3BBBE473"/>
    <w:rsid w:val="45CD3AFB"/>
    <w:rsid w:val="4BBFA6D2"/>
    <w:rsid w:val="53BA62AA"/>
    <w:rsid w:val="57FF0137"/>
    <w:rsid w:val="596F3760"/>
    <w:rsid w:val="63DCD94C"/>
    <w:rsid w:val="6B8B27CA"/>
    <w:rsid w:val="6BEFCB6F"/>
    <w:rsid w:val="6DBD5004"/>
    <w:rsid w:val="6FDB9CB5"/>
    <w:rsid w:val="6FF5DD5B"/>
    <w:rsid w:val="71B90E4B"/>
    <w:rsid w:val="74CB05FA"/>
    <w:rsid w:val="74FF2B34"/>
    <w:rsid w:val="76EEDCB5"/>
    <w:rsid w:val="79A734DC"/>
    <w:rsid w:val="7BB5DB1A"/>
    <w:rsid w:val="7CDED37A"/>
    <w:rsid w:val="7D4676A9"/>
    <w:rsid w:val="7EBDCE84"/>
    <w:rsid w:val="7EEF6C0E"/>
    <w:rsid w:val="7FD5EB28"/>
    <w:rsid w:val="7FD9C884"/>
    <w:rsid w:val="7FDF7C81"/>
    <w:rsid w:val="7FFA9DCC"/>
    <w:rsid w:val="9F37C6BB"/>
    <w:rsid w:val="9F7FB8CE"/>
    <w:rsid w:val="ACFE0AE9"/>
    <w:rsid w:val="B9773FB8"/>
    <w:rsid w:val="BA9D8AB8"/>
    <w:rsid w:val="BBF9C049"/>
    <w:rsid w:val="BDFF43B2"/>
    <w:rsid w:val="BEDF4D33"/>
    <w:rsid w:val="BF7F9628"/>
    <w:rsid w:val="BFEBA3FC"/>
    <w:rsid w:val="C57F4D48"/>
    <w:rsid w:val="CCFECC2D"/>
    <w:rsid w:val="CFFE96FF"/>
    <w:rsid w:val="D1EDF6A5"/>
    <w:rsid w:val="D4BFF119"/>
    <w:rsid w:val="DAF507BE"/>
    <w:rsid w:val="DCB20792"/>
    <w:rsid w:val="DF8EBBB4"/>
    <w:rsid w:val="DFEED2EB"/>
    <w:rsid w:val="DFFE1CC3"/>
    <w:rsid w:val="E7776927"/>
    <w:rsid w:val="E9FFA3B3"/>
    <w:rsid w:val="EBAB08D4"/>
    <w:rsid w:val="EBEF79DF"/>
    <w:rsid w:val="EC3F6F33"/>
    <w:rsid w:val="EDEB66A4"/>
    <w:rsid w:val="EFF74820"/>
    <w:rsid w:val="F9FF4530"/>
    <w:rsid w:val="FCFB976E"/>
    <w:rsid w:val="FDDBA019"/>
    <w:rsid w:val="FDFD2604"/>
    <w:rsid w:val="FEBF86E5"/>
    <w:rsid w:val="FEBFB623"/>
    <w:rsid w:val="FF31216A"/>
    <w:rsid w:val="FF7FB5AF"/>
    <w:rsid w:val="FF9CB786"/>
    <w:rsid w:val="FFD7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iPriority="99"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00" w:beforeLines="100" w:after="50" w:afterLines="50" w:line="360" w:lineRule="auto"/>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27"/>
    <w:qFormat/>
    <w:uiPriority w:val="0"/>
    <w:pPr>
      <w:keepNext/>
      <w:keepLines/>
      <w:widowControl w:val="0"/>
      <w:spacing w:before="120" w:beforeLines="50" w:after="120" w:line="560" w:lineRule="exact"/>
      <w:jc w:val="center"/>
      <w:outlineLvl w:val="0"/>
    </w:pPr>
    <w:rPr>
      <w:rFonts w:ascii="仿宋_GB2312" w:eastAsia="仿宋_GB2312"/>
      <w:b/>
      <w:bCs/>
      <w:kern w:val="44"/>
      <w:sz w:val="36"/>
      <w:szCs w:val="44"/>
    </w:rPr>
  </w:style>
  <w:style w:type="paragraph" w:styleId="5">
    <w:name w:val="heading 2"/>
    <w:basedOn w:val="1"/>
    <w:next w:val="1"/>
    <w:link w:val="110"/>
    <w:qFormat/>
    <w:uiPriority w:val="0"/>
    <w:pPr>
      <w:keepNext/>
      <w:keepLines/>
      <w:spacing w:before="120" w:beforeLines="50" w:after="120" w:line="560" w:lineRule="exact"/>
      <w:jc w:val="center"/>
      <w:outlineLvl w:val="1"/>
    </w:pPr>
    <w:rPr>
      <w:rFonts w:eastAsia="仿宋_GB2312"/>
      <w:b/>
      <w:sz w:val="32"/>
      <w:szCs w:val="32"/>
    </w:rPr>
  </w:style>
  <w:style w:type="paragraph" w:styleId="6">
    <w:name w:val="heading 3"/>
    <w:basedOn w:val="1"/>
    <w:next w:val="1"/>
    <w:link w:val="54"/>
    <w:qFormat/>
    <w:uiPriority w:val="0"/>
    <w:pPr>
      <w:keepNext/>
      <w:keepLines/>
      <w:numPr>
        <w:ilvl w:val="0"/>
        <w:numId w:val="1"/>
      </w:numPr>
      <w:tabs>
        <w:tab w:val="left" w:pos="1134"/>
      </w:tabs>
      <w:spacing w:before="120" w:beforeLines="50" w:after="120" w:line="560" w:lineRule="exact"/>
      <w:outlineLvl w:val="2"/>
    </w:pPr>
    <w:rPr>
      <w:rFonts w:eastAsia="仿宋_GB2312"/>
      <w:b/>
      <w:bCs/>
      <w:sz w:val="30"/>
      <w:szCs w:val="32"/>
    </w:rPr>
  </w:style>
  <w:style w:type="paragraph" w:styleId="7">
    <w:name w:val="heading 4"/>
    <w:basedOn w:val="1"/>
    <w:next w:val="1"/>
    <w:link w:val="51"/>
    <w:qFormat/>
    <w:uiPriority w:val="0"/>
    <w:pPr>
      <w:keepNext/>
      <w:keepLines/>
      <w:spacing w:line="560" w:lineRule="exact"/>
      <w:ind w:firstLine="200" w:firstLineChars="200"/>
      <w:outlineLvl w:val="3"/>
    </w:pPr>
    <w:rPr>
      <w:rFonts w:eastAsia="仿宋_GB2312"/>
      <w:b/>
      <w:bCs/>
      <w:szCs w:val="28"/>
    </w:rPr>
  </w:style>
  <w:style w:type="paragraph" w:styleId="8">
    <w:name w:val="heading 5"/>
    <w:basedOn w:val="1"/>
    <w:next w:val="1"/>
    <w:link w:val="84"/>
    <w:qFormat/>
    <w:uiPriority w:val="0"/>
    <w:pPr>
      <w:keepNext/>
      <w:keepLines/>
      <w:spacing w:before="280" w:after="290" w:line="376" w:lineRule="atLeast"/>
      <w:outlineLvl w:val="4"/>
    </w:pPr>
    <w:rPr>
      <w:b/>
      <w:bCs/>
      <w:szCs w:val="28"/>
    </w:rPr>
  </w:style>
  <w:style w:type="paragraph" w:styleId="9">
    <w:name w:val="heading 6"/>
    <w:basedOn w:val="1"/>
    <w:next w:val="1"/>
    <w:link w:val="55"/>
    <w:qFormat/>
    <w:uiPriority w:val="0"/>
    <w:pPr>
      <w:keepNext/>
      <w:keepLines/>
      <w:spacing w:before="240" w:after="120" w:line="320" w:lineRule="atLeast"/>
      <w:jc w:val="center"/>
      <w:outlineLvl w:val="5"/>
    </w:pPr>
    <w:rPr>
      <w:rFonts w:ascii="仿宋_GB2312" w:hAnsi="Calibri Light" w:eastAsia="仿宋_GB2312"/>
      <w:b/>
      <w:bCs/>
      <w:szCs w:val="28"/>
    </w:rPr>
  </w:style>
  <w:style w:type="paragraph" w:styleId="10">
    <w:name w:val="heading 7"/>
    <w:basedOn w:val="1"/>
    <w:next w:val="1"/>
    <w:link w:val="80"/>
    <w:qFormat/>
    <w:uiPriority w:val="0"/>
    <w:pPr>
      <w:keepNext/>
      <w:keepLines/>
      <w:spacing w:before="240" w:after="64" w:line="320" w:lineRule="atLeast"/>
      <w:outlineLvl w:val="6"/>
    </w:pPr>
    <w:rPr>
      <w:b/>
      <w:bCs/>
      <w:sz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1"/>
    <w:pPr>
      <w:spacing w:before="68" w:beforeLines="0" w:afterLines="0"/>
      <w:ind w:left="40"/>
    </w:pPr>
    <w:rPr>
      <w:rFonts w:hint="eastAsia" w:ascii="仿宋" w:hAnsi="仿宋" w:eastAsia="仿宋"/>
      <w:lang w:val="zh-CN"/>
    </w:rPr>
  </w:style>
  <w:style w:type="paragraph" w:styleId="3">
    <w:name w:val="toc 5"/>
    <w:basedOn w:val="1"/>
    <w:next w:val="1"/>
    <w:qFormat/>
    <w:uiPriority w:val="0"/>
    <w:pPr>
      <w:ind w:left="1120"/>
      <w:jc w:val="left"/>
    </w:pPr>
    <w:rPr>
      <w:rFonts w:ascii="Calibri" w:hAnsi="Calibri"/>
      <w:sz w:val="20"/>
      <w:szCs w:val="20"/>
    </w:rPr>
  </w:style>
  <w:style w:type="paragraph" w:styleId="11">
    <w:name w:val="toc 7"/>
    <w:basedOn w:val="1"/>
    <w:next w:val="1"/>
    <w:qFormat/>
    <w:uiPriority w:val="0"/>
    <w:pPr>
      <w:ind w:left="1680"/>
      <w:jc w:val="left"/>
    </w:pPr>
    <w:rPr>
      <w:rFonts w:ascii="Calibri" w:hAnsi="Calibri"/>
      <w:sz w:val="20"/>
      <w:szCs w:val="20"/>
    </w:rPr>
  </w:style>
  <w:style w:type="paragraph" w:styleId="12">
    <w:name w:val="caption"/>
    <w:basedOn w:val="13"/>
    <w:next w:val="1"/>
    <w:link w:val="86"/>
    <w:qFormat/>
    <w:uiPriority w:val="0"/>
    <w:pPr>
      <w:spacing w:beforeLines="0" w:beforeAutospacing="1" w:after="100" w:afterLines="0" w:afterAutospacing="1" w:line="240" w:lineRule="auto"/>
    </w:pPr>
    <w:rPr>
      <w:rFonts w:ascii="仿宋_GB2312" w:eastAsia="仿宋_GB2312"/>
      <w:i/>
    </w:rPr>
  </w:style>
  <w:style w:type="paragraph" w:styleId="13">
    <w:name w:val="footnote text"/>
    <w:basedOn w:val="1"/>
    <w:link w:val="67"/>
    <w:qFormat/>
    <w:uiPriority w:val="0"/>
    <w:pPr>
      <w:snapToGrid w:val="0"/>
      <w:jc w:val="left"/>
    </w:pPr>
    <w:rPr>
      <w:sz w:val="18"/>
      <w:szCs w:val="18"/>
    </w:rPr>
  </w:style>
  <w:style w:type="paragraph" w:styleId="14">
    <w:name w:val="annotation text"/>
    <w:basedOn w:val="1"/>
    <w:link w:val="102"/>
    <w:qFormat/>
    <w:uiPriority w:val="0"/>
    <w:pPr>
      <w:jc w:val="left"/>
    </w:pPr>
  </w:style>
  <w:style w:type="paragraph" w:styleId="15">
    <w:name w:val="toc 3"/>
    <w:basedOn w:val="1"/>
    <w:next w:val="1"/>
    <w:qFormat/>
    <w:uiPriority w:val="39"/>
    <w:pPr>
      <w:ind w:left="560"/>
      <w:jc w:val="left"/>
    </w:pPr>
    <w:rPr>
      <w:rFonts w:ascii="Calibri" w:hAnsi="Calibri"/>
      <w:sz w:val="20"/>
      <w:szCs w:val="20"/>
    </w:rPr>
  </w:style>
  <w:style w:type="paragraph" w:styleId="16">
    <w:name w:val="toc 8"/>
    <w:basedOn w:val="1"/>
    <w:next w:val="1"/>
    <w:qFormat/>
    <w:uiPriority w:val="0"/>
    <w:pPr>
      <w:ind w:left="1960"/>
      <w:jc w:val="left"/>
    </w:pPr>
    <w:rPr>
      <w:rFonts w:ascii="Calibri" w:hAnsi="Calibri"/>
      <w:sz w:val="20"/>
      <w:szCs w:val="20"/>
    </w:rPr>
  </w:style>
  <w:style w:type="paragraph" w:styleId="17">
    <w:name w:val="Balloon Text"/>
    <w:basedOn w:val="1"/>
    <w:link w:val="81"/>
    <w:qFormat/>
    <w:uiPriority w:val="0"/>
    <w:pPr>
      <w:spacing w:line="240" w:lineRule="auto"/>
    </w:pPr>
    <w:rPr>
      <w:sz w:val="18"/>
      <w:szCs w:val="18"/>
    </w:rPr>
  </w:style>
  <w:style w:type="paragraph" w:styleId="18">
    <w:name w:val="footer"/>
    <w:basedOn w:val="1"/>
    <w:link w:val="132"/>
    <w:qFormat/>
    <w:uiPriority w:val="99"/>
    <w:pPr>
      <w:tabs>
        <w:tab w:val="center" w:pos="4153"/>
        <w:tab w:val="right" w:pos="8306"/>
      </w:tabs>
      <w:snapToGrid w:val="0"/>
      <w:jc w:val="left"/>
    </w:pPr>
    <w:rPr>
      <w:sz w:val="18"/>
      <w:szCs w:val="18"/>
    </w:rPr>
  </w:style>
  <w:style w:type="paragraph" w:styleId="19">
    <w:name w:val="header"/>
    <w:basedOn w:val="1"/>
    <w:link w:val="174"/>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link w:val="171"/>
    <w:qFormat/>
    <w:uiPriority w:val="39"/>
    <w:pPr>
      <w:spacing w:before="240" w:after="120"/>
      <w:jc w:val="left"/>
    </w:pPr>
    <w:rPr>
      <w:rFonts w:ascii="Calibri" w:hAnsi="Calibri" w:eastAsia="仿宋_GB2312"/>
      <w:b/>
      <w:bCs/>
      <w:szCs w:val="20"/>
    </w:rPr>
  </w:style>
  <w:style w:type="paragraph" w:styleId="21">
    <w:name w:val="toc 4"/>
    <w:basedOn w:val="1"/>
    <w:next w:val="1"/>
    <w:qFormat/>
    <w:uiPriority w:val="0"/>
    <w:pPr>
      <w:ind w:left="840"/>
      <w:jc w:val="left"/>
    </w:pPr>
    <w:rPr>
      <w:rFonts w:ascii="Calibri" w:hAnsi="Calibri"/>
      <w:sz w:val="20"/>
      <w:szCs w:val="20"/>
    </w:rPr>
  </w:style>
  <w:style w:type="paragraph" w:styleId="22">
    <w:name w:val="toc 6"/>
    <w:basedOn w:val="1"/>
    <w:next w:val="1"/>
    <w:qFormat/>
    <w:uiPriority w:val="0"/>
    <w:pPr>
      <w:ind w:left="1400"/>
      <w:jc w:val="left"/>
    </w:pPr>
    <w:rPr>
      <w:rFonts w:ascii="Calibri" w:hAnsi="Calibri"/>
      <w:sz w:val="20"/>
      <w:szCs w:val="20"/>
    </w:rPr>
  </w:style>
  <w:style w:type="paragraph" w:styleId="23">
    <w:name w:val="toc 2"/>
    <w:basedOn w:val="1"/>
    <w:next w:val="1"/>
    <w:qFormat/>
    <w:uiPriority w:val="39"/>
    <w:pPr>
      <w:spacing w:before="120"/>
      <w:ind w:left="280"/>
      <w:jc w:val="left"/>
    </w:pPr>
    <w:rPr>
      <w:rFonts w:ascii="Calibri" w:hAnsi="Calibri"/>
      <w:i/>
      <w:iCs/>
      <w:sz w:val="20"/>
      <w:szCs w:val="20"/>
    </w:rPr>
  </w:style>
  <w:style w:type="paragraph" w:styleId="24">
    <w:name w:val="toc 9"/>
    <w:basedOn w:val="1"/>
    <w:next w:val="1"/>
    <w:qFormat/>
    <w:uiPriority w:val="0"/>
    <w:pPr>
      <w:ind w:left="2240"/>
      <w:jc w:val="left"/>
    </w:pPr>
    <w:rPr>
      <w:rFonts w:ascii="Calibri" w:hAnsi="Calibri"/>
      <w:sz w:val="20"/>
      <w:szCs w:val="20"/>
    </w:rPr>
  </w:style>
  <w:style w:type="paragraph" w:styleId="25">
    <w:name w:val="Title"/>
    <w:basedOn w:val="1"/>
    <w:next w:val="1"/>
    <w:link w:val="104"/>
    <w:qFormat/>
    <w:uiPriority w:val="0"/>
    <w:pPr>
      <w:spacing w:before="240" w:after="120"/>
      <w:jc w:val="center"/>
      <w:outlineLvl w:val="0"/>
    </w:pPr>
    <w:rPr>
      <w:rFonts w:ascii="黑体" w:hAnsi="黑体" w:eastAsia="黑体" w:cs="黑体"/>
      <w:b/>
      <w:bCs/>
      <w:sz w:val="52"/>
      <w:szCs w:val="32"/>
    </w:rPr>
  </w:style>
  <w:style w:type="paragraph" w:styleId="26">
    <w:name w:val="annotation subject"/>
    <w:basedOn w:val="14"/>
    <w:next w:val="14"/>
    <w:link w:val="165"/>
    <w:semiHidden/>
    <w:unhideWhenUsed/>
    <w:qFormat/>
    <w:uiPriority w:val="99"/>
    <w:rPr>
      <w:b/>
      <w:bCs/>
    </w:rPr>
  </w:style>
  <w:style w:type="table" w:styleId="28">
    <w:name w:val="Table Grid"/>
    <w:basedOn w:val="27"/>
    <w:qFormat/>
    <w:uiPriority w:val="39"/>
    <w:pPr>
      <w:widowControl w:val="0"/>
      <w:spacing w:line="264"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FollowedHyperlink"/>
    <w:qFormat/>
    <w:uiPriority w:val="0"/>
    <w:rPr>
      <w:color w:val="954F72"/>
      <w:u w:val="single"/>
    </w:rPr>
  </w:style>
  <w:style w:type="character" w:styleId="32">
    <w:name w:val="Emphasis"/>
    <w:qFormat/>
    <w:uiPriority w:val="20"/>
    <w:rPr>
      <w:i/>
      <w:iCs/>
    </w:rPr>
  </w:style>
  <w:style w:type="character" w:styleId="33">
    <w:name w:val="Hyperlink"/>
    <w:qFormat/>
    <w:uiPriority w:val="99"/>
    <w:rPr>
      <w:color w:val="0000FF"/>
      <w:u w:val="single"/>
    </w:rPr>
  </w:style>
  <w:style w:type="character" w:styleId="34">
    <w:name w:val="annotation reference"/>
    <w:semiHidden/>
    <w:unhideWhenUsed/>
    <w:qFormat/>
    <w:uiPriority w:val="99"/>
    <w:rPr>
      <w:sz w:val="21"/>
      <w:szCs w:val="21"/>
    </w:rPr>
  </w:style>
  <w:style w:type="character" w:styleId="35">
    <w:name w:val="footnote reference"/>
    <w:qFormat/>
    <w:uiPriority w:val="0"/>
    <w:rPr>
      <w:vertAlign w:val="superscript"/>
    </w:rPr>
  </w:style>
  <w:style w:type="paragraph" w:customStyle="1" w:styleId="36">
    <w:name w:val="BodyText1I"/>
    <w:basedOn w:val="37"/>
    <w:unhideWhenUsed/>
    <w:qFormat/>
    <w:uiPriority w:val="0"/>
    <w:pPr>
      <w:ind w:firstLine="420" w:firstLineChars="100"/>
      <w:jc w:val="left"/>
    </w:pPr>
    <w:rPr>
      <w:kern w:val="0"/>
      <w:sz w:val="20"/>
    </w:rPr>
  </w:style>
  <w:style w:type="paragraph" w:customStyle="1" w:styleId="37">
    <w:name w:val="BodyText"/>
    <w:basedOn w:val="1"/>
    <w:unhideWhenUsed/>
    <w:qFormat/>
    <w:uiPriority w:val="0"/>
    <w:pPr>
      <w:spacing w:beforeLines="0" w:after="120" w:afterLines="0"/>
    </w:pPr>
    <w:rPr>
      <w:sz w:val="21"/>
    </w:rPr>
  </w:style>
  <w:style w:type="character" w:customStyle="1" w:styleId="38">
    <w:name w:val="批注主题 Char"/>
    <w:link w:val="39"/>
    <w:qFormat/>
    <w:uiPriority w:val="0"/>
    <w:rPr>
      <w:rFonts w:ascii="Times New Roman" w:hAnsi="Times New Roman" w:eastAsia="宋体" w:cs="Times New Roman"/>
      <w:b/>
      <w:bCs/>
      <w:sz w:val="28"/>
      <w:szCs w:val="24"/>
    </w:rPr>
  </w:style>
  <w:style w:type="paragraph" w:customStyle="1" w:styleId="39">
    <w:name w:val="批注主题11"/>
    <w:basedOn w:val="14"/>
    <w:next w:val="14"/>
    <w:link w:val="38"/>
    <w:qFormat/>
    <w:uiPriority w:val="0"/>
    <w:rPr>
      <w:b/>
      <w:bCs/>
    </w:rPr>
  </w:style>
  <w:style w:type="character" w:customStyle="1" w:styleId="40">
    <w:name w:val="表题 Char Char Char"/>
    <w:qFormat/>
    <w:uiPriority w:val="0"/>
    <w:rPr>
      <w:rFonts w:ascii="Times New Roman" w:hAnsi="Times New Roman"/>
      <w:sz w:val="24"/>
    </w:rPr>
  </w:style>
  <w:style w:type="character" w:customStyle="1" w:styleId="41">
    <w:name w:val="ep-side-parting"/>
    <w:basedOn w:val="29"/>
    <w:qFormat/>
    <w:uiPriority w:val="0"/>
  </w:style>
  <w:style w:type="character" w:customStyle="1" w:styleId="42">
    <w:name w:val="left"/>
    <w:basedOn w:val="29"/>
    <w:qFormat/>
    <w:uiPriority w:val="0"/>
  </w:style>
  <w:style w:type="character" w:customStyle="1" w:styleId="43">
    <w:name w:val="批注主题 Char1"/>
    <w:link w:val="44"/>
    <w:qFormat/>
    <w:uiPriority w:val="0"/>
    <w:rPr>
      <w:rFonts w:ascii="Times New Roman" w:hAnsi="Times New Roman" w:eastAsia="宋体" w:cs="Times New Roman"/>
      <w:b/>
      <w:bCs/>
      <w:kern w:val="2"/>
      <w:sz w:val="28"/>
      <w:szCs w:val="24"/>
    </w:rPr>
  </w:style>
  <w:style w:type="paragraph" w:customStyle="1" w:styleId="44">
    <w:name w:val="批注主题1"/>
    <w:basedOn w:val="14"/>
    <w:next w:val="14"/>
    <w:link w:val="43"/>
    <w:qFormat/>
    <w:uiPriority w:val="0"/>
    <w:rPr>
      <w:b/>
      <w:bCs/>
    </w:rPr>
  </w:style>
  <w:style w:type="character" w:customStyle="1" w:styleId="45">
    <w:name w:val="规划司标 Char Char"/>
    <w:link w:val="46"/>
    <w:qFormat/>
    <w:uiPriority w:val="0"/>
    <w:rPr>
      <w:rFonts w:ascii="宋体" w:hAnsi="宋体" w:eastAsia="宋体"/>
      <w:b/>
      <w:kern w:val="2"/>
      <w:sz w:val="28"/>
      <w:szCs w:val="28"/>
    </w:rPr>
  </w:style>
  <w:style w:type="paragraph" w:customStyle="1" w:styleId="46">
    <w:name w:val="规划司标"/>
    <w:basedOn w:val="1"/>
    <w:link w:val="45"/>
    <w:qFormat/>
    <w:uiPriority w:val="0"/>
    <w:pPr>
      <w:widowControl w:val="0"/>
      <w:spacing w:line="240" w:lineRule="auto"/>
      <w:outlineLvl w:val="0"/>
    </w:pPr>
    <w:rPr>
      <w:rFonts w:ascii="宋体" w:hAnsi="宋体"/>
      <w:b/>
      <w:szCs w:val="28"/>
    </w:rPr>
  </w:style>
  <w:style w:type="character" w:customStyle="1" w:styleId="47">
    <w:name w:val="规划司正文 Char Char"/>
    <w:link w:val="48"/>
    <w:qFormat/>
    <w:uiPriority w:val="0"/>
    <w:rPr>
      <w:rFonts w:ascii="仿宋" w:hAnsi="仿宋" w:eastAsia="仿宋"/>
      <w:color w:val="000000"/>
      <w:kern w:val="2"/>
      <w:sz w:val="30"/>
      <w:szCs w:val="30"/>
    </w:rPr>
  </w:style>
  <w:style w:type="paragraph" w:customStyle="1" w:styleId="48">
    <w:name w:val="规划司正文"/>
    <w:basedOn w:val="49"/>
    <w:link w:val="47"/>
    <w:qFormat/>
    <w:uiPriority w:val="0"/>
    <w:pPr>
      <w:outlineLvl w:val="9"/>
    </w:pPr>
    <w:rPr>
      <w:rFonts w:ascii="仿宋" w:hAnsi="仿宋" w:eastAsia="仿宋"/>
      <w:b w:val="0"/>
      <w:bCs w:val="0"/>
      <w:color w:val="000000"/>
      <w:sz w:val="30"/>
      <w:szCs w:val="30"/>
    </w:rPr>
  </w:style>
  <w:style w:type="paragraph" w:customStyle="1" w:styleId="49">
    <w:name w:val="规划司小标题"/>
    <w:basedOn w:val="1"/>
    <w:link w:val="82"/>
    <w:qFormat/>
    <w:uiPriority w:val="0"/>
    <w:pPr>
      <w:spacing w:line="240" w:lineRule="auto"/>
      <w:outlineLvl w:val="1"/>
    </w:pPr>
    <w:rPr>
      <w:rFonts w:ascii="宋体" w:hAnsi="宋体"/>
      <w:b/>
      <w:bCs/>
      <w:szCs w:val="28"/>
    </w:rPr>
  </w:style>
  <w:style w:type="character" w:customStyle="1" w:styleId="50">
    <w:name w:val="filter"/>
    <w:basedOn w:val="29"/>
    <w:qFormat/>
    <w:uiPriority w:val="0"/>
  </w:style>
  <w:style w:type="character" w:customStyle="1" w:styleId="51">
    <w:name w:val="标题 4 字符"/>
    <w:link w:val="7"/>
    <w:qFormat/>
    <w:uiPriority w:val="0"/>
    <w:rPr>
      <w:rFonts w:eastAsia="仿宋_GB2312"/>
      <w:b/>
      <w:bCs/>
      <w:kern w:val="2"/>
      <w:sz w:val="28"/>
      <w:szCs w:val="28"/>
    </w:rPr>
  </w:style>
  <w:style w:type="character" w:customStyle="1" w:styleId="52">
    <w:name w:val="icon"/>
    <w:basedOn w:val="29"/>
    <w:qFormat/>
    <w:uiPriority w:val="0"/>
  </w:style>
  <w:style w:type="character" w:customStyle="1" w:styleId="53">
    <w:name w:val="description6"/>
    <w:basedOn w:val="29"/>
    <w:qFormat/>
    <w:uiPriority w:val="0"/>
  </w:style>
  <w:style w:type="character" w:customStyle="1" w:styleId="54">
    <w:name w:val="标题 3 字符"/>
    <w:link w:val="6"/>
    <w:qFormat/>
    <w:uiPriority w:val="0"/>
    <w:rPr>
      <w:rFonts w:eastAsia="仿宋_GB2312"/>
      <w:b/>
      <w:bCs/>
      <w:kern w:val="2"/>
      <w:sz w:val="30"/>
      <w:szCs w:val="32"/>
    </w:rPr>
  </w:style>
  <w:style w:type="character" w:customStyle="1" w:styleId="55">
    <w:name w:val="标题 6 字符"/>
    <w:link w:val="9"/>
    <w:qFormat/>
    <w:uiPriority w:val="0"/>
    <w:rPr>
      <w:rFonts w:ascii="仿宋_GB2312" w:hAnsi="Calibri Light" w:eastAsia="仿宋_GB2312"/>
      <w:b/>
      <w:bCs/>
      <w:kern w:val="2"/>
      <w:sz w:val="28"/>
      <w:szCs w:val="28"/>
    </w:rPr>
  </w:style>
  <w:style w:type="character" w:customStyle="1" w:styleId="56">
    <w:name w:val="ep-more-split"/>
    <w:basedOn w:val="29"/>
    <w:qFormat/>
    <w:uiPriority w:val="0"/>
  </w:style>
  <w:style w:type="character" w:customStyle="1" w:styleId="57">
    <w:name w:val="文本正文 Char"/>
    <w:link w:val="58"/>
    <w:qFormat/>
    <w:uiPriority w:val="0"/>
    <w:rPr>
      <w:rFonts w:ascii="仿宋_GB2312" w:hAnsi="仿宋" w:eastAsia="仿宋_GB2312"/>
      <w:kern w:val="2"/>
      <w:sz w:val="30"/>
      <w:szCs w:val="30"/>
    </w:rPr>
  </w:style>
  <w:style w:type="paragraph" w:customStyle="1" w:styleId="58">
    <w:name w:val="文本正文"/>
    <w:basedOn w:val="1"/>
    <w:link w:val="57"/>
    <w:qFormat/>
    <w:uiPriority w:val="0"/>
    <w:pPr>
      <w:widowControl w:val="0"/>
      <w:adjustRightInd w:val="0"/>
      <w:snapToGrid w:val="0"/>
      <w:spacing w:before="0" w:beforeLines="0" w:after="0" w:afterLines="0" w:line="560" w:lineRule="exact"/>
      <w:ind w:firstLine="600" w:firstLineChars="200"/>
    </w:pPr>
    <w:rPr>
      <w:rFonts w:ascii="仿宋_GB2312" w:hAnsi="仿宋" w:eastAsia="仿宋_GB2312"/>
      <w:sz w:val="30"/>
      <w:szCs w:val="30"/>
    </w:rPr>
  </w:style>
  <w:style w:type="character" w:customStyle="1" w:styleId="59">
    <w:name w:val="z-窗体底端 Char"/>
    <w:link w:val="60"/>
    <w:qFormat/>
    <w:uiPriority w:val="0"/>
    <w:rPr>
      <w:rFonts w:ascii="Arial" w:hAnsi="Arial" w:eastAsia="宋体" w:cs="Arial"/>
      <w:vanish/>
      <w:kern w:val="0"/>
      <w:sz w:val="16"/>
      <w:szCs w:val="16"/>
    </w:rPr>
  </w:style>
  <w:style w:type="paragraph" w:customStyle="1" w:styleId="60">
    <w:name w:val="z-窗体底端1"/>
    <w:basedOn w:val="1"/>
    <w:next w:val="1"/>
    <w:link w:val="59"/>
    <w:qFormat/>
    <w:uiPriority w:val="0"/>
    <w:pPr>
      <w:pBdr>
        <w:top w:val="single" w:color="auto" w:sz="6" w:space="1"/>
      </w:pBdr>
      <w:spacing w:line="240" w:lineRule="auto"/>
      <w:jc w:val="center"/>
    </w:pPr>
    <w:rPr>
      <w:rFonts w:ascii="Arial" w:hAnsi="Arial" w:cs="Arial"/>
      <w:vanish/>
      <w:kern w:val="0"/>
      <w:sz w:val="16"/>
      <w:szCs w:val="16"/>
    </w:rPr>
  </w:style>
  <w:style w:type="character" w:customStyle="1" w:styleId="61">
    <w:name w:val="z-窗体顶端 Char"/>
    <w:link w:val="62"/>
    <w:qFormat/>
    <w:uiPriority w:val="0"/>
    <w:rPr>
      <w:rFonts w:ascii="Arial" w:hAnsi="Arial" w:eastAsia="宋体" w:cs="Arial"/>
      <w:vanish/>
      <w:kern w:val="0"/>
      <w:sz w:val="16"/>
      <w:szCs w:val="16"/>
    </w:rPr>
  </w:style>
  <w:style w:type="paragraph" w:customStyle="1" w:styleId="62">
    <w:name w:val="z-窗体顶端1"/>
    <w:basedOn w:val="1"/>
    <w:next w:val="1"/>
    <w:link w:val="61"/>
    <w:qFormat/>
    <w:uiPriority w:val="0"/>
    <w:pPr>
      <w:pBdr>
        <w:bottom w:val="single" w:color="auto" w:sz="6" w:space="1"/>
      </w:pBdr>
      <w:spacing w:line="240" w:lineRule="auto"/>
      <w:jc w:val="center"/>
    </w:pPr>
    <w:rPr>
      <w:rFonts w:ascii="Arial" w:hAnsi="Arial" w:cs="Arial"/>
      <w:vanish/>
      <w:kern w:val="0"/>
      <w:sz w:val="16"/>
      <w:szCs w:val="16"/>
    </w:rPr>
  </w:style>
  <w:style w:type="character" w:customStyle="1" w:styleId="63">
    <w:name w:val="引用 Char1"/>
    <w:qFormat/>
    <w:uiPriority w:val="0"/>
    <w:rPr>
      <w:rFonts w:ascii="Times New Roman" w:hAnsi="Times New Roman" w:eastAsia="宋体" w:cs="Times New Roman"/>
      <w:i/>
      <w:iCs/>
      <w:color w:val="404040"/>
      <w:sz w:val="28"/>
      <w:szCs w:val="24"/>
    </w:rPr>
  </w:style>
  <w:style w:type="character" w:customStyle="1" w:styleId="64">
    <w:name w:val="blank15"/>
    <w:basedOn w:val="29"/>
    <w:qFormat/>
    <w:uiPriority w:val="0"/>
  </w:style>
  <w:style w:type="character" w:customStyle="1" w:styleId="65">
    <w:name w:val="u-num"/>
    <w:basedOn w:val="29"/>
    <w:qFormat/>
    <w:uiPriority w:val="0"/>
  </w:style>
  <w:style w:type="character" w:customStyle="1" w:styleId="66">
    <w:name w:val="post_recommend_split"/>
    <w:basedOn w:val="29"/>
    <w:qFormat/>
    <w:uiPriority w:val="0"/>
  </w:style>
  <w:style w:type="character" w:customStyle="1" w:styleId="67">
    <w:name w:val="脚注文本 字符"/>
    <w:link w:val="13"/>
    <w:qFormat/>
    <w:uiPriority w:val="0"/>
    <w:rPr>
      <w:rFonts w:ascii="Times New Roman" w:hAnsi="Times New Roman" w:eastAsia="宋体" w:cs="Times New Roman"/>
      <w:sz w:val="18"/>
      <w:szCs w:val="18"/>
    </w:rPr>
  </w:style>
  <w:style w:type="character" w:customStyle="1" w:styleId="68">
    <w:name w:val="规划司括号标 Char Char"/>
    <w:link w:val="69"/>
    <w:qFormat/>
    <w:uiPriority w:val="0"/>
    <w:rPr>
      <w:rFonts w:ascii="楷体" w:hAnsi="楷体" w:eastAsia="楷体"/>
      <w:color w:val="000000"/>
      <w:sz w:val="30"/>
      <w:szCs w:val="30"/>
    </w:rPr>
  </w:style>
  <w:style w:type="paragraph" w:customStyle="1" w:styleId="69">
    <w:name w:val="规划司括号标"/>
    <w:basedOn w:val="1"/>
    <w:link w:val="68"/>
    <w:qFormat/>
    <w:uiPriority w:val="0"/>
    <w:pPr>
      <w:widowControl w:val="0"/>
      <w:ind w:firstLine="561"/>
      <w:outlineLvl w:val="1"/>
    </w:pPr>
    <w:rPr>
      <w:rFonts w:ascii="楷体" w:hAnsi="楷体" w:eastAsia="楷体"/>
      <w:color w:val="000000"/>
      <w:sz w:val="30"/>
      <w:szCs w:val="30"/>
    </w:rPr>
  </w:style>
  <w:style w:type="character" w:customStyle="1" w:styleId="70">
    <w:name w:val="entry"/>
    <w:basedOn w:val="29"/>
    <w:qFormat/>
    <w:uiPriority w:val="0"/>
  </w:style>
  <w:style w:type="character" w:customStyle="1" w:styleId="71">
    <w:name w:val="dhn-tip"/>
    <w:basedOn w:val="29"/>
    <w:qFormat/>
    <w:uiPriority w:val="0"/>
  </w:style>
  <w:style w:type="character" w:customStyle="1" w:styleId="72">
    <w:name w:val="标题 2 Char Char"/>
    <w:qFormat/>
    <w:uiPriority w:val="0"/>
    <w:rPr>
      <w:rFonts w:ascii="Times New Roman" w:hAnsi="Times New Roman"/>
      <w:b/>
      <w:color w:val="000000"/>
      <w:kern w:val="44"/>
      <w:sz w:val="28"/>
      <w:szCs w:val="28"/>
    </w:rPr>
  </w:style>
  <w:style w:type="character" w:customStyle="1" w:styleId="73">
    <w:name w:val="description"/>
    <w:basedOn w:val="29"/>
    <w:qFormat/>
    <w:uiPriority w:val="0"/>
  </w:style>
  <w:style w:type="character" w:customStyle="1" w:styleId="74">
    <w:name w:val="表格 Char Char Char"/>
    <w:qFormat/>
    <w:uiPriority w:val="0"/>
    <w:rPr>
      <w:rFonts w:ascii="Times New Roman" w:hAnsi="Times New Roman" w:eastAsia="宋体" w:cs="Times New Roman"/>
      <w:sz w:val="24"/>
      <w:szCs w:val="24"/>
    </w:rPr>
  </w:style>
  <w:style w:type="character" w:customStyle="1" w:styleId="75">
    <w:name w:val="样式1本次 字符"/>
    <w:link w:val="76"/>
    <w:qFormat/>
    <w:uiPriority w:val="0"/>
    <w:rPr>
      <w:rFonts w:ascii="黑体" w:hAnsi="黑体" w:eastAsia="黑体"/>
      <w:color w:val="000000"/>
      <w:kern w:val="2"/>
      <w:sz w:val="32"/>
      <w:szCs w:val="32"/>
    </w:rPr>
  </w:style>
  <w:style w:type="paragraph" w:customStyle="1" w:styleId="76">
    <w:name w:val="样式1本次"/>
    <w:basedOn w:val="4"/>
    <w:link w:val="75"/>
    <w:qFormat/>
    <w:uiPriority w:val="0"/>
    <w:pPr>
      <w:ind w:left="280" w:leftChars="100"/>
    </w:pPr>
    <w:rPr>
      <w:rFonts w:ascii="黑体" w:hAnsi="黑体" w:eastAsia="黑体"/>
      <w:b w:val="0"/>
      <w:bCs w:val="0"/>
      <w:kern w:val="2"/>
    </w:rPr>
  </w:style>
  <w:style w:type="character" w:customStyle="1" w:styleId="77">
    <w:name w:val="批注框文本 Char Char Char Char"/>
    <w:link w:val="78"/>
    <w:qFormat/>
    <w:uiPriority w:val="0"/>
    <w:rPr>
      <w:rFonts w:ascii="Times New Roman" w:hAnsi="Times New Roman" w:eastAsia="宋体" w:cs="Times New Roman"/>
      <w:sz w:val="18"/>
      <w:szCs w:val="18"/>
    </w:rPr>
  </w:style>
  <w:style w:type="paragraph" w:customStyle="1" w:styleId="78">
    <w:name w:val="批注框文本 Char Char"/>
    <w:basedOn w:val="1"/>
    <w:link w:val="77"/>
    <w:qFormat/>
    <w:uiPriority w:val="0"/>
    <w:pPr>
      <w:spacing w:line="240" w:lineRule="auto"/>
    </w:pPr>
    <w:rPr>
      <w:sz w:val="18"/>
      <w:szCs w:val="18"/>
    </w:rPr>
  </w:style>
  <w:style w:type="character" w:customStyle="1" w:styleId="79">
    <w:name w:val="name-desp"/>
    <w:basedOn w:val="29"/>
    <w:qFormat/>
    <w:uiPriority w:val="0"/>
  </w:style>
  <w:style w:type="character" w:customStyle="1" w:styleId="80">
    <w:name w:val="标题 7 字符"/>
    <w:link w:val="10"/>
    <w:qFormat/>
    <w:uiPriority w:val="0"/>
    <w:rPr>
      <w:rFonts w:ascii="Times New Roman" w:hAnsi="Times New Roman" w:eastAsia="宋体" w:cs="Times New Roman"/>
      <w:b/>
      <w:bCs/>
      <w:sz w:val="24"/>
      <w:szCs w:val="24"/>
    </w:rPr>
  </w:style>
  <w:style w:type="character" w:customStyle="1" w:styleId="81">
    <w:name w:val="批注框文本 字符"/>
    <w:link w:val="17"/>
    <w:qFormat/>
    <w:uiPriority w:val="0"/>
    <w:rPr>
      <w:kern w:val="2"/>
      <w:sz w:val="18"/>
      <w:szCs w:val="18"/>
    </w:rPr>
  </w:style>
  <w:style w:type="character" w:customStyle="1" w:styleId="82">
    <w:name w:val="规划司小标题 Char Char"/>
    <w:link w:val="49"/>
    <w:qFormat/>
    <w:uiPriority w:val="0"/>
    <w:rPr>
      <w:rFonts w:ascii="宋体" w:hAnsi="宋体" w:eastAsia="宋体"/>
      <w:b/>
      <w:bCs/>
      <w:kern w:val="2"/>
      <w:sz w:val="28"/>
      <w:szCs w:val="28"/>
    </w:rPr>
  </w:style>
  <w:style w:type="character" w:customStyle="1" w:styleId="83">
    <w:name w:val="批注引用1"/>
    <w:qFormat/>
    <w:uiPriority w:val="0"/>
    <w:rPr>
      <w:sz w:val="21"/>
      <w:szCs w:val="21"/>
    </w:rPr>
  </w:style>
  <w:style w:type="character" w:customStyle="1" w:styleId="84">
    <w:name w:val="标题 5 字符"/>
    <w:link w:val="8"/>
    <w:qFormat/>
    <w:uiPriority w:val="0"/>
    <w:rPr>
      <w:rFonts w:ascii="Times New Roman" w:hAnsi="Times New Roman" w:eastAsia="宋体" w:cs="Times New Roman"/>
      <w:b/>
      <w:bCs/>
      <w:sz w:val="28"/>
      <w:szCs w:val="28"/>
    </w:rPr>
  </w:style>
  <w:style w:type="character" w:customStyle="1" w:styleId="85">
    <w:name w:val="ep-more-entry"/>
    <w:basedOn w:val="29"/>
    <w:qFormat/>
    <w:uiPriority w:val="0"/>
  </w:style>
  <w:style w:type="character" w:customStyle="1" w:styleId="86">
    <w:name w:val="题注 字符"/>
    <w:link w:val="12"/>
    <w:qFormat/>
    <w:uiPriority w:val="0"/>
    <w:rPr>
      <w:rFonts w:ascii="仿宋_GB2312" w:eastAsia="仿宋_GB2312"/>
      <w:i/>
      <w:kern w:val="2"/>
      <w:sz w:val="18"/>
      <w:szCs w:val="18"/>
    </w:rPr>
  </w:style>
  <w:style w:type="character" w:customStyle="1" w:styleId="87">
    <w:name w:val="占位符文本1"/>
    <w:qFormat/>
    <w:uiPriority w:val="0"/>
    <w:rPr>
      <w:color w:val="808080"/>
    </w:rPr>
  </w:style>
  <w:style w:type="character" w:customStyle="1" w:styleId="88">
    <w:name w:val="样式2本次 字符"/>
    <w:link w:val="89"/>
    <w:qFormat/>
    <w:uiPriority w:val="0"/>
    <w:rPr>
      <w:rFonts w:eastAsia="楷体_GB2312"/>
      <w:color w:val="000000"/>
      <w:kern w:val="2"/>
      <w:sz w:val="32"/>
      <w:szCs w:val="32"/>
    </w:rPr>
  </w:style>
  <w:style w:type="paragraph" w:customStyle="1" w:styleId="89">
    <w:name w:val="样式2本次"/>
    <w:basedOn w:val="90"/>
    <w:link w:val="88"/>
    <w:qFormat/>
    <w:uiPriority w:val="0"/>
  </w:style>
  <w:style w:type="paragraph" w:customStyle="1" w:styleId="90">
    <w:name w:val="2级标题"/>
    <w:basedOn w:val="1"/>
    <w:link w:val="103"/>
    <w:qFormat/>
    <w:uiPriority w:val="0"/>
    <w:pPr>
      <w:widowControl w:val="0"/>
      <w:adjustRightInd w:val="0"/>
      <w:snapToGrid w:val="0"/>
      <w:spacing w:line="560" w:lineRule="exact"/>
      <w:ind w:firstLine="640" w:firstLineChars="200"/>
      <w:outlineLvl w:val="1"/>
    </w:pPr>
    <w:rPr>
      <w:rFonts w:eastAsia="楷体_GB2312"/>
      <w:color w:val="000000"/>
      <w:sz w:val="32"/>
      <w:szCs w:val="32"/>
    </w:rPr>
  </w:style>
  <w:style w:type="character" w:customStyle="1" w:styleId="91">
    <w:name w:val="count"/>
    <w:basedOn w:val="29"/>
    <w:qFormat/>
    <w:uiPriority w:val="0"/>
  </w:style>
  <w:style w:type="character" w:customStyle="1" w:styleId="92">
    <w:name w:val="editor"/>
    <w:basedOn w:val="29"/>
    <w:qFormat/>
    <w:uiPriority w:val="0"/>
  </w:style>
  <w:style w:type="character" w:customStyle="1" w:styleId="93">
    <w:name w:val="n-nav-bottom-copyright"/>
    <w:basedOn w:val="29"/>
    <w:qFormat/>
    <w:uiPriority w:val="0"/>
  </w:style>
  <w:style w:type="character" w:customStyle="1" w:styleId="94">
    <w:name w:val="clgray"/>
    <w:basedOn w:val="29"/>
    <w:qFormat/>
    <w:uiPriority w:val="0"/>
  </w:style>
  <w:style w:type="character" w:customStyle="1" w:styleId="95">
    <w:name w:val="tie-time"/>
    <w:basedOn w:val="29"/>
    <w:qFormat/>
    <w:uiPriority w:val="0"/>
  </w:style>
  <w:style w:type="character" w:customStyle="1" w:styleId="96">
    <w:name w:val="图标 Char Char"/>
    <w:link w:val="97"/>
    <w:qFormat/>
    <w:uiPriority w:val="0"/>
    <w:rPr>
      <w:rFonts w:ascii="Times New Roman" w:hAnsi="Times New Roman"/>
      <w:sz w:val="28"/>
    </w:rPr>
  </w:style>
  <w:style w:type="paragraph" w:customStyle="1" w:styleId="97">
    <w:name w:val="图标"/>
    <w:basedOn w:val="1"/>
    <w:link w:val="96"/>
    <w:qFormat/>
    <w:uiPriority w:val="0"/>
    <w:pPr>
      <w:spacing w:line="240" w:lineRule="auto"/>
      <w:jc w:val="center"/>
    </w:pPr>
  </w:style>
  <w:style w:type="character" w:customStyle="1" w:styleId="98">
    <w:name w:val="tag"/>
    <w:basedOn w:val="29"/>
    <w:qFormat/>
    <w:uiPriority w:val="0"/>
  </w:style>
  <w:style w:type="character" w:customStyle="1" w:styleId="99">
    <w:name w:val="del-one"/>
    <w:basedOn w:val="29"/>
    <w:qFormat/>
    <w:uiPriority w:val="0"/>
  </w:style>
  <w:style w:type="character" w:customStyle="1" w:styleId="100">
    <w:name w:val="name-ip"/>
    <w:basedOn w:val="29"/>
    <w:qFormat/>
    <w:uiPriority w:val="0"/>
  </w:style>
  <w:style w:type="character" w:customStyle="1" w:styleId="101">
    <w:name w:val="tiyi1"/>
    <w:basedOn w:val="29"/>
    <w:qFormat/>
    <w:uiPriority w:val="0"/>
  </w:style>
  <w:style w:type="character" w:customStyle="1" w:styleId="102">
    <w:name w:val="批注文字 字符"/>
    <w:link w:val="14"/>
    <w:qFormat/>
    <w:uiPriority w:val="0"/>
    <w:rPr>
      <w:rFonts w:ascii="Times New Roman" w:hAnsi="Times New Roman" w:eastAsia="宋体" w:cs="Times New Roman"/>
      <w:sz w:val="28"/>
      <w:szCs w:val="24"/>
    </w:rPr>
  </w:style>
  <w:style w:type="character" w:customStyle="1" w:styleId="103">
    <w:name w:val="2级标题 字符"/>
    <w:link w:val="90"/>
    <w:qFormat/>
    <w:uiPriority w:val="0"/>
    <w:rPr>
      <w:rFonts w:eastAsia="楷体_GB2312"/>
      <w:color w:val="000000"/>
      <w:kern w:val="2"/>
      <w:sz w:val="32"/>
      <w:szCs w:val="32"/>
    </w:rPr>
  </w:style>
  <w:style w:type="character" w:customStyle="1" w:styleId="104">
    <w:name w:val="标题 字符"/>
    <w:link w:val="25"/>
    <w:qFormat/>
    <w:uiPriority w:val="0"/>
    <w:rPr>
      <w:rFonts w:ascii="黑体" w:hAnsi="黑体" w:eastAsia="黑体" w:cs="黑体"/>
      <w:b/>
      <w:bCs/>
      <w:kern w:val="2"/>
      <w:sz w:val="52"/>
      <w:szCs w:val="32"/>
    </w:rPr>
  </w:style>
  <w:style w:type="character" w:customStyle="1" w:styleId="105">
    <w:name w:val="引用 Char"/>
    <w:link w:val="106"/>
    <w:qFormat/>
    <w:uiPriority w:val="0"/>
    <w:rPr>
      <w:rFonts w:ascii="Times New Roman" w:hAnsi="Times New Roman" w:eastAsia="仿宋_GB2312"/>
      <w:iCs/>
      <w:color w:val="000000"/>
      <w:sz w:val="28"/>
    </w:rPr>
  </w:style>
  <w:style w:type="paragraph" w:customStyle="1" w:styleId="106">
    <w:name w:val="引用1"/>
    <w:basedOn w:val="1"/>
    <w:next w:val="1"/>
    <w:link w:val="105"/>
    <w:qFormat/>
    <w:uiPriority w:val="0"/>
    <w:pPr>
      <w:jc w:val="center"/>
    </w:pPr>
    <w:rPr>
      <w:rFonts w:eastAsia="仿宋_GB2312"/>
      <w:iCs/>
      <w:color w:val="000000"/>
    </w:rPr>
  </w:style>
  <w:style w:type="character" w:customStyle="1" w:styleId="107">
    <w:name w:val="样式3.序号 Char Char"/>
    <w:link w:val="108"/>
    <w:qFormat/>
    <w:uiPriority w:val="0"/>
    <w:rPr>
      <w:rFonts w:ascii="Times New Roman" w:hAnsi="Times New Roman" w:eastAsia="宋体" w:cs="Times New Roman"/>
      <w:b/>
      <w:bCs/>
      <w:kern w:val="0"/>
      <w:sz w:val="28"/>
      <w:szCs w:val="28"/>
    </w:rPr>
  </w:style>
  <w:style w:type="paragraph" w:customStyle="1" w:styleId="108">
    <w:name w:val="样式3.序号"/>
    <w:basedOn w:val="7"/>
    <w:link w:val="107"/>
    <w:qFormat/>
    <w:uiPriority w:val="0"/>
    <w:pPr>
      <w:adjustRightInd w:val="0"/>
      <w:spacing w:line="480" w:lineRule="atLeast"/>
      <w:ind w:left="567"/>
      <w:textAlignment w:val="baseline"/>
    </w:pPr>
    <w:rPr>
      <w:kern w:val="0"/>
    </w:rPr>
  </w:style>
  <w:style w:type="character" w:customStyle="1" w:styleId="109">
    <w:name w:val="ep-editor"/>
    <w:basedOn w:val="29"/>
    <w:qFormat/>
    <w:uiPriority w:val="0"/>
  </w:style>
  <w:style w:type="character" w:customStyle="1" w:styleId="110">
    <w:name w:val="标题 2 字符"/>
    <w:link w:val="5"/>
    <w:qFormat/>
    <w:uiPriority w:val="0"/>
    <w:rPr>
      <w:rFonts w:eastAsia="仿宋_GB2312"/>
      <w:b/>
      <w:kern w:val="2"/>
      <w:sz w:val="32"/>
      <w:szCs w:val="32"/>
    </w:rPr>
  </w:style>
  <w:style w:type="character" w:customStyle="1" w:styleId="111">
    <w:name w:val="post_recommend_tie_text"/>
    <w:basedOn w:val="29"/>
    <w:qFormat/>
    <w:uiPriority w:val="0"/>
  </w:style>
  <w:style w:type="character" w:customStyle="1" w:styleId="112">
    <w:name w:val="图题 Char Char"/>
    <w:link w:val="113"/>
    <w:qFormat/>
    <w:uiPriority w:val="0"/>
    <w:rPr>
      <w:rFonts w:ascii="Times New Roman" w:hAnsi="Times New Roman" w:cs="Times New Roman"/>
      <w:color w:val="000000"/>
      <w:kern w:val="0"/>
      <w:sz w:val="24"/>
      <w:szCs w:val="28"/>
    </w:rPr>
  </w:style>
  <w:style w:type="paragraph" w:customStyle="1" w:styleId="113">
    <w:name w:val="图题"/>
    <w:basedOn w:val="1"/>
    <w:link w:val="112"/>
    <w:qFormat/>
    <w:uiPriority w:val="0"/>
    <w:pPr>
      <w:autoSpaceDE w:val="0"/>
      <w:autoSpaceDN w:val="0"/>
      <w:adjustRightInd w:val="0"/>
      <w:spacing w:after="312" w:afterLines="100" w:line="240" w:lineRule="auto"/>
      <w:jc w:val="center"/>
    </w:pPr>
    <w:rPr>
      <w:color w:val="000000"/>
      <w:kern w:val="0"/>
      <w:sz w:val="24"/>
      <w:szCs w:val="28"/>
    </w:rPr>
  </w:style>
  <w:style w:type="character" w:customStyle="1" w:styleId="114">
    <w:name w:val="批注引用2"/>
    <w:qFormat/>
    <w:uiPriority w:val="0"/>
    <w:rPr>
      <w:sz w:val="21"/>
      <w:szCs w:val="21"/>
    </w:rPr>
  </w:style>
  <w:style w:type="character" w:customStyle="1" w:styleId="115">
    <w:name w:val="blank20"/>
    <w:basedOn w:val="29"/>
    <w:qFormat/>
    <w:uiPriority w:val="0"/>
  </w:style>
  <w:style w:type="character" w:customStyle="1" w:styleId="116">
    <w:name w:val="post_recommend_tie_icon"/>
    <w:basedOn w:val="29"/>
    <w:qFormat/>
    <w:uiPriority w:val="0"/>
  </w:style>
  <w:style w:type="character" w:customStyle="1" w:styleId="117">
    <w:name w:val="页眉 Char1"/>
    <w:qFormat/>
    <w:uiPriority w:val="0"/>
    <w:rPr>
      <w:rFonts w:ascii="Times New Roman" w:hAnsi="Times New Roman" w:eastAsia="宋体" w:cs="Times New Roman"/>
      <w:sz w:val="18"/>
      <w:szCs w:val="18"/>
    </w:rPr>
  </w:style>
  <w:style w:type="character" w:customStyle="1" w:styleId="118">
    <w:name w:val="样式3本次 字符"/>
    <w:link w:val="119"/>
    <w:qFormat/>
    <w:uiPriority w:val="0"/>
    <w:rPr>
      <w:rFonts w:eastAsia="仿宋_GB2312"/>
      <w:b/>
      <w:bCs/>
      <w:color w:val="000000"/>
      <w:kern w:val="2"/>
      <w:sz w:val="32"/>
      <w:szCs w:val="32"/>
    </w:rPr>
  </w:style>
  <w:style w:type="paragraph" w:customStyle="1" w:styleId="119">
    <w:name w:val="样式3本次"/>
    <w:basedOn w:val="1"/>
    <w:link w:val="118"/>
    <w:qFormat/>
    <w:uiPriority w:val="0"/>
    <w:pPr>
      <w:widowControl w:val="0"/>
      <w:adjustRightInd w:val="0"/>
      <w:snapToGrid w:val="0"/>
      <w:spacing w:line="560" w:lineRule="exact"/>
      <w:ind w:firstLine="643" w:firstLineChars="200"/>
      <w:outlineLvl w:val="2"/>
    </w:pPr>
    <w:rPr>
      <w:rFonts w:eastAsia="仿宋_GB2312"/>
      <w:b/>
      <w:bCs/>
      <w:color w:val="000000"/>
      <w:sz w:val="32"/>
      <w:szCs w:val="32"/>
    </w:rPr>
  </w:style>
  <w:style w:type="character" w:customStyle="1" w:styleId="120">
    <w:name w:val="标题1"/>
    <w:basedOn w:val="29"/>
    <w:qFormat/>
    <w:uiPriority w:val="0"/>
  </w:style>
  <w:style w:type="character" w:customStyle="1" w:styleId="121">
    <w:name w:val="n-nav-bottom-copyright-icon"/>
    <w:basedOn w:val="29"/>
    <w:qFormat/>
    <w:uiPriority w:val="0"/>
  </w:style>
  <w:style w:type="character" w:customStyle="1" w:styleId="122">
    <w:name w:val="boboicon"/>
    <w:basedOn w:val="29"/>
    <w:qFormat/>
    <w:uiPriority w:val="0"/>
  </w:style>
  <w:style w:type="character" w:customStyle="1" w:styleId="123">
    <w:name w:val="表内文字 Char"/>
    <w:link w:val="124"/>
    <w:qFormat/>
    <w:uiPriority w:val="0"/>
    <w:rPr>
      <w:rFonts w:ascii="仿宋_GB2312" w:hAnsi="仿宋" w:eastAsia="仿宋_GB2312"/>
      <w:kern w:val="2"/>
      <w:sz w:val="24"/>
      <w:szCs w:val="30"/>
    </w:rPr>
  </w:style>
  <w:style w:type="paragraph" w:customStyle="1" w:styleId="124">
    <w:name w:val="表内文字"/>
    <w:basedOn w:val="58"/>
    <w:link w:val="123"/>
    <w:qFormat/>
    <w:uiPriority w:val="0"/>
    <w:pPr>
      <w:spacing w:line="240" w:lineRule="auto"/>
      <w:ind w:firstLine="0" w:firstLineChars="0"/>
      <w:jc w:val="center"/>
    </w:pPr>
    <w:rPr>
      <w:sz w:val="24"/>
    </w:rPr>
  </w:style>
  <w:style w:type="character" w:customStyle="1" w:styleId="125">
    <w:name w:val="列出段落 Char"/>
    <w:link w:val="126"/>
    <w:qFormat/>
    <w:uiPriority w:val="0"/>
    <w:rPr>
      <w:rFonts w:ascii="Times New Roman" w:hAnsi="Times New Roman" w:eastAsia="宋体" w:cs="Times New Roman"/>
      <w:sz w:val="28"/>
      <w:szCs w:val="24"/>
    </w:rPr>
  </w:style>
  <w:style w:type="paragraph" w:customStyle="1" w:styleId="126">
    <w:name w:val="列出段落1"/>
    <w:basedOn w:val="1"/>
    <w:link w:val="125"/>
    <w:qFormat/>
    <w:uiPriority w:val="0"/>
    <w:pPr>
      <w:spacing w:line="240" w:lineRule="auto"/>
      <w:ind w:firstLine="420"/>
    </w:pPr>
  </w:style>
  <w:style w:type="character" w:customStyle="1" w:styleId="127">
    <w:name w:val="标题 1 字符"/>
    <w:link w:val="4"/>
    <w:qFormat/>
    <w:uiPriority w:val="0"/>
    <w:rPr>
      <w:rFonts w:ascii="仿宋_GB2312" w:eastAsia="仿宋_GB2312"/>
      <w:b/>
      <w:bCs/>
      <w:kern w:val="44"/>
      <w:sz w:val="36"/>
      <w:szCs w:val="44"/>
    </w:rPr>
  </w:style>
  <w:style w:type="character" w:customStyle="1" w:styleId="128">
    <w:name w:val="表题 Char Char"/>
    <w:link w:val="129"/>
    <w:qFormat/>
    <w:uiPriority w:val="0"/>
    <w:rPr>
      <w:rFonts w:ascii="Times New Roman" w:hAnsi="Times New Roman"/>
      <w:sz w:val="24"/>
    </w:rPr>
  </w:style>
  <w:style w:type="paragraph" w:customStyle="1" w:styleId="129">
    <w:name w:val="表题"/>
    <w:basedOn w:val="1"/>
    <w:link w:val="128"/>
    <w:qFormat/>
    <w:uiPriority w:val="0"/>
    <w:pPr>
      <w:jc w:val="center"/>
    </w:pPr>
    <w:rPr>
      <w:sz w:val="24"/>
    </w:rPr>
  </w:style>
  <w:style w:type="character" w:customStyle="1" w:styleId="130">
    <w:name w:val="图片 Char Char"/>
    <w:link w:val="131"/>
    <w:qFormat/>
    <w:uiPriority w:val="0"/>
    <w:rPr>
      <w:rFonts w:ascii="Times New Roman" w:hAnsi="Times New Roman" w:eastAsia="宋体" w:cs="Times New Roman"/>
      <w:sz w:val="28"/>
      <w:szCs w:val="24"/>
    </w:rPr>
  </w:style>
  <w:style w:type="paragraph" w:customStyle="1" w:styleId="131">
    <w:name w:val="图片"/>
    <w:basedOn w:val="126"/>
    <w:link w:val="130"/>
    <w:qFormat/>
    <w:uiPriority w:val="0"/>
    <w:pPr>
      <w:ind w:firstLine="0"/>
      <w:jc w:val="center"/>
    </w:pPr>
  </w:style>
  <w:style w:type="character" w:customStyle="1" w:styleId="132">
    <w:name w:val="页脚 字符"/>
    <w:link w:val="18"/>
    <w:qFormat/>
    <w:uiPriority w:val="99"/>
    <w:rPr>
      <w:rFonts w:ascii="Times New Roman" w:hAnsi="Times New Roman" w:eastAsia="宋体" w:cs="Times New Roman"/>
      <w:sz w:val="18"/>
      <w:szCs w:val="18"/>
    </w:rPr>
  </w:style>
  <w:style w:type="character" w:customStyle="1" w:styleId="133">
    <w:name w:val="我的图表和题注 Char Char"/>
    <w:link w:val="134"/>
    <w:qFormat/>
    <w:uiPriority w:val="0"/>
    <w:rPr>
      <w:rFonts w:ascii="Times New Roman" w:hAnsi="宋体" w:eastAsia="宋体" w:cs="Times New Roman"/>
      <w:szCs w:val="30"/>
    </w:rPr>
  </w:style>
  <w:style w:type="paragraph" w:customStyle="1" w:styleId="134">
    <w:name w:val="我的图表和题注"/>
    <w:basedOn w:val="1"/>
    <w:link w:val="133"/>
    <w:qFormat/>
    <w:uiPriority w:val="0"/>
    <w:pPr>
      <w:jc w:val="center"/>
    </w:pPr>
    <w:rPr>
      <w:rFonts w:hAnsi="宋体"/>
      <w:szCs w:val="30"/>
    </w:rPr>
  </w:style>
  <w:style w:type="character" w:customStyle="1" w:styleId="135">
    <w:name w:val="正文文本缩进 Char"/>
    <w:link w:val="136"/>
    <w:qFormat/>
    <w:uiPriority w:val="0"/>
    <w:rPr>
      <w:rFonts w:ascii="Times New Roman" w:hAnsi="Times New Roman" w:eastAsia="楷体_GB2312"/>
      <w:sz w:val="32"/>
    </w:rPr>
  </w:style>
  <w:style w:type="paragraph" w:customStyle="1" w:styleId="136">
    <w:name w:val="正文文本缩进1"/>
    <w:basedOn w:val="1"/>
    <w:link w:val="135"/>
    <w:qFormat/>
    <w:uiPriority w:val="0"/>
    <w:pPr>
      <w:spacing w:before="120" w:after="160"/>
      <w:ind w:firstLine="425"/>
      <w:jc w:val="left"/>
    </w:pPr>
    <w:rPr>
      <w:rFonts w:eastAsia="楷体_GB2312"/>
      <w:sz w:val="32"/>
    </w:rPr>
  </w:style>
  <w:style w:type="character" w:customStyle="1" w:styleId="137">
    <w:name w:val="文档结构图 Char"/>
    <w:link w:val="138"/>
    <w:qFormat/>
    <w:uiPriority w:val="0"/>
    <w:rPr>
      <w:rFonts w:ascii="Times New Roman" w:hAnsi="Times New Roman" w:eastAsia="宋体" w:cs="Times New Roman"/>
      <w:szCs w:val="24"/>
      <w:shd w:val="clear" w:color="auto" w:fill="000080"/>
    </w:rPr>
  </w:style>
  <w:style w:type="paragraph" w:customStyle="1" w:styleId="138">
    <w:name w:val="文档结构图1"/>
    <w:basedOn w:val="1"/>
    <w:link w:val="137"/>
    <w:qFormat/>
    <w:uiPriority w:val="0"/>
    <w:pPr>
      <w:shd w:val="clear" w:color="auto" w:fill="000080"/>
    </w:pPr>
    <w:rPr>
      <w:shd w:val="clear" w:color="auto" w:fill="000080"/>
    </w:rPr>
  </w:style>
  <w:style w:type="character" w:customStyle="1" w:styleId="139">
    <w:name w:val="日期 Char"/>
    <w:basedOn w:val="29"/>
    <w:link w:val="140"/>
    <w:qFormat/>
    <w:uiPriority w:val="0"/>
  </w:style>
  <w:style w:type="paragraph" w:customStyle="1" w:styleId="140">
    <w:name w:val="日期1"/>
    <w:basedOn w:val="1"/>
    <w:next w:val="1"/>
    <w:link w:val="139"/>
    <w:qFormat/>
    <w:uiPriority w:val="0"/>
    <w:pPr>
      <w:spacing w:line="240" w:lineRule="auto"/>
      <w:ind w:left="100" w:leftChars="2500"/>
    </w:pPr>
  </w:style>
  <w:style w:type="character" w:customStyle="1" w:styleId="141">
    <w:name w:val="页眉 Char"/>
    <w:link w:val="142"/>
    <w:qFormat/>
    <w:uiPriority w:val="0"/>
    <w:rPr>
      <w:rFonts w:ascii="Times New Roman" w:hAnsi="Times New Roman" w:eastAsia="宋体" w:cs="Times New Roman"/>
      <w:sz w:val="18"/>
      <w:szCs w:val="18"/>
    </w:rPr>
  </w:style>
  <w:style w:type="paragraph" w:customStyle="1" w:styleId="142">
    <w:name w:val="页眉1"/>
    <w:basedOn w:val="1"/>
    <w:link w:val="141"/>
    <w:qFormat/>
    <w:uiPriority w:val="0"/>
    <w:pPr>
      <w:pBdr>
        <w:bottom w:val="single" w:color="auto" w:sz="6" w:space="1"/>
      </w:pBdr>
      <w:tabs>
        <w:tab w:val="center" w:pos="4153"/>
        <w:tab w:val="right" w:pos="8306"/>
      </w:tabs>
      <w:snapToGrid w:val="0"/>
      <w:jc w:val="center"/>
    </w:pPr>
    <w:rPr>
      <w:sz w:val="18"/>
      <w:szCs w:val="18"/>
    </w:rPr>
  </w:style>
  <w:style w:type="paragraph" w:customStyle="1" w:styleId="143">
    <w:name w:val="16"/>
    <w:basedOn w:val="1"/>
    <w:qFormat/>
    <w:uiPriority w:val="0"/>
    <w:pPr>
      <w:spacing w:beforeAutospacing="1" w:after="100" w:afterAutospacing="1" w:line="240" w:lineRule="auto"/>
      <w:jc w:val="left"/>
    </w:pPr>
    <w:rPr>
      <w:rFonts w:ascii="宋体" w:hAnsi="宋体" w:cs="宋体"/>
      <w:kern w:val="0"/>
      <w:sz w:val="24"/>
    </w:rPr>
  </w:style>
  <w:style w:type="paragraph" w:customStyle="1" w:styleId="144">
    <w:name w:val="25"/>
    <w:basedOn w:val="1"/>
    <w:qFormat/>
    <w:uiPriority w:val="0"/>
    <w:pPr>
      <w:spacing w:beforeAutospacing="1" w:after="100" w:afterAutospacing="1" w:line="240" w:lineRule="auto"/>
      <w:jc w:val="left"/>
    </w:pPr>
    <w:rPr>
      <w:rFonts w:ascii="宋体" w:hAnsi="宋体" w:cs="宋体"/>
      <w:kern w:val="0"/>
      <w:sz w:val="24"/>
    </w:rPr>
  </w:style>
  <w:style w:type="paragraph" w:customStyle="1" w:styleId="145">
    <w:name w:val="tie-reminder"/>
    <w:basedOn w:val="1"/>
    <w:qFormat/>
    <w:uiPriority w:val="0"/>
    <w:pPr>
      <w:spacing w:beforeAutospacing="1" w:after="100" w:afterAutospacing="1" w:line="240" w:lineRule="auto"/>
      <w:jc w:val="left"/>
    </w:pPr>
    <w:rPr>
      <w:rFonts w:ascii="宋体" w:hAnsi="宋体" w:cs="宋体"/>
      <w:kern w:val="0"/>
      <w:sz w:val="24"/>
    </w:rPr>
  </w:style>
  <w:style w:type="paragraph" w:customStyle="1" w:styleId="146">
    <w:name w:val="全文"/>
    <w:basedOn w:val="1"/>
    <w:qFormat/>
    <w:uiPriority w:val="0"/>
    <w:pPr>
      <w:widowControl w:val="0"/>
      <w:adjustRightInd w:val="0"/>
      <w:snapToGrid w:val="0"/>
      <w:spacing w:line="560" w:lineRule="exact"/>
      <w:ind w:firstLine="645"/>
    </w:pPr>
    <w:rPr>
      <w:rFonts w:eastAsia="仿宋_GB2312"/>
      <w:color w:val="000000"/>
      <w:sz w:val="32"/>
      <w:szCs w:val="32"/>
    </w:rPr>
  </w:style>
  <w:style w:type="paragraph" w:customStyle="1" w:styleId="147">
    <w:name w:val="列出段落2"/>
    <w:basedOn w:val="1"/>
    <w:qFormat/>
    <w:uiPriority w:val="0"/>
    <w:pPr>
      <w:ind w:firstLine="420" w:firstLineChars="200"/>
    </w:pPr>
  </w:style>
  <w:style w:type="paragraph" w:customStyle="1" w:styleId="148">
    <w:name w:val="修订1"/>
    <w:qFormat/>
    <w:uiPriority w:val="0"/>
    <w:rPr>
      <w:rFonts w:ascii="Times New Roman" w:hAnsi="Times New Roman" w:eastAsia="宋体" w:cs="Calibri"/>
      <w:kern w:val="2"/>
      <w:sz w:val="28"/>
      <w:szCs w:val="24"/>
      <w:lang w:val="en-US" w:eastAsia="zh-CN" w:bidi="ar-SA"/>
    </w:rPr>
  </w:style>
  <w:style w:type="paragraph" w:customStyle="1" w:styleId="149">
    <w:name w:val="Char Char Char Char Char Char Char"/>
    <w:basedOn w:val="1"/>
    <w:qFormat/>
    <w:uiPriority w:val="0"/>
    <w:pPr>
      <w:spacing w:line="240" w:lineRule="auto"/>
    </w:pPr>
    <w:rPr>
      <w:sz w:val="21"/>
    </w:rPr>
  </w:style>
  <w:style w:type="paragraph" w:customStyle="1" w:styleId="150">
    <w:name w:val="表格文字"/>
    <w:basedOn w:val="1"/>
    <w:qFormat/>
    <w:uiPriority w:val="0"/>
    <w:pPr>
      <w:autoSpaceDE w:val="0"/>
      <w:autoSpaceDN w:val="0"/>
      <w:adjustRightInd w:val="0"/>
      <w:snapToGrid w:val="0"/>
      <w:spacing w:line="240" w:lineRule="auto"/>
      <w:jc w:val="center"/>
    </w:pPr>
    <w:rPr>
      <w:sz w:val="21"/>
      <w:szCs w:val="22"/>
    </w:rPr>
  </w:style>
  <w:style w:type="paragraph" w:customStyle="1" w:styleId="151">
    <w:name w:val="Char"/>
    <w:basedOn w:val="1"/>
    <w:qFormat/>
    <w:uiPriority w:val="0"/>
    <w:rPr>
      <w:sz w:val="21"/>
    </w:rPr>
  </w:style>
  <w:style w:type="paragraph" w:customStyle="1" w:styleId="152">
    <w:name w:val="Char Char Char Char Char Char Char1"/>
    <w:basedOn w:val="1"/>
    <w:qFormat/>
    <w:uiPriority w:val="0"/>
    <w:pPr>
      <w:spacing w:line="240" w:lineRule="auto"/>
    </w:pPr>
    <w:rPr>
      <w:sz w:val="21"/>
    </w:rPr>
  </w:style>
  <w:style w:type="paragraph" w:customStyle="1" w:styleId="153">
    <w:name w:val="普通(网站)1"/>
    <w:basedOn w:val="1"/>
    <w:qFormat/>
    <w:uiPriority w:val="0"/>
    <w:pPr>
      <w:spacing w:line="240" w:lineRule="auto"/>
    </w:pPr>
    <w:rPr>
      <w:rFonts w:ascii="Calibri" w:hAnsi="Calibri" w:cs="黑体"/>
      <w:sz w:val="24"/>
      <w:szCs w:val="22"/>
    </w:rPr>
  </w:style>
  <w:style w:type="paragraph" w:customStyle="1" w:styleId="154">
    <w:name w:val="修订2"/>
    <w:qFormat/>
    <w:uiPriority w:val="0"/>
    <w:rPr>
      <w:rFonts w:ascii="Times New Roman" w:hAnsi="Times New Roman" w:eastAsia="宋体" w:cs="Times New Roman"/>
      <w:kern w:val="2"/>
      <w:sz w:val="28"/>
      <w:szCs w:val="24"/>
      <w:lang w:val="en-US" w:eastAsia="zh-CN" w:bidi="ar-SA"/>
    </w:rPr>
  </w:style>
  <w:style w:type="paragraph" w:customStyle="1" w:styleId="155">
    <w:name w:val="正文 New"/>
    <w:qFormat/>
    <w:uiPriority w:val="0"/>
    <w:pPr>
      <w:widowControl w:val="0"/>
    </w:pPr>
    <w:rPr>
      <w:rFonts w:ascii="Times New Roman" w:hAnsi="Times New Roman" w:eastAsia="仿宋_GB2312" w:cs="Calibri"/>
      <w:kern w:val="2"/>
      <w:sz w:val="30"/>
      <w:szCs w:val="30"/>
      <w:lang w:val="en-US" w:eastAsia="zh-CN" w:bidi="ar-SA"/>
    </w:rPr>
  </w:style>
  <w:style w:type="paragraph" w:customStyle="1" w:styleId="15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157">
    <w:name w:val="正文 New New New New New"/>
    <w:qFormat/>
    <w:uiPriority w:val="0"/>
    <w:pPr>
      <w:widowControl w:val="0"/>
    </w:pPr>
    <w:rPr>
      <w:rFonts w:ascii="Calibri" w:hAnsi="Calibri" w:eastAsia="宋体" w:cs="Calibri"/>
      <w:kern w:val="2"/>
      <w:sz w:val="21"/>
      <w:szCs w:val="24"/>
      <w:lang w:val="en-US" w:eastAsia="zh-CN" w:bidi="ar-SA"/>
    </w:rPr>
  </w:style>
  <w:style w:type="paragraph" w:customStyle="1" w:styleId="158">
    <w:name w:val="正文1"/>
    <w:basedOn w:val="1"/>
    <w:qFormat/>
    <w:uiPriority w:val="0"/>
    <w:pPr>
      <w:widowControl w:val="0"/>
      <w:adjustRightInd w:val="0"/>
      <w:snapToGrid w:val="0"/>
      <w:spacing w:line="560" w:lineRule="exact"/>
      <w:ind w:firstLine="640" w:firstLineChars="200"/>
    </w:pPr>
    <w:rPr>
      <w:rFonts w:eastAsia="仿宋_GB2312"/>
      <w:color w:val="000000"/>
      <w:sz w:val="32"/>
      <w:szCs w:val="32"/>
    </w:rPr>
  </w:style>
  <w:style w:type="paragraph" w:customStyle="1" w:styleId="159">
    <w:name w:val="默认段落字体 Para Char Char"/>
    <w:basedOn w:val="1"/>
    <w:qFormat/>
    <w:uiPriority w:val="0"/>
    <w:pPr>
      <w:spacing w:line="240" w:lineRule="auto"/>
    </w:pPr>
    <w:rPr>
      <w:sz w:val="21"/>
    </w:rPr>
  </w:style>
  <w:style w:type="paragraph" w:customStyle="1" w:styleId="160">
    <w:name w:val="tie-cnt"/>
    <w:basedOn w:val="1"/>
    <w:qFormat/>
    <w:uiPriority w:val="0"/>
    <w:pPr>
      <w:spacing w:beforeAutospacing="1" w:after="100" w:afterAutospacing="1" w:line="240" w:lineRule="auto"/>
      <w:jc w:val="left"/>
    </w:pPr>
    <w:rPr>
      <w:rFonts w:ascii="宋体" w:hAnsi="宋体" w:cs="宋体"/>
      <w:kern w:val="0"/>
      <w:sz w:val="24"/>
    </w:rPr>
  </w:style>
  <w:style w:type="paragraph" w:customStyle="1" w:styleId="161">
    <w:name w:val="TOC 标题1"/>
    <w:basedOn w:val="4"/>
    <w:next w:val="1"/>
    <w:qFormat/>
    <w:uiPriority w:val="0"/>
    <w:pPr>
      <w:spacing w:before="240" w:line="259" w:lineRule="auto"/>
      <w:jc w:val="left"/>
      <w:outlineLvl w:val="9"/>
    </w:pPr>
    <w:rPr>
      <w:rFonts w:ascii="Calibri Light" w:hAnsi="Calibri Light"/>
      <w:b w:val="0"/>
      <w:bCs w:val="0"/>
      <w:color w:val="2E74B5"/>
      <w:kern w:val="0"/>
    </w:rPr>
  </w:style>
  <w:style w:type="paragraph" w:customStyle="1" w:styleId="162">
    <w:name w:val="Table Paragraph"/>
    <w:basedOn w:val="1"/>
    <w:qFormat/>
    <w:uiPriority w:val="0"/>
    <w:pPr>
      <w:spacing w:line="240" w:lineRule="auto"/>
      <w:jc w:val="left"/>
    </w:pPr>
    <w:rPr>
      <w:rFonts w:ascii="Calibri" w:hAnsi="Calibri" w:cs="黑体"/>
      <w:kern w:val="0"/>
      <w:sz w:val="22"/>
      <w:szCs w:val="22"/>
      <w:lang w:eastAsia="en-US"/>
    </w:rPr>
  </w:style>
  <w:style w:type="paragraph" w:customStyle="1" w:styleId="163">
    <w:name w:val="普通(网站)2"/>
    <w:basedOn w:val="1"/>
    <w:qFormat/>
    <w:uiPriority w:val="0"/>
    <w:pPr>
      <w:spacing w:beforeAutospacing="1" w:after="100" w:afterAutospacing="1" w:line="240" w:lineRule="auto"/>
      <w:jc w:val="left"/>
    </w:pPr>
    <w:rPr>
      <w:rFonts w:ascii="宋体" w:hAnsi="宋体" w:cs="宋体"/>
      <w:kern w:val="0"/>
      <w:sz w:val="24"/>
    </w:rPr>
  </w:style>
  <w:style w:type="character" w:customStyle="1" w:styleId="164">
    <w:name w:val="表格 Char"/>
    <w:qFormat/>
    <w:uiPriority w:val="0"/>
    <w:rPr>
      <w:rFonts w:ascii="Times New Roman" w:hAnsi="Times New Roman" w:eastAsia="仿宋_GB2312" w:cs="Times New Roman"/>
      <w:sz w:val="24"/>
      <w:szCs w:val="24"/>
    </w:rPr>
  </w:style>
  <w:style w:type="character" w:customStyle="1" w:styleId="165">
    <w:name w:val="批注主题 字符"/>
    <w:link w:val="26"/>
    <w:semiHidden/>
    <w:qFormat/>
    <w:uiPriority w:val="99"/>
    <w:rPr>
      <w:rFonts w:ascii="Times New Roman" w:hAnsi="Times New Roman" w:eastAsia="宋体" w:cs="Times New Roman"/>
      <w:b/>
      <w:bCs/>
      <w:kern w:val="2"/>
      <w:sz w:val="28"/>
      <w:szCs w:val="24"/>
    </w:rPr>
  </w:style>
  <w:style w:type="paragraph" w:styleId="166">
    <w:name w:val="List Paragraph"/>
    <w:basedOn w:val="1"/>
    <w:qFormat/>
    <w:uiPriority w:val="34"/>
    <w:pPr>
      <w:ind w:firstLine="420" w:firstLineChars="200"/>
    </w:pPr>
  </w:style>
  <w:style w:type="paragraph" w:customStyle="1" w:styleId="167">
    <w:name w:val="修订3"/>
    <w:hidden/>
    <w:semiHidden/>
    <w:qFormat/>
    <w:uiPriority w:val="99"/>
    <w:rPr>
      <w:rFonts w:ascii="Times New Roman" w:hAnsi="Times New Roman" w:eastAsia="宋体" w:cs="Times New Roman"/>
      <w:kern w:val="2"/>
      <w:sz w:val="28"/>
      <w:szCs w:val="24"/>
      <w:lang w:val="en-US" w:eastAsia="zh-CN" w:bidi="ar-SA"/>
    </w:rPr>
  </w:style>
  <w:style w:type="paragraph" w:customStyle="1" w:styleId="168">
    <w:name w:val="TOC 标题2"/>
    <w:basedOn w:val="4"/>
    <w:next w:val="1"/>
    <w:unhideWhenUsed/>
    <w:qFormat/>
    <w:uiPriority w:val="39"/>
    <w:pPr>
      <w:spacing w:before="240" w:line="259" w:lineRule="auto"/>
      <w:jc w:val="left"/>
      <w:outlineLvl w:val="9"/>
    </w:pPr>
    <w:rPr>
      <w:rFonts w:ascii="等线 Light" w:hAnsi="等线 Light" w:eastAsia="等线 Light"/>
      <w:b w:val="0"/>
      <w:bCs w:val="0"/>
      <w:color w:val="2E74B5"/>
      <w:kern w:val="0"/>
    </w:rPr>
  </w:style>
  <w:style w:type="table" w:customStyle="1" w:styleId="169">
    <w:name w:val="网格型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0">
    <w:name w:val="目录"/>
    <w:basedOn w:val="20"/>
    <w:link w:val="172"/>
    <w:qFormat/>
    <w:uiPriority w:val="0"/>
    <w:pPr>
      <w:tabs>
        <w:tab w:val="right" w:leader="dot" w:pos="8302"/>
      </w:tabs>
      <w:spacing w:line="288" w:lineRule="auto"/>
    </w:pPr>
    <w:rPr>
      <w:rFonts w:eastAsia="黑体"/>
    </w:rPr>
  </w:style>
  <w:style w:type="character" w:customStyle="1" w:styleId="171">
    <w:name w:val="目录 1 字符"/>
    <w:basedOn w:val="29"/>
    <w:link w:val="20"/>
    <w:qFormat/>
    <w:uiPriority w:val="39"/>
    <w:rPr>
      <w:rFonts w:ascii="Calibri" w:hAnsi="Calibri" w:eastAsia="仿宋_GB2312"/>
      <w:b/>
      <w:bCs/>
      <w:kern w:val="2"/>
      <w:sz w:val="28"/>
    </w:rPr>
  </w:style>
  <w:style w:type="character" w:customStyle="1" w:styleId="172">
    <w:name w:val="目录 Char"/>
    <w:basedOn w:val="171"/>
    <w:link w:val="170"/>
    <w:qFormat/>
    <w:uiPriority w:val="0"/>
    <w:rPr>
      <w:rFonts w:ascii="Calibri" w:hAnsi="Calibri" w:eastAsia="黑体"/>
      <w:kern w:val="2"/>
      <w:sz w:val="28"/>
    </w:rPr>
  </w:style>
  <w:style w:type="paragraph" w:customStyle="1" w:styleId="173">
    <w:name w:val="规划正文"/>
    <w:basedOn w:val="1"/>
    <w:qFormat/>
    <w:uiPriority w:val="0"/>
    <w:pPr>
      <w:widowControl w:val="0"/>
      <w:ind w:firstLine="640" w:firstLineChars="200"/>
    </w:pPr>
    <w:rPr>
      <w:rFonts w:cs="宋体"/>
      <w:sz w:val="30"/>
      <w:szCs w:val="20"/>
    </w:rPr>
  </w:style>
  <w:style w:type="character" w:customStyle="1" w:styleId="174">
    <w:name w:val="页眉 字符"/>
    <w:basedOn w:val="29"/>
    <w:link w:val="19"/>
    <w:semiHidden/>
    <w:qFormat/>
    <w:uiPriority w:val="99"/>
    <w:rPr>
      <w:kern w:val="2"/>
      <w:sz w:val="18"/>
      <w:szCs w:val="18"/>
    </w:rPr>
  </w:style>
  <w:style w:type="paragraph" w:customStyle="1" w:styleId="175">
    <w:name w:val="修订4"/>
    <w:hidden/>
    <w:semiHidden/>
    <w:qFormat/>
    <w:uiPriority w:val="99"/>
    <w:rPr>
      <w:rFonts w:ascii="Times New Roman" w:hAnsi="Times New Roman" w:eastAsia="宋体" w:cs="Times New Roman"/>
      <w:kern w:val="2"/>
      <w:sz w:val="28"/>
      <w:szCs w:val="24"/>
      <w:lang w:val="en-US" w:eastAsia="zh-CN" w:bidi="ar-SA"/>
    </w:rPr>
  </w:style>
  <w:style w:type="character" w:customStyle="1" w:styleId="176">
    <w:name w:val="样式正文1 字符"/>
    <w:link w:val="177"/>
    <w:qFormat/>
    <w:uiPriority w:val="0"/>
    <w:rPr>
      <w:rFonts w:eastAsia="仿宋_GB2312"/>
      <w:color w:val="000000"/>
      <w:sz w:val="32"/>
      <w:szCs w:val="32"/>
    </w:rPr>
  </w:style>
  <w:style w:type="paragraph" w:customStyle="1" w:styleId="177">
    <w:name w:val="样式正文1"/>
    <w:basedOn w:val="1"/>
    <w:link w:val="176"/>
    <w:qFormat/>
    <w:uiPriority w:val="0"/>
    <w:pPr>
      <w:widowControl w:val="0"/>
      <w:adjustRightInd w:val="0"/>
      <w:snapToGrid w:val="0"/>
      <w:spacing w:before="0" w:beforeLines="0" w:after="0" w:afterLines="0" w:line="560" w:lineRule="exact"/>
      <w:ind w:firstLine="640" w:firstLineChars="200"/>
    </w:pPr>
    <w:rPr>
      <w:rFonts w:eastAsia="仿宋_GB2312"/>
      <w:color w:val="000000"/>
      <w:kern w:val="0"/>
      <w:sz w:val="32"/>
      <w:szCs w:val="32"/>
    </w:rPr>
  </w:style>
  <w:style w:type="character" w:customStyle="1" w:styleId="178">
    <w:name w:val="font01"/>
    <w:basedOn w:val="29"/>
    <w:qFormat/>
    <w:uiPriority w:val="0"/>
    <w:rPr>
      <w:rFonts w:hint="eastAsia" w:ascii="仿宋_GB2312" w:eastAsia="仿宋_GB2312" w:cs="仿宋_GB2312"/>
      <w:color w:val="000000"/>
      <w:sz w:val="24"/>
      <w:szCs w:val="24"/>
      <w:u w:val="none"/>
    </w:rPr>
  </w:style>
  <w:style w:type="character" w:customStyle="1" w:styleId="179">
    <w:name w:val="font31"/>
    <w:basedOn w:val="29"/>
    <w:qFormat/>
    <w:uiPriority w:val="0"/>
    <w:rPr>
      <w:rFonts w:hint="eastAsia" w:ascii="宋体" w:hAnsi="宋体" w:eastAsia="宋体" w:cs="宋体"/>
      <w:color w:val="000000"/>
      <w:sz w:val="24"/>
      <w:szCs w:val="24"/>
      <w:u w:val="none"/>
    </w:rPr>
  </w:style>
  <w:style w:type="character" w:customStyle="1" w:styleId="180">
    <w:name w:val="fontstyle01"/>
    <w:basedOn w:val="29"/>
    <w:qFormat/>
    <w:uiPriority w:val="0"/>
    <w:rPr>
      <w:rFonts w:hint="eastAsia" w:ascii="仿宋_GB2312" w:eastAsia="仿宋_GB2312"/>
      <w:color w:val="000000"/>
      <w:sz w:val="32"/>
      <w:szCs w:val="32"/>
    </w:rPr>
  </w:style>
  <w:style w:type="character" w:customStyle="1" w:styleId="181">
    <w:name w:val="fontstyle21"/>
    <w:basedOn w:val="29"/>
    <w:qFormat/>
    <w:uiPriority w:val="0"/>
    <w:rPr>
      <w:rFonts w:hint="default" w:ascii="TimesNewRomanPSMT" w:hAnsi="TimesNewRomanPSMT"/>
      <w:color w:val="000000"/>
      <w:sz w:val="32"/>
      <w:szCs w:val="32"/>
    </w:rPr>
  </w:style>
  <w:style w:type="character" w:customStyle="1" w:styleId="182">
    <w:name w:val="font21"/>
    <w:basedOn w:val="2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3364</Words>
  <Characters>19179</Characters>
  <Lines>159</Lines>
  <Paragraphs>44</Paragraphs>
  <TotalTime>3</TotalTime>
  <ScaleCrop>false</ScaleCrop>
  <LinksUpToDate>false</LinksUpToDate>
  <CharactersWithSpaces>22499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2022-08-15T06:29:00Z</dcterms:created>
  <dc:creator>樊宇航</dc:creator>
  <cp:lastModifiedBy>于会涛</cp:lastModifiedBy>
  <cp:lastPrinted>2022-11-08T10:53:00Z</cp:lastPrinted>
  <dcterms:modified xsi:type="dcterms:W3CDTF">2024-11-26T09:46:11Z</dcterms:modified>
  <dc:title>湛江市能源“十四五”规划</dc:title>
  <cp:revision>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2052-11.8.2.10422</vt:lpwstr>
  </property>
  <property fmtid="{D5CDD505-2E9C-101B-9397-08002B2CF9AE}" pid="4" name="ICV">
    <vt:lpwstr>57C511CBF81E4014A9E1C4F0A90ABB04_13</vt:lpwstr>
  </property>
</Properties>
</file>