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spacing w:beforeLines="0" w:afterLines="0" w:line="57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572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实施三峡能源浈江犁市100MW农光互补项目接入系统工程水土保持方案告知书</w:t>
      </w:r>
    </w:p>
    <w:bookmarkEnd w:id="0"/>
    <w:p>
      <w:pPr>
        <w:spacing w:line="572" w:lineRule="exact"/>
        <w:ind w:firstLine="664" w:firstLineChars="200"/>
        <w:jc w:val="center"/>
        <w:rPr>
          <w:rFonts w:hint="eastAsia" w:ascii="Times New Roman" w:hAnsi="Times New Roman" w:eastAsia="黑体"/>
          <w:color w:val="auto"/>
          <w:spacing w:val="6"/>
          <w:sz w:val="32"/>
          <w:szCs w:val="32"/>
          <w:highlight w:val="none"/>
          <w:lang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  <w:t>三峡新能源发电（韶关浈江）有限公司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局已对你单位申请的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三峡能源浈江犁市100MW农光互补项目接入系统工程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水土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保持方案作出准予行政许可决定。为依法实施该项目的水土保持方案，依据《中华人民共和国水土保持法》《广东省水土保持条例》的相关规定，告知如下：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按照批准的水土保持方案，做好水土保持初步设计和施工图设计，加强施工组织等管理工作，切实落实水土保持“三同时”制度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严格按方案要求落实各项水土保持措施。各项施工活动要严格限定在用地范围内，严禁随意占压、扰动和破坏地表植被。做好表土剥离和弃渣综合利用。根据方案要求合理安排施工时序和水土保持措施实施进度，严格控制施工期可能造成的水土流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。 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做好水土保持监测工作，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向我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局以及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浈江区农业农村局</w:t>
      </w:r>
      <w:r>
        <w:rPr>
          <w:rFonts w:hint="eastAsia" w:ascii="仿宋_GB2312" w:hAnsi="仿宋_GB2312" w:eastAsia="仿宋_GB2312" w:cs="仿宋_GB2312"/>
          <w:color w:val="auto"/>
          <w:spacing w:val="-10"/>
          <w:kern w:val="32"/>
          <w:sz w:val="32"/>
          <w:szCs w:val="32"/>
          <w:highlight w:val="none"/>
          <w:u w:val="none"/>
        </w:rPr>
        <w:t>提交水土保持监测季度报告和年度报告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做好水土保持监理工作，确保水土保持工程质量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落实报告制度。在项目开工建设后十五个工作日内向我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书面报告开工信息。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尽快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一次性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向税务部门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缴纳水土保持补偿费。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如项目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的地点、规模发生重大变化，或者水土保持方案实施过程中措施发生重大变更，应当补充或者修改水土保持方案，报我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审批。在水土保持方案确定的弃渣场外新设弃渣场的，或者需要提高弃渣场堆渣量达到20%以上的，应当在弃渣前编制水土保持方案（弃渣场补充）报告书，报我局审批。</w:t>
      </w:r>
    </w:p>
    <w:p>
      <w:p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项目在竣工验收和投产使用前，你单位应对水土保持设施进行自主验收，验收结果向社会公开并报审批水土保持方案的水行政主管部门备案。水土保持设施未经验收或者验收不合格的，生产建设项目不得投产使用。</w:t>
      </w:r>
    </w:p>
    <w:p>
      <w:pPr>
        <w:numPr>
          <w:ilvl w:val="0"/>
          <w:numId w:val="0"/>
        </w:num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配合做好监督检查工作。我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浈江区农业农村局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将对水土保持方案的实施情况进行监督检查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应配合做好相关工作。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如违反上述告知事项，将承担相应的法律责任。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733A"/>
    <w:multiLevelType w:val="singleLevel"/>
    <w:tmpl w:val="5C9473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B34DE"/>
    <w:rsid w:val="45D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审查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2024-11-14T01:05:00Z</dcterms:created>
  <dc:creator>邓来珍</dc:creator>
  <cp:lastModifiedBy>邓来珍</cp:lastModifiedBy>
  <dcterms:modified xsi:type="dcterms:W3CDTF">2024-11-14T01:05:52Z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7F4FF19B1080420AB2CEE4B78A2C6039</vt:lpwstr>
  </property>
</Properties>
</file>