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44"/>
          <w:lang w:eastAsia="zh-CN"/>
        </w:rPr>
      </w:pPr>
      <w:r>
        <w:rPr>
          <w:rFonts w:hint="eastAsia"/>
          <w:b/>
          <w:bCs/>
          <w:sz w:val="36"/>
          <w:szCs w:val="44"/>
        </w:rPr>
        <w:t>韶关市</w:t>
      </w:r>
      <w:r>
        <w:rPr>
          <w:rFonts w:hint="eastAsia"/>
          <w:b/>
          <w:bCs/>
          <w:sz w:val="36"/>
          <w:szCs w:val="44"/>
          <w:lang w:eastAsia="zh-CN"/>
        </w:rPr>
        <w:t>中医院</w:t>
      </w:r>
      <w:r>
        <w:rPr>
          <w:rFonts w:hint="eastAsia"/>
          <w:b/>
          <w:bCs/>
          <w:sz w:val="36"/>
          <w:szCs w:val="44"/>
        </w:rPr>
        <w:t>国家传染病智能监测预警前置机采购项目</w:t>
      </w:r>
      <w:r>
        <w:rPr>
          <w:rFonts w:hint="eastAsia"/>
          <w:b/>
          <w:bCs/>
          <w:sz w:val="36"/>
          <w:szCs w:val="44"/>
          <w:lang w:eastAsia="zh-CN"/>
        </w:rPr>
        <w:t>技术参数</w:t>
      </w:r>
    </w:p>
    <w:p>
      <w:pPr>
        <w:jc w:val="center"/>
        <w:rPr>
          <w:rFonts w:hint="default"/>
          <w:sz w:val="36"/>
          <w:szCs w:val="44"/>
          <w:lang w:val="en-US" w:eastAsia="zh-CN"/>
        </w:rPr>
      </w:pPr>
    </w:p>
    <w:p>
      <w:pPr>
        <w:ind w:firstLine="562" w:firstLineChars="200"/>
        <w:rPr>
          <w:rFonts w:hint="eastAsia" w:eastAsiaTheme="minorEastAsia"/>
          <w:b/>
          <w:bCs/>
          <w:sz w:val="28"/>
          <w:szCs w:val="36"/>
          <w:lang w:eastAsia="zh-CN"/>
        </w:rPr>
      </w:pPr>
      <w:r>
        <w:rPr>
          <w:rFonts w:hint="eastAsia"/>
          <w:b/>
          <w:bCs/>
          <w:sz w:val="28"/>
          <w:szCs w:val="36"/>
          <w:lang w:eastAsia="zh-CN"/>
        </w:rPr>
        <w:t>一、项目概述</w:t>
      </w:r>
      <w:bookmarkStart w:id="0" w:name="_GoBack"/>
      <w:bookmarkEnd w:id="0"/>
    </w:p>
    <w:p>
      <w:pPr>
        <w:ind w:firstLine="560" w:firstLineChars="200"/>
        <w:rPr>
          <w:rFonts w:hint="eastAsia"/>
          <w:sz w:val="28"/>
          <w:szCs w:val="36"/>
        </w:rPr>
      </w:pPr>
      <w:r>
        <w:rPr>
          <w:rFonts w:hint="eastAsia"/>
          <w:sz w:val="28"/>
          <w:szCs w:val="36"/>
        </w:rPr>
        <w:t>为加快推动我市二级及以上传染病网络直报机构部署应用国家传染病智能监测预警前置软件，实现医疗机构传染病相关数据自动化采集和交换，采购疾控前置机和配置操作系统用于系统部署。</w:t>
      </w:r>
    </w:p>
    <w:p>
      <w:pPr>
        <w:numPr>
          <w:ilvl w:val="0"/>
          <w:numId w:val="1"/>
        </w:numPr>
        <w:ind w:firstLine="562" w:firstLineChars="200"/>
        <w:rPr>
          <w:rFonts w:hint="eastAsia"/>
          <w:sz w:val="28"/>
          <w:szCs w:val="36"/>
          <w:lang w:eastAsia="zh-CN"/>
        </w:rPr>
      </w:pPr>
      <w:r>
        <w:rPr>
          <w:rFonts w:hint="eastAsia"/>
          <w:b/>
          <w:bCs/>
          <w:sz w:val="28"/>
          <w:szCs w:val="36"/>
          <w:lang w:eastAsia="zh-CN"/>
        </w:rPr>
        <w:t>项目名称</w:t>
      </w:r>
      <w:r>
        <w:rPr>
          <w:rFonts w:hint="eastAsia"/>
          <w:sz w:val="28"/>
          <w:szCs w:val="36"/>
          <w:lang w:eastAsia="zh-CN"/>
        </w:rPr>
        <w:t>：韶关市中医院国家传染病智能监测预警前置机采购项目。</w:t>
      </w:r>
    </w:p>
    <w:p>
      <w:pPr>
        <w:numPr>
          <w:ilvl w:val="0"/>
          <w:numId w:val="1"/>
        </w:numPr>
        <w:ind w:firstLine="562" w:firstLineChars="200"/>
        <w:rPr>
          <w:rFonts w:hint="default"/>
          <w:sz w:val="28"/>
          <w:szCs w:val="36"/>
          <w:lang w:val="en-US" w:eastAsia="zh-CN"/>
        </w:rPr>
      </w:pPr>
      <w:r>
        <w:rPr>
          <w:rFonts w:hint="eastAsia"/>
          <w:b/>
          <w:bCs/>
          <w:sz w:val="28"/>
          <w:szCs w:val="36"/>
          <w:lang w:val="en-US" w:eastAsia="zh-CN"/>
        </w:rPr>
        <w:t>项目编号</w:t>
      </w:r>
      <w:r>
        <w:rPr>
          <w:rFonts w:hint="eastAsia"/>
          <w:sz w:val="28"/>
          <w:szCs w:val="36"/>
          <w:lang w:val="en-US" w:eastAsia="zh-CN"/>
        </w:rPr>
        <w:t>：SGSZYYCGB-XX001。</w:t>
      </w:r>
    </w:p>
    <w:p>
      <w:pPr>
        <w:numPr>
          <w:ilvl w:val="0"/>
          <w:numId w:val="1"/>
        </w:numPr>
        <w:ind w:firstLine="562" w:firstLineChars="200"/>
        <w:rPr>
          <w:rFonts w:hint="default"/>
          <w:sz w:val="28"/>
          <w:szCs w:val="36"/>
          <w:lang w:val="en-US" w:eastAsia="zh-CN"/>
        </w:rPr>
      </w:pPr>
      <w:r>
        <w:rPr>
          <w:rFonts w:hint="eastAsia"/>
          <w:b/>
          <w:bCs/>
          <w:sz w:val="28"/>
          <w:szCs w:val="36"/>
          <w:lang w:val="en-US" w:eastAsia="zh-CN"/>
        </w:rPr>
        <w:t>项目预算</w:t>
      </w:r>
      <w:r>
        <w:rPr>
          <w:rFonts w:hint="eastAsia"/>
          <w:sz w:val="28"/>
          <w:szCs w:val="36"/>
          <w:lang w:val="en-US" w:eastAsia="zh-CN"/>
        </w:rPr>
        <w:t>：4.9万。</w:t>
      </w:r>
    </w:p>
    <w:p>
      <w:pPr>
        <w:numPr>
          <w:ilvl w:val="0"/>
          <w:numId w:val="1"/>
        </w:numPr>
        <w:ind w:firstLine="562" w:firstLineChars="200"/>
        <w:rPr>
          <w:rFonts w:hint="default"/>
          <w:b/>
          <w:bCs/>
          <w:sz w:val="28"/>
          <w:szCs w:val="36"/>
          <w:lang w:val="en-US" w:eastAsia="zh-CN"/>
        </w:rPr>
      </w:pPr>
      <w:r>
        <w:rPr>
          <w:rFonts w:hint="eastAsia"/>
          <w:b/>
          <w:bCs/>
          <w:sz w:val="28"/>
          <w:szCs w:val="36"/>
          <w:lang w:val="en-US" w:eastAsia="zh-CN"/>
        </w:rPr>
        <w:t>前置机</w:t>
      </w:r>
      <w:r>
        <w:rPr>
          <w:rFonts w:hint="default"/>
          <w:b/>
          <w:bCs/>
          <w:sz w:val="28"/>
          <w:szCs w:val="36"/>
          <w:lang w:val="en-US" w:eastAsia="zh-CN"/>
        </w:rPr>
        <w:t>功能配置及技术指标</w:t>
      </w:r>
    </w:p>
    <w:p>
      <w:pPr>
        <w:numPr>
          <w:ilvl w:val="0"/>
          <w:numId w:val="0"/>
        </w:numPr>
        <w:ind w:firstLine="562" w:firstLineChars="200"/>
        <w:rPr>
          <w:rFonts w:hint="default"/>
          <w:b/>
          <w:bCs/>
          <w:sz w:val="28"/>
          <w:szCs w:val="36"/>
          <w:lang w:val="en-US" w:eastAsia="zh-CN"/>
        </w:rPr>
      </w:pPr>
      <w:r>
        <w:rPr>
          <w:rFonts w:hint="eastAsia"/>
          <w:b/>
          <w:bCs/>
          <w:sz w:val="28"/>
          <w:szCs w:val="36"/>
          <w:lang w:val="en-US" w:eastAsia="zh-CN"/>
        </w:rPr>
        <w:t>5.1、关键条款</w:t>
      </w:r>
    </w:p>
    <w:p>
      <w:pPr>
        <w:numPr>
          <w:ilvl w:val="0"/>
          <w:numId w:val="0"/>
        </w:numPr>
        <w:rPr>
          <w:rFonts w:hint="default"/>
          <w:sz w:val="22"/>
          <w:szCs w:val="28"/>
          <w:lang w:val="en-US" w:eastAsia="zh-CN"/>
        </w:rPr>
      </w:pPr>
      <w:r>
        <w:rPr>
          <w:rFonts w:hint="eastAsia"/>
          <w:sz w:val="22"/>
          <w:szCs w:val="28"/>
          <w:lang w:val="en-US" w:eastAsia="zh-CN"/>
        </w:rPr>
        <w:t xml:space="preserve">    </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1031"/>
        <w:gridCol w:w="6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widowControl/>
              <w:spacing w:line="360" w:lineRule="auto"/>
              <w:jc w:val="center"/>
              <w:rPr>
                <w:rFonts w:ascii="宋体" w:hAnsi="宋体" w:cs="宋体"/>
                <w:b/>
                <w:color w:val="000000"/>
                <w:kern w:val="0"/>
                <w:sz w:val="22"/>
                <w:szCs w:val="22"/>
              </w:rPr>
            </w:pPr>
            <w:r>
              <w:rPr>
                <w:rFonts w:hint="eastAsia" w:ascii="宋体" w:hAnsi="宋体" w:cs="宋体"/>
                <w:b/>
                <w:color w:val="000000"/>
                <w:kern w:val="0"/>
                <w:sz w:val="22"/>
                <w:szCs w:val="22"/>
              </w:rPr>
              <w:t>序号</w:t>
            </w:r>
          </w:p>
        </w:tc>
        <w:tc>
          <w:tcPr>
            <w:tcW w:w="1134" w:type="dxa"/>
            <w:shd w:val="clear" w:color="auto" w:fill="auto"/>
            <w:vAlign w:val="center"/>
          </w:tcPr>
          <w:p>
            <w:pPr>
              <w:widowControl/>
              <w:spacing w:line="360" w:lineRule="auto"/>
              <w:jc w:val="center"/>
              <w:rPr>
                <w:rFonts w:ascii="宋体" w:hAnsi="宋体" w:cs="宋体"/>
                <w:b/>
                <w:color w:val="000000"/>
                <w:kern w:val="0"/>
                <w:sz w:val="22"/>
                <w:szCs w:val="22"/>
              </w:rPr>
            </w:pPr>
            <w:r>
              <w:rPr>
                <w:rFonts w:hint="eastAsia" w:ascii="宋体" w:hAnsi="宋体" w:cs="宋体"/>
                <w:b/>
                <w:color w:val="000000"/>
                <w:kern w:val="0"/>
                <w:sz w:val="22"/>
                <w:szCs w:val="22"/>
              </w:rPr>
              <w:t>指标项</w:t>
            </w:r>
          </w:p>
        </w:tc>
        <w:tc>
          <w:tcPr>
            <w:tcW w:w="7898" w:type="dxa"/>
            <w:shd w:val="clear" w:color="auto" w:fill="auto"/>
            <w:vAlign w:val="center"/>
          </w:tcPr>
          <w:p>
            <w:pPr>
              <w:widowControl/>
              <w:spacing w:line="360" w:lineRule="auto"/>
              <w:jc w:val="center"/>
              <w:rPr>
                <w:rFonts w:ascii="宋体" w:hAnsi="宋体" w:cs="宋体"/>
                <w:b/>
                <w:color w:val="000000"/>
                <w:kern w:val="0"/>
                <w:sz w:val="22"/>
                <w:szCs w:val="22"/>
              </w:rPr>
            </w:pPr>
            <w:r>
              <w:rPr>
                <w:rFonts w:hint="eastAsia" w:ascii="宋体" w:hAnsi="宋体" w:cs="宋体"/>
                <w:b/>
                <w:color w:val="000000"/>
                <w:kern w:val="0"/>
                <w:sz w:val="22"/>
                <w:szCs w:val="22"/>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1</w:t>
            </w:r>
          </w:p>
        </w:tc>
        <w:tc>
          <w:tcPr>
            <w:tcW w:w="1134" w:type="dxa"/>
            <w:shd w:val="clear" w:color="auto" w:fill="auto"/>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适配证明</w:t>
            </w:r>
          </w:p>
        </w:tc>
        <w:tc>
          <w:tcPr>
            <w:tcW w:w="7898" w:type="dxa"/>
            <w:shd w:val="clear" w:color="auto" w:fill="auto"/>
            <w:vAlign w:val="center"/>
          </w:tcPr>
          <w:p>
            <w:pPr>
              <w:widowControl/>
              <w:spacing w:line="360" w:lineRule="auto"/>
              <w:jc w:val="left"/>
              <w:rPr>
                <w:rFonts w:ascii="宋体" w:hAnsi="宋体" w:cs="宋体"/>
                <w:kern w:val="0"/>
                <w:sz w:val="22"/>
                <w:szCs w:val="22"/>
              </w:rPr>
            </w:pPr>
            <w:r>
              <w:rPr>
                <w:rFonts w:hint="eastAsia" w:ascii="宋体" w:hAnsi="宋体" w:cs="宋体"/>
                <w:kern w:val="0"/>
                <w:sz w:val="22"/>
                <w:szCs w:val="22"/>
              </w:rPr>
              <w:t>提供</w:t>
            </w:r>
            <w:r>
              <w:rPr>
                <w:rFonts w:hint="eastAsia" w:ascii="宋体" w:hAnsi="宋体" w:cs="宋体"/>
                <w:kern w:val="0"/>
                <w:sz w:val="22"/>
                <w:szCs w:val="22"/>
                <w:lang w:eastAsia="zh-CN"/>
              </w:rPr>
              <w:t>前置机</w:t>
            </w:r>
            <w:r>
              <w:rPr>
                <w:rFonts w:hint="eastAsia" w:ascii="宋体" w:hAnsi="宋体" w:cs="宋体"/>
                <w:kern w:val="0"/>
                <w:sz w:val="22"/>
                <w:szCs w:val="22"/>
              </w:rPr>
              <w:t>厂商产品型号与</w:t>
            </w:r>
            <w:r>
              <w:rPr>
                <w:rFonts w:hint="eastAsia" w:ascii="宋体" w:hAnsi="宋体" w:cs="宋体"/>
                <w:kern w:val="0"/>
                <w:sz w:val="22"/>
                <w:szCs w:val="22"/>
                <w:highlight w:val="none"/>
              </w:rPr>
              <w:t>中科软</w:t>
            </w:r>
            <w:r>
              <w:rPr>
                <w:rFonts w:hint="eastAsia" w:ascii="宋体" w:hAnsi="宋体" w:cs="宋体"/>
                <w:kern w:val="0"/>
                <w:sz w:val="22"/>
                <w:szCs w:val="22"/>
              </w:rPr>
              <w:t>前置软件的适配证明，后续需配合中科软进行软硬件适配工作，如硬件无法满足软件实施要求，则进行硬件更换，要求完全满足软件安装所需的硬件环境要求，如更换后还是无法满足，则院方将进行退换货，合同终止操作。</w:t>
            </w:r>
          </w:p>
        </w:tc>
      </w:tr>
    </w:tbl>
    <w:p>
      <w:pPr>
        <w:pStyle w:val="4"/>
        <w:spacing w:line="360" w:lineRule="auto"/>
        <w:ind w:left="142" w:firstLine="0" w:firstLineChars="0"/>
        <w:outlineLvl w:val="2"/>
        <w:rPr>
          <w:rFonts w:ascii="宋体" w:hAnsi="宋体"/>
          <w:b/>
          <w:color w:val="000000" w:themeColor="text1"/>
          <w:sz w:val="28"/>
          <w:szCs w:val="28"/>
          <w14:textFill>
            <w14:solidFill>
              <w14:schemeClr w14:val="tx1"/>
            </w14:solidFill>
          </w14:textFill>
        </w:rPr>
      </w:pPr>
    </w:p>
    <w:p>
      <w:pPr>
        <w:pStyle w:val="4"/>
        <w:spacing w:line="360" w:lineRule="auto"/>
        <w:ind w:firstLine="482"/>
        <w:outlineLvl w:val="2"/>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lang w:val="en-US" w:eastAsia="zh-CN"/>
          <w14:textFill>
            <w14:solidFill>
              <w14:schemeClr w14:val="tx1"/>
            </w14:solidFill>
          </w14:textFill>
        </w:rPr>
        <w:t>5.2、前置机详细参数</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1104"/>
        <w:gridCol w:w="6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shd w:val="clear" w:color="auto" w:fill="auto"/>
            <w:vAlign w:val="center"/>
          </w:tcPr>
          <w:p>
            <w:pPr>
              <w:widowControl/>
              <w:spacing w:line="360" w:lineRule="auto"/>
              <w:jc w:val="center"/>
              <w:rPr>
                <w:rFonts w:ascii="宋体" w:hAnsi="宋体" w:cs="宋体"/>
                <w:b/>
                <w:color w:val="000000"/>
                <w:kern w:val="0"/>
                <w:sz w:val="22"/>
                <w:szCs w:val="22"/>
              </w:rPr>
            </w:pPr>
            <w:r>
              <w:rPr>
                <w:rFonts w:hint="eastAsia" w:ascii="宋体" w:hAnsi="宋体" w:cs="宋体"/>
                <w:b/>
                <w:color w:val="000000"/>
                <w:kern w:val="0"/>
                <w:sz w:val="22"/>
                <w:szCs w:val="22"/>
              </w:rPr>
              <w:t>序号</w:t>
            </w:r>
          </w:p>
        </w:tc>
        <w:tc>
          <w:tcPr>
            <w:tcW w:w="1104" w:type="dxa"/>
            <w:shd w:val="clear" w:color="auto" w:fill="auto"/>
            <w:vAlign w:val="center"/>
          </w:tcPr>
          <w:p>
            <w:pPr>
              <w:widowControl/>
              <w:spacing w:line="360" w:lineRule="auto"/>
              <w:jc w:val="center"/>
              <w:rPr>
                <w:rFonts w:ascii="宋体" w:hAnsi="宋体" w:cs="宋体"/>
                <w:b/>
                <w:color w:val="000000"/>
                <w:kern w:val="0"/>
                <w:sz w:val="22"/>
                <w:szCs w:val="22"/>
              </w:rPr>
            </w:pPr>
            <w:r>
              <w:rPr>
                <w:rFonts w:hint="eastAsia" w:ascii="宋体" w:hAnsi="宋体" w:cs="宋体"/>
                <w:b/>
                <w:color w:val="000000"/>
                <w:kern w:val="0"/>
                <w:sz w:val="22"/>
                <w:szCs w:val="22"/>
              </w:rPr>
              <w:t>指标项</w:t>
            </w:r>
          </w:p>
        </w:tc>
        <w:tc>
          <w:tcPr>
            <w:tcW w:w="6760" w:type="dxa"/>
            <w:shd w:val="clear" w:color="auto" w:fill="auto"/>
            <w:vAlign w:val="center"/>
          </w:tcPr>
          <w:p>
            <w:pPr>
              <w:widowControl/>
              <w:spacing w:line="360" w:lineRule="auto"/>
              <w:jc w:val="center"/>
              <w:rPr>
                <w:rFonts w:ascii="宋体" w:hAnsi="宋体" w:cs="宋体"/>
                <w:b/>
                <w:color w:val="000000"/>
                <w:kern w:val="0"/>
                <w:sz w:val="22"/>
                <w:szCs w:val="22"/>
              </w:rPr>
            </w:pPr>
            <w:r>
              <w:rPr>
                <w:rFonts w:hint="eastAsia" w:ascii="宋体" w:hAnsi="宋体" w:cs="宋体"/>
                <w:b/>
                <w:color w:val="000000"/>
                <w:kern w:val="0"/>
                <w:sz w:val="22"/>
                <w:szCs w:val="22"/>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8" w:type="dxa"/>
            <w:shd w:val="clear" w:color="auto" w:fill="auto"/>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104" w:type="dxa"/>
            <w:shd w:val="clear" w:color="auto" w:fill="auto"/>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产品形态</w:t>
            </w:r>
          </w:p>
        </w:tc>
        <w:tc>
          <w:tcPr>
            <w:tcW w:w="6760" w:type="dxa"/>
            <w:shd w:val="clear" w:color="auto" w:fill="auto"/>
            <w:vAlign w:val="center"/>
          </w:tcPr>
          <w:p>
            <w:pPr>
              <w:widowControl/>
              <w:spacing w:line="360" w:lineRule="auto"/>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2U机架式</w:t>
            </w:r>
            <w:r>
              <w:rPr>
                <w:rFonts w:hint="eastAsia" w:ascii="宋体" w:hAnsi="宋体" w:cs="宋体"/>
                <w:color w:val="000000"/>
                <w:kern w:val="0"/>
                <w:sz w:val="22"/>
                <w:szCs w:val="22"/>
                <w:highlight w:val="none"/>
                <w:lang w:eastAsia="zh-CN"/>
              </w:rPr>
              <w:t>前置机</w:t>
            </w:r>
            <w:r>
              <w:rPr>
                <w:rFonts w:hint="eastAsia" w:ascii="宋体" w:hAnsi="宋体" w:cs="宋体"/>
                <w:color w:val="000000"/>
                <w:kern w:val="0"/>
                <w:sz w:val="22"/>
                <w:szCs w:val="22"/>
                <w:highlight w:val="none"/>
              </w:rPr>
              <w:t>，12*3.5英寸硬盘机箱，含导轨；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shd w:val="clear" w:color="auto" w:fill="auto"/>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2</w:t>
            </w:r>
          </w:p>
        </w:tc>
        <w:tc>
          <w:tcPr>
            <w:tcW w:w="1104" w:type="dxa"/>
            <w:shd w:val="clear" w:color="auto" w:fill="auto"/>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处理器</w:t>
            </w:r>
          </w:p>
        </w:tc>
        <w:tc>
          <w:tcPr>
            <w:tcW w:w="6760" w:type="dxa"/>
            <w:shd w:val="clear" w:color="auto" w:fill="auto"/>
            <w:vAlign w:val="center"/>
          </w:tcPr>
          <w:p>
            <w:pPr>
              <w:widowControl/>
              <w:spacing w:line="360" w:lineRule="auto"/>
              <w:jc w:val="left"/>
              <w:rPr>
                <w:rFonts w:ascii="宋体" w:hAnsi="宋体" w:cs="宋体"/>
                <w:kern w:val="0"/>
                <w:sz w:val="22"/>
                <w:szCs w:val="22"/>
                <w:highlight w:val="none"/>
              </w:rPr>
            </w:pPr>
            <w:r>
              <w:rPr>
                <w:rFonts w:hint="eastAsia" w:ascii="宋体" w:hAnsi="宋体" w:cs="华文楷体"/>
                <w:bCs/>
                <w:kern w:val="0"/>
                <w:sz w:val="22"/>
                <w:szCs w:val="22"/>
                <w:highlight w:val="none"/>
              </w:rPr>
              <w:t>2*国产芯片CPU（</w:t>
            </w:r>
            <w:r>
              <w:rPr>
                <w:rFonts w:hint="eastAsia" w:ascii="宋体" w:hAnsi="宋体" w:cs="宋体"/>
                <w:kern w:val="0"/>
                <w:sz w:val="22"/>
                <w:szCs w:val="22"/>
                <w:highlight w:val="none"/>
              </w:rPr>
              <w:t>单颗核心数</w:t>
            </w:r>
            <w:r>
              <w:rPr>
                <w:rFonts w:hint="eastAsia" w:ascii="宋体" w:hAnsi="宋体" w:cs="华文楷体"/>
                <w:bCs/>
                <w:kern w:val="0"/>
                <w:sz w:val="22"/>
                <w:szCs w:val="22"/>
                <w:highlight w:val="none"/>
              </w:rPr>
              <w:t>≥32核，</w:t>
            </w:r>
            <w:r>
              <w:rPr>
                <w:rFonts w:hint="eastAsia" w:ascii="宋体" w:hAnsi="宋体" w:cs="宋体"/>
                <w:kern w:val="0"/>
                <w:sz w:val="22"/>
                <w:szCs w:val="22"/>
                <w:highlight w:val="none"/>
              </w:rPr>
              <w:t>主频</w:t>
            </w:r>
            <w:r>
              <w:rPr>
                <w:rFonts w:hint="eastAsia" w:ascii="宋体" w:hAnsi="宋体" w:cs="华文楷体"/>
                <w:bCs/>
                <w:kern w:val="0"/>
                <w:sz w:val="22"/>
                <w:szCs w:val="22"/>
                <w:highlight w:val="none"/>
              </w:rPr>
              <w:t>≥2.6GHz）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shd w:val="clear" w:color="auto" w:fill="auto"/>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3</w:t>
            </w:r>
          </w:p>
        </w:tc>
        <w:tc>
          <w:tcPr>
            <w:tcW w:w="1104" w:type="dxa"/>
            <w:shd w:val="clear" w:color="auto" w:fill="auto"/>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内存</w:t>
            </w:r>
          </w:p>
        </w:tc>
        <w:tc>
          <w:tcPr>
            <w:tcW w:w="6760" w:type="dxa"/>
            <w:shd w:val="clear" w:color="auto" w:fill="auto"/>
            <w:vAlign w:val="center"/>
          </w:tcPr>
          <w:p>
            <w:pPr>
              <w:widowControl/>
              <w:spacing w:line="360" w:lineRule="auto"/>
              <w:jc w:val="left"/>
              <w:rPr>
                <w:rFonts w:hint="eastAsia" w:ascii="宋体" w:hAnsi="宋体" w:cs="宋体" w:eastAsiaTheme="minorEastAsia"/>
                <w:kern w:val="0"/>
                <w:sz w:val="22"/>
                <w:szCs w:val="22"/>
                <w:highlight w:val="none"/>
                <w:lang w:eastAsia="zh-CN"/>
              </w:rPr>
            </w:pPr>
            <w:r>
              <w:rPr>
                <w:rFonts w:hint="eastAsia" w:ascii="宋体" w:hAnsi="宋体" w:cs="宋体"/>
                <w:kern w:val="0"/>
                <w:sz w:val="22"/>
                <w:szCs w:val="22"/>
                <w:highlight w:val="none"/>
              </w:rPr>
              <w:t>容量≥256GB DDR4内存</w:t>
            </w:r>
            <w:r>
              <w:rPr>
                <w:rFonts w:hint="eastAsia" w:ascii="宋体" w:hAnsi="宋体" w:cs="宋体"/>
                <w:kern w:val="0"/>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shd w:val="clear" w:color="auto" w:fill="auto"/>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4</w:t>
            </w:r>
          </w:p>
        </w:tc>
        <w:tc>
          <w:tcPr>
            <w:tcW w:w="1104" w:type="dxa"/>
            <w:shd w:val="clear" w:color="auto" w:fill="auto"/>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硬盘</w:t>
            </w:r>
          </w:p>
        </w:tc>
        <w:tc>
          <w:tcPr>
            <w:tcW w:w="6760" w:type="dxa"/>
            <w:shd w:val="clear" w:color="auto" w:fill="auto"/>
            <w:vAlign w:val="center"/>
          </w:tcPr>
          <w:p>
            <w:pPr>
              <w:widowControl/>
              <w:spacing w:line="360" w:lineRule="auto"/>
              <w:jc w:val="left"/>
              <w:rPr>
                <w:rFonts w:ascii="宋体" w:hAnsi="宋体" w:cs="宋体"/>
                <w:kern w:val="0"/>
                <w:sz w:val="22"/>
                <w:szCs w:val="22"/>
                <w:highlight w:val="none"/>
              </w:rPr>
            </w:pPr>
            <w:r>
              <w:rPr>
                <w:rFonts w:hint="eastAsia" w:ascii="宋体" w:hAnsi="宋体" w:cs="宋体"/>
                <w:kern w:val="0"/>
                <w:sz w:val="22"/>
                <w:szCs w:val="22"/>
                <w:highlight w:val="none"/>
              </w:rPr>
              <w:t>3块1TB SSD硬盘；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shd w:val="clear" w:color="auto" w:fill="auto"/>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5</w:t>
            </w:r>
          </w:p>
        </w:tc>
        <w:tc>
          <w:tcPr>
            <w:tcW w:w="1104" w:type="dxa"/>
            <w:shd w:val="clear" w:color="auto" w:fill="auto"/>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网络</w:t>
            </w:r>
          </w:p>
        </w:tc>
        <w:tc>
          <w:tcPr>
            <w:tcW w:w="6760" w:type="dxa"/>
            <w:shd w:val="clear" w:color="auto" w:fill="auto"/>
            <w:vAlign w:val="center"/>
          </w:tcPr>
          <w:p>
            <w:pPr>
              <w:spacing w:line="360" w:lineRule="auto"/>
              <w:jc w:val="left"/>
              <w:rPr>
                <w:rFonts w:ascii="宋体" w:hAnsi="宋体" w:cs="宋体"/>
                <w:kern w:val="0"/>
                <w:sz w:val="22"/>
                <w:szCs w:val="22"/>
                <w:highlight w:val="none"/>
              </w:rPr>
            </w:pPr>
            <w:r>
              <w:rPr>
                <w:rFonts w:hint="eastAsia" w:ascii="宋体" w:hAnsi="宋体" w:cs="宋体"/>
                <w:kern w:val="0"/>
                <w:sz w:val="22"/>
                <w:szCs w:val="22"/>
                <w:highlight w:val="none"/>
              </w:rPr>
              <w:t>≥</w:t>
            </w:r>
            <w:r>
              <w:rPr>
                <w:rFonts w:hint="eastAsia" w:ascii="宋体" w:hAnsi="宋体" w:cs="宋体"/>
                <w:kern w:val="0"/>
                <w:sz w:val="22"/>
                <w:szCs w:val="22"/>
                <w:highlight w:val="none"/>
                <w:lang w:val="en-US" w:eastAsia="zh-CN"/>
              </w:rPr>
              <w:t>2</w:t>
            </w:r>
            <w:r>
              <w:rPr>
                <w:rFonts w:hint="eastAsia" w:ascii="宋体" w:hAnsi="宋体"/>
                <w:sz w:val="22"/>
                <w:szCs w:val="22"/>
                <w:highlight w:val="none"/>
              </w:rPr>
              <w:t>块电口网卡</w:t>
            </w:r>
            <w:r>
              <w:rPr>
                <w:rFonts w:hint="eastAsia" w:ascii="宋体" w:hAnsi="宋体"/>
                <w:sz w:val="22"/>
                <w:szCs w:val="22"/>
                <w:highlight w:val="none"/>
                <w:lang w:eastAsia="zh-CN"/>
              </w:rPr>
              <w:t>（千兆以上）</w:t>
            </w:r>
            <w:r>
              <w:rPr>
                <w:rFonts w:hint="eastAsia" w:ascii="宋体" w:hAnsi="宋体"/>
                <w:sz w:val="22"/>
                <w:szCs w:val="22"/>
                <w:highlight w:val="none"/>
              </w:rPr>
              <w:t>，</w:t>
            </w:r>
            <w:r>
              <w:rPr>
                <w:rFonts w:hint="eastAsia" w:ascii="宋体" w:hAnsi="宋体" w:cs="宋体"/>
                <w:kern w:val="0"/>
                <w:sz w:val="22"/>
                <w:szCs w:val="22"/>
                <w:highlight w:val="none"/>
              </w:rPr>
              <w:t>≥</w:t>
            </w:r>
            <w:r>
              <w:rPr>
                <w:rFonts w:hint="eastAsia" w:ascii="宋体" w:hAnsi="宋体"/>
                <w:sz w:val="22"/>
                <w:szCs w:val="22"/>
                <w:highlight w:val="none"/>
              </w:rPr>
              <w:t>1块光口网卡；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shd w:val="clear" w:color="auto" w:fill="auto"/>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6</w:t>
            </w:r>
          </w:p>
        </w:tc>
        <w:tc>
          <w:tcPr>
            <w:tcW w:w="1104" w:type="dxa"/>
            <w:shd w:val="clear" w:color="auto" w:fill="auto"/>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GPU</w:t>
            </w:r>
            <w:r>
              <w:rPr>
                <w:rFonts w:ascii="宋体" w:hAnsi="宋体" w:cs="宋体"/>
                <w:kern w:val="0"/>
                <w:sz w:val="22"/>
                <w:szCs w:val="22"/>
              </w:rPr>
              <w:t>/NPU</w:t>
            </w:r>
          </w:p>
        </w:tc>
        <w:tc>
          <w:tcPr>
            <w:tcW w:w="6760" w:type="dxa"/>
            <w:shd w:val="clear" w:color="auto" w:fill="auto"/>
            <w:vAlign w:val="center"/>
          </w:tcPr>
          <w:p>
            <w:pPr>
              <w:spacing w:line="360" w:lineRule="auto"/>
              <w:jc w:val="left"/>
              <w:rPr>
                <w:rFonts w:ascii="宋体" w:hAnsi="宋体" w:cs="宋体"/>
                <w:kern w:val="0"/>
                <w:sz w:val="22"/>
                <w:szCs w:val="22"/>
                <w:highlight w:val="none"/>
              </w:rPr>
            </w:pPr>
            <w:r>
              <w:rPr>
                <w:rFonts w:hint="eastAsia" w:ascii="宋体" w:hAnsi="宋体" w:cs="宋体"/>
                <w:kern w:val="0"/>
                <w:sz w:val="22"/>
                <w:szCs w:val="22"/>
                <w:highlight w:val="none"/>
              </w:rPr>
              <w:t>支持GPU及NPU扩展；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shd w:val="clear" w:color="auto" w:fill="auto"/>
            <w:vAlign w:val="center"/>
          </w:tcPr>
          <w:p>
            <w:pPr>
              <w:widowControl/>
              <w:spacing w:line="360" w:lineRule="auto"/>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7</w:t>
            </w:r>
          </w:p>
        </w:tc>
        <w:tc>
          <w:tcPr>
            <w:tcW w:w="1104" w:type="dxa"/>
            <w:shd w:val="clear" w:color="auto" w:fill="auto"/>
            <w:vAlign w:val="center"/>
          </w:tcPr>
          <w:p>
            <w:pPr>
              <w:widowControl/>
              <w:spacing w:line="360" w:lineRule="auto"/>
              <w:jc w:val="center"/>
              <w:rPr>
                <w:rFonts w:hint="eastAsia" w:ascii="宋体" w:hAnsi="宋体" w:cs="宋体" w:eastAsiaTheme="minorEastAsia"/>
                <w:kern w:val="0"/>
                <w:sz w:val="22"/>
                <w:szCs w:val="22"/>
                <w:lang w:eastAsia="zh-CN"/>
              </w:rPr>
            </w:pPr>
            <w:r>
              <w:rPr>
                <w:rFonts w:hint="eastAsia" w:ascii="宋体" w:hAnsi="宋体" w:cs="宋体"/>
                <w:kern w:val="0"/>
                <w:sz w:val="22"/>
                <w:szCs w:val="22"/>
                <w:lang w:eastAsia="zh-CN"/>
              </w:rPr>
              <w:t>数据库支持</w:t>
            </w:r>
          </w:p>
        </w:tc>
        <w:tc>
          <w:tcPr>
            <w:tcW w:w="6760" w:type="dxa"/>
            <w:shd w:val="clear" w:color="auto" w:fill="auto"/>
            <w:vAlign w:val="center"/>
          </w:tcPr>
          <w:p>
            <w:pPr>
              <w:widowControl/>
              <w:spacing w:line="360" w:lineRule="auto"/>
              <w:jc w:val="left"/>
              <w:rPr>
                <w:rFonts w:ascii="宋体" w:hAnsi="宋体" w:cs="宋体"/>
                <w:kern w:val="0"/>
                <w:sz w:val="22"/>
                <w:szCs w:val="22"/>
              </w:rPr>
            </w:pPr>
            <w:r>
              <w:rPr>
                <w:rFonts w:hint="eastAsia" w:ascii="宋体" w:hAnsi="宋体" w:cs="宋体"/>
                <w:kern w:val="0"/>
                <w:sz w:val="22"/>
                <w:szCs w:val="22"/>
                <w:lang w:eastAsia="zh-CN"/>
              </w:rPr>
              <w:t>前置机</w:t>
            </w:r>
            <w:r>
              <w:rPr>
                <w:rFonts w:hint="eastAsia" w:ascii="宋体" w:hAnsi="宋体" w:cs="宋体"/>
                <w:kern w:val="0"/>
                <w:sz w:val="22"/>
                <w:szCs w:val="22"/>
              </w:rPr>
              <w:t>需支持运行OpenGauss架构数据库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shd w:val="clear" w:color="auto" w:fill="auto"/>
            <w:vAlign w:val="center"/>
          </w:tcPr>
          <w:p>
            <w:pPr>
              <w:widowControl/>
              <w:spacing w:line="360" w:lineRule="auto"/>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8</w:t>
            </w:r>
          </w:p>
        </w:tc>
        <w:tc>
          <w:tcPr>
            <w:tcW w:w="1104" w:type="dxa"/>
            <w:shd w:val="clear" w:color="auto" w:fill="auto"/>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保修</w:t>
            </w:r>
          </w:p>
        </w:tc>
        <w:tc>
          <w:tcPr>
            <w:tcW w:w="6760" w:type="dxa"/>
            <w:shd w:val="clear" w:color="auto" w:fill="auto"/>
            <w:vAlign w:val="center"/>
          </w:tcPr>
          <w:p>
            <w:pPr>
              <w:widowControl/>
              <w:spacing w:line="360" w:lineRule="auto"/>
              <w:jc w:val="left"/>
              <w:rPr>
                <w:rFonts w:ascii="宋体" w:hAnsi="宋体" w:cs="宋体"/>
                <w:kern w:val="0"/>
                <w:sz w:val="22"/>
                <w:szCs w:val="22"/>
              </w:rPr>
            </w:pPr>
            <w:r>
              <w:rPr>
                <w:rFonts w:hint="eastAsia" w:ascii="宋体" w:hAnsi="宋体" w:cs="宋体"/>
                <w:kern w:val="0"/>
                <w:sz w:val="22"/>
                <w:szCs w:val="22"/>
              </w:rPr>
              <w:t>三年原厂硬件保修服务</w:t>
            </w:r>
          </w:p>
          <w:p>
            <w:pPr>
              <w:widowControl/>
              <w:spacing w:line="360" w:lineRule="auto"/>
              <w:jc w:val="left"/>
              <w:rPr>
                <w:rFonts w:ascii="宋体" w:hAnsi="宋体" w:cs="宋体"/>
                <w:kern w:val="0"/>
                <w:sz w:val="22"/>
                <w:szCs w:val="22"/>
              </w:rPr>
            </w:pPr>
            <w:r>
              <w:rPr>
                <w:rFonts w:hint="eastAsia" w:ascii="宋体" w:hAnsi="宋体" w:cs="宋体"/>
                <w:kern w:val="0"/>
                <w:sz w:val="22"/>
                <w:szCs w:val="22"/>
              </w:rPr>
              <w:t>提供</w:t>
            </w:r>
            <w:r>
              <w:rPr>
                <w:rFonts w:hint="eastAsia" w:ascii="宋体" w:hAnsi="宋体" w:cs="宋体"/>
                <w:kern w:val="0"/>
                <w:sz w:val="22"/>
                <w:szCs w:val="22"/>
                <w:lang w:eastAsia="zh-CN"/>
              </w:rPr>
              <w:t>前置机</w:t>
            </w:r>
            <w:r>
              <w:rPr>
                <w:rFonts w:hint="eastAsia" w:ascii="宋体" w:hAnsi="宋体" w:cs="宋体"/>
                <w:kern w:val="0"/>
                <w:sz w:val="22"/>
                <w:szCs w:val="22"/>
              </w:rPr>
              <w:t>厂商原厂售后服务承诺函</w:t>
            </w:r>
          </w:p>
        </w:tc>
      </w:tr>
    </w:tbl>
    <w:p>
      <w:pPr>
        <w:numPr>
          <w:ilvl w:val="0"/>
          <w:numId w:val="0"/>
        </w:numPr>
        <w:ind w:firstLine="562" w:firstLineChars="200"/>
        <w:rPr>
          <w:rFonts w:hint="eastAsia"/>
          <w:b/>
          <w:bCs/>
          <w:sz w:val="28"/>
          <w:szCs w:val="36"/>
          <w:lang w:val="en-US" w:eastAsia="zh-CN"/>
        </w:rPr>
      </w:pPr>
      <w:r>
        <w:rPr>
          <w:rFonts w:hint="eastAsia"/>
          <w:b/>
          <w:bCs/>
          <w:sz w:val="28"/>
          <w:szCs w:val="36"/>
          <w:lang w:val="en-US" w:eastAsia="zh-CN"/>
        </w:rPr>
        <w:t>5.3、操作系统参数</w:t>
      </w:r>
    </w:p>
    <w:tbl>
      <w:tblPr>
        <w:tblStyle w:val="2"/>
        <w:tblpPr w:leftFromText="180" w:rightFromText="180" w:vertAnchor="text" w:horzAnchor="page" w:tblpX="2055" w:tblpY="3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027"/>
        <w:gridCol w:w="6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shd w:val="clear" w:color="auto" w:fill="auto"/>
            <w:vAlign w:val="center"/>
          </w:tcPr>
          <w:p>
            <w:pPr>
              <w:widowControl/>
              <w:spacing w:line="360" w:lineRule="auto"/>
              <w:jc w:val="center"/>
              <w:rPr>
                <w:rFonts w:ascii="宋体" w:hAnsi="宋体" w:cs="宋体"/>
                <w:b/>
                <w:color w:val="000000"/>
                <w:kern w:val="0"/>
                <w:sz w:val="22"/>
                <w:szCs w:val="22"/>
              </w:rPr>
            </w:pPr>
            <w:r>
              <w:rPr>
                <w:rFonts w:hint="eastAsia" w:ascii="宋体" w:hAnsi="宋体" w:cs="宋体"/>
                <w:b/>
                <w:color w:val="000000"/>
                <w:kern w:val="0"/>
                <w:sz w:val="22"/>
                <w:szCs w:val="22"/>
              </w:rPr>
              <w:t>序号</w:t>
            </w:r>
          </w:p>
        </w:tc>
        <w:tc>
          <w:tcPr>
            <w:tcW w:w="1027" w:type="dxa"/>
            <w:shd w:val="clear" w:color="auto" w:fill="auto"/>
            <w:vAlign w:val="center"/>
          </w:tcPr>
          <w:p>
            <w:pPr>
              <w:widowControl/>
              <w:spacing w:line="360" w:lineRule="auto"/>
              <w:jc w:val="center"/>
              <w:rPr>
                <w:rFonts w:ascii="宋体" w:hAnsi="宋体" w:cs="宋体"/>
                <w:b/>
                <w:color w:val="000000"/>
                <w:kern w:val="0"/>
                <w:sz w:val="22"/>
                <w:szCs w:val="22"/>
              </w:rPr>
            </w:pPr>
            <w:r>
              <w:rPr>
                <w:rFonts w:hint="eastAsia" w:ascii="宋体" w:hAnsi="宋体" w:cs="宋体"/>
                <w:b/>
                <w:color w:val="000000"/>
                <w:kern w:val="0"/>
                <w:sz w:val="22"/>
                <w:szCs w:val="22"/>
              </w:rPr>
              <w:t>指标项</w:t>
            </w:r>
          </w:p>
        </w:tc>
        <w:tc>
          <w:tcPr>
            <w:tcW w:w="6833" w:type="dxa"/>
            <w:shd w:val="clear" w:color="auto" w:fill="auto"/>
            <w:vAlign w:val="center"/>
          </w:tcPr>
          <w:p>
            <w:pPr>
              <w:widowControl/>
              <w:spacing w:line="360" w:lineRule="auto"/>
              <w:jc w:val="center"/>
              <w:rPr>
                <w:rFonts w:ascii="宋体" w:hAnsi="宋体" w:cs="宋体"/>
                <w:b/>
                <w:color w:val="000000"/>
                <w:kern w:val="0"/>
                <w:sz w:val="22"/>
                <w:szCs w:val="22"/>
              </w:rPr>
            </w:pPr>
            <w:r>
              <w:rPr>
                <w:rFonts w:hint="eastAsia" w:ascii="宋体" w:hAnsi="宋体" w:cs="宋体"/>
                <w:b/>
                <w:color w:val="000000"/>
                <w:kern w:val="0"/>
                <w:sz w:val="22"/>
                <w:szCs w:val="22"/>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shd w:val="clear" w:color="auto" w:fill="auto"/>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027" w:type="dxa"/>
            <w:shd w:val="clear" w:color="auto" w:fill="auto"/>
            <w:vAlign w:val="center"/>
          </w:tcPr>
          <w:p>
            <w:pPr>
              <w:widowControl/>
              <w:spacing w:line="360" w:lineRule="auto"/>
              <w:jc w:val="center"/>
              <w:rPr>
                <w:rFonts w:ascii="宋体" w:hAnsi="宋体" w:cs="宋体"/>
                <w:color w:val="000000"/>
                <w:kern w:val="0"/>
                <w:sz w:val="22"/>
                <w:szCs w:val="22"/>
              </w:rPr>
            </w:pPr>
            <w:r>
              <w:rPr>
                <w:rFonts w:hint="eastAsia" w:ascii="宋体" w:hAnsi="宋体" w:cs="宋体"/>
                <w:color w:val="000000"/>
                <w:kern w:val="0"/>
                <w:sz w:val="22"/>
                <w:szCs w:val="22"/>
              </w:rPr>
              <w:t>操作系统</w:t>
            </w:r>
          </w:p>
        </w:tc>
        <w:tc>
          <w:tcPr>
            <w:tcW w:w="6833" w:type="dxa"/>
            <w:shd w:val="clear" w:color="auto" w:fill="auto"/>
            <w:vAlign w:val="center"/>
          </w:tcPr>
          <w:p>
            <w:pPr>
              <w:widowControl/>
              <w:spacing w:line="360" w:lineRule="auto"/>
              <w:jc w:val="left"/>
              <w:rPr>
                <w:rFonts w:ascii="宋体" w:hAnsi="宋体" w:cs="宋体"/>
                <w:color w:val="000000"/>
                <w:kern w:val="0"/>
                <w:sz w:val="22"/>
                <w:szCs w:val="22"/>
              </w:rPr>
            </w:pPr>
            <w:r>
              <w:rPr>
                <w:rFonts w:hint="eastAsia" w:ascii="宋体" w:hAnsi="宋体" w:cs="华文楷体"/>
                <w:bCs/>
                <w:kern w:val="0"/>
                <w:sz w:val="22"/>
                <w:szCs w:val="22"/>
              </w:rPr>
              <w:t>国产服务器操作系统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shd w:val="clear" w:color="auto" w:fill="auto"/>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2</w:t>
            </w:r>
          </w:p>
        </w:tc>
        <w:tc>
          <w:tcPr>
            <w:tcW w:w="1027" w:type="dxa"/>
            <w:shd w:val="clear" w:color="auto" w:fill="auto"/>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授权</w:t>
            </w:r>
          </w:p>
        </w:tc>
        <w:tc>
          <w:tcPr>
            <w:tcW w:w="6833" w:type="dxa"/>
            <w:shd w:val="clear" w:color="auto" w:fill="auto"/>
            <w:vAlign w:val="center"/>
          </w:tcPr>
          <w:p>
            <w:pPr>
              <w:widowControl/>
              <w:spacing w:line="360" w:lineRule="auto"/>
              <w:jc w:val="left"/>
              <w:rPr>
                <w:rFonts w:ascii="宋体" w:hAnsi="宋体" w:cs="宋体"/>
                <w:kern w:val="0"/>
                <w:sz w:val="22"/>
                <w:szCs w:val="22"/>
              </w:rPr>
            </w:pPr>
            <w:r>
              <w:rPr>
                <w:rFonts w:hint="eastAsia" w:ascii="宋体" w:hAnsi="宋体" w:cs="宋体"/>
                <w:kern w:val="0"/>
                <w:sz w:val="22"/>
                <w:szCs w:val="22"/>
              </w:rPr>
              <w:t xml:space="preserve">永久License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shd w:val="clear" w:color="auto" w:fill="auto"/>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3</w:t>
            </w:r>
          </w:p>
        </w:tc>
        <w:tc>
          <w:tcPr>
            <w:tcW w:w="1027" w:type="dxa"/>
            <w:shd w:val="clear" w:color="auto" w:fill="auto"/>
            <w:vAlign w:val="center"/>
          </w:tcPr>
          <w:p>
            <w:pPr>
              <w:widowControl/>
              <w:spacing w:line="360" w:lineRule="auto"/>
              <w:jc w:val="center"/>
              <w:rPr>
                <w:rFonts w:ascii="宋体" w:hAnsi="宋体" w:cs="宋体"/>
                <w:kern w:val="0"/>
                <w:sz w:val="22"/>
                <w:szCs w:val="22"/>
              </w:rPr>
            </w:pPr>
            <w:r>
              <w:rPr>
                <w:rFonts w:hint="eastAsia" w:ascii="宋体" w:hAnsi="宋体" w:cs="微软雅黑"/>
                <w:color w:val="000000"/>
                <w:sz w:val="22"/>
                <w:szCs w:val="22"/>
              </w:rPr>
              <w:t>售后服务</w:t>
            </w:r>
          </w:p>
        </w:tc>
        <w:tc>
          <w:tcPr>
            <w:tcW w:w="6833" w:type="dxa"/>
            <w:shd w:val="clear" w:color="auto" w:fill="auto"/>
            <w:vAlign w:val="center"/>
          </w:tcPr>
          <w:p>
            <w:pPr>
              <w:widowControl/>
              <w:spacing w:line="360" w:lineRule="auto"/>
              <w:jc w:val="left"/>
              <w:rPr>
                <w:rFonts w:ascii="宋体" w:hAnsi="宋体" w:cs="宋体"/>
                <w:kern w:val="0"/>
                <w:sz w:val="22"/>
                <w:szCs w:val="22"/>
              </w:rPr>
            </w:pPr>
            <w:r>
              <w:rPr>
                <w:rFonts w:hint="eastAsia" w:ascii="宋体" w:hAnsi="宋体" w:cs="Arial"/>
                <w:color w:val="000000"/>
                <w:sz w:val="22"/>
                <w:szCs w:val="22"/>
              </w:rPr>
              <w:t>原厂商3年质保服务</w:t>
            </w:r>
          </w:p>
        </w:tc>
      </w:tr>
    </w:tbl>
    <w:p>
      <w:pPr>
        <w:numPr>
          <w:ilvl w:val="0"/>
          <w:numId w:val="0"/>
        </w:numPr>
        <w:ind w:firstLine="562" w:firstLineChars="200"/>
        <w:rPr>
          <w:rFonts w:hint="eastAsia"/>
          <w:b/>
          <w:bCs/>
          <w:sz w:val="28"/>
          <w:szCs w:val="36"/>
          <w:lang w:val="en-US" w:eastAsia="zh-CN"/>
        </w:rPr>
      </w:pPr>
    </w:p>
    <w:p>
      <w:pPr>
        <w:pStyle w:val="4"/>
        <w:spacing w:line="360" w:lineRule="auto"/>
        <w:ind w:firstLine="482"/>
        <w:outlineLvl w:val="2"/>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六、项目实施</w:t>
      </w:r>
      <w:r>
        <w:rPr>
          <w:rFonts w:ascii="宋体" w:hAnsi="宋体"/>
          <w:b/>
          <w:color w:val="000000" w:themeColor="text1"/>
          <w:sz w:val="28"/>
          <w:szCs w:val="28"/>
          <w14:textFill>
            <w14:solidFill>
              <w14:schemeClr w14:val="tx1"/>
            </w14:solidFill>
          </w14:textFill>
        </w:rPr>
        <w:t>（设备安装、服务要求</w:t>
      </w:r>
      <w:r>
        <w:rPr>
          <w:rFonts w:hint="eastAsia" w:ascii="宋体" w:hAnsi="宋体"/>
          <w:b/>
          <w:color w:val="000000" w:themeColor="text1"/>
          <w:sz w:val="28"/>
          <w:szCs w:val="28"/>
          <w14:textFill>
            <w14:solidFill>
              <w14:schemeClr w14:val="tx1"/>
            </w14:solidFill>
          </w14:textFill>
        </w:rPr>
        <w:t>、</w:t>
      </w:r>
      <w:r>
        <w:rPr>
          <w:rFonts w:ascii="宋体" w:hAnsi="宋体"/>
          <w:b/>
          <w:color w:val="000000" w:themeColor="text1"/>
          <w:sz w:val="28"/>
          <w:szCs w:val="28"/>
          <w14:textFill>
            <w14:solidFill>
              <w14:schemeClr w14:val="tx1"/>
            </w14:solidFill>
          </w14:textFill>
        </w:rPr>
        <w:t>测试和验收）</w:t>
      </w:r>
    </w:p>
    <w:p>
      <w:pPr>
        <w:pStyle w:val="4"/>
        <w:numPr>
          <w:ilvl w:val="0"/>
          <w:numId w:val="0"/>
        </w:numPr>
        <w:spacing w:line="360" w:lineRule="auto"/>
        <w:ind w:leftChars="200"/>
        <w:outlineLvl w:val="1"/>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lang w:val="en-US" w:eastAsia="zh-CN"/>
          <w14:textFill>
            <w14:solidFill>
              <w14:schemeClr w14:val="tx1"/>
            </w14:solidFill>
          </w14:textFill>
        </w:rPr>
        <w:t>6.1、</w:t>
      </w:r>
      <w:r>
        <w:rPr>
          <w:rFonts w:ascii="宋体" w:hAnsi="宋体"/>
          <w:b/>
          <w:color w:val="000000" w:themeColor="text1"/>
          <w:sz w:val="28"/>
          <w:szCs w:val="28"/>
          <w14:textFill>
            <w14:solidFill>
              <w14:schemeClr w14:val="tx1"/>
            </w14:solidFill>
          </w14:textFill>
        </w:rPr>
        <w:t>设备安装</w:t>
      </w:r>
    </w:p>
    <w:p>
      <w:pPr>
        <w:spacing w:line="360" w:lineRule="auto"/>
        <w:ind w:firstLine="440" w:firstLineChars="200"/>
        <w:contextualSpacing/>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为了提供最高的可靠性和安全性，最大限度降低生产环境的停机风险，项目实施方案必须完整、合理、安全、可靠。</w:t>
      </w:r>
    </w:p>
    <w:p>
      <w:pPr>
        <w:spacing w:line="360" w:lineRule="auto"/>
        <w:ind w:firstLine="440" w:firstLineChars="200"/>
        <w:contextualSpacing/>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投标人必须向采购人提供本项目采购的所有产品的安装和维护调整服务的全部内容，并在需要的时候配合设备使用单位完成整个系统的联调工作。若本项目采购的产品等方面的配置或要求中出现不合理或不完整的问题时，投标人有责任和义务在投标文件中提出补充修改方案并征得采购人同意后付诸实施。项目集成实施后不能影响系统整体性能。</w:t>
      </w:r>
    </w:p>
    <w:p>
      <w:pPr>
        <w:pStyle w:val="4"/>
        <w:numPr>
          <w:ilvl w:val="0"/>
          <w:numId w:val="0"/>
        </w:numPr>
        <w:spacing w:line="360" w:lineRule="auto"/>
        <w:ind w:leftChars="200"/>
        <w:outlineLvl w:val="1"/>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lang w:val="en-US" w:eastAsia="zh-CN"/>
          <w14:textFill>
            <w14:solidFill>
              <w14:schemeClr w14:val="tx1"/>
            </w14:solidFill>
          </w14:textFill>
        </w:rPr>
        <w:t>6.2、</w:t>
      </w:r>
      <w:r>
        <w:rPr>
          <w:rFonts w:ascii="宋体" w:hAnsi="宋体"/>
          <w:b/>
          <w:color w:val="000000" w:themeColor="text1"/>
          <w:sz w:val="28"/>
          <w:szCs w:val="28"/>
          <w14:textFill>
            <w14:solidFill>
              <w14:schemeClr w14:val="tx1"/>
            </w14:solidFill>
          </w14:textFill>
        </w:rPr>
        <w:t>对投标人</w:t>
      </w:r>
      <w:r>
        <w:rPr>
          <w:rFonts w:hint="eastAsia" w:ascii="宋体" w:hAnsi="宋体"/>
          <w:b/>
          <w:color w:val="000000" w:themeColor="text1"/>
          <w:sz w:val="28"/>
          <w:szCs w:val="28"/>
          <w14:textFill>
            <w14:solidFill>
              <w14:schemeClr w14:val="tx1"/>
            </w14:solidFill>
          </w14:textFill>
        </w:rPr>
        <w:t>服务</w:t>
      </w:r>
      <w:r>
        <w:rPr>
          <w:rFonts w:ascii="宋体" w:hAnsi="宋体"/>
          <w:b/>
          <w:color w:val="000000" w:themeColor="text1"/>
          <w:sz w:val="28"/>
          <w:szCs w:val="28"/>
          <w14:textFill>
            <w14:solidFill>
              <w14:schemeClr w14:val="tx1"/>
            </w14:solidFill>
          </w14:textFill>
        </w:rPr>
        <w:t>要求</w:t>
      </w:r>
    </w:p>
    <w:p>
      <w:pPr>
        <w:spacing w:line="360" w:lineRule="auto"/>
        <w:ind w:firstLine="440" w:firstLineChars="200"/>
        <w:contextualSpacing/>
        <w:rPr>
          <w:rFonts w:ascii="宋体" w:hAnsi="宋体" w:cs="宋体"/>
          <w:color w:val="auto"/>
          <w:kern w:val="0"/>
          <w:sz w:val="22"/>
          <w:szCs w:val="22"/>
          <w:highlight w:val="none"/>
        </w:rPr>
      </w:pPr>
      <w:r>
        <w:rPr>
          <w:rFonts w:hint="eastAsia" w:ascii="宋体" w:hAnsi="宋体" w:cs="宋体"/>
          <w:kern w:val="0"/>
          <w:sz w:val="22"/>
          <w:szCs w:val="22"/>
        </w:rPr>
        <w:t>(3)签定合</w:t>
      </w:r>
      <w:r>
        <w:rPr>
          <w:rFonts w:hint="eastAsia" w:ascii="宋体" w:hAnsi="宋体" w:cs="宋体"/>
          <w:color w:val="auto"/>
          <w:kern w:val="0"/>
          <w:sz w:val="22"/>
          <w:szCs w:val="22"/>
          <w:highlight w:val="none"/>
        </w:rPr>
        <w:t>同后必须10个工作日内到货，</w:t>
      </w:r>
      <w:r>
        <w:rPr>
          <w:rFonts w:ascii="宋体" w:hAnsi="宋体" w:cs="宋体"/>
          <w:color w:val="auto"/>
          <w:kern w:val="0"/>
          <w:sz w:val="22"/>
          <w:szCs w:val="22"/>
          <w:highlight w:val="none"/>
        </w:rPr>
        <w:t>安装调试在设备到货后</w:t>
      </w:r>
      <w:r>
        <w:rPr>
          <w:rFonts w:hint="eastAsia" w:ascii="宋体" w:hAnsi="宋体" w:cs="宋体"/>
          <w:color w:val="auto"/>
          <w:kern w:val="0"/>
          <w:sz w:val="22"/>
          <w:szCs w:val="22"/>
          <w:highlight w:val="none"/>
        </w:rPr>
        <w:t>2</w:t>
      </w:r>
      <w:r>
        <w:rPr>
          <w:rFonts w:ascii="宋体" w:hAnsi="宋体" w:cs="宋体"/>
          <w:color w:val="auto"/>
          <w:kern w:val="0"/>
          <w:sz w:val="22"/>
          <w:szCs w:val="22"/>
          <w:highlight w:val="none"/>
        </w:rPr>
        <w:t>个工作日内开始进行。</w:t>
      </w:r>
    </w:p>
    <w:p>
      <w:pPr>
        <w:spacing w:line="360" w:lineRule="auto"/>
        <w:ind w:firstLine="440" w:firstLineChars="200"/>
        <w:contextualSpacing/>
        <w:rPr>
          <w:rFonts w:ascii="宋体" w:hAnsi="宋体" w:cs="宋体"/>
          <w:kern w:val="0"/>
          <w:sz w:val="22"/>
          <w:szCs w:val="22"/>
        </w:rPr>
      </w:pPr>
      <w:r>
        <w:rPr>
          <w:rFonts w:hint="eastAsia" w:ascii="宋体" w:hAnsi="宋体" w:cs="宋体"/>
          <w:color w:val="auto"/>
          <w:kern w:val="0"/>
          <w:sz w:val="22"/>
          <w:szCs w:val="22"/>
          <w:highlight w:val="none"/>
        </w:rPr>
        <w:t>(4)</w:t>
      </w:r>
      <w:r>
        <w:rPr>
          <w:rFonts w:ascii="宋体" w:hAnsi="宋体" w:cs="宋体"/>
          <w:color w:val="auto"/>
          <w:kern w:val="0"/>
          <w:sz w:val="22"/>
          <w:szCs w:val="22"/>
          <w:highlight w:val="none"/>
        </w:rPr>
        <w:t>实施工期要求不能影响医院正常业务的使用，工期为从合同签订日起，</w:t>
      </w:r>
      <w:r>
        <w:rPr>
          <w:rFonts w:hint="eastAsia" w:ascii="宋体" w:hAnsi="宋体" w:cs="宋体"/>
          <w:color w:val="auto"/>
          <w:kern w:val="0"/>
          <w:sz w:val="22"/>
          <w:szCs w:val="22"/>
          <w:highlight w:val="none"/>
        </w:rPr>
        <w:t>设备到货后2</w:t>
      </w:r>
      <w:r>
        <w:rPr>
          <w:rFonts w:ascii="宋体" w:hAnsi="宋体" w:cs="宋体"/>
          <w:color w:val="auto"/>
          <w:kern w:val="0"/>
          <w:sz w:val="22"/>
          <w:szCs w:val="22"/>
          <w:highlight w:val="none"/>
        </w:rPr>
        <w:t>个工作日内</w:t>
      </w:r>
      <w:r>
        <w:rPr>
          <w:rFonts w:ascii="宋体" w:hAnsi="宋体" w:cs="宋体"/>
          <w:kern w:val="0"/>
          <w:sz w:val="22"/>
          <w:szCs w:val="22"/>
        </w:rPr>
        <w:t>部署完成。</w:t>
      </w:r>
    </w:p>
    <w:p>
      <w:pPr>
        <w:spacing w:line="360" w:lineRule="auto"/>
        <w:ind w:firstLine="440" w:firstLineChars="200"/>
        <w:contextualSpacing/>
        <w:rPr>
          <w:rFonts w:ascii="宋体" w:hAnsi="宋体" w:cs="宋体"/>
          <w:kern w:val="0"/>
          <w:sz w:val="22"/>
          <w:szCs w:val="22"/>
        </w:rPr>
      </w:pPr>
      <w:r>
        <w:rPr>
          <w:rFonts w:hint="eastAsia" w:ascii="宋体" w:hAnsi="宋体" w:cs="宋体"/>
          <w:kern w:val="0"/>
          <w:sz w:val="22"/>
          <w:szCs w:val="22"/>
        </w:rPr>
        <w:t>(5)</w:t>
      </w:r>
      <w:r>
        <w:rPr>
          <w:rFonts w:ascii="宋体" w:hAnsi="宋体" w:cs="宋体"/>
          <w:kern w:val="0"/>
          <w:sz w:val="22"/>
          <w:szCs w:val="22"/>
        </w:rPr>
        <w:t>所有设备均须由投标人送货上门并安装调试，用户不再支付任何费用。</w:t>
      </w:r>
    </w:p>
    <w:p>
      <w:pPr>
        <w:spacing w:line="360" w:lineRule="auto"/>
        <w:ind w:firstLine="440" w:firstLineChars="200"/>
        <w:contextualSpacing/>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r>
        <w:rPr>
          <w:rFonts w:ascii="宋体" w:hAnsi="宋体" w:cs="宋体"/>
          <w:color w:val="000000" w:themeColor="text1"/>
          <w:kern w:val="0"/>
          <w:sz w:val="22"/>
          <w:szCs w:val="22"/>
          <w14:textFill>
            <w14:solidFill>
              <w14:schemeClr w14:val="tx1"/>
            </w14:solidFill>
          </w14:textFill>
        </w:rPr>
        <w:t xml:space="preserve"> 投标人对投标产品的技术指标应严肃响应,采购人有权要求对中标产品进行现场测试，产品测试结果不符合招标指标的，采购人有权要求无偿更换符合要求的产品。</w:t>
      </w:r>
    </w:p>
    <w:p>
      <w:pPr>
        <w:spacing w:line="360" w:lineRule="auto"/>
        <w:ind w:firstLine="562" w:firstLineChars="200"/>
        <w:contextualSpacing/>
        <w:rPr>
          <w:rFonts w:ascii="宋体" w:hAnsi="宋体" w:eastAsia="宋体" w:cs="Times New Roman"/>
          <w:b/>
          <w:color w:val="000000" w:themeColor="text1"/>
          <w:kern w:val="2"/>
          <w:sz w:val="28"/>
          <w:szCs w:val="28"/>
          <w:lang w:val="en-US" w:eastAsia="zh-CN" w:bidi="ar-SA"/>
          <w14:textFill>
            <w14:solidFill>
              <w14:schemeClr w14:val="tx1"/>
            </w14:solidFill>
          </w14:textFill>
        </w:rPr>
      </w:pPr>
      <w:r>
        <w:rPr>
          <w:rFonts w:hint="eastAsia" w:ascii="宋体" w:hAnsi="宋体" w:eastAsia="宋体" w:cs="Times New Roman"/>
          <w:b/>
          <w:color w:val="000000" w:themeColor="text1"/>
          <w:kern w:val="2"/>
          <w:sz w:val="28"/>
          <w:szCs w:val="28"/>
          <w:lang w:val="en-US" w:eastAsia="zh-CN" w:bidi="ar-SA"/>
          <w14:textFill>
            <w14:solidFill>
              <w14:schemeClr w14:val="tx1"/>
            </w14:solidFill>
          </w14:textFill>
        </w:rPr>
        <w:t>6.3、</w:t>
      </w:r>
      <w:r>
        <w:rPr>
          <w:rFonts w:ascii="宋体" w:hAnsi="宋体" w:eastAsia="宋体" w:cs="Times New Roman"/>
          <w:b/>
          <w:color w:val="000000" w:themeColor="text1"/>
          <w:kern w:val="2"/>
          <w:sz w:val="28"/>
          <w:szCs w:val="28"/>
          <w:lang w:val="en-US" w:eastAsia="zh-CN" w:bidi="ar-SA"/>
          <w14:textFill>
            <w14:solidFill>
              <w14:schemeClr w14:val="tx1"/>
            </w14:solidFill>
          </w14:textFill>
        </w:rPr>
        <w:t>测试和验收</w:t>
      </w:r>
    </w:p>
    <w:p>
      <w:pPr>
        <w:spacing w:line="360" w:lineRule="auto"/>
        <w:ind w:firstLine="440" w:firstLineChars="200"/>
        <w:contextualSpacing/>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投标人应根据所提交的验收方案和实施办法，自行组织设备和人员，并在使用单位监查下现场进行测试和验收。</w:t>
      </w:r>
    </w:p>
    <w:p>
      <w:pPr>
        <w:spacing w:line="360" w:lineRule="auto"/>
        <w:ind w:firstLine="440" w:firstLineChars="200"/>
        <w:contextualSpacing/>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r>
        <w:rPr>
          <w:rFonts w:ascii="宋体" w:hAnsi="宋体" w:cs="宋体"/>
          <w:color w:val="000000" w:themeColor="text1"/>
          <w:kern w:val="0"/>
          <w:sz w:val="22"/>
          <w:szCs w:val="22"/>
          <w14:textFill>
            <w14:solidFill>
              <w14:schemeClr w14:val="tx1"/>
            </w14:solidFill>
          </w14:textFill>
        </w:rPr>
        <w:t>开箱检验</w:t>
      </w:r>
    </w:p>
    <w:p>
      <w:pPr>
        <w:spacing w:line="360" w:lineRule="auto"/>
        <w:ind w:firstLine="440" w:firstLineChars="200"/>
        <w:contextualSpacing/>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①</w:t>
      </w:r>
      <w:r>
        <w:rPr>
          <w:rFonts w:ascii="宋体" w:hAnsi="宋体" w:cs="宋体"/>
          <w:color w:val="000000" w:themeColor="text1"/>
          <w:kern w:val="0"/>
          <w:sz w:val="22"/>
          <w:szCs w:val="22"/>
          <w14:textFill>
            <w14:solidFill>
              <w14:schemeClr w14:val="tx1"/>
            </w14:solidFill>
          </w14:textFill>
        </w:rPr>
        <w:t>所有设备、器材在开箱时要求完好，无破损。配置与装箱单相符。数量、质量及性能不低于合同要求。</w:t>
      </w:r>
    </w:p>
    <w:p>
      <w:pPr>
        <w:spacing w:line="360" w:lineRule="auto"/>
        <w:ind w:firstLine="440" w:firstLineChars="200"/>
        <w:contextualSpacing/>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②</w:t>
      </w:r>
      <w:r>
        <w:rPr>
          <w:rFonts w:ascii="宋体" w:hAnsi="宋体" w:cs="宋体"/>
          <w:color w:val="000000" w:themeColor="text1"/>
          <w:kern w:val="0"/>
          <w:sz w:val="22"/>
          <w:szCs w:val="22"/>
          <w14:textFill>
            <w14:solidFill>
              <w14:schemeClr w14:val="tx1"/>
            </w14:solidFill>
          </w14:textFill>
        </w:rPr>
        <w:t>拆箱后，投标人应对其全部产品、零件、配件、用户许可证书、资料、介质造册登记，并与装箱单对比，如有出入应立即书面记录，由供货商解决，如影响安装则按合同有关条款处理</w:t>
      </w:r>
      <w:r>
        <w:rPr>
          <w:rFonts w:hint="eastAsia" w:ascii="宋体" w:hAnsi="宋体" w:cs="宋体"/>
          <w:color w:val="000000" w:themeColor="text1"/>
          <w:kern w:val="0"/>
          <w:sz w:val="22"/>
          <w:szCs w:val="22"/>
          <w14:textFill>
            <w14:solidFill>
              <w14:schemeClr w14:val="tx1"/>
            </w14:solidFill>
          </w14:textFill>
        </w:rPr>
        <w:t>；</w:t>
      </w:r>
      <w:r>
        <w:rPr>
          <w:rFonts w:ascii="宋体" w:hAnsi="宋体" w:cs="宋体"/>
          <w:color w:val="000000" w:themeColor="text1"/>
          <w:kern w:val="0"/>
          <w:sz w:val="22"/>
          <w:szCs w:val="22"/>
          <w14:textFill>
            <w14:solidFill>
              <w14:schemeClr w14:val="tx1"/>
            </w14:solidFill>
          </w14:textFill>
        </w:rPr>
        <w:t>登记册作为验收文档之一。</w:t>
      </w:r>
    </w:p>
    <w:p>
      <w:pPr>
        <w:spacing w:line="360" w:lineRule="auto"/>
        <w:ind w:firstLine="440" w:firstLineChars="200"/>
        <w:contextualSpacing/>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r>
        <w:rPr>
          <w:rFonts w:ascii="宋体" w:hAnsi="宋体" w:cs="宋体"/>
          <w:color w:val="000000" w:themeColor="text1"/>
          <w:kern w:val="0"/>
          <w:sz w:val="22"/>
          <w:szCs w:val="22"/>
          <w14:textFill>
            <w14:solidFill>
              <w14:schemeClr w14:val="tx1"/>
            </w14:solidFill>
          </w14:textFill>
        </w:rPr>
        <w:t>系统测试</w:t>
      </w:r>
    </w:p>
    <w:p>
      <w:pPr>
        <w:spacing w:line="360" w:lineRule="auto"/>
        <w:ind w:firstLine="440" w:firstLineChars="200"/>
        <w:contextualSpacing/>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系统安装完成后，按照系统要求的基本功能逐一测试。</w:t>
      </w:r>
    </w:p>
    <w:p>
      <w:pPr>
        <w:spacing w:line="360" w:lineRule="auto"/>
        <w:ind w:firstLine="440" w:firstLineChars="200"/>
        <w:contextualSpacing/>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①</w:t>
      </w:r>
      <w:r>
        <w:rPr>
          <w:rFonts w:ascii="宋体" w:hAnsi="宋体" w:cs="宋体"/>
          <w:color w:val="000000" w:themeColor="text1"/>
          <w:kern w:val="0"/>
          <w:sz w:val="22"/>
          <w:szCs w:val="22"/>
          <w14:textFill>
            <w14:solidFill>
              <w14:schemeClr w14:val="tx1"/>
            </w14:solidFill>
          </w14:textFill>
        </w:rPr>
        <w:t>单项测试：单项产品安装完成后，由投标人进行产品自身性能的测试。设备通电测试应单台进行，所有设备通电自检正常后，才能相互联结。</w:t>
      </w:r>
    </w:p>
    <w:p>
      <w:pPr>
        <w:spacing w:line="360" w:lineRule="auto"/>
        <w:ind w:firstLine="440" w:firstLineChars="200"/>
        <w:contextualSpacing/>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②</w:t>
      </w:r>
      <w:r>
        <w:rPr>
          <w:rFonts w:ascii="宋体" w:hAnsi="宋体" w:cs="宋体"/>
          <w:color w:val="000000" w:themeColor="text1"/>
          <w:kern w:val="0"/>
          <w:sz w:val="22"/>
          <w:szCs w:val="22"/>
          <w14:textFill>
            <w14:solidFill>
              <w14:schemeClr w14:val="tx1"/>
            </w14:solidFill>
          </w14:textFill>
        </w:rPr>
        <w:t>网络联机测试：网络系统安装完成后，由投标人和设备使用单位对所有采购的产品进行联网运行，并进行相应的联机测试。</w:t>
      </w:r>
    </w:p>
    <w:p>
      <w:pPr>
        <w:spacing w:line="360" w:lineRule="auto"/>
        <w:ind w:firstLine="440" w:firstLineChars="200"/>
        <w:contextualSpacing/>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③</w:t>
      </w:r>
      <w:r>
        <w:rPr>
          <w:rFonts w:ascii="宋体" w:hAnsi="宋体" w:cs="宋体"/>
          <w:color w:val="000000" w:themeColor="text1"/>
          <w:kern w:val="0"/>
          <w:sz w:val="22"/>
          <w:szCs w:val="22"/>
          <w14:textFill>
            <w14:solidFill>
              <w14:schemeClr w14:val="tx1"/>
            </w14:solidFill>
          </w14:textFill>
        </w:rPr>
        <w:t>系统运行正常，联机测试通过。</w:t>
      </w:r>
    </w:p>
    <w:p>
      <w:pPr>
        <w:spacing w:line="360" w:lineRule="auto"/>
        <w:ind w:firstLine="440" w:firstLineChars="200"/>
        <w:contextualSpacing/>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④</w:t>
      </w:r>
      <w:r>
        <w:rPr>
          <w:rFonts w:ascii="宋体" w:hAnsi="宋体" w:cs="宋体"/>
          <w:color w:val="000000" w:themeColor="text1"/>
          <w:kern w:val="0"/>
          <w:sz w:val="22"/>
          <w:szCs w:val="22"/>
          <w14:textFill>
            <w14:solidFill>
              <w14:schemeClr w14:val="tx1"/>
            </w14:solidFill>
          </w14:textFill>
        </w:rPr>
        <w:t>如商检或系统测试中发现设备性能指标或功能上不符合标书和合同时，将被看作性能不合格，设备使用单位有权拒收并要求赔偿。</w:t>
      </w:r>
    </w:p>
    <w:p>
      <w:pPr>
        <w:spacing w:line="360" w:lineRule="auto"/>
        <w:ind w:firstLine="440" w:firstLineChars="200"/>
        <w:contextualSpacing/>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⑤</w:t>
      </w:r>
      <w:r>
        <w:rPr>
          <w:rFonts w:ascii="宋体" w:hAnsi="宋体" w:cs="宋体"/>
          <w:color w:val="000000" w:themeColor="text1"/>
          <w:kern w:val="0"/>
          <w:sz w:val="22"/>
          <w:szCs w:val="22"/>
          <w14:textFill>
            <w14:solidFill>
              <w14:schemeClr w14:val="tx1"/>
            </w14:solidFill>
          </w14:textFill>
        </w:rPr>
        <w:t>投标人应负责在项目验收时将系统的全部有关产品说明书、原厂家安装手册、技术文件、资料</w:t>
      </w:r>
      <w:r>
        <w:rPr>
          <w:rFonts w:hint="eastAsia" w:ascii="宋体" w:hAnsi="宋体" w:cs="宋体"/>
          <w:color w:val="000000" w:themeColor="text1"/>
          <w:kern w:val="0"/>
          <w:sz w:val="22"/>
          <w:szCs w:val="22"/>
          <w14:textFill>
            <w14:solidFill>
              <w14:schemeClr w14:val="tx1"/>
            </w14:solidFill>
          </w14:textFill>
        </w:rPr>
        <w:t>及</w:t>
      </w:r>
      <w:r>
        <w:rPr>
          <w:rFonts w:ascii="宋体" w:hAnsi="宋体" w:cs="宋体"/>
          <w:color w:val="000000" w:themeColor="text1"/>
          <w:kern w:val="0"/>
          <w:sz w:val="22"/>
          <w:szCs w:val="22"/>
          <w14:textFill>
            <w14:solidFill>
              <w14:schemeClr w14:val="tx1"/>
            </w14:solidFill>
          </w14:textFill>
        </w:rPr>
        <w:t>安装、验收报告等文档交付设备使用单位。</w:t>
      </w:r>
    </w:p>
    <w:p>
      <w:pPr>
        <w:spacing w:line="360" w:lineRule="auto"/>
        <w:ind w:firstLine="440" w:firstLineChars="200"/>
        <w:contextualSpacing/>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r>
        <w:rPr>
          <w:rFonts w:ascii="宋体" w:hAnsi="宋体" w:cs="宋体"/>
          <w:color w:val="000000" w:themeColor="text1"/>
          <w:kern w:val="0"/>
          <w:sz w:val="22"/>
          <w:szCs w:val="22"/>
          <w14:textFill>
            <w14:solidFill>
              <w14:schemeClr w14:val="tx1"/>
            </w14:solidFill>
          </w14:textFill>
        </w:rPr>
        <w:t>产品验收要求</w:t>
      </w:r>
    </w:p>
    <w:p>
      <w:pPr>
        <w:spacing w:line="360" w:lineRule="auto"/>
        <w:ind w:firstLine="440" w:firstLineChars="200"/>
        <w:contextualSpacing/>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①</w:t>
      </w:r>
      <w:r>
        <w:rPr>
          <w:rFonts w:ascii="宋体" w:hAnsi="宋体" w:cs="宋体"/>
          <w:color w:val="000000" w:themeColor="text1"/>
          <w:kern w:val="0"/>
          <w:sz w:val="22"/>
          <w:szCs w:val="22"/>
          <w14:textFill>
            <w14:solidFill>
              <w14:schemeClr w14:val="tx1"/>
            </w14:solidFill>
          </w14:textFill>
        </w:rPr>
        <w:t>要求对全部设备、产品、型号、规格、数量、外型、外观、包装及资料、文件（如装箱单、保修单、随箱介质等）的验收。</w:t>
      </w:r>
    </w:p>
    <w:p>
      <w:pPr>
        <w:spacing w:line="360" w:lineRule="auto"/>
        <w:ind w:firstLine="440" w:firstLineChars="200"/>
        <w:contextualSpacing/>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②</w:t>
      </w:r>
      <w:r>
        <w:rPr>
          <w:rFonts w:ascii="宋体" w:hAnsi="宋体" w:cs="宋体"/>
          <w:color w:val="000000" w:themeColor="text1"/>
          <w:kern w:val="0"/>
          <w:sz w:val="22"/>
          <w:szCs w:val="22"/>
          <w14:textFill>
            <w14:solidFill>
              <w14:schemeClr w14:val="tx1"/>
            </w14:solidFill>
          </w14:textFill>
        </w:rPr>
        <w:t>投标人应负责在项目验收时将系统的全部有关产品说明书、原厂家安装手册、技术文件、资料</w:t>
      </w:r>
      <w:r>
        <w:rPr>
          <w:rFonts w:hint="eastAsia" w:ascii="宋体" w:hAnsi="宋体" w:cs="宋体"/>
          <w:color w:val="000000" w:themeColor="text1"/>
          <w:kern w:val="0"/>
          <w:sz w:val="22"/>
          <w:szCs w:val="22"/>
          <w14:textFill>
            <w14:solidFill>
              <w14:schemeClr w14:val="tx1"/>
            </w14:solidFill>
          </w14:textFill>
        </w:rPr>
        <w:t>及</w:t>
      </w:r>
      <w:r>
        <w:rPr>
          <w:rFonts w:ascii="宋体" w:hAnsi="宋体" w:cs="宋体"/>
          <w:color w:val="000000" w:themeColor="text1"/>
          <w:kern w:val="0"/>
          <w:sz w:val="22"/>
          <w:szCs w:val="22"/>
          <w14:textFill>
            <w14:solidFill>
              <w14:schemeClr w14:val="tx1"/>
            </w14:solidFill>
          </w14:textFill>
        </w:rPr>
        <w:t>安装、验收文档汇集成册</w:t>
      </w:r>
      <w:r>
        <w:rPr>
          <w:rFonts w:hint="eastAsia" w:ascii="宋体" w:hAnsi="宋体" w:cs="宋体"/>
          <w:color w:val="000000" w:themeColor="text1"/>
          <w:kern w:val="0"/>
          <w:sz w:val="22"/>
          <w:szCs w:val="22"/>
          <w14:textFill>
            <w14:solidFill>
              <w14:schemeClr w14:val="tx1"/>
            </w14:solidFill>
          </w14:textFill>
        </w:rPr>
        <w:t>交付</w:t>
      </w:r>
      <w:r>
        <w:rPr>
          <w:rFonts w:ascii="宋体" w:hAnsi="宋体" w:cs="宋体"/>
          <w:color w:val="000000" w:themeColor="text1"/>
          <w:kern w:val="0"/>
          <w:sz w:val="22"/>
          <w:szCs w:val="22"/>
          <w14:textFill>
            <w14:solidFill>
              <w14:schemeClr w14:val="tx1"/>
            </w14:solidFill>
          </w14:textFill>
        </w:rPr>
        <w:t>报告等</w:t>
      </w:r>
      <w:r>
        <w:rPr>
          <w:rFonts w:hint="eastAsia" w:ascii="宋体" w:hAnsi="宋体" w:cs="宋体"/>
          <w:color w:val="000000" w:themeColor="text1"/>
          <w:kern w:val="0"/>
          <w:sz w:val="22"/>
          <w:szCs w:val="22"/>
          <w14:textFill>
            <w14:solidFill>
              <w14:schemeClr w14:val="tx1"/>
            </w14:solidFill>
          </w14:textFill>
        </w:rPr>
        <w:t>给</w:t>
      </w:r>
      <w:r>
        <w:rPr>
          <w:rFonts w:ascii="宋体" w:hAnsi="宋体" w:cs="宋体"/>
          <w:color w:val="000000" w:themeColor="text1"/>
          <w:kern w:val="0"/>
          <w:sz w:val="22"/>
          <w:szCs w:val="22"/>
          <w14:textFill>
            <w14:solidFill>
              <w14:schemeClr w14:val="tx1"/>
            </w14:solidFill>
          </w14:textFill>
        </w:rPr>
        <w:t>使用单位。</w:t>
      </w:r>
    </w:p>
    <w:p>
      <w:pPr>
        <w:spacing w:line="360" w:lineRule="auto"/>
        <w:ind w:firstLine="562" w:firstLineChars="200"/>
        <w:contextualSpacing/>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七、</w:t>
      </w:r>
      <w:r>
        <w:rPr>
          <w:rFonts w:ascii="宋体" w:hAnsi="宋体"/>
          <w:b/>
          <w:color w:val="000000" w:themeColor="text1"/>
          <w:sz w:val="28"/>
          <w:szCs w:val="28"/>
          <w14:textFill>
            <w14:solidFill>
              <w14:schemeClr w14:val="tx1"/>
            </w14:solidFill>
          </w14:textFill>
        </w:rPr>
        <w:t>售后服务要求</w:t>
      </w:r>
    </w:p>
    <w:p>
      <w:pPr>
        <w:spacing w:line="360" w:lineRule="auto"/>
        <w:ind w:firstLine="440" w:firstLineChars="200"/>
        <w:contextualSpacing/>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（1）免费送货上门、安装、调试，并试运行。</w:t>
      </w:r>
    </w:p>
    <w:p>
      <w:pPr>
        <w:spacing w:line="360" w:lineRule="auto"/>
        <w:ind w:firstLine="440" w:firstLineChars="200"/>
        <w:contextualSpacing/>
        <w:rPr>
          <w:rFonts w:ascii="宋体" w:hAnsi="宋体" w:cs="宋体"/>
          <w:kern w:val="0"/>
          <w:sz w:val="22"/>
          <w:szCs w:val="22"/>
        </w:rPr>
      </w:pPr>
      <w:r>
        <w:rPr>
          <w:rFonts w:hint="eastAsia" w:ascii="宋体" w:hAnsi="宋体" w:cs="宋体"/>
          <w:kern w:val="0"/>
          <w:sz w:val="22"/>
          <w:szCs w:val="22"/>
        </w:rPr>
        <w:t>（2）新购设备提供3年7×24硬件原厂免费保修服务。</w:t>
      </w:r>
    </w:p>
    <w:p>
      <w:pPr>
        <w:numPr>
          <w:ilvl w:val="0"/>
          <w:numId w:val="0"/>
        </w:numPr>
        <w:ind w:firstLine="440" w:firstLineChars="200"/>
        <w:rPr>
          <w:rFonts w:hint="default"/>
          <w:sz w:val="22"/>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50F18"/>
    <w:multiLevelType w:val="singleLevel"/>
    <w:tmpl w:val="85D50F1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yYmQzNzQwZDliYjAzM2I3YmNiZmRmZWM1NGUzODIifQ=="/>
  </w:docVars>
  <w:rsids>
    <w:rsidRoot w:val="00000000"/>
    <w:rsid w:val="1DC63B8E"/>
    <w:rsid w:val="1E264D5C"/>
    <w:rsid w:val="4A7B1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2024-10-22T00:58:00Z</dcterms:created>
  <dc:creator>Administrator.USER-20190323PF</dc:creator>
  <cp:lastModifiedBy>Administrator</cp:lastModifiedBy>
  <dcterms:modified xsi:type="dcterms:W3CDTF">2024-10-23T06:55:28Z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EEBEAEC903F04E04BB919A2FF91F2B38_12</vt:lpwstr>
  </property>
</Properties>
</file>