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C6F35">
      <w:pPr>
        <w:spacing w:line="360" w:lineRule="auto"/>
        <w:rPr>
          <w:rFonts w:hint="eastAsia" w:ascii="宋体" w:hAnsi="宋体" w:eastAsia="宋体" w:cs="宋体"/>
          <w:sz w:val="24"/>
          <w:szCs w:val="24"/>
        </w:rPr>
      </w:pPr>
    </w:p>
    <w:p w14:paraId="1DD31F7F">
      <w:pPr>
        <w:spacing w:line="360" w:lineRule="auto"/>
        <w:rPr>
          <w:rFonts w:hint="eastAsia" w:ascii="宋体" w:hAnsi="宋体" w:eastAsia="宋体" w:cs="宋体"/>
          <w:sz w:val="24"/>
          <w:szCs w:val="24"/>
        </w:rPr>
      </w:pPr>
    </w:p>
    <w:p w14:paraId="508C36AC">
      <w:pPr>
        <w:spacing w:line="360" w:lineRule="auto"/>
        <w:rPr>
          <w:rFonts w:hint="eastAsia" w:ascii="宋体" w:hAnsi="宋体" w:eastAsia="宋体" w:cs="宋体"/>
          <w:sz w:val="24"/>
          <w:szCs w:val="24"/>
        </w:rPr>
      </w:pPr>
    </w:p>
    <w:p w14:paraId="48608D72">
      <w:pPr>
        <w:spacing w:line="360" w:lineRule="auto"/>
        <w:jc w:val="center"/>
        <w:rPr>
          <w:rFonts w:hint="eastAsia" w:ascii="宋体" w:hAnsi="宋体" w:eastAsia="宋体" w:cs="宋体"/>
          <w:sz w:val="24"/>
          <w:szCs w:val="24"/>
        </w:rPr>
      </w:pPr>
    </w:p>
    <w:p w14:paraId="4DD5F99B">
      <w:pPr>
        <w:spacing w:line="360" w:lineRule="auto"/>
        <w:jc w:val="center"/>
        <w:rPr>
          <w:rFonts w:hint="eastAsia" w:ascii="宋体" w:hAnsi="宋体" w:eastAsia="宋体" w:cs="宋体"/>
          <w:b/>
          <w:sz w:val="52"/>
          <w:szCs w:val="52"/>
          <w:lang w:val="en-US" w:eastAsia="zh-CN"/>
        </w:rPr>
      </w:pPr>
      <w:r>
        <w:rPr>
          <w:rFonts w:hint="eastAsia" w:ascii="宋体" w:hAnsi="宋体" w:eastAsia="宋体" w:cs="宋体"/>
          <w:b/>
          <w:sz w:val="52"/>
          <w:szCs w:val="52"/>
          <w:lang w:val="en-US" w:eastAsia="zh-CN"/>
        </w:rPr>
        <w:t>VOCs走航监测系统维护</w:t>
      </w:r>
    </w:p>
    <w:p w14:paraId="6BAFE550">
      <w:pPr>
        <w:spacing w:line="360" w:lineRule="auto"/>
        <w:jc w:val="center"/>
        <w:rPr>
          <w:rFonts w:hint="default" w:ascii="宋体" w:hAnsi="宋体" w:eastAsia="宋体" w:cs="宋体"/>
          <w:b/>
          <w:sz w:val="52"/>
          <w:szCs w:val="52"/>
          <w:lang w:val="en-US" w:eastAsia="zh-CN"/>
        </w:rPr>
      </w:pPr>
      <w:r>
        <w:rPr>
          <w:rFonts w:hint="eastAsia" w:ascii="宋体" w:hAnsi="宋体" w:eastAsia="宋体" w:cs="宋体"/>
          <w:b/>
          <w:sz w:val="52"/>
          <w:szCs w:val="52"/>
          <w:lang w:val="en-US" w:eastAsia="zh-CN"/>
        </w:rPr>
        <w:t>服务项目</w:t>
      </w:r>
    </w:p>
    <w:p w14:paraId="20E31DEA">
      <w:pPr>
        <w:spacing w:line="360" w:lineRule="auto"/>
        <w:ind w:firstLine="883" w:firstLineChars="200"/>
        <w:jc w:val="both"/>
        <w:rPr>
          <w:rFonts w:hint="default" w:ascii="宋体" w:hAnsi="宋体" w:eastAsia="宋体" w:cs="宋体"/>
          <w:b/>
          <w:sz w:val="44"/>
          <w:szCs w:val="44"/>
          <w:lang w:val="en-US" w:eastAsia="zh-CN"/>
        </w:rPr>
      </w:pPr>
      <w:r>
        <w:rPr>
          <w:rFonts w:hint="eastAsia" w:ascii="宋体" w:hAnsi="宋体" w:eastAsia="宋体" w:cs="宋体"/>
          <w:b/>
          <w:sz w:val="44"/>
          <w:szCs w:val="44"/>
          <w:lang w:val="en-US" w:eastAsia="zh-CN"/>
        </w:rPr>
        <w:t xml:space="preserve">              </w:t>
      </w:r>
    </w:p>
    <w:p w14:paraId="526FB710">
      <w:pPr>
        <w:spacing w:line="360" w:lineRule="auto"/>
        <w:ind w:firstLine="3975" w:firstLineChars="900"/>
        <w:jc w:val="both"/>
        <w:rPr>
          <w:rFonts w:hint="eastAsia" w:ascii="宋体" w:hAnsi="宋体" w:eastAsia="宋体" w:cs="宋体"/>
          <w:b/>
          <w:sz w:val="44"/>
          <w:szCs w:val="44"/>
        </w:rPr>
      </w:pPr>
    </w:p>
    <w:p w14:paraId="26E62DE1">
      <w:pPr>
        <w:spacing w:line="360" w:lineRule="auto"/>
        <w:jc w:val="center"/>
        <w:rPr>
          <w:rFonts w:hint="eastAsia" w:ascii="宋体" w:hAnsi="宋体" w:eastAsia="宋体" w:cs="宋体"/>
          <w:b/>
          <w:sz w:val="44"/>
          <w:szCs w:val="44"/>
        </w:rPr>
      </w:pPr>
      <w:r>
        <w:rPr>
          <w:rFonts w:hint="eastAsia" w:ascii="宋体" w:hAnsi="宋体" w:eastAsia="宋体" w:cs="宋体"/>
          <w:b/>
          <w:sz w:val="44"/>
          <w:szCs w:val="44"/>
          <w:lang w:val="en-US" w:eastAsia="zh-CN"/>
        </w:rPr>
        <w:t>采购需求</w:t>
      </w:r>
      <w:r>
        <w:rPr>
          <w:rFonts w:hint="eastAsia" w:ascii="宋体" w:hAnsi="宋体" w:eastAsia="宋体" w:cs="宋体"/>
          <w:b/>
          <w:sz w:val="44"/>
          <w:szCs w:val="44"/>
        </w:rPr>
        <w:t>方案</w:t>
      </w:r>
    </w:p>
    <w:p w14:paraId="43555393">
      <w:pPr>
        <w:spacing w:line="360" w:lineRule="auto"/>
        <w:ind w:firstLine="424" w:firstLineChars="177"/>
        <w:rPr>
          <w:rFonts w:hint="eastAsia" w:ascii="宋体" w:hAnsi="宋体" w:eastAsia="宋体" w:cs="宋体"/>
          <w:sz w:val="24"/>
          <w:szCs w:val="24"/>
          <w:vertAlign w:val="subscript"/>
        </w:rPr>
      </w:pPr>
    </w:p>
    <w:p w14:paraId="26CB5CFE">
      <w:pPr>
        <w:spacing w:line="360" w:lineRule="auto"/>
        <w:ind w:firstLine="424" w:firstLineChars="177"/>
        <w:rPr>
          <w:rFonts w:hint="eastAsia" w:ascii="宋体" w:hAnsi="宋体" w:eastAsia="宋体" w:cs="宋体"/>
          <w:sz w:val="24"/>
          <w:szCs w:val="24"/>
        </w:rPr>
      </w:pPr>
    </w:p>
    <w:p w14:paraId="277E4805">
      <w:pPr>
        <w:spacing w:line="360" w:lineRule="auto"/>
        <w:ind w:firstLine="424" w:firstLineChars="177"/>
        <w:rPr>
          <w:rFonts w:hint="eastAsia" w:ascii="宋体" w:hAnsi="宋体" w:eastAsia="宋体" w:cs="宋体"/>
          <w:sz w:val="24"/>
          <w:szCs w:val="24"/>
        </w:rPr>
      </w:pPr>
    </w:p>
    <w:p w14:paraId="53706ED4">
      <w:pPr>
        <w:spacing w:line="360" w:lineRule="auto"/>
        <w:ind w:firstLine="424" w:firstLineChars="177"/>
        <w:rPr>
          <w:rFonts w:hint="eastAsia" w:ascii="宋体" w:hAnsi="宋体" w:eastAsia="宋体" w:cs="宋体"/>
          <w:sz w:val="24"/>
          <w:szCs w:val="24"/>
        </w:rPr>
      </w:pPr>
    </w:p>
    <w:p w14:paraId="71C14CAB">
      <w:pPr>
        <w:spacing w:line="360" w:lineRule="auto"/>
        <w:rPr>
          <w:rFonts w:hint="eastAsia" w:ascii="宋体" w:hAnsi="宋体" w:eastAsia="宋体" w:cs="宋体"/>
          <w:sz w:val="24"/>
          <w:szCs w:val="24"/>
        </w:rPr>
      </w:pPr>
    </w:p>
    <w:p w14:paraId="06E02C85">
      <w:pPr>
        <w:spacing w:line="360" w:lineRule="auto"/>
        <w:ind w:firstLine="424" w:firstLineChars="177"/>
        <w:rPr>
          <w:rFonts w:hint="eastAsia" w:ascii="宋体" w:hAnsi="宋体" w:eastAsia="宋体" w:cs="宋体"/>
          <w:sz w:val="24"/>
          <w:szCs w:val="24"/>
        </w:rPr>
      </w:pPr>
    </w:p>
    <w:p w14:paraId="1AF5B5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p>
    <w:p w14:paraId="4D6A2595">
      <w:pPr>
        <w:pStyle w:val="17"/>
        <w:rPr>
          <w:rFonts w:hint="eastAsia" w:ascii="宋体" w:hAnsi="宋体" w:eastAsia="宋体" w:cs="宋体"/>
          <w:sz w:val="24"/>
          <w:szCs w:val="24"/>
        </w:rPr>
      </w:pPr>
    </w:p>
    <w:p w14:paraId="6DBE9286">
      <w:pPr>
        <w:pStyle w:val="17"/>
        <w:rPr>
          <w:rFonts w:hint="eastAsia" w:ascii="宋体" w:hAnsi="宋体" w:eastAsia="宋体" w:cs="宋体"/>
          <w:sz w:val="24"/>
          <w:szCs w:val="24"/>
        </w:rPr>
      </w:pPr>
    </w:p>
    <w:p w14:paraId="12BB214F">
      <w:pPr>
        <w:pStyle w:val="17"/>
        <w:rPr>
          <w:rFonts w:hint="eastAsia" w:ascii="宋体" w:hAnsi="宋体" w:eastAsia="宋体" w:cs="宋体"/>
          <w:sz w:val="24"/>
          <w:szCs w:val="24"/>
        </w:rPr>
      </w:pPr>
    </w:p>
    <w:p w14:paraId="502A34A2">
      <w:pPr>
        <w:spacing w:line="360" w:lineRule="auto"/>
        <w:jc w:val="center"/>
        <w:rPr>
          <w:rFonts w:hint="default" w:ascii="宋体" w:hAnsi="宋体" w:eastAsia="宋体" w:cs="宋体"/>
          <w:b/>
          <w:sz w:val="30"/>
          <w:szCs w:val="30"/>
          <w:lang w:val="en-US" w:eastAsia="zh-CN"/>
        </w:rPr>
      </w:pPr>
      <w:r>
        <w:rPr>
          <w:rFonts w:hint="eastAsia" w:ascii="宋体" w:hAnsi="宋体" w:eastAsia="宋体" w:cs="宋体"/>
          <w:b/>
          <w:sz w:val="30"/>
          <w:szCs w:val="30"/>
          <w:lang w:val="en-US" w:eastAsia="zh-CN"/>
        </w:rPr>
        <w:t>广东省韶关生态环境监测中心站</w:t>
      </w:r>
    </w:p>
    <w:p w14:paraId="124125AF">
      <w:pPr>
        <w:jc w:val="center"/>
        <w:rPr>
          <w:rFonts w:hint="eastAsia" w:ascii="仿宋_GB2312" w:eastAsia="仿宋_GB2312"/>
          <w:b/>
          <w:sz w:val="36"/>
          <w:szCs w:val="32"/>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b/>
          <w:sz w:val="30"/>
          <w:szCs w:val="30"/>
        </w:rPr>
        <w:t>2</w:t>
      </w:r>
      <w:r>
        <w:rPr>
          <w:rFonts w:hint="eastAsia" w:ascii="宋体" w:hAnsi="宋体" w:eastAsia="宋体" w:cs="宋体"/>
          <w:b/>
          <w:sz w:val="30"/>
          <w:szCs w:val="30"/>
          <w:lang w:val="en-US" w:eastAsia="zh-CN"/>
        </w:rPr>
        <w:t>024</w:t>
      </w:r>
      <w:r>
        <w:rPr>
          <w:rFonts w:hint="eastAsia" w:ascii="宋体" w:hAnsi="宋体" w:eastAsia="宋体" w:cs="宋体"/>
          <w:b/>
          <w:sz w:val="30"/>
          <w:szCs w:val="30"/>
        </w:rPr>
        <w:t>年</w:t>
      </w:r>
      <w:r>
        <w:rPr>
          <w:rFonts w:hint="eastAsia" w:ascii="宋体" w:hAnsi="宋体" w:eastAsia="宋体" w:cs="宋体"/>
          <w:b/>
          <w:sz w:val="30"/>
          <w:szCs w:val="30"/>
          <w:lang w:val="en-US" w:eastAsia="zh-CN"/>
        </w:rPr>
        <w:t>8月</w:t>
      </w:r>
    </w:p>
    <w:p w14:paraId="5382F9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二、采购需求</w:t>
      </w:r>
    </w:p>
    <w:p w14:paraId="01EF833A">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eastAsia"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（一）采购目的</w:t>
      </w:r>
    </w:p>
    <w:p w14:paraId="60766307">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目前，正进入下半年的臭氧污染高发季节、持续时间长，</w:t>
      </w:r>
      <w:r>
        <w:rPr>
          <w:rFonts w:hint="eastAsia" w:ascii="仿宋" w:hAnsi="仿宋" w:eastAsia="仿宋" w:cs="仿宋"/>
          <w:sz w:val="30"/>
          <w:szCs w:val="30"/>
        </w:rPr>
        <w:t>VOCs走航监测系统</w:t>
      </w:r>
      <w:r>
        <w:rPr>
          <w:rFonts w:hint="eastAsia" w:ascii="仿宋" w:hAnsi="仿宋" w:eastAsia="仿宋" w:cs="仿宋"/>
          <w:sz w:val="30"/>
          <w:szCs w:val="30"/>
          <w:lang w:val="en-US" w:eastAsia="zh-CN"/>
        </w:rPr>
        <w:t>的使用频率将大幅增加。</w:t>
      </w:r>
      <w:r>
        <w:rPr>
          <w:rFonts w:hint="eastAsia" w:ascii="仿宋" w:hAnsi="仿宋" w:eastAsia="仿宋" w:cs="仿宋"/>
          <w:kern w:val="2"/>
          <w:sz w:val="30"/>
          <w:szCs w:val="30"/>
          <w:lang w:val="en-US" w:eastAsia="zh-CN" w:bidi="ar-SA"/>
        </w:rPr>
        <w:t>为适应大气监测与动态监测的工作要求，保障走航监测设备正常运行，及时高效提供准确、可靠的走航监测数据和分析报告，申请采购VOCs走航监测系统维护服务，并由服务商派驻专业工程师提供维护服务（按维护清单），通过清洗、维护保养和性能评估来如实反映仪器现状，并进一步发现隐患和排除隐患。</w:t>
      </w:r>
    </w:p>
    <w:p w14:paraId="378FA79F">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default"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（二）采购内容</w:t>
      </w:r>
    </w:p>
    <w:p w14:paraId="44A1B2D3">
      <w:pPr>
        <w:keepNext w:val="0"/>
        <w:keepLines w:val="0"/>
        <w:pageBreakBefore w:val="0"/>
        <w:widowControl w:val="0"/>
        <w:numPr>
          <w:ilvl w:val="0"/>
          <w:numId w:val="0"/>
        </w:numPr>
        <w:kinsoku/>
        <w:overflowPunct/>
        <w:topLinePunct w:val="0"/>
        <w:bidi w:val="0"/>
        <w:adjustRightInd/>
        <w:spacing w:beforeAutospacing="0" w:afterAutospacing="0" w:line="36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为Hapline VOCs走航监测系统提供设备维护、例行检查和预防性维护服务，协助仪器使用人员更好的使用和操作仪器，排除解决一般性故障问题（返厂维修除外），响应回答有关仪器技术类问题，通过每月、每季的例行检查和年度预防性维护服务可以减少仪器在使用过程中发生故障的频次和延长仪器的使用寿命。</w:t>
      </w:r>
    </w:p>
    <w:p w14:paraId="4C904C42">
      <w:pPr>
        <w:keepNext w:val="0"/>
        <w:keepLines w:val="0"/>
        <w:pageBreakBefore w:val="0"/>
        <w:widowControl w:val="0"/>
        <w:numPr>
          <w:ilvl w:val="0"/>
          <w:numId w:val="1"/>
        </w:numPr>
        <w:kinsoku/>
        <w:overflowPunct/>
        <w:topLinePunct w:val="0"/>
        <w:bidi w:val="0"/>
        <w:adjustRightInd/>
        <w:spacing w:beforeAutospacing="0" w:afterAutospacing="0" w:line="36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服务地点：VOCs走航监测车</w:t>
      </w:r>
    </w:p>
    <w:p w14:paraId="1C364A2C">
      <w:pPr>
        <w:keepNext w:val="0"/>
        <w:keepLines w:val="0"/>
        <w:pageBreakBefore w:val="0"/>
        <w:widowControl w:val="0"/>
        <w:numPr>
          <w:ilvl w:val="0"/>
          <w:numId w:val="1"/>
        </w:numPr>
        <w:kinsoku/>
        <w:overflowPunct/>
        <w:topLinePunct w:val="0"/>
        <w:bidi w:val="0"/>
        <w:adjustRightInd/>
        <w:spacing w:beforeAutospacing="0" w:afterAutospacing="0" w:line="36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服务期限：臭氧污染高发期（2024年9月-12月）</w:t>
      </w:r>
    </w:p>
    <w:p w14:paraId="3FA14EB2">
      <w:pPr>
        <w:keepNext w:val="0"/>
        <w:keepLines w:val="0"/>
        <w:pageBreakBefore w:val="0"/>
        <w:widowControl w:val="0"/>
        <w:numPr>
          <w:ilvl w:val="0"/>
          <w:numId w:val="1"/>
        </w:numPr>
        <w:kinsoku/>
        <w:overflowPunct/>
        <w:topLinePunct w:val="0"/>
        <w:bidi w:val="0"/>
        <w:adjustRightInd/>
        <w:spacing w:beforeAutospacing="0" w:afterAutospacing="0" w:line="360" w:lineRule="auto"/>
        <w:ind w:left="0"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服务类别及维护检查内容：</w:t>
      </w:r>
    </w:p>
    <w:tbl>
      <w:tblPr>
        <w:tblStyle w:val="12"/>
        <w:tblW w:w="5113" w:type="pct"/>
        <w:jc w:val="center"/>
        <w:tblLayout w:type="autofit"/>
        <w:tblCellMar>
          <w:top w:w="0" w:type="dxa"/>
          <w:left w:w="108" w:type="dxa"/>
          <w:bottom w:w="0" w:type="dxa"/>
          <w:right w:w="108" w:type="dxa"/>
        </w:tblCellMar>
      </w:tblPr>
      <w:tblGrid>
        <w:gridCol w:w="1710"/>
        <w:gridCol w:w="1470"/>
        <w:gridCol w:w="5535"/>
      </w:tblGrid>
      <w:tr w14:paraId="46610433">
        <w:tblPrEx>
          <w:tblCellMar>
            <w:top w:w="0" w:type="dxa"/>
            <w:left w:w="108" w:type="dxa"/>
            <w:bottom w:w="0" w:type="dxa"/>
            <w:right w:w="108" w:type="dxa"/>
          </w:tblCellMar>
        </w:tblPrEx>
        <w:trPr>
          <w:trHeight w:val="268" w:hRule="atLeast"/>
          <w:jc w:val="center"/>
        </w:trPr>
        <w:tc>
          <w:tcPr>
            <w:tcW w:w="981" w:type="pct"/>
            <w:tcBorders>
              <w:top w:val="single" w:color="auto" w:sz="4" w:space="0"/>
              <w:left w:val="single" w:color="auto" w:sz="4" w:space="0"/>
              <w:bottom w:val="single" w:color="auto" w:sz="4" w:space="0"/>
              <w:right w:val="single" w:color="auto" w:sz="4" w:space="0"/>
            </w:tcBorders>
            <w:shd w:val="clear" w:color="auto" w:fill="auto"/>
            <w:vAlign w:val="center"/>
          </w:tcPr>
          <w:p w14:paraId="0FAFE805">
            <w:pPr>
              <w:widowControl/>
              <w:jc w:val="center"/>
              <w:rPr>
                <w:rFonts w:hint="default" w:cs="Times New Roman"/>
                <w:b/>
                <w:bCs/>
                <w:color w:val="000000"/>
                <w:kern w:val="0"/>
                <w:sz w:val="21"/>
                <w:szCs w:val="21"/>
                <w:highlight w:val="none"/>
                <w:lang w:val="en-US" w:eastAsia="zh-CN"/>
              </w:rPr>
            </w:pPr>
            <w:r>
              <w:rPr>
                <w:rFonts w:hint="eastAsia" w:cs="Times New Roman"/>
                <w:b/>
                <w:bCs/>
                <w:color w:val="000000"/>
                <w:kern w:val="0"/>
                <w:sz w:val="21"/>
                <w:szCs w:val="21"/>
                <w:highlight w:val="none"/>
                <w:lang w:val="en-US" w:eastAsia="zh-CN"/>
              </w:rPr>
              <w:t>分类</w:t>
            </w:r>
          </w:p>
        </w:tc>
        <w:tc>
          <w:tcPr>
            <w:tcW w:w="843" w:type="pct"/>
            <w:tcBorders>
              <w:top w:val="single" w:color="auto" w:sz="4" w:space="0"/>
              <w:left w:val="nil"/>
              <w:bottom w:val="single" w:color="auto" w:sz="4" w:space="0"/>
              <w:right w:val="single" w:color="auto" w:sz="4" w:space="0"/>
            </w:tcBorders>
            <w:shd w:val="clear" w:color="auto" w:fill="auto"/>
            <w:vAlign w:val="center"/>
          </w:tcPr>
          <w:p w14:paraId="17ADC6AE">
            <w:pPr>
              <w:widowControl/>
              <w:jc w:val="center"/>
              <w:rPr>
                <w:rFonts w:hint="eastAsia" w:ascii="Times New Roman" w:hAnsi="Times New Roman" w:eastAsia="宋体" w:cs="Times New Roman"/>
                <w:b/>
                <w:bCs/>
                <w:color w:val="000000"/>
                <w:kern w:val="0"/>
                <w:sz w:val="21"/>
                <w:szCs w:val="21"/>
                <w:highlight w:val="none"/>
                <w:lang w:val="en-US" w:eastAsia="zh-CN"/>
              </w:rPr>
            </w:pPr>
            <w:r>
              <w:rPr>
                <w:rFonts w:hint="eastAsia" w:cs="Times New Roman"/>
                <w:b/>
                <w:bCs/>
                <w:color w:val="000000"/>
                <w:kern w:val="0"/>
                <w:sz w:val="21"/>
                <w:szCs w:val="21"/>
                <w:highlight w:val="none"/>
                <w:lang w:val="en-US" w:eastAsia="zh-CN"/>
              </w:rPr>
              <w:t>内容</w:t>
            </w:r>
          </w:p>
        </w:tc>
        <w:tc>
          <w:tcPr>
            <w:tcW w:w="3175" w:type="pct"/>
            <w:tcBorders>
              <w:top w:val="single" w:color="auto" w:sz="4" w:space="0"/>
              <w:left w:val="nil"/>
              <w:bottom w:val="single" w:color="auto" w:sz="4" w:space="0"/>
              <w:right w:val="single" w:color="auto" w:sz="4" w:space="0"/>
            </w:tcBorders>
            <w:shd w:val="clear" w:color="000000" w:fill="FFFFFF"/>
            <w:vAlign w:val="center"/>
          </w:tcPr>
          <w:p w14:paraId="51BC28BB">
            <w:pPr>
              <w:widowControl/>
              <w:jc w:val="center"/>
              <w:rPr>
                <w:rFonts w:hint="eastAsia" w:ascii="Times New Roman" w:hAnsi="Times New Roman" w:eastAsia="宋体" w:cs="Times New Roman"/>
                <w:b/>
                <w:bCs/>
                <w:color w:val="000000"/>
                <w:kern w:val="0"/>
                <w:sz w:val="21"/>
                <w:szCs w:val="21"/>
                <w:highlight w:val="none"/>
                <w:lang w:val="en-US" w:eastAsia="zh-CN"/>
              </w:rPr>
            </w:pPr>
            <w:r>
              <w:rPr>
                <w:rFonts w:hint="eastAsia" w:cs="Times New Roman"/>
                <w:b/>
                <w:bCs/>
                <w:color w:val="000000"/>
                <w:kern w:val="0"/>
                <w:sz w:val="21"/>
                <w:szCs w:val="21"/>
                <w:highlight w:val="none"/>
                <w:lang w:val="en-US" w:eastAsia="zh-CN"/>
              </w:rPr>
              <w:t>要求</w:t>
            </w:r>
          </w:p>
        </w:tc>
      </w:tr>
      <w:tr w14:paraId="60B22917">
        <w:tblPrEx>
          <w:tblCellMar>
            <w:top w:w="0" w:type="dxa"/>
            <w:left w:w="108" w:type="dxa"/>
            <w:bottom w:w="0" w:type="dxa"/>
            <w:right w:w="108" w:type="dxa"/>
          </w:tblCellMar>
        </w:tblPrEx>
        <w:trPr>
          <w:trHeight w:val="528" w:hRule="atLeast"/>
          <w:jc w:val="center"/>
        </w:trPr>
        <w:tc>
          <w:tcPr>
            <w:tcW w:w="9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24D87A">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一、月度例行检查</w:t>
            </w:r>
            <w:r>
              <w:rPr>
                <w:rFonts w:hint="default" w:ascii="Times New Roman" w:hAnsi="Times New Roman" w:eastAsia="宋体" w:cs="Times New Roman"/>
                <w:color w:val="000000"/>
                <w:kern w:val="0"/>
                <w:sz w:val="21"/>
                <w:szCs w:val="21"/>
                <w:highlight w:val="none"/>
              </w:rPr>
              <w:t>内容</w:t>
            </w:r>
            <w:r>
              <w:rPr>
                <w:rFonts w:hint="eastAsia" w:ascii="Times New Roman" w:hAnsi="Times New Roman" w:eastAsia="宋体" w:cs="Times New Roman"/>
                <w:color w:val="000000"/>
                <w:kern w:val="0"/>
                <w:sz w:val="21"/>
                <w:szCs w:val="21"/>
                <w:highlight w:val="none"/>
                <w:lang w:eastAsia="zh-CN"/>
              </w:rPr>
              <w:t>（</w:t>
            </w:r>
            <w:r>
              <w:rPr>
                <w:rFonts w:hint="eastAsia" w:ascii="Times New Roman" w:hAnsi="Times New Roman" w:eastAsia="宋体" w:cs="Times New Roman"/>
                <w:color w:val="000000"/>
                <w:kern w:val="0"/>
                <w:sz w:val="21"/>
                <w:szCs w:val="21"/>
                <w:highlight w:val="none"/>
                <w:lang w:val="en-US" w:eastAsia="zh-CN"/>
              </w:rPr>
              <w:t>共4次）</w:t>
            </w:r>
          </w:p>
        </w:tc>
        <w:tc>
          <w:tcPr>
            <w:tcW w:w="843" w:type="pct"/>
            <w:tcBorders>
              <w:top w:val="single" w:color="auto" w:sz="4" w:space="0"/>
              <w:left w:val="nil"/>
              <w:bottom w:val="single" w:color="auto" w:sz="4" w:space="0"/>
              <w:right w:val="single" w:color="auto" w:sz="4" w:space="0"/>
            </w:tcBorders>
            <w:shd w:val="clear" w:color="auto" w:fill="auto"/>
            <w:vAlign w:val="center"/>
          </w:tcPr>
          <w:p w14:paraId="4E2BD48C">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1.</w:t>
            </w:r>
            <w:r>
              <w:rPr>
                <w:rFonts w:hint="default" w:ascii="Times New Roman" w:hAnsi="Times New Roman" w:eastAsia="宋体" w:cs="Times New Roman"/>
                <w:color w:val="000000"/>
                <w:kern w:val="0"/>
                <w:sz w:val="21"/>
                <w:szCs w:val="21"/>
                <w:highlight w:val="none"/>
              </w:rPr>
              <w:t>整体维护</w:t>
            </w:r>
          </w:p>
        </w:tc>
        <w:tc>
          <w:tcPr>
            <w:tcW w:w="3175" w:type="pct"/>
            <w:tcBorders>
              <w:top w:val="single" w:color="auto" w:sz="4" w:space="0"/>
              <w:left w:val="nil"/>
              <w:bottom w:val="single" w:color="auto" w:sz="4" w:space="0"/>
              <w:right w:val="single" w:color="auto" w:sz="4" w:space="0"/>
            </w:tcBorders>
            <w:shd w:val="clear" w:color="000000" w:fill="FFFFFF"/>
            <w:vAlign w:val="center"/>
          </w:tcPr>
          <w:p w14:paraId="5142BB38">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设备的各个接口检漏，仪器外观清洁，整理仪器设备的耗材配件，设备基本维护</w:t>
            </w:r>
          </w:p>
        </w:tc>
      </w:tr>
      <w:tr w14:paraId="3F1FD7DE">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4174B59F">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64FA6CF2">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2..</w:t>
            </w:r>
            <w:r>
              <w:rPr>
                <w:rFonts w:hint="default" w:ascii="Times New Roman" w:hAnsi="Times New Roman" w:eastAsia="宋体" w:cs="Times New Roman"/>
                <w:color w:val="000000"/>
                <w:kern w:val="0"/>
                <w:sz w:val="21"/>
                <w:szCs w:val="21"/>
                <w:highlight w:val="none"/>
              </w:rPr>
              <w:t>温度检查</w:t>
            </w:r>
          </w:p>
        </w:tc>
        <w:tc>
          <w:tcPr>
            <w:tcW w:w="3175" w:type="pct"/>
            <w:tcBorders>
              <w:top w:val="nil"/>
              <w:left w:val="nil"/>
              <w:bottom w:val="single" w:color="auto" w:sz="4" w:space="0"/>
              <w:right w:val="single" w:color="auto" w:sz="4" w:space="0"/>
            </w:tcBorders>
            <w:shd w:val="clear" w:color="auto" w:fill="auto"/>
            <w:vAlign w:val="center"/>
          </w:tcPr>
          <w:p w14:paraId="6F6CE74D">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柱箱温度、浓缩管温度、隔膜温度、阀温度、探头温度等加热区</w:t>
            </w:r>
          </w:p>
        </w:tc>
      </w:tr>
      <w:tr w14:paraId="4AFC8B13">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2925537D">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03FFEAC2">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3.</w:t>
            </w:r>
            <w:r>
              <w:rPr>
                <w:rFonts w:hint="default" w:ascii="Times New Roman" w:hAnsi="Times New Roman" w:eastAsia="宋体" w:cs="Times New Roman"/>
                <w:color w:val="000000"/>
                <w:kern w:val="0"/>
                <w:sz w:val="21"/>
                <w:szCs w:val="21"/>
                <w:highlight w:val="none"/>
              </w:rPr>
              <w:t>质谱真空度检查</w:t>
            </w:r>
          </w:p>
        </w:tc>
        <w:tc>
          <w:tcPr>
            <w:tcW w:w="3175" w:type="pct"/>
            <w:tcBorders>
              <w:top w:val="nil"/>
              <w:left w:val="nil"/>
              <w:bottom w:val="single" w:color="auto" w:sz="4" w:space="0"/>
              <w:right w:val="single" w:color="auto" w:sz="4" w:space="0"/>
            </w:tcBorders>
            <w:shd w:val="clear" w:color="auto" w:fill="auto"/>
            <w:vAlign w:val="center"/>
          </w:tcPr>
          <w:p w14:paraId="0DED8644">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质谱真空度不能超过6×10</w:t>
            </w:r>
            <w:r>
              <w:rPr>
                <w:rFonts w:hint="default" w:ascii="Times New Roman" w:hAnsi="Times New Roman" w:eastAsia="宋体" w:cs="Times New Roman"/>
                <w:color w:val="000000"/>
                <w:kern w:val="0"/>
                <w:sz w:val="21"/>
                <w:szCs w:val="21"/>
                <w:highlight w:val="none"/>
                <w:vertAlign w:val="superscript"/>
              </w:rPr>
              <w:t>-3</w:t>
            </w:r>
            <w:r>
              <w:rPr>
                <w:rFonts w:hint="default" w:ascii="Times New Roman" w:hAnsi="Times New Roman" w:eastAsia="宋体" w:cs="Times New Roman"/>
                <w:color w:val="000000"/>
                <w:kern w:val="0"/>
                <w:sz w:val="21"/>
                <w:szCs w:val="21"/>
                <w:highlight w:val="none"/>
              </w:rPr>
              <w:t>Pa，如果真空度不够，需要使用服务模块维护真空</w:t>
            </w:r>
          </w:p>
        </w:tc>
      </w:tr>
      <w:tr w14:paraId="2A220B77">
        <w:tblPrEx>
          <w:tblCellMar>
            <w:top w:w="0" w:type="dxa"/>
            <w:left w:w="108" w:type="dxa"/>
            <w:bottom w:w="0" w:type="dxa"/>
            <w:right w:w="108" w:type="dxa"/>
          </w:tblCellMar>
        </w:tblPrEx>
        <w:trPr>
          <w:trHeight w:val="383"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755C4BC8">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087EA3B4">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4.</w:t>
            </w:r>
            <w:r>
              <w:rPr>
                <w:rFonts w:hint="default" w:ascii="Times New Roman" w:hAnsi="Times New Roman" w:eastAsia="宋体" w:cs="Times New Roman"/>
                <w:color w:val="000000"/>
                <w:kern w:val="0"/>
                <w:sz w:val="21"/>
                <w:szCs w:val="21"/>
                <w:highlight w:val="none"/>
              </w:rPr>
              <w:t>调谐仪器</w:t>
            </w:r>
          </w:p>
        </w:tc>
        <w:tc>
          <w:tcPr>
            <w:tcW w:w="3175" w:type="pct"/>
            <w:tcBorders>
              <w:top w:val="nil"/>
              <w:left w:val="nil"/>
              <w:bottom w:val="single" w:color="auto" w:sz="4" w:space="0"/>
              <w:right w:val="single" w:color="auto" w:sz="4" w:space="0"/>
            </w:tcBorders>
            <w:shd w:val="clear" w:color="auto" w:fill="auto"/>
            <w:vAlign w:val="center"/>
          </w:tcPr>
          <w:p w14:paraId="0DEA76F6">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需要定期</w:t>
            </w:r>
            <w:r>
              <w:rPr>
                <w:rFonts w:hint="eastAsia" w:cs="Times New Roman"/>
                <w:color w:val="000000"/>
                <w:kern w:val="0"/>
                <w:sz w:val="21"/>
                <w:szCs w:val="21"/>
                <w:highlight w:val="none"/>
                <w:lang w:val="en-US" w:eastAsia="zh-CN"/>
              </w:rPr>
              <w:t>调谐</w:t>
            </w:r>
            <w:r>
              <w:rPr>
                <w:rFonts w:hint="default" w:ascii="Times New Roman" w:hAnsi="Times New Roman" w:eastAsia="宋体" w:cs="Times New Roman"/>
                <w:color w:val="000000"/>
                <w:kern w:val="0"/>
                <w:sz w:val="21"/>
                <w:szCs w:val="21"/>
                <w:highlight w:val="none"/>
              </w:rPr>
              <w:t>，确保仪器的定性准确性和灵敏度</w:t>
            </w:r>
          </w:p>
        </w:tc>
      </w:tr>
      <w:tr w14:paraId="223A29B7">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16A7E9B9">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63DBD0B3">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5.</w:t>
            </w:r>
            <w:r>
              <w:rPr>
                <w:rFonts w:hint="default" w:ascii="Times New Roman" w:hAnsi="Times New Roman" w:eastAsia="宋体" w:cs="Times New Roman"/>
                <w:color w:val="000000"/>
                <w:kern w:val="0"/>
                <w:sz w:val="21"/>
                <w:szCs w:val="21"/>
                <w:highlight w:val="none"/>
              </w:rPr>
              <w:t>仪器内部系统清洗</w:t>
            </w:r>
          </w:p>
        </w:tc>
        <w:tc>
          <w:tcPr>
            <w:tcW w:w="3175" w:type="pct"/>
            <w:tcBorders>
              <w:top w:val="nil"/>
              <w:left w:val="nil"/>
              <w:bottom w:val="single" w:color="auto" w:sz="4" w:space="0"/>
              <w:right w:val="single" w:color="auto" w:sz="4" w:space="0"/>
            </w:tcBorders>
            <w:shd w:val="clear" w:color="000000" w:fill="FFFFFF"/>
            <w:vAlign w:val="center"/>
          </w:tcPr>
          <w:p w14:paraId="778F0B80">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清洗仪器系统内部，维持仪器的背景值在较低水平</w:t>
            </w:r>
          </w:p>
        </w:tc>
      </w:tr>
      <w:tr w14:paraId="19D903F4">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26B189D7">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23DB3598">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6.</w:t>
            </w:r>
            <w:r>
              <w:rPr>
                <w:rFonts w:hint="default" w:ascii="Times New Roman" w:hAnsi="Times New Roman" w:eastAsia="宋体" w:cs="Times New Roman"/>
                <w:color w:val="000000"/>
                <w:kern w:val="0"/>
                <w:sz w:val="21"/>
                <w:szCs w:val="21"/>
                <w:highlight w:val="none"/>
              </w:rPr>
              <w:t>软件检查</w:t>
            </w:r>
          </w:p>
        </w:tc>
        <w:tc>
          <w:tcPr>
            <w:tcW w:w="3175" w:type="pct"/>
            <w:tcBorders>
              <w:top w:val="nil"/>
              <w:left w:val="nil"/>
              <w:bottom w:val="single" w:color="auto" w:sz="4" w:space="0"/>
              <w:right w:val="single" w:color="auto" w:sz="4" w:space="0"/>
            </w:tcBorders>
            <w:shd w:val="clear" w:color="auto" w:fill="auto"/>
            <w:vAlign w:val="center"/>
          </w:tcPr>
          <w:p w14:paraId="02C8BCEE">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确保工作站和仪器能够正常联机使用，确保仪器能稳定连接互联网，以保证仪器能连接服务器</w:t>
            </w:r>
          </w:p>
        </w:tc>
      </w:tr>
      <w:tr w14:paraId="0ED2B2FC">
        <w:tblPrEx>
          <w:tblCellMar>
            <w:top w:w="0" w:type="dxa"/>
            <w:left w:w="108" w:type="dxa"/>
            <w:bottom w:w="0" w:type="dxa"/>
            <w:right w:w="108" w:type="dxa"/>
          </w:tblCellMar>
        </w:tblPrEx>
        <w:trPr>
          <w:trHeight w:val="342"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2239AC7B">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44641B8E">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7.</w:t>
            </w:r>
            <w:r>
              <w:rPr>
                <w:rFonts w:hint="default" w:ascii="Times New Roman" w:hAnsi="Times New Roman" w:eastAsia="宋体" w:cs="Times New Roman"/>
                <w:color w:val="000000"/>
                <w:kern w:val="0"/>
                <w:sz w:val="21"/>
                <w:szCs w:val="21"/>
                <w:highlight w:val="none"/>
              </w:rPr>
              <w:t>空白测试</w:t>
            </w:r>
          </w:p>
        </w:tc>
        <w:tc>
          <w:tcPr>
            <w:tcW w:w="3175" w:type="pct"/>
            <w:tcBorders>
              <w:top w:val="nil"/>
              <w:left w:val="nil"/>
              <w:bottom w:val="single" w:color="auto" w:sz="4" w:space="0"/>
              <w:right w:val="single" w:color="auto" w:sz="4" w:space="0"/>
            </w:tcBorders>
            <w:shd w:val="clear" w:color="auto" w:fill="auto"/>
            <w:vAlign w:val="center"/>
          </w:tcPr>
          <w:p w14:paraId="4F101BDD">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测试高纯N2气，确认仪器的</w:t>
            </w:r>
            <w:r>
              <w:rPr>
                <w:rFonts w:hint="eastAsia" w:cs="Times New Roman"/>
                <w:color w:val="000000"/>
                <w:kern w:val="0"/>
                <w:sz w:val="21"/>
                <w:szCs w:val="21"/>
                <w:highlight w:val="none"/>
                <w:lang w:val="en-US" w:eastAsia="zh-CN"/>
              </w:rPr>
              <w:t>内标</w:t>
            </w:r>
            <w:r>
              <w:rPr>
                <w:rFonts w:hint="default" w:ascii="Times New Roman" w:hAnsi="Times New Roman" w:eastAsia="宋体" w:cs="Times New Roman"/>
                <w:color w:val="000000"/>
                <w:kern w:val="0"/>
                <w:sz w:val="21"/>
                <w:szCs w:val="21"/>
                <w:highlight w:val="none"/>
              </w:rPr>
              <w:t>响应值在出厂的指标以内</w:t>
            </w:r>
          </w:p>
        </w:tc>
      </w:tr>
      <w:tr w14:paraId="78A1541A">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5A1A3513">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2A59738B">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8.</w:t>
            </w:r>
            <w:r>
              <w:rPr>
                <w:rFonts w:hint="default" w:ascii="Times New Roman" w:hAnsi="Times New Roman" w:eastAsia="宋体" w:cs="Times New Roman"/>
                <w:color w:val="000000"/>
                <w:kern w:val="0"/>
                <w:sz w:val="21"/>
                <w:szCs w:val="21"/>
                <w:highlight w:val="none"/>
              </w:rPr>
              <w:t>标准样品</w:t>
            </w:r>
          </w:p>
          <w:p w14:paraId="6032E883">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测试</w:t>
            </w:r>
          </w:p>
        </w:tc>
        <w:tc>
          <w:tcPr>
            <w:tcW w:w="3175" w:type="pct"/>
            <w:tcBorders>
              <w:top w:val="nil"/>
              <w:left w:val="nil"/>
              <w:bottom w:val="single" w:color="auto" w:sz="4" w:space="0"/>
              <w:right w:val="single" w:color="auto" w:sz="4" w:space="0"/>
            </w:tcBorders>
            <w:shd w:val="clear" w:color="auto" w:fill="auto"/>
            <w:vAlign w:val="center"/>
          </w:tcPr>
          <w:p w14:paraId="7840078B">
            <w:pPr>
              <w:widowControl/>
              <w:jc w:val="left"/>
              <w:rPr>
                <w:rFonts w:hint="default" w:ascii="Times New Roman" w:hAnsi="Times New Roman" w:eastAsia="宋体" w:cs="Times New Roman"/>
                <w:kern w:val="0"/>
                <w:sz w:val="21"/>
                <w:szCs w:val="21"/>
                <w:highlight w:val="none"/>
              </w:rPr>
            </w:pPr>
            <w:r>
              <w:rPr>
                <w:rFonts w:hint="default" w:ascii="Times New Roman" w:hAnsi="Times New Roman" w:eastAsia="宋体" w:cs="Times New Roman"/>
                <w:kern w:val="0"/>
                <w:sz w:val="21"/>
                <w:szCs w:val="21"/>
                <w:highlight w:val="none"/>
              </w:rPr>
              <w:t>测试苯系物标准气体，检查峰的数目、保留时间和峰面积是否正常（包含测试标液）</w:t>
            </w:r>
          </w:p>
        </w:tc>
      </w:tr>
      <w:tr w14:paraId="4E8BD08E">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4D86291D">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1FF2387F">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9.</w:t>
            </w:r>
            <w:r>
              <w:rPr>
                <w:rFonts w:hint="default" w:ascii="Times New Roman" w:hAnsi="Times New Roman" w:eastAsia="宋体" w:cs="Times New Roman"/>
                <w:color w:val="000000"/>
                <w:kern w:val="0"/>
                <w:sz w:val="21"/>
                <w:szCs w:val="21"/>
                <w:highlight w:val="none"/>
              </w:rPr>
              <w:t>载气</w:t>
            </w:r>
          </w:p>
        </w:tc>
        <w:tc>
          <w:tcPr>
            <w:tcW w:w="3175" w:type="pct"/>
            <w:tcBorders>
              <w:top w:val="nil"/>
              <w:left w:val="nil"/>
              <w:bottom w:val="single" w:color="auto" w:sz="4" w:space="0"/>
              <w:right w:val="single" w:color="auto" w:sz="4" w:space="0"/>
            </w:tcBorders>
            <w:shd w:val="clear" w:color="auto" w:fill="auto"/>
            <w:vAlign w:val="center"/>
          </w:tcPr>
          <w:p w14:paraId="3A72B444">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检查载气的消耗量是否在正常范围内，如果消耗量异常，</w:t>
            </w:r>
            <w:r>
              <w:rPr>
                <w:rFonts w:hint="eastAsia" w:cs="Times New Roman"/>
                <w:color w:val="000000"/>
                <w:kern w:val="0"/>
                <w:sz w:val="21"/>
                <w:szCs w:val="21"/>
                <w:highlight w:val="none"/>
                <w:lang w:val="en-US" w:eastAsia="zh-CN"/>
              </w:rPr>
              <w:t>排查</w:t>
            </w:r>
            <w:r>
              <w:rPr>
                <w:rFonts w:hint="default" w:ascii="Times New Roman" w:hAnsi="Times New Roman" w:eastAsia="宋体" w:cs="Times New Roman"/>
                <w:color w:val="000000"/>
                <w:kern w:val="0"/>
                <w:sz w:val="21"/>
                <w:szCs w:val="21"/>
                <w:highlight w:val="none"/>
              </w:rPr>
              <w:t>仪器内部漏气点或存在其他问题</w:t>
            </w:r>
          </w:p>
        </w:tc>
      </w:tr>
      <w:tr w14:paraId="64DCB476">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46A6CD0B">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13A0D5ED">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10.</w:t>
            </w:r>
            <w:r>
              <w:rPr>
                <w:rFonts w:hint="default" w:ascii="Times New Roman" w:hAnsi="Times New Roman" w:eastAsia="宋体" w:cs="Times New Roman"/>
                <w:color w:val="000000"/>
                <w:kern w:val="0"/>
                <w:sz w:val="21"/>
                <w:szCs w:val="21"/>
                <w:highlight w:val="none"/>
              </w:rPr>
              <w:t>网络检查</w:t>
            </w:r>
          </w:p>
        </w:tc>
        <w:tc>
          <w:tcPr>
            <w:tcW w:w="3175" w:type="pct"/>
            <w:tcBorders>
              <w:top w:val="nil"/>
              <w:left w:val="nil"/>
              <w:bottom w:val="single" w:color="auto" w:sz="4" w:space="0"/>
              <w:right w:val="single" w:color="auto" w:sz="4" w:space="0"/>
            </w:tcBorders>
            <w:shd w:val="clear" w:color="auto" w:fill="auto"/>
            <w:vAlign w:val="center"/>
          </w:tcPr>
          <w:p w14:paraId="5CC1D4A9">
            <w:pPr>
              <w:widowControl/>
              <w:jc w:val="left"/>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rPr>
              <w:t>设备需要连接互联网和GPS，以实时定位，需定期维护网络通讯模块</w:t>
            </w:r>
          </w:p>
        </w:tc>
      </w:tr>
      <w:tr w14:paraId="5F560020">
        <w:tblPrEx>
          <w:tblCellMar>
            <w:top w:w="0" w:type="dxa"/>
            <w:left w:w="108" w:type="dxa"/>
            <w:bottom w:w="0" w:type="dxa"/>
            <w:right w:w="108" w:type="dxa"/>
          </w:tblCellMar>
        </w:tblPrEx>
        <w:trPr>
          <w:trHeight w:val="325" w:hRule="atLeast"/>
          <w:jc w:val="center"/>
        </w:trPr>
        <w:tc>
          <w:tcPr>
            <w:tcW w:w="98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CA821D">
            <w:pPr>
              <w:widowControl/>
              <w:jc w:val="center"/>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二、</w:t>
            </w:r>
            <w:r>
              <w:rPr>
                <w:rFonts w:hint="default" w:ascii="Times New Roman" w:hAnsi="Times New Roman" w:eastAsia="宋体" w:cs="Times New Roman"/>
                <w:color w:val="000000"/>
                <w:kern w:val="0"/>
                <w:sz w:val="21"/>
                <w:szCs w:val="21"/>
                <w:highlight w:val="none"/>
              </w:rPr>
              <w:t>季度</w:t>
            </w:r>
            <w:r>
              <w:rPr>
                <w:rFonts w:hint="eastAsia" w:cs="Times New Roman"/>
                <w:color w:val="000000"/>
                <w:kern w:val="0"/>
                <w:sz w:val="21"/>
                <w:szCs w:val="21"/>
                <w:highlight w:val="none"/>
                <w:lang w:val="en-US" w:eastAsia="zh-CN"/>
              </w:rPr>
              <w:t>检查维护</w:t>
            </w:r>
            <w:r>
              <w:rPr>
                <w:rFonts w:hint="default" w:ascii="Times New Roman" w:hAnsi="Times New Roman" w:eastAsia="宋体" w:cs="Times New Roman"/>
                <w:color w:val="000000"/>
                <w:kern w:val="0"/>
                <w:sz w:val="21"/>
                <w:szCs w:val="21"/>
                <w:highlight w:val="none"/>
              </w:rPr>
              <w:t>内容（在</w:t>
            </w:r>
            <w:r>
              <w:rPr>
                <w:rFonts w:hint="eastAsia" w:cs="Times New Roman"/>
                <w:color w:val="000000"/>
                <w:kern w:val="0"/>
                <w:sz w:val="21"/>
                <w:szCs w:val="21"/>
                <w:highlight w:val="none"/>
                <w:lang w:eastAsia="zh-CN"/>
              </w:rPr>
              <w:t>例行检查</w:t>
            </w:r>
            <w:r>
              <w:rPr>
                <w:rFonts w:hint="default" w:ascii="Times New Roman" w:hAnsi="Times New Roman" w:eastAsia="宋体" w:cs="Times New Roman"/>
                <w:color w:val="000000"/>
                <w:kern w:val="0"/>
                <w:sz w:val="21"/>
                <w:szCs w:val="21"/>
                <w:highlight w:val="none"/>
              </w:rPr>
              <w:t>基础上增加的项目）</w:t>
            </w:r>
            <w:r>
              <w:rPr>
                <w:rFonts w:hint="eastAsia" w:ascii="Times New Roman" w:hAnsi="Times New Roman" w:eastAsia="宋体" w:cs="Times New Roman"/>
                <w:color w:val="000000"/>
                <w:kern w:val="0"/>
                <w:sz w:val="21"/>
                <w:szCs w:val="21"/>
                <w:highlight w:val="none"/>
                <w:lang w:eastAsia="zh-CN"/>
              </w:rPr>
              <w:t>（</w:t>
            </w:r>
            <w:r>
              <w:rPr>
                <w:rFonts w:hint="eastAsia" w:ascii="Times New Roman" w:hAnsi="Times New Roman" w:eastAsia="宋体" w:cs="Times New Roman"/>
                <w:color w:val="000000"/>
                <w:kern w:val="0"/>
                <w:sz w:val="21"/>
                <w:szCs w:val="21"/>
                <w:highlight w:val="none"/>
                <w:lang w:val="en-US" w:eastAsia="zh-CN"/>
              </w:rPr>
              <w:t>共2次）</w:t>
            </w: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20E1DF42">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1.</w:t>
            </w:r>
            <w:r>
              <w:rPr>
                <w:rFonts w:hint="default" w:ascii="Times New Roman" w:hAnsi="Times New Roman" w:eastAsia="宋体" w:cs="Times New Roman"/>
                <w:color w:val="000000"/>
                <w:kern w:val="0"/>
                <w:sz w:val="21"/>
                <w:szCs w:val="21"/>
                <w:highlight w:val="none"/>
              </w:rPr>
              <w:t>净化器</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0DDC762F">
            <w:pPr>
              <w:widowControl/>
              <w:jc w:val="left"/>
              <w:rPr>
                <w:rFonts w:hint="default" w:ascii="Times New Roman" w:hAnsi="Times New Roman" w:eastAsia="宋体" w:cs="Times New Roman"/>
                <w:color w:val="000000"/>
                <w:kern w:val="0"/>
                <w:sz w:val="21"/>
                <w:szCs w:val="21"/>
                <w:highlight w:val="none"/>
                <w:lang w:val="en-US" w:eastAsia="zh-CN"/>
              </w:rPr>
            </w:pPr>
            <w:r>
              <w:rPr>
                <w:rFonts w:hint="default" w:ascii="Times New Roman" w:hAnsi="Times New Roman" w:eastAsia="宋体" w:cs="Times New Roman"/>
                <w:color w:val="000000"/>
                <w:kern w:val="0"/>
                <w:sz w:val="21"/>
                <w:szCs w:val="21"/>
                <w:highlight w:val="none"/>
              </w:rPr>
              <w:t>净化器会影响设备的基线值，需要定期维护</w:t>
            </w:r>
            <w:r>
              <w:rPr>
                <w:rFonts w:hint="eastAsia" w:cs="Times New Roman"/>
                <w:color w:val="000000"/>
                <w:kern w:val="0"/>
                <w:sz w:val="21"/>
                <w:szCs w:val="21"/>
                <w:highlight w:val="none"/>
                <w:lang w:val="en-US" w:eastAsia="zh-CN"/>
              </w:rPr>
              <w:t>/更换</w:t>
            </w:r>
          </w:p>
        </w:tc>
      </w:tr>
      <w:tr w14:paraId="1E2CC407">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73B06D05">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134E0A2">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2.</w:t>
            </w:r>
            <w:r>
              <w:rPr>
                <w:rFonts w:hint="default" w:ascii="Times New Roman" w:hAnsi="Times New Roman" w:eastAsia="宋体" w:cs="Times New Roman"/>
                <w:color w:val="000000"/>
                <w:kern w:val="0"/>
                <w:sz w:val="21"/>
                <w:szCs w:val="21"/>
                <w:highlight w:val="none"/>
              </w:rPr>
              <w:t>标准样品</w:t>
            </w:r>
          </w:p>
          <w:p w14:paraId="42EFA0AB">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default" w:ascii="Times New Roman" w:hAnsi="Times New Roman" w:eastAsia="宋体" w:cs="Times New Roman"/>
                <w:color w:val="000000"/>
                <w:kern w:val="0"/>
                <w:sz w:val="21"/>
                <w:szCs w:val="21"/>
                <w:highlight w:val="none"/>
              </w:rPr>
              <w:t>测试</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60C9F5C8">
            <w:pPr>
              <w:widowControl/>
              <w:jc w:val="left"/>
              <w:rPr>
                <w:rFonts w:hint="default" w:ascii="Times New Roman" w:hAnsi="Times New Roman" w:eastAsia="宋体" w:cs="Times New Roman"/>
                <w:kern w:val="0"/>
                <w:sz w:val="21"/>
                <w:szCs w:val="21"/>
                <w:highlight w:val="none"/>
                <w:lang w:val="en-US" w:eastAsia="zh-CN" w:bidi="ar-SA"/>
              </w:rPr>
            </w:pPr>
            <w:r>
              <w:rPr>
                <w:rFonts w:hint="default" w:ascii="Times New Roman" w:hAnsi="Times New Roman" w:eastAsia="宋体" w:cs="Times New Roman"/>
                <w:kern w:val="0"/>
                <w:sz w:val="21"/>
                <w:szCs w:val="21"/>
                <w:highlight w:val="none"/>
              </w:rPr>
              <w:t>测试TO15标准气体，检查峰的数目、保留时间和峰面积是否正常(不包含标气)</w:t>
            </w:r>
          </w:p>
        </w:tc>
      </w:tr>
      <w:tr w14:paraId="7BA2F887">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5A838DBD">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D260734">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3.</w:t>
            </w:r>
            <w:r>
              <w:rPr>
                <w:rFonts w:hint="default" w:ascii="Times New Roman" w:hAnsi="Times New Roman" w:eastAsia="宋体" w:cs="Times New Roman"/>
                <w:color w:val="000000"/>
                <w:kern w:val="0"/>
                <w:sz w:val="21"/>
                <w:szCs w:val="21"/>
                <w:highlight w:val="none"/>
              </w:rPr>
              <w:t>校准曲线</w:t>
            </w:r>
          </w:p>
          <w:p w14:paraId="549596E5">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eastAsia" w:cs="Times New Roman"/>
                <w:color w:val="000000"/>
                <w:kern w:val="0"/>
                <w:sz w:val="21"/>
                <w:szCs w:val="21"/>
                <w:highlight w:val="none"/>
                <w:lang w:val="en-US" w:eastAsia="zh-CN"/>
              </w:rPr>
              <w:t>绘制</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424C8C82">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default" w:ascii="Times New Roman" w:hAnsi="Times New Roman" w:eastAsia="宋体" w:cs="Times New Roman"/>
                <w:color w:val="000000"/>
                <w:kern w:val="0"/>
                <w:sz w:val="21"/>
                <w:szCs w:val="21"/>
                <w:highlight w:val="none"/>
              </w:rPr>
              <w:t>校准曲线是用来准确定量目标化合物的，随着仪器使用时间增加，曲线会漂移，需要定期重新校准(不包含标气)</w:t>
            </w:r>
          </w:p>
        </w:tc>
      </w:tr>
      <w:tr w14:paraId="56202A32">
        <w:tblPrEx>
          <w:tblCellMar>
            <w:top w:w="0" w:type="dxa"/>
            <w:left w:w="108" w:type="dxa"/>
            <w:bottom w:w="0" w:type="dxa"/>
            <w:right w:w="108" w:type="dxa"/>
          </w:tblCellMar>
        </w:tblPrEx>
        <w:trPr>
          <w:trHeight w:val="528" w:hRule="atLeast"/>
          <w:jc w:val="center"/>
        </w:trPr>
        <w:tc>
          <w:tcPr>
            <w:tcW w:w="981" w:type="pct"/>
            <w:vMerge w:val="continue"/>
            <w:tcBorders>
              <w:top w:val="single" w:color="auto" w:sz="4" w:space="0"/>
              <w:left w:val="single" w:color="auto" w:sz="4" w:space="0"/>
              <w:bottom w:val="single" w:color="auto" w:sz="4" w:space="0"/>
              <w:right w:val="single" w:color="auto" w:sz="4" w:space="0"/>
            </w:tcBorders>
            <w:vAlign w:val="center"/>
          </w:tcPr>
          <w:p w14:paraId="0D1EFD4E">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599F54B">
            <w:pPr>
              <w:widowControl/>
              <w:jc w:val="left"/>
              <w:rPr>
                <w:rFonts w:hint="eastAsia" w:ascii="Times New Roman" w:hAnsi="Times New Roman" w:eastAsia="宋体" w:cs="Times New Roman"/>
                <w:color w:val="000000"/>
                <w:kern w:val="0"/>
                <w:sz w:val="21"/>
                <w:szCs w:val="21"/>
                <w:highlight w:val="none"/>
                <w:lang w:val="en-US" w:eastAsia="zh-CN" w:bidi="ar-SA"/>
              </w:rPr>
            </w:pPr>
            <w:r>
              <w:rPr>
                <w:rFonts w:hint="eastAsia" w:ascii="Times New Roman" w:hAnsi="Times New Roman" w:eastAsia="宋体" w:cs="Times New Roman"/>
                <w:color w:val="000000"/>
                <w:kern w:val="0"/>
                <w:sz w:val="21"/>
                <w:szCs w:val="21"/>
                <w:highlight w:val="none"/>
                <w:lang w:val="en-US" w:eastAsia="zh-CN"/>
              </w:rPr>
              <w:t>4.</w:t>
            </w:r>
            <w:r>
              <w:rPr>
                <w:rFonts w:hint="default" w:ascii="Times New Roman" w:hAnsi="Times New Roman" w:eastAsia="宋体" w:cs="Times New Roman"/>
                <w:color w:val="000000"/>
                <w:kern w:val="0"/>
                <w:sz w:val="21"/>
                <w:szCs w:val="21"/>
                <w:highlight w:val="none"/>
              </w:rPr>
              <w:t>培训</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2F1794C6">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eastAsia" w:cs="Times New Roman"/>
                <w:color w:val="000000"/>
                <w:kern w:val="0"/>
                <w:sz w:val="21"/>
                <w:szCs w:val="21"/>
                <w:highlight w:val="none"/>
                <w:lang w:val="en-US" w:eastAsia="zh-CN"/>
              </w:rPr>
              <w:t>为</w:t>
            </w:r>
            <w:r>
              <w:rPr>
                <w:rFonts w:hint="default" w:ascii="Times New Roman" w:hAnsi="Times New Roman" w:eastAsia="宋体" w:cs="Times New Roman"/>
                <w:color w:val="000000"/>
                <w:kern w:val="0"/>
                <w:sz w:val="21"/>
                <w:szCs w:val="21"/>
                <w:highlight w:val="none"/>
              </w:rPr>
              <w:t>避免</w:t>
            </w:r>
            <w:r>
              <w:rPr>
                <w:rFonts w:hint="eastAsia" w:ascii="Times New Roman" w:hAnsi="Times New Roman" w:eastAsia="宋体" w:cs="Times New Roman"/>
                <w:color w:val="000000"/>
                <w:kern w:val="0"/>
                <w:sz w:val="21"/>
                <w:szCs w:val="21"/>
                <w:highlight w:val="none"/>
                <w:lang w:val="en-US" w:eastAsia="zh-CN"/>
              </w:rPr>
              <w:t>用户</w:t>
            </w:r>
            <w:r>
              <w:rPr>
                <w:rFonts w:hint="default" w:ascii="Times New Roman" w:hAnsi="Times New Roman" w:eastAsia="宋体" w:cs="Times New Roman"/>
                <w:color w:val="000000"/>
                <w:kern w:val="0"/>
                <w:sz w:val="21"/>
                <w:szCs w:val="21"/>
                <w:highlight w:val="none"/>
              </w:rPr>
              <w:t>流动造成无人操作使用设备，</w:t>
            </w:r>
            <w:r>
              <w:rPr>
                <w:rFonts w:hint="eastAsia" w:cs="Times New Roman"/>
                <w:color w:val="000000"/>
                <w:kern w:val="0"/>
                <w:sz w:val="21"/>
                <w:szCs w:val="21"/>
                <w:highlight w:val="none"/>
                <w:lang w:val="en-US" w:eastAsia="zh-CN"/>
              </w:rPr>
              <w:t>如有需要，可</w:t>
            </w:r>
            <w:r>
              <w:rPr>
                <w:rFonts w:hint="default" w:ascii="Times New Roman" w:hAnsi="Times New Roman" w:eastAsia="宋体" w:cs="Times New Roman"/>
                <w:color w:val="000000"/>
                <w:kern w:val="0"/>
                <w:sz w:val="21"/>
                <w:szCs w:val="21"/>
                <w:highlight w:val="none"/>
              </w:rPr>
              <w:t>每季度对</w:t>
            </w:r>
            <w:r>
              <w:rPr>
                <w:rFonts w:hint="eastAsia" w:ascii="Times New Roman" w:hAnsi="Times New Roman" w:eastAsia="宋体" w:cs="Times New Roman"/>
                <w:color w:val="000000"/>
                <w:kern w:val="0"/>
                <w:sz w:val="21"/>
                <w:szCs w:val="21"/>
                <w:highlight w:val="none"/>
                <w:lang w:val="en-US" w:eastAsia="zh-CN"/>
              </w:rPr>
              <w:t>使用者</w:t>
            </w:r>
            <w:r>
              <w:rPr>
                <w:rFonts w:hint="default" w:ascii="Times New Roman" w:hAnsi="Times New Roman" w:eastAsia="宋体" w:cs="Times New Roman"/>
                <w:color w:val="000000"/>
                <w:kern w:val="0"/>
                <w:sz w:val="21"/>
                <w:szCs w:val="21"/>
                <w:highlight w:val="none"/>
              </w:rPr>
              <w:t>进行操作培训</w:t>
            </w:r>
          </w:p>
        </w:tc>
      </w:tr>
      <w:tr w14:paraId="12714982">
        <w:tblPrEx>
          <w:tblCellMar>
            <w:top w:w="0" w:type="dxa"/>
            <w:left w:w="108" w:type="dxa"/>
            <w:bottom w:w="0" w:type="dxa"/>
            <w:right w:w="108" w:type="dxa"/>
          </w:tblCellMar>
        </w:tblPrEx>
        <w:trPr>
          <w:trHeight w:val="528" w:hRule="atLeast"/>
          <w:jc w:val="center"/>
        </w:trPr>
        <w:tc>
          <w:tcPr>
            <w:tcW w:w="981" w:type="pct"/>
            <w:vMerge w:val="restart"/>
            <w:tcBorders>
              <w:top w:val="single" w:color="auto" w:sz="4" w:space="0"/>
              <w:left w:val="single" w:color="auto" w:sz="4" w:space="0"/>
              <w:right w:val="single" w:color="auto" w:sz="4" w:space="0"/>
            </w:tcBorders>
            <w:shd w:val="clear" w:color="auto" w:fill="auto"/>
            <w:vAlign w:val="center"/>
          </w:tcPr>
          <w:p w14:paraId="15FE24D6">
            <w:pPr>
              <w:widowControl/>
              <w:jc w:val="center"/>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三、</w:t>
            </w:r>
            <w:r>
              <w:rPr>
                <w:rFonts w:hint="default" w:ascii="Times New Roman" w:hAnsi="Times New Roman" w:eastAsia="宋体" w:cs="Times New Roman"/>
                <w:color w:val="000000"/>
                <w:kern w:val="0"/>
                <w:sz w:val="21"/>
                <w:szCs w:val="21"/>
                <w:highlight w:val="none"/>
              </w:rPr>
              <w:t>半年</w:t>
            </w:r>
            <w:r>
              <w:rPr>
                <w:rFonts w:hint="eastAsia" w:cs="Times New Roman"/>
                <w:color w:val="000000"/>
                <w:kern w:val="0"/>
                <w:sz w:val="21"/>
                <w:szCs w:val="21"/>
                <w:highlight w:val="none"/>
                <w:lang w:val="en-US" w:eastAsia="zh-CN"/>
              </w:rPr>
              <w:t>检查维护</w:t>
            </w:r>
            <w:r>
              <w:rPr>
                <w:rFonts w:hint="default" w:ascii="Times New Roman" w:hAnsi="Times New Roman" w:eastAsia="宋体" w:cs="Times New Roman"/>
                <w:color w:val="000000"/>
                <w:kern w:val="0"/>
                <w:sz w:val="21"/>
                <w:szCs w:val="21"/>
                <w:highlight w:val="none"/>
              </w:rPr>
              <w:t>内容（在季度基础上增加的项目）</w:t>
            </w:r>
            <w:r>
              <w:rPr>
                <w:rFonts w:hint="eastAsia" w:ascii="Times New Roman" w:hAnsi="Times New Roman" w:eastAsia="宋体" w:cs="Times New Roman"/>
                <w:color w:val="000000"/>
                <w:kern w:val="0"/>
                <w:sz w:val="21"/>
                <w:szCs w:val="21"/>
                <w:highlight w:val="none"/>
                <w:lang w:eastAsia="zh-CN"/>
              </w:rPr>
              <w:t>（</w:t>
            </w:r>
            <w:r>
              <w:rPr>
                <w:rFonts w:hint="eastAsia" w:ascii="Times New Roman" w:hAnsi="Times New Roman" w:eastAsia="宋体" w:cs="Times New Roman"/>
                <w:color w:val="000000"/>
                <w:kern w:val="0"/>
                <w:sz w:val="21"/>
                <w:szCs w:val="21"/>
                <w:highlight w:val="none"/>
                <w:lang w:val="en-US" w:eastAsia="zh-CN"/>
              </w:rPr>
              <w:t>共1次）</w:t>
            </w:r>
          </w:p>
        </w:tc>
        <w:tc>
          <w:tcPr>
            <w:tcW w:w="843" w:type="pct"/>
            <w:tcBorders>
              <w:top w:val="single" w:color="auto" w:sz="4" w:space="0"/>
              <w:left w:val="nil"/>
              <w:bottom w:val="single" w:color="auto" w:sz="4" w:space="0"/>
              <w:right w:val="single" w:color="auto" w:sz="4" w:space="0"/>
            </w:tcBorders>
            <w:shd w:val="clear" w:color="auto" w:fill="auto"/>
            <w:vAlign w:val="center"/>
          </w:tcPr>
          <w:p w14:paraId="691C8709">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1.</w:t>
            </w:r>
            <w:r>
              <w:rPr>
                <w:rFonts w:hint="default" w:ascii="Times New Roman" w:hAnsi="Times New Roman" w:eastAsia="宋体" w:cs="Times New Roman"/>
                <w:color w:val="000000"/>
                <w:kern w:val="0"/>
                <w:sz w:val="21"/>
                <w:szCs w:val="21"/>
                <w:highlight w:val="none"/>
              </w:rPr>
              <w:t>基峰检查</w:t>
            </w:r>
          </w:p>
        </w:tc>
        <w:tc>
          <w:tcPr>
            <w:tcW w:w="3175" w:type="pct"/>
            <w:tcBorders>
              <w:top w:val="single" w:color="auto" w:sz="4" w:space="0"/>
              <w:left w:val="nil"/>
              <w:bottom w:val="single" w:color="auto" w:sz="4" w:space="0"/>
              <w:right w:val="single" w:color="auto" w:sz="4" w:space="0"/>
            </w:tcBorders>
            <w:shd w:val="clear" w:color="auto" w:fill="auto"/>
            <w:vAlign w:val="center"/>
          </w:tcPr>
          <w:p w14:paraId="4889246A">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检查质谱对校正物质的响应是否正常，峰面积和增益值是否在出厂范围内</w:t>
            </w:r>
          </w:p>
        </w:tc>
      </w:tr>
      <w:tr w14:paraId="3BF6878B">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right w:val="single" w:color="auto" w:sz="4" w:space="0"/>
            </w:tcBorders>
            <w:vAlign w:val="center"/>
          </w:tcPr>
          <w:p w14:paraId="732FA173">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72A9212C">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2.</w:t>
            </w:r>
            <w:r>
              <w:rPr>
                <w:rFonts w:hint="default" w:ascii="Times New Roman" w:hAnsi="Times New Roman" w:eastAsia="宋体" w:cs="Times New Roman"/>
                <w:color w:val="000000"/>
                <w:kern w:val="0"/>
                <w:sz w:val="21"/>
                <w:szCs w:val="21"/>
                <w:highlight w:val="none"/>
              </w:rPr>
              <w:t>EM电压测试</w:t>
            </w:r>
          </w:p>
        </w:tc>
        <w:tc>
          <w:tcPr>
            <w:tcW w:w="3175" w:type="pct"/>
            <w:tcBorders>
              <w:top w:val="nil"/>
              <w:left w:val="nil"/>
              <w:bottom w:val="single" w:color="auto" w:sz="4" w:space="0"/>
              <w:right w:val="single" w:color="auto" w:sz="4" w:space="0"/>
            </w:tcBorders>
            <w:shd w:val="clear" w:color="auto" w:fill="auto"/>
            <w:vAlign w:val="center"/>
          </w:tcPr>
          <w:p w14:paraId="4EDA6C77">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测试质谱检测器的光电倍增管，检查其电压是否在1800V以内，如果超过1800V，需要更换(不包含更换)</w:t>
            </w:r>
          </w:p>
        </w:tc>
      </w:tr>
      <w:tr w14:paraId="37CAF5D2">
        <w:tblPrEx>
          <w:tblCellMar>
            <w:top w:w="0" w:type="dxa"/>
            <w:left w:w="108" w:type="dxa"/>
            <w:bottom w:w="0" w:type="dxa"/>
            <w:right w:w="108" w:type="dxa"/>
          </w:tblCellMar>
        </w:tblPrEx>
        <w:trPr>
          <w:trHeight w:val="268" w:hRule="atLeast"/>
          <w:jc w:val="center"/>
        </w:trPr>
        <w:tc>
          <w:tcPr>
            <w:tcW w:w="981" w:type="pct"/>
            <w:vMerge w:val="continue"/>
            <w:tcBorders>
              <w:left w:val="single" w:color="auto" w:sz="4" w:space="0"/>
              <w:right w:val="single" w:color="auto" w:sz="4" w:space="0"/>
            </w:tcBorders>
            <w:vAlign w:val="center"/>
          </w:tcPr>
          <w:p w14:paraId="61896881">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0E0A9DA0">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3.</w:t>
            </w:r>
            <w:r>
              <w:rPr>
                <w:rFonts w:hint="default" w:ascii="Times New Roman" w:hAnsi="Times New Roman" w:eastAsia="宋体" w:cs="Times New Roman"/>
                <w:color w:val="000000"/>
                <w:kern w:val="0"/>
                <w:sz w:val="21"/>
                <w:szCs w:val="21"/>
                <w:highlight w:val="none"/>
              </w:rPr>
              <w:t>发射电流</w:t>
            </w:r>
          </w:p>
        </w:tc>
        <w:tc>
          <w:tcPr>
            <w:tcW w:w="3175" w:type="pct"/>
            <w:tcBorders>
              <w:top w:val="nil"/>
              <w:left w:val="nil"/>
              <w:bottom w:val="single" w:color="auto" w:sz="4" w:space="0"/>
              <w:right w:val="single" w:color="auto" w:sz="4" w:space="0"/>
            </w:tcBorders>
            <w:shd w:val="clear" w:color="auto" w:fill="auto"/>
            <w:vAlign w:val="center"/>
          </w:tcPr>
          <w:p w14:paraId="61728932">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检查质谱发射电流是否正常，影响目标物质的离子化效率</w:t>
            </w:r>
          </w:p>
        </w:tc>
      </w:tr>
      <w:tr w14:paraId="5C29ABA9">
        <w:tblPrEx>
          <w:tblCellMar>
            <w:top w:w="0" w:type="dxa"/>
            <w:left w:w="108" w:type="dxa"/>
            <w:bottom w:w="0" w:type="dxa"/>
            <w:right w:w="108" w:type="dxa"/>
          </w:tblCellMar>
        </w:tblPrEx>
        <w:trPr>
          <w:trHeight w:val="268" w:hRule="atLeast"/>
          <w:jc w:val="center"/>
        </w:trPr>
        <w:tc>
          <w:tcPr>
            <w:tcW w:w="981" w:type="pct"/>
            <w:vMerge w:val="continue"/>
            <w:tcBorders>
              <w:left w:val="single" w:color="auto" w:sz="4" w:space="0"/>
              <w:right w:val="single" w:color="auto" w:sz="4" w:space="0"/>
            </w:tcBorders>
            <w:vAlign w:val="center"/>
          </w:tcPr>
          <w:p w14:paraId="7A0F0BBA">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auto" w:fill="auto"/>
            <w:vAlign w:val="center"/>
          </w:tcPr>
          <w:p w14:paraId="7F6F1198">
            <w:pPr>
              <w:widowControl/>
              <w:jc w:val="left"/>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4.</w:t>
            </w:r>
            <w:r>
              <w:rPr>
                <w:rFonts w:hint="default" w:ascii="Times New Roman" w:hAnsi="Times New Roman" w:eastAsia="宋体" w:cs="Times New Roman"/>
                <w:color w:val="000000"/>
                <w:kern w:val="0"/>
                <w:sz w:val="21"/>
                <w:szCs w:val="21"/>
                <w:highlight w:val="none"/>
              </w:rPr>
              <w:t>聚焦电压</w:t>
            </w:r>
          </w:p>
        </w:tc>
        <w:tc>
          <w:tcPr>
            <w:tcW w:w="3175" w:type="pct"/>
            <w:tcBorders>
              <w:top w:val="nil"/>
              <w:left w:val="nil"/>
              <w:bottom w:val="single" w:color="auto" w:sz="4" w:space="0"/>
              <w:right w:val="single" w:color="auto" w:sz="4" w:space="0"/>
            </w:tcBorders>
            <w:shd w:val="clear" w:color="auto" w:fill="auto"/>
            <w:vAlign w:val="center"/>
          </w:tcPr>
          <w:p w14:paraId="54019D32">
            <w:pPr>
              <w:widowControl/>
              <w:jc w:val="left"/>
              <w:rPr>
                <w:rFonts w:hint="default" w:ascii="Times New Roman" w:hAnsi="Times New Roman" w:eastAsia="宋体" w:cs="Times New Roman"/>
                <w:color w:val="000000"/>
                <w:kern w:val="0"/>
                <w:sz w:val="21"/>
                <w:szCs w:val="21"/>
                <w:highlight w:val="none"/>
              </w:rPr>
            </w:pPr>
            <w:r>
              <w:rPr>
                <w:rFonts w:hint="default" w:ascii="Times New Roman" w:hAnsi="Times New Roman" w:eastAsia="宋体" w:cs="Times New Roman"/>
                <w:color w:val="000000"/>
                <w:kern w:val="0"/>
                <w:sz w:val="21"/>
                <w:szCs w:val="21"/>
                <w:highlight w:val="none"/>
              </w:rPr>
              <w:t>检查质谱透镜的聚焦电压，会影响仪器的灵敏度</w:t>
            </w:r>
          </w:p>
        </w:tc>
      </w:tr>
      <w:tr w14:paraId="1C7CD1FC">
        <w:tblPrEx>
          <w:tblCellMar>
            <w:top w:w="0" w:type="dxa"/>
            <w:left w:w="108" w:type="dxa"/>
            <w:bottom w:w="0" w:type="dxa"/>
            <w:right w:w="108" w:type="dxa"/>
          </w:tblCellMar>
        </w:tblPrEx>
        <w:trPr>
          <w:trHeight w:val="268" w:hRule="atLeast"/>
          <w:jc w:val="center"/>
        </w:trPr>
        <w:tc>
          <w:tcPr>
            <w:tcW w:w="981" w:type="pct"/>
            <w:vMerge w:val="continue"/>
            <w:tcBorders>
              <w:left w:val="single" w:color="auto" w:sz="4" w:space="0"/>
              <w:bottom w:val="single" w:color="auto" w:sz="4" w:space="0"/>
              <w:right w:val="single" w:color="auto" w:sz="4" w:space="0"/>
            </w:tcBorders>
            <w:vAlign w:val="center"/>
          </w:tcPr>
          <w:p w14:paraId="7D537AE7">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nil"/>
              <w:left w:val="nil"/>
              <w:bottom w:val="single" w:color="auto" w:sz="4" w:space="0"/>
              <w:right w:val="single" w:color="auto" w:sz="4" w:space="0"/>
            </w:tcBorders>
            <w:shd w:val="clear" w:color="000000" w:fill="FFFFFF"/>
            <w:vAlign w:val="center"/>
          </w:tcPr>
          <w:p w14:paraId="6987F663">
            <w:pPr>
              <w:widowControl/>
              <w:jc w:val="left"/>
              <w:rPr>
                <w:rFonts w:hint="default" w:ascii="Times New Roman" w:hAnsi="Times New Roman" w:eastAsia="宋体" w:cs="Times New Roman"/>
                <w:strike w:val="0"/>
                <w:dstrike w:val="0"/>
                <w:kern w:val="0"/>
                <w:sz w:val="21"/>
                <w:szCs w:val="21"/>
                <w:highlight w:val="none"/>
              </w:rPr>
            </w:pPr>
            <w:r>
              <w:rPr>
                <w:rFonts w:hint="eastAsia" w:ascii="Times New Roman" w:hAnsi="Times New Roman" w:eastAsia="宋体" w:cs="Times New Roman"/>
                <w:strike w:val="0"/>
                <w:dstrike w:val="0"/>
                <w:kern w:val="0"/>
                <w:sz w:val="21"/>
                <w:szCs w:val="21"/>
                <w:highlight w:val="none"/>
                <w:lang w:val="en-US" w:eastAsia="zh-CN"/>
              </w:rPr>
              <w:t>5.</w:t>
            </w:r>
            <w:r>
              <w:rPr>
                <w:rFonts w:hint="default" w:ascii="Times New Roman" w:hAnsi="Times New Roman" w:eastAsia="宋体" w:cs="Times New Roman"/>
                <w:strike w:val="0"/>
                <w:dstrike w:val="0"/>
                <w:kern w:val="0"/>
                <w:sz w:val="21"/>
                <w:szCs w:val="21"/>
                <w:highlight w:val="none"/>
              </w:rPr>
              <w:t>基线检查</w:t>
            </w:r>
          </w:p>
        </w:tc>
        <w:tc>
          <w:tcPr>
            <w:tcW w:w="3175" w:type="pct"/>
            <w:tcBorders>
              <w:top w:val="nil"/>
              <w:left w:val="nil"/>
              <w:bottom w:val="single" w:color="auto" w:sz="4" w:space="0"/>
              <w:right w:val="single" w:color="auto" w:sz="4" w:space="0"/>
            </w:tcBorders>
            <w:shd w:val="clear" w:color="000000" w:fill="FFFFFF"/>
            <w:vAlign w:val="center"/>
          </w:tcPr>
          <w:p w14:paraId="3B6557AD">
            <w:pPr>
              <w:widowControl/>
              <w:jc w:val="left"/>
              <w:rPr>
                <w:rFonts w:hint="default" w:ascii="Times New Roman" w:hAnsi="Times New Roman" w:eastAsia="宋体" w:cs="Times New Roman"/>
                <w:strike w:val="0"/>
                <w:dstrike w:val="0"/>
                <w:kern w:val="0"/>
                <w:sz w:val="21"/>
                <w:szCs w:val="21"/>
                <w:highlight w:val="none"/>
              </w:rPr>
            </w:pPr>
            <w:r>
              <w:rPr>
                <w:rFonts w:hint="default" w:ascii="Times New Roman" w:hAnsi="Times New Roman" w:eastAsia="宋体" w:cs="Times New Roman"/>
                <w:strike w:val="0"/>
                <w:dstrike w:val="0"/>
                <w:kern w:val="0"/>
                <w:sz w:val="21"/>
                <w:szCs w:val="21"/>
                <w:highlight w:val="none"/>
              </w:rPr>
              <w:t>检查质谱仪的基线，基线过高影响设备的检出限</w:t>
            </w:r>
          </w:p>
        </w:tc>
      </w:tr>
      <w:tr w14:paraId="341A1C08">
        <w:tblPrEx>
          <w:tblCellMar>
            <w:top w:w="0" w:type="dxa"/>
            <w:left w:w="108" w:type="dxa"/>
            <w:bottom w:w="0" w:type="dxa"/>
            <w:right w:w="108" w:type="dxa"/>
          </w:tblCellMar>
        </w:tblPrEx>
        <w:trPr>
          <w:trHeight w:val="528" w:hRule="atLeast"/>
          <w:jc w:val="center"/>
        </w:trPr>
        <w:tc>
          <w:tcPr>
            <w:tcW w:w="981" w:type="pct"/>
            <w:vMerge w:val="restart"/>
            <w:tcBorders>
              <w:top w:val="single" w:color="auto" w:sz="4" w:space="0"/>
              <w:left w:val="single" w:color="auto" w:sz="4" w:space="0"/>
              <w:right w:val="single" w:color="auto" w:sz="4" w:space="0"/>
            </w:tcBorders>
            <w:shd w:val="clear" w:color="auto" w:fill="auto"/>
            <w:vAlign w:val="center"/>
          </w:tcPr>
          <w:p w14:paraId="2F60D17F">
            <w:pPr>
              <w:widowControl/>
              <w:jc w:val="center"/>
              <w:rPr>
                <w:rFonts w:hint="default" w:ascii="Times New Roman" w:hAnsi="Times New Roman" w:eastAsia="宋体" w:cs="Times New Roman"/>
                <w:color w:val="000000"/>
                <w:kern w:val="0"/>
                <w:sz w:val="21"/>
                <w:szCs w:val="21"/>
                <w:highlight w:val="none"/>
              </w:rPr>
            </w:pPr>
            <w:r>
              <w:rPr>
                <w:rFonts w:hint="eastAsia" w:ascii="Times New Roman" w:hAnsi="Times New Roman" w:eastAsia="宋体" w:cs="Times New Roman"/>
                <w:color w:val="000000"/>
                <w:kern w:val="0"/>
                <w:sz w:val="21"/>
                <w:szCs w:val="21"/>
                <w:highlight w:val="none"/>
                <w:lang w:val="en-US" w:eastAsia="zh-CN"/>
              </w:rPr>
              <w:t>四、</w:t>
            </w:r>
            <w:r>
              <w:rPr>
                <w:rFonts w:hint="default" w:ascii="Times New Roman" w:hAnsi="Times New Roman" w:eastAsia="宋体" w:cs="Times New Roman"/>
                <w:color w:val="000000"/>
                <w:kern w:val="0"/>
                <w:sz w:val="21"/>
                <w:szCs w:val="21"/>
                <w:highlight w:val="none"/>
              </w:rPr>
              <w:t>技术支持</w:t>
            </w: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436319D6">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eastAsia" w:cs="Times New Roman"/>
                <w:color w:val="000000"/>
                <w:kern w:val="0"/>
                <w:sz w:val="21"/>
                <w:szCs w:val="21"/>
                <w:highlight w:val="none"/>
                <w:lang w:val="en-US" w:eastAsia="zh-CN"/>
              </w:rPr>
              <w:t>1.数据备份服务</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2307F32D">
            <w:pPr>
              <w:widowControl/>
              <w:jc w:val="left"/>
              <w:rPr>
                <w:rFonts w:hint="default" w:ascii="Times New Roman" w:hAnsi="Times New Roman" w:eastAsia="宋体" w:cs="Times New Roman"/>
                <w:color w:val="000000"/>
                <w:kern w:val="0"/>
                <w:sz w:val="21"/>
                <w:szCs w:val="21"/>
                <w:highlight w:val="none"/>
                <w:lang w:val="en-US" w:eastAsia="zh-CN" w:bidi="ar-SA"/>
              </w:rPr>
            </w:pPr>
            <w:r>
              <w:rPr>
                <w:rFonts w:hint="default" w:ascii="Times New Roman" w:hAnsi="Times New Roman" w:eastAsia="宋体" w:cs="Times New Roman"/>
                <w:color w:val="000000"/>
                <w:kern w:val="0"/>
                <w:sz w:val="21"/>
                <w:szCs w:val="21"/>
                <w:highlight w:val="none"/>
              </w:rPr>
              <w:t>为</w:t>
            </w:r>
            <w:r>
              <w:rPr>
                <w:rFonts w:hint="eastAsia" w:ascii="Times New Roman" w:hAnsi="Times New Roman" w:eastAsia="宋体" w:cs="Times New Roman"/>
                <w:color w:val="000000"/>
                <w:kern w:val="0"/>
                <w:sz w:val="21"/>
                <w:szCs w:val="21"/>
                <w:highlight w:val="none"/>
                <w:lang w:val="en-US" w:eastAsia="zh-CN"/>
              </w:rPr>
              <w:t>用</w:t>
            </w:r>
            <w:r>
              <w:rPr>
                <w:rFonts w:hint="default" w:ascii="Times New Roman" w:hAnsi="Times New Roman" w:eastAsia="宋体" w:cs="Times New Roman"/>
                <w:color w:val="000000"/>
                <w:kern w:val="0"/>
                <w:sz w:val="21"/>
                <w:szCs w:val="21"/>
                <w:highlight w:val="none"/>
              </w:rPr>
              <w:t>户</w:t>
            </w:r>
            <w:r>
              <w:rPr>
                <w:rFonts w:hint="eastAsia" w:cs="Times New Roman"/>
                <w:color w:val="000000"/>
                <w:kern w:val="0"/>
                <w:sz w:val="21"/>
                <w:szCs w:val="21"/>
                <w:highlight w:val="none"/>
                <w:lang w:val="en-US" w:eastAsia="zh-CN"/>
              </w:rPr>
              <w:t>提供数据备份</w:t>
            </w:r>
            <w:r>
              <w:rPr>
                <w:rFonts w:hint="eastAsia" w:ascii="Times New Roman" w:hAnsi="Times New Roman" w:eastAsia="宋体" w:cs="Times New Roman"/>
                <w:color w:val="000000"/>
                <w:kern w:val="0"/>
                <w:sz w:val="21"/>
                <w:szCs w:val="21"/>
                <w:highlight w:val="none"/>
                <w:lang w:val="en-US" w:eastAsia="zh-CN"/>
              </w:rPr>
              <w:t>服务，确保数据安全</w:t>
            </w:r>
          </w:p>
        </w:tc>
      </w:tr>
      <w:tr w14:paraId="5CBC5763">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right w:val="single" w:color="auto" w:sz="4" w:space="0"/>
            </w:tcBorders>
            <w:shd w:val="clear" w:color="auto" w:fill="auto"/>
            <w:vAlign w:val="center"/>
          </w:tcPr>
          <w:p w14:paraId="1C2D45ED">
            <w:pPr>
              <w:widowControl/>
              <w:jc w:val="center"/>
              <w:rPr>
                <w:rFonts w:hint="eastAsia" w:ascii="Times New Roman" w:hAnsi="Times New Roman" w:eastAsia="宋体" w:cs="Times New Roman"/>
                <w:color w:val="000000"/>
                <w:kern w:val="0"/>
                <w:sz w:val="21"/>
                <w:szCs w:val="21"/>
                <w:highlight w:val="none"/>
                <w:lang w:val="en-US" w:eastAsia="zh-CN"/>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4B6F4FA5">
            <w:pPr>
              <w:widowControl/>
              <w:jc w:val="left"/>
              <w:rPr>
                <w:rFonts w:hint="eastAsia" w:ascii="Times New Roman" w:hAnsi="Times New Roman" w:eastAsia="宋体" w:cs="Times New Roman"/>
                <w:color w:val="000000"/>
                <w:kern w:val="0"/>
                <w:sz w:val="21"/>
                <w:szCs w:val="21"/>
                <w:highlight w:val="none"/>
                <w:lang w:val="en-US" w:eastAsia="zh-CN" w:bidi="ar-SA"/>
              </w:rPr>
            </w:pPr>
            <w:r>
              <w:rPr>
                <w:rFonts w:hint="eastAsia" w:ascii="Times New Roman" w:hAnsi="Times New Roman" w:eastAsia="宋体" w:cs="Times New Roman"/>
                <w:color w:val="000000"/>
                <w:kern w:val="0"/>
                <w:sz w:val="21"/>
                <w:szCs w:val="21"/>
                <w:highlight w:val="none"/>
                <w:lang w:val="en-US" w:eastAsia="zh-CN"/>
              </w:rPr>
              <w:t>2.</w:t>
            </w:r>
            <w:r>
              <w:rPr>
                <w:rFonts w:hint="default" w:ascii="Times New Roman" w:hAnsi="Times New Roman" w:eastAsia="宋体" w:cs="Times New Roman"/>
                <w:color w:val="000000"/>
                <w:kern w:val="0"/>
                <w:sz w:val="21"/>
                <w:szCs w:val="21"/>
                <w:highlight w:val="none"/>
              </w:rPr>
              <w:t>走航支持</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083EE860">
            <w:pPr>
              <w:widowControl/>
              <w:jc w:val="left"/>
              <w:rPr>
                <w:rFonts w:hint="default" w:cs="Times New Roman" w:asciiTheme="minorHAnsi" w:hAnsiTheme="minorHAnsi" w:eastAsiaTheme="minorEastAsia"/>
                <w:color w:val="000000"/>
                <w:kern w:val="0"/>
                <w:sz w:val="21"/>
                <w:szCs w:val="21"/>
                <w:highlight w:val="none"/>
                <w:lang w:val="en-US" w:eastAsia="zh-CN" w:bidi="ar-SA"/>
              </w:rPr>
            </w:pPr>
            <w:r>
              <w:rPr>
                <w:rFonts w:hint="default" w:cs="Times New Roman"/>
                <w:color w:val="000000"/>
                <w:kern w:val="0"/>
                <w:sz w:val="21"/>
                <w:szCs w:val="21"/>
                <w:highlight w:val="none"/>
                <w:lang w:val="en-US" w:eastAsia="zh-CN"/>
              </w:rPr>
              <w:t>协助客户</w:t>
            </w:r>
            <w:r>
              <w:rPr>
                <w:rFonts w:hint="eastAsia" w:cs="Times New Roman"/>
                <w:color w:val="000000"/>
                <w:kern w:val="0"/>
                <w:sz w:val="21"/>
                <w:szCs w:val="21"/>
                <w:highlight w:val="none"/>
                <w:lang w:val="en-US" w:eastAsia="zh-CN"/>
              </w:rPr>
              <w:t>完成</w:t>
            </w:r>
            <w:r>
              <w:rPr>
                <w:rFonts w:hint="default" w:cs="Times New Roman"/>
                <w:color w:val="000000"/>
                <w:kern w:val="0"/>
                <w:sz w:val="21"/>
                <w:szCs w:val="21"/>
                <w:highlight w:val="none"/>
                <w:lang w:val="en-US" w:eastAsia="zh-CN"/>
              </w:rPr>
              <w:t>走航任务，提供</w:t>
            </w:r>
            <w:r>
              <w:rPr>
                <w:rFonts w:hint="eastAsia" w:cs="Times New Roman"/>
                <w:color w:val="000000"/>
                <w:kern w:val="0"/>
                <w:sz w:val="21"/>
                <w:szCs w:val="21"/>
                <w:highlight w:val="none"/>
                <w:lang w:val="en-US" w:eastAsia="zh-CN"/>
              </w:rPr>
              <w:t>走航过程中软件应用、</w:t>
            </w:r>
            <w:r>
              <w:rPr>
                <w:rFonts w:hint="default" w:cs="Times New Roman"/>
                <w:color w:val="000000"/>
                <w:kern w:val="0"/>
                <w:sz w:val="21"/>
                <w:szCs w:val="21"/>
                <w:highlight w:val="none"/>
                <w:lang w:val="en-US" w:eastAsia="zh-CN"/>
              </w:rPr>
              <w:t>数据处理</w:t>
            </w:r>
            <w:r>
              <w:rPr>
                <w:rFonts w:hint="eastAsia" w:cs="Times New Roman"/>
                <w:color w:val="000000"/>
                <w:kern w:val="0"/>
                <w:sz w:val="21"/>
                <w:szCs w:val="21"/>
                <w:highlight w:val="none"/>
                <w:lang w:val="en-US" w:eastAsia="zh-CN"/>
              </w:rPr>
              <w:t>、</w:t>
            </w:r>
            <w:r>
              <w:rPr>
                <w:rFonts w:hint="default" w:cs="Times New Roman"/>
                <w:color w:val="000000"/>
                <w:kern w:val="0"/>
                <w:sz w:val="21"/>
                <w:szCs w:val="21"/>
                <w:highlight w:val="none"/>
                <w:lang w:val="en-US" w:eastAsia="zh-CN"/>
              </w:rPr>
              <w:t>报告编制等</w:t>
            </w:r>
            <w:r>
              <w:rPr>
                <w:rFonts w:hint="eastAsia" w:cs="Times New Roman"/>
                <w:color w:val="000000"/>
                <w:kern w:val="0"/>
                <w:sz w:val="21"/>
                <w:szCs w:val="21"/>
                <w:highlight w:val="none"/>
                <w:lang w:val="en-US" w:eastAsia="zh-CN"/>
              </w:rPr>
              <w:t>方面的仪器维护使用支持</w:t>
            </w:r>
          </w:p>
        </w:tc>
      </w:tr>
      <w:tr w14:paraId="6EA4DEB9">
        <w:tblPrEx>
          <w:tblCellMar>
            <w:top w:w="0" w:type="dxa"/>
            <w:left w:w="108" w:type="dxa"/>
            <w:bottom w:w="0" w:type="dxa"/>
            <w:right w:w="108" w:type="dxa"/>
          </w:tblCellMar>
        </w:tblPrEx>
        <w:trPr>
          <w:trHeight w:val="268" w:hRule="atLeast"/>
          <w:jc w:val="center"/>
        </w:trPr>
        <w:tc>
          <w:tcPr>
            <w:tcW w:w="981" w:type="pct"/>
            <w:vMerge w:val="continue"/>
            <w:tcBorders>
              <w:left w:val="single" w:color="auto" w:sz="4" w:space="0"/>
              <w:right w:val="single" w:color="auto" w:sz="4" w:space="0"/>
            </w:tcBorders>
            <w:shd w:val="clear" w:color="auto" w:fill="auto"/>
            <w:vAlign w:val="center"/>
          </w:tcPr>
          <w:p w14:paraId="6DB146FE">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0B8374A9">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3.技术咨询</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57C01B73">
            <w:pPr>
              <w:widowControl/>
              <w:jc w:val="left"/>
              <w:rPr>
                <w:rFonts w:hint="default"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有需求时及时响应，可视频、电话或其他方式指导</w:t>
            </w:r>
          </w:p>
        </w:tc>
      </w:tr>
      <w:tr w14:paraId="6BD577D5">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right w:val="single" w:color="auto" w:sz="4" w:space="0"/>
            </w:tcBorders>
            <w:shd w:val="clear" w:color="auto" w:fill="auto"/>
            <w:vAlign w:val="center"/>
          </w:tcPr>
          <w:p w14:paraId="7A543AC0">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7D784DC">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4.故障分析与处理</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613CBCCB">
            <w:pPr>
              <w:widowControl/>
              <w:jc w:val="left"/>
              <w:rPr>
                <w:rFonts w:hint="default"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完成对软硬件等的一般故障问题分析，根据分析结果制定可行的解决方案，保障故障得到及时处理（返厂除外）</w:t>
            </w:r>
          </w:p>
        </w:tc>
      </w:tr>
      <w:tr w14:paraId="2A1D0F50">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right w:val="single" w:color="auto" w:sz="4" w:space="0"/>
            </w:tcBorders>
            <w:shd w:val="clear" w:color="auto" w:fill="auto"/>
            <w:vAlign w:val="center"/>
          </w:tcPr>
          <w:p w14:paraId="4EDF017D">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93EA595">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5.应急支持</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011EFC94">
            <w:pPr>
              <w:widowControl/>
              <w:jc w:val="left"/>
              <w:rPr>
                <w:rFonts w:hint="eastAsia"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发生应急情况时，派遣专业的工程师协助用户处理应急事故</w:t>
            </w:r>
          </w:p>
        </w:tc>
      </w:tr>
      <w:tr w14:paraId="1600674B">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right w:val="single" w:color="auto" w:sz="4" w:space="0"/>
            </w:tcBorders>
            <w:shd w:val="clear" w:color="auto" w:fill="auto"/>
            <w:vAlign w:val="center"/>
          </w:tcPr>
          <w:p w14:paraId="0239936D">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39639EB4">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6.耗材更换</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69FF18E1">
            <w:pPr>
              <w:widowControl/>
              <w:jc w:val="left"/>
              <w:rPr>
                <w:rFonts w:hint="default"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按仪器使用说明书要求协助更换耗材，如载气、除烃阱等</w:t>
            </w:r>
          </w:p>
        </w:tc>
      </w:tr>
      <w:tr w14:paraId="4560EBB6">
        <w:tblPrEx>
          <w:tblCellMar>
            <w:top w:w="0" w:type="dxa"/>
            <w:left w:w="108" w:type="dxa"/>
            <w:bottom w:w="0" w:type="dxa"/>
            <w:right w:w="108" w:type="dxa"/>
          </w:tblCellMar>
        </w:tblPrEx>
        <w:trPr>
          <w:trHeight w:val="528" w:hRule="atLeast"/>
          <w:jc w:val="center"/>
        </w:trPr>
        <w:tc>
          <w:tcPr>
            <w:tcW w:w="981" w:type="pct"/>
            <w:vMerge w:val="continue"/>
            <w:tcBorders>
              <w:left w:val="single" w:color="auto" w:sz="4" w:space="0"/>
              <w:bottom w:val="single" w:color="auto" w:sz="4" w:space="0"/>
              <w:right w:val="single" w:color="auto" w:sz="4" w:space="0"/>
            </w:tcBorders>
            <w:shd w:val="clear" w:color="auto" w:fill="auto"/>
            <w:vAlign w:val="center"/>
          </w:tcPr>
          <w:p w14:paraId="41E7130C">
            <w:pPr>
              <w:widowControl/>
              <w:jc w:val="center"/>
              <w:rPr>
                <w:rFonts w:hint="default" w:ascii="Times New Roman" w:hAnsi="Times New Roman" w:eastAsia="宋体" w:cs="Times New Roman"/>
                <w:color w:val="000000"/>
                <w:kern w:val="0"/>
                <w:sz w:val="21"/>
                <w:szCs w:val="21"/>
                <w:highlight w:val="none"/>
              </w:rPr>
            </w:pPr>
          </w:p>
        </w:tc>
        <w:tc>
          <w:tcPr>
            <w:tcW w:w="843" w:type="pct"/>
            <w:tcBorders>
              <w:top w:val="single" w:color="auto" w:sz="4" w:space="0"/>
              <w:left w:val="single" w:color="auto" w:sz="4" w:space="0"/>
              <w:bottom w:val="single" w:color="auto" w:sz="4" w:space="0"/>
              <w:right w:val="single" w:color="auto" w:sz="4" w:space="0"/>
            </w:tcBorders>
            <w:shd w:val="clear" w:color="auto" w:fill="auto"/>
            <w:vAlign w:val="center"/>
          </w:tcPr>
          <w:p w14:paraId="2137F729">
            <w:pPr>
              <w:widowControl/>
              <w:jc w:val="left"/>
              <w:rPr>
                <w:rFonts w:hint="default" w:ascii="Times New Roman" w:hAnsi="Times New Roman" w:eastAsia="宋体" w:cs="Times New Roman"/>
                <w:color w:val="000000"/>
                <w:kern w:val="0"/>
                <w:sz w:val="21"/>
                <w:szCs w:val="21"/>
                <w:highlight w:val="none"/>
                <w:lang w:val="en-US" w:eastAsia="zh-CN"/>
              </w:rPr>
            </w:pPr>
            <w:r>
              <w:rPr>
                <w:rFonts w:hint="eastAsia" w:ascii="Times New Roman" w:hAnsi="Times New Roman" w:eastAsia="宋体" w:cs="Times New Roman"/>
                <w:color w:val="000000"/>
                <w:kern w:val="0"/>
                <w:sz w:val="21"/>
                <w:szCs w:val="21"/>
                <w:highlight w:val="none"/>
                <w:lang w:val="en-US" w:eastAsia="zh-CN"/>
              </w:rPr>
              <w:t>7.电池维修</w:t>
            </w:r>
          </w:p>
        </w:tc>
        <w:tc>
          <w:tcPr>
            <w:tcW w:w="3175" w:type="pct"/>
            <w:tcBorders>
              <w:top w:val="single" w:color="auto" w:sz="4" w:space="0"/>
              <w:left w:val="single" w:color="auto" w:sz="4" w:space="0"/>
              <w:bottom w:val="single" w:color="auto" w:sz="4" w:space="0"/>
              <w:right w:val="single" w:color="auto" w:sz="4" w:space="0"/>
            </w:tcBorders>
            <w:shd w:val="clear" w:color="auto" w:fill="auto"/>
            <w:vAlign w:val="center"/>
          </w:tcPr>
          <w:p w14:paraId="4E610FFB">
            <w:pPr>
              <w:widowControl/>
              <w:jc w:val="left"/>
              <w:rPr>
                <w:rFonts w:hint="default" w:cs="Times New Roman"/>
                <w:color w:val="000000"/>
                <w:kern w:val="0"/>
                <w:sz w:val="21"/>
                <w:szCs w:val="21"/>
                <w:highlight w:val="none"/>
                <w:lang w:val="en-US" w:eastAsia="zh-CN"/>
              </w:rPr>
            </w:pPr>
            <w:r>
              <w:rPr>
                <w:rFonts w:hint="eastAsia" w:cs="Times New Roman"/>
                <w:color w:val="000000"/>
                <w:kern w:val="0"/>
                <w:sz w:val="21"/>
                <w:szCs w:val="21"/>
                <w:highlight w:val="none"/>
                <w:lang w:val="en-US" w:eastAsia="zh-CN"/>
              </w:rPr>
              <w:t>对Hapline主机、工控机供电电池（8块）进行维修（老化失效，无法充放电）</w:t>
            </w:r>
          </w:p>
        </w:tc>
      </w:tr>
    </w:tbl>
    <w:p w14:paraId="702698EF">
      <w:pPr>
        <w:keepNext w:val="0"/>
        <w:keepLines w:val="0"/>
        <w:pageBreakBefore w:val="0"/>
        <w:widowControl w:val="0"/>
        <w:numPr>
          <w:ilvl w:val="0"/>
          <w:numId w:val="1"/>
        </w:numPr>
        <w:kinsoku/>
        <w:overflowPunct/>
        <w:topLinePunct w:val="0"/>
        <w:bidi w:val="0"/>
        <w:adjustRightInd/>
        <w:spacing w:beforeAutospacing="0" w:afterAutospacing="0" w:line="360" w:lineRule="auto"/>
        <w:ind w:left="0"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其它要求：</w:t>
      </w:r>
    </w:p>
    <w:p w14:paraId="0CFAEA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1）时间安排如下：9月中旬（2天，月度维护、季度维护内容）、10月中旬（1天，月度维护内容）、11月中旬（2天，月度维护、季度维护、半年维护内容）、12月中旬（1天，月度维护），如遇节假日或特殊任务，维护时间可适当顺延。</w:t>
      </w:r>
    </w:p>
    <w:p w14:paraId="3305242B">
      <w:pPr>
        <w:ind w:firstLine="600" w:firstLineChars="200"/>
        <w:rPr>
          <w:rFonts w:hint="default"/>
          <w:lang w:val="en-US" w:eastAsia="zh-CN"/>
        </w:rPr>
      </w:pPr>
      <w:r>
        <w:rPr>
          <w:rFonts w:hint="eastAsia" w:ascii="仿宋" w:hAnsi="仿宋" w:eastAsia="仿宋" w:cs="仿宋"/>
          <w:kern w:val="2"/>
          <w:sz w:val="30"/>
          <w:szCs w:val="30"/>
          <w:lang w:val="en-US" w:eastAsia="zh-CN" w:bidi="ar-SA"/>
        </w:rPr>
        <w:t>（2）协助走航时间（9-12月）为不定期（每月最多5天，以实际天数结算），数据备份时间为不定期（每月不少于1次）。</w:t>
      </w:r>
    </w:p>
    <w:p w14:paraId="11FD5F8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三、资金预算和项目实施进度</w:t>
      </w:r>
    </w:p>
    <w:p w14:paraId="0C3BACEB">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（一）项目费用</w:t>
      </w:r>
    </w:p>
    <w:p w14:paraId="2904DB1C">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00" w:firstLineChars="200"/>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HAPLINE VOCs走航监测系统维护服务费用主要包括派遣工程师技术服务费、工时费、维修费等，参考以往同类项目维护报价及市场价，预算约37700元，详见下表。</w:t>
      </w:r>
    </w:p>
    <w:p w14:paraId="2C55CF45">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center"/>
        <w:textAlignment w:val="auto"/>
        <w:outlineLvl w:val="9"/>
        <w:rPr>
          <w:rFonts w:hint="eastAsia" w:ascii="仿宋" w:hAnsi="仿宋" w:eastAsia="仿宋" w:cs="仿宋"/>
          <w:kern w:val="2"/>
          <w:sz w:val="30"/>
          <w:szCs w:val="30"/>
          <w:lang w:val="en-US" w:eastAsia="zh-CN" w:bidi="ar-SA"/>
        </w:rPr>
      </w:pPr>
      <w:r>
        <w:rPr>
          <w:rFonts w:hint="eastAsia" w:ascii="仿宋_GB2312" w:hAnsi="仿宋_GB2312" w:eastAsia="仿宋_GB2312" w:cs="仿宋_GB2312"/>
          <w:b/>
          <w:bCs/>
          <w:color w:val="auto"/>
          <w:sz w:val="32"/>
          <w:szCs w:val="32"/>
          <w:highlight w:val="none"/>
          <w:lang w:eastAsia="zh-CN"/>
        </w:rPr>
        <w:t>项目费用</w:t>
      </w:r>
      <w:r>
        <w:rPr>
          <w:rFonts w:hint="eastAsia" w:ascii="仿宋_GB2312" w:hAnsi="仿宋_GB2312" w:eastAsia="仿宋_GB2312" w:cs="仿宋_GB2312"/>
          <w:b/>
          <w:bCs/>
          <w:color w:val="auto"/>
          <w:sz w:val="32"/>
          <w:szCs w:val="32"/>
          <w:highlight w:val="none"/>
          <w:lang w:val="en-US" w:eastAsia="zh-CN"/>
        </w:rPr>
        <w:t>预算</w:t>
      </w:r>
      <w:r>
        <w:rPr>
          <w:rFonts w:hint="eastAsia" w:ascii="仿宋_GB2312" w:hAnsi="仿宋_GB2312" w:eastAsia="仿宋_GB2312" w:cs="仿宋_GB2312"/>
          <w:b/>
          <w:bCs/>
          <w:color w:val="auto"/>
          <w:sz w:val="32"/>
          <w:szCs w:val="32"/>
          <w:highlight w:val="none"/>
          <w:lang w:eastAsia="zh-CN"/>
        </w:rPr>
        <w:t>表</w:t>
      </w:r>
    </w:p>
    <w:tbl>
      <w:tblPr>
        <w:tblStyle w:val="13"/>
        <w:tblW w:w="51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340"/>
        <w:gridCol w:w="2178"/>
        <w:gridCol w:w="1751"/>
        <w:gridCol w:w="1415"/>
        <w:gridCol w:w="1134"/>
      </w:tblGrid>
      <w:tr w14:paraId="36AF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505" w:type="pct"/>
            <w:vAlign w:val="center"/>
          </w:tcPr>
          <w:p w14:paraId="7D8A4CCB">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序号</w:t>
            </w:r>
          </w:p>
        </w:tc>
        <w:tc>
          <w:tcPr>
            <w:tcW w:w="770" w:type="pct"/>
            <w:vAlign w:val="center"/>
          </w:tcPr>
          <w:p w14:paraId="1B1974EE">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分类</w:t>
            </w:r>
          </w:p>
        </w:tc>
        <w:tc>
          <w:tcPr>
            <w:tcW w:w="1252" w:type="pct"/>
            <w:vAlign w:val="center"/>
          </w:tcPr>
          <w:p w14:paraId="3DCFA7BA">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内容</w:t>
            </w:r>
          </w:p>
        </w:tc>
        <w:tc>
          <w:tcPr>
            <w:tcW w:w="1006" w:type="pct"/>
            <w:vAlign w:val="center"/>
          </w:tcPr>
          <w:p w14:paraId="586A029F">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单价</w:t>
            </w:r>
          </w:p>
        </w:tc>
        <w:tc>
          <w:tcPr>
            <w:tcW w:w="813" w:type="pct"/>
            <w:vAlign w:val="center"/>
          </w:tcPr>
          <w:p w14:paraId="474D4266">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工作量</w:t>
            </w:r>
          </w:p>
        </w:tc>
        <w:tc>
          <w:tcPr>
            <w:tcW w:w="651" w:type="pct"/>
            <w:vAlign w:val="center"/>
          </w:tcPr>
          <w:p w14:paraId="4CAEBDDD">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费用（元）</w:t>
            </w:r>
          </w:p>
        </w:tc>
      </w:tr>
      <w:tr w14:paraId="3B657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505" w:type="pct"/>
            <w:vMerge w:val="restart"/>
            <w:vAlign w:val="center"/>
          </w:tcPr>
          <w:p w14:paraId="383A0C03">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1</w:t>
            </w:r>
          </w:p>
        </w:tc>
        <w:tc>
          <w:tcPr>
            <w:tcW w:w="770" w:type="pct"/>
            <w:vMerge w:val="restart"/>
            <w:vAlign w:val="center"/>
          </w:tcPr>
          <w:p w14:paraId="50640393">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仪器维护</w:t>
            </w:r>
          </w:p>
        </w:tc>
        <w:tc>
          <w:tcPr>
            <w:tcW w:w="1252" w:type="pct"/>
            <w:vAlign w:val="center"/>
          </w:tcPr>
          <w:p w14:paraId="38220DB5">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维护检查</w:t>
            </w:r>
          </w:p>
        </w:tc>
        <w:tc>
          <w:tcPr>
            <w:tcW w:w="1006" w:type="pct"/>
            <w:vAlign w:val="center"/>
          </w:tcPr>
          <w:p w14:paraId="3589A49D">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1000元/人/</w:t>
            </w:r>
            <w:r>
              <w:rPr>
                <w:rFonts w:hint="eastAsia" w:ascii="Times New Roman" w:hAnsi="Times New Roman" w:cs="Times New Roman"/>
                <w:color w:val="auto"/>
                <w:vertAlign w:val="baseline"/>
                <w:lang w:val="en-US" w:eastAsia="zh-CN"/>
              </w:rPr>
              <w:t>日</w:t>
            </w:r>
          </w:p>
        </w:tc>
        <w:tc>
          <w:tcPr>
            <w:tcW w:w="813" w:type="pct"/>
            <w:vAlign w:val="center"/>
          </w:tcPr>
          <w:p w14:paraId="7F739259">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2</w:t>
            </w:r>
            <w:r>
              <w:rPr>
                <w:rFonts w:hint="default" w:ascii="Times New Roman" w:hAnsi="Times New Roman" w:cs="Times New Roman"/>
                <w:color w:val="auto"/>
                <w:vertAlign w:val="baseline"/>
                <w:lang w:val="en-US" w:eastAsia="zh-CN"/>
              </w:rPr>
              <w:t>人</w:t>
            </w:r>
            <w:r>
              <w:rPr>
                <w:rFonts w:hint="eastAsia" w:ascii="Times New Roman" w:hAnsi="Times New Roman" w:cs="Times New Roman"/>
                <w:color w:val="auto"/>
                <w:vertAlign w:val="baseline"/>
                <w:lang w:val="en-US" w:eastAsia="zh-CN"/>
              </w:rPr>
              <w:t>6日</w:t>
            </w:r>
          </w:p>
        </w:tc>
        <w:tc>
          <w:tcPr>
            <w:tcW w:w="651" w:type="pct"/>
            <w:vAlign w:val="center"/>
          </w:tcPr>
          <w:p w14:paraId="29689D7B">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12</w:t>
            </w:r>
            <w:r>
              <w:rPr>
                <w:rFonts w:hint="default" w:ascii="Times New Roman" w:hAnsi="Times New Roman" w:cs="Times New Roman"/>
                <w:color w:val="auto"/>
                <w:vertAlign w:val="baseline"/>
                <w:lang w:val="en-US" w:eastAsia="zh-CN"/>
              </w:rPr>
              <w:t>000</w:t>
            </w:r>
          </w:p>
        </w:tc>
      </w:tr>
      <w:tr w14:paraId="0ECC0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505" w:type="pct"/>
            <w:vMerge w:val="continue"/>
            <w:vAlign w:val="center"/>
          </w:tcPr>
          <w:p w14:paraId="57570077">
            <w:pPr>
              <w:jc w:val="center"/>
              <w:rPr>
                <w:rFonts w:hint="default" w:ascii="Times New Roman" w:hAnsi="Times New Roman" w:cs="Times New Roman"/>
                <w:vertAlign w:val="baseline"/>
                <w:lang w:val="en-US" w:eastAsia="zh-CN"/>
              </w:rPr>
            </w:pPr>
          </w:p>
        </w:tc>
        <w:tc>
          <w:tcPr>
            <w:tcW w:w="770" w:type="pct"/>
            <w:vMerge w:val="continue"/>
            <w:vAlign w:val="center"/>
          </w:tcPr>
          <w:p w14:paraId="720DE2D7">
            <w:pPr>
              <w:jc w:val="center"/>
              <w:rPr>
                <w:rFonts w:hint="default" w:ascii="Times New Roman" w:hAnsi="Times New Roman" w:cs="Times New Roman"/>
                <w:vertAlign w:val="baseline"/>
                <w:lang w:val="en-US" w:eastAsia="zh-CN"/>
              </w:rPr>
            </w:pPr>
          </w:p>
        </w:tc>
        <w:tc>
          <w:tcPr>
            <w:tcW w:w="1252" w:type="pct"/>
            <w:vAlign w:val="center"/>
          </w:tcPr>
          <w:p w14:paraId="28EE79DB">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电池维修</w:t>
            </w:r>
          </w:p>
        </w:tc>
        <w:tc>
          <w:tcPr>
            <w:tcW w:w="1006" w:type="pct"/>
            <w:vAlign w:val="center"/>
          </w:tcPr>
          <w:p w14:paraId="5EB33742">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900元/块</w:t>
            </w:r>
          </w:p>
        </w:tc>
        <w:tc>
          <w:tcPr>
            <w:tcW w:w="813" w:type="pct"/>
            <w:vAlign w:val="center"/>
          </w:tcPr>
          <w:p w14:paraId="26161A91">
            <w:pPr>
              <w:jc w:val="center"/>
              <w:rPr>
                <w:rFonts w:hint="default" w:ascii="Times New Roman" w:hAnsi="Times New Roman" w:cs="Times New Roman" w:eastAsiaTheme="minorEastAsia"/>
                <w:color w:val="auto"/>
                <w:kern w:val="2"/>
                <w:sz w:val="21"/>
                <w:szCs w:val="24"/>
                <w:vertAlign w:val="baseline"/>
                <w:lang w:val="en-US" w:eastAsia="zh-CN" w:bidi="ar-SA"/>
              </w:rPr>
            </w:pPr>
            <w:r>
              <w:rPr>
                <w:rFonts w:hint="eastAsia" w:ascii="Times New Roman" w:hAnsi="Times New Roman" w:cs="Times New Roman"/>
                <w:color w:val="auto"/>
                <w:vertAlign w:val="baseline"/>
                <w:lang w:val="en-US" w:eastAsia="zh-CN"/>
              </w:rPr>
              <w:t>8块</w:t>
            </w:r>
          </w:p>
        </w:tc>
        <w:tc>
          <w:tcPr>
            <w:tcW w:w="651" w:type="pct"/>
            <w:vAlign w:val="center"/>
          </w:tcPr>
          <w:p w14:paraId="46016C06">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7200</w:t>
            </w:r>
          </w:p>
        </w:tc>
      </w:tr>
      <w:tr w14:paraId="5F8B1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5" w:type="pct"/>
            <w:vMerge w:val="restart"/>
            <w:vAlign w:val="center"/>
          </w:tcPr>
          <w:p w14:paraId="6D5587C4">
            <w:pPr>
              <w:jc w:val="cente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2</w:t>
            </w:r>
          </w:p>
        </w:tc>
        <w:tc>
          <w:tcPr>
            <w:tcW w:w="770" w:type="pct"/>
            <w:vMerge w:val="restart"/>
            <w:vAlign w:val="center"/>
          </w:tcPr>
          <w:p w14:paraId="25BA05F7">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技术支持</w:t>
            </w:r>
          </w:p>
        </w:tc>
        <w:tc>
          <w:tcPr>
            <w:tcW w:w="1252" w:type="pct"/>
            <w:vAlign w:val="center"/>
          </w:tcPr>
          <w:p w14:paraId="547A44DB">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协助走航</w:t>
            </w:r>
          </w:p>
        </w:tc>
        <w:tc>
          <w:tcPr>
            <w:tcW w:w="1006" w:type="pct"/>
            <w:vAlign w:val="center"/>
          </w:tcPr>
          <w:p w14:paraId="46F82B6F">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600元/人/</w:t>
            </w:r>
            <w:r>
              <w:rPr>
                <w:rFonts w:hint="eastAsia" w:ascii="Times New Roman" w:hAnsi="Times New Roman" w:cs="Times New Roman"/>
                <w:color w:val="auto"/>
                <w:vertAlign w:val="baseline"/>
                <w:lang w:val="en-US" w:eastAsia="zh-CN"/>
              </w:rPr>
              <w:t>日</w:t>
            </w:r>
          </w:p>
        </w:tc>
        <w:tc>
          <w:tcPr>
            <w:tcW w:w="813" w:type="pct"/>
            <w:vAlign w:val="center"/>
          </w:tcPr>
          <w:p w14:paraId="6FBE6AC8">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1人</w:t>
            </w:r>
            <w:r>
              <w:rPr>
                <w:rFonts w:hint="eastAsia" w:ascii="Times New Roman" w:hAnsi="Times New Roman" w:cs="Times New Roman"/>
                <w:color w:val="auto"/>
                <w:vertAlign w:val="baseline"/>
                <w:lang w:val="en-US" w:eastAsia="zh-CN"/>
              </w:rPr>
              <w:t>20日</w:t>
            </w:r>
          </w:p>
        </w:tc>
        <w:tc>
          <w:tcPr>
            <w:tcW w:w="651" w:type="pct"/>
            <w:vAlign w:val="center"/>
          </w:tcPr>
          <w:p w14:paraId="78ED0F79">
            <w:pPr>
              <w:jc w:val="center"/>
              <w:rPr>
                <w:rFonts w:hint="default" w:ascii="Times New Roman" w:hAnsi="Times New Roman" w:cs="Times New Roman"/>
                <w:color w:val="auto"/>
                <w:vertAlign w:val="baseline"/>
                <w:lang w:val="en-US" w:eastAsia="zh-CN"/>
              </w:rPr>
            </w:pPr>
            <w:r>
              <w:rPr>
                <w:rFonts w:hint="default" w:ascii="Times New Roman" w:hAnsi="Times New Roman" w:cs="Times New Roman"/>
                <w:color w:val="auto"/>
                <w:vertAlign w:val="baseline"/>
                <w:lang w:val="en-US" w:eastAsia="zh-CN"/>
              </w:rPr>
              <w:t>12000</w:t>
            </w:r>
          </w:p>
        </w:tc>
      </w:tr>
      <w:tr w14:paraId="517FB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505" w:type="pct"/>
            <w:vMerge w:val="continue"/>
            <w:vAlign w:val="center"/>
          </w:tcPr>
          <w:p w14:paraId="31A12666">
            <w:pPr>
              <w:jc w:val="center"/>
              <w:rPr>
                <w:rFonts w:hint="eastAsia" w:ascii="Times New Roman" w:hAnsi="Times New Roman" w:cs="Times New Roman"/>
                <w:kern w:val="2"/>
                <w:sz w:val="21"/>
                <w:szCs w:val="24"/>
                <w:vertAlign w:val="baseline"/>
                <w:lang w:val="en-US" w:eastAsia="zh-CN" w:bidi="ar-SA"/>
              </w:rPr>
            </w:pPr>
          </w:p>
        </w:tc>
        <w:tc>
          <w:tcPr>
            <w:tcW w:w="770" w:type="pct"/>
            <w:vMerge w:val="continue"/>
            <w:vAlign w:val="center"/>
          </w:tcPr>
          <w:p w14:paraId="20C3604C">
            <w:pPr>
              <w:jc w:val="center"/>
              <w:rPr>
                <w:rFonts w:hint="default" w:ascii="Times New Roman" w:hAnsi="Times New Roman" w:cs="Times New Roman"/>
                <w:vertAlign w:val="baseline"/>
                <w:lang w:val="en-US" w:eastAsia="zh-CN"/>
              </w:rPr>
            </w:pPr>
          </w:p>
        </w:tc>
        <w:tc>
          <w:tcPr>
            <w:tcW w:w="1252" w:type="pct"/>
            <w:vAlign w:val="center"/>
          </w:tcPr>
          <w:p w14:paraId="5FEC5C11">
            <w:pPr>
              <w:jc w:val="center"/>
              <w:rPr>
                <w:rFonts w:hint="default" w:ascii="Times New Roman" w:hAnsi="Times New Roman" w:cs="Times New Roman"/>
                <w:color w:val="auto"/>
                <w:vertAlign w:val="baseline"/>
                <w:lang w:val="en-US" w:eastAsia="zh-CN"/>
              </w:rPr>
            </w:pPr>
            <w:r>
              <w:rPr>
                <w:rFonts w:hint="eastAsia" w:ascii="Times New Roman" w:hAnsi="Times New Roman" w:eastAsia="宋体" w:cs="Times New Roman"/>
                <w:color w:val="auto"/>
                <w:kern w:val="0"/>
                <w:sz w:val="21"/>
                <w:szCs w:val="21"/>
                <w:highlight w:val="none"/>
                <w:lang w:val="en-US" w:eastAsia="zh-CN"/>
              </w:rPr>
              <w:t>故障分析与处理（返厂维修除外）</w:t>
            </w:r>
          </w:p>
        </w:tc>
        <w:tc>
          <w:tcPr>
            <w:tcW w:w="1006" w:type="pct"/>
            <w:vAlign w:val="center"/>
          </w:tcPr>
          <w:p w14:paraId="757E9DDD">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6000</w:t>
            </w:r>
            <w:r>
              <w:rPr>
                <w:rFonts w:hint="default" w:ascii="Times New Roman" w:hAnsi="Times New Roman" w:cs="Times New Roman"/>
                <w:color w:val="auto"/>
                <w:vertAlign w:val="baseline"/>
                <w:lang w:val="en-US" w:eastAsia="zh-CN"/>
              </w:rPr>
              <w:t>元</w:t>
            </w:r>
          </w:p>
        </w:tc>
        <w:tc>
          <w:tcPr>
            <w:tcW w:w="813" w:type="pct"/>
            <w:vAlign w:val="center"/>
          </w:tcPr>
          <w:p w14:paraId="777C2BA0">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1项</w:t>
            </w:r>
          </w:p>
        </w:tc>
        <w:tc>
          <w:tcPr>
            <w:tcW w:w="651" w:type="pct"/>
            <w:vAlign w:val="center"/>
          </w:tcPr>
          <w:p w14:paraId="4FF943BF">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6000</w:t>
            </w:r>
          </w:p>
        </w:tc>
      </w:tr>
      <w:tr w14:paraId="66A1B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505" w:type="pct"/>
            <w:vAlign w:val="center"/>
          </w:tcPr>
          <w:p w14:paraId="29F2BFA4">
            <w:pPr>
              <w:jc w:val="cente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kern w:val="2"/>
                <w:sz w:val="21"/>
                <w:szCs w:val="24"/>
                <w:vertAlign w:val="baseline"/>
                <w:lang w:val="en-US" w:eastAsia="zh-CN" w:bidi="ar-SA"/>
              </w:rPr>
              <w:t>3</w:t>
            </w:r>
          </w:p>
        </w:tc>
        <w:tc>
          <w:tcPr>
            <w:tcW w:w="770" w:type="pct"/>
            <w:vAlign w:val="center"/>
          </w:tcPr>
          <w:p w14:paraId="497BEB6C">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耗材</w:t>
            </w:r>
            <w:r>
              <w:rPr>
                <w:rFonts w:hint="eastAsia" w:ascii="Times New Roman" w:hAnsi="Times New Roman" w:cs="Times New Roman"/>
                <w:vertAlign w:val="baseline"/>
                <w:lang w:val="en-US" w:eastAsia="zh-CN"/>
              </w:rPr>
              <w:t>更换</w:t>
            </w:r>
          </w:p>
        </w:tc>
        <w:tc>
          <w:tcPr>
            <w:tcW w:w="1252" w:type="pct"/>
            <w:vAlign w:val="center"/>
          </w:tcPr>
          <w:p w14:paraId="6ADC4712">
            <w:pPr>
              <w:jc w:val="center"/>
              <w:rPr>
                <w:rFonts w:hint="default" w:ascii="Times New Roman" w:hAnsi="Times New Roman" w:cs="Times New Roman"/>
                <w:color w:val="auto"/>
                <w:vertAlign w:val="baseline"/>
                <w:lang w:val="en-US" w:eastAsia="zh-CN"/>
              </w:rPr>
            </w:pPr>
            <w:r>
              <w:rPr>
                <w:rFonts w:hint="eastAsia" w:cs="Times New Roman"/>
                <w:color w:val="auto"/>
                <w:kern w:val="0"/>
                <w:sz w:val="21"/>
                <w:szCs w:val="21"/>
                <w:highlight w:val="none"/>
                <w:lang w:val="en-US" w:eastAsia="zh-CN"/>
              </w:rPr>
              <w:t>协助更换耗材（如玛罐117组分标准品配置）</w:t>
            </w:r>
          </w:p>
        </w:tc>
        <w:tc>
          <w:tcPr>
            <w:tcW w:w="1006" w:type="pct"/>
            <w:vAlign w:val="center"/>
          </w:tcPr>
          <w:p w14:paraId="3A6215F4">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500元</w:t>
            </w:r>
          </w:p>
        </w:tc>
        <w:tc>
          <w:tcPr>
            <w:tcW w:w="813" w:type="pct"/>
            <w:vAlign w:val="center"/>
          </w:tcPr>
          <w:p w14:paraId="5E2A5F54">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1项</w:t>
            </w:r>
          </w:p>
        </w:tc>
        <w:tc>
          <w:tcPr>
            <w:tcW w:w="651" w:type="pct"/>
            <w:vAlign w:val="center"/>
          </w:tcPr>
          <w:p w14:paraId="4D10FF5F">
            <w:pPr>
              <w:jc w:val="center"/>
              <w:rPr>
                <w:rFonts w:hint="default" w:ascii="Times New Roman" w:hAnsi="Times New Roman" w:cs="Times New Roman"/>
                <w:color w:val="auto"/>
                <w:vertAlign w:val="baseline"/>
                <w:lang w:val="en-US" w:eastAsia="zh-CN"/>
              </w:rPr>
            </w:pPr>
            <w:r>
              <w:rPr>
                <w:rFonts w:hint="eastAsia" w:ascii="Times New Roman" w:hAnsi="Times New Roman" w:cs="Times New Roman"/>
                <w:color w:val="auto"/>
                <w:vertAlign w:val="baseline"/>
                <w:lang w:val="en-US" w:eastAsia="zh-CN"/>
              </w:rPr>
              <w:t>500</w:t>
            </w:r>
          </w:p>
        </w:tc>
      </w:tr>
      <w:tr w14:paraId="05E5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505" w:type="pct"/>
            <w:vMerge w:val="restart"/>
            <w:vAlign w:val="center"/>
          </w:tcPr>
          <w:p w14:paraId="684F1A30">
            <w:pPr>
              <w:jc w:val="cente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w:t>
            </w:r>
          </w:p>
        </w:tc>
        <w:tc>
          <w:tcPr>
            <w:tcW w:w="770" w:type="pct"/>
            <w:vMerge w:val="restart"/>
            <w:vAlign w:val="center"/>
          </w:tcPr>
          <w:p w14:paraId="141E3F5D">
            <w:pPr>
              <w:jc w:val="cente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其他</w:t>
            </w:r>
          </w:p>
        </w:tc>
        <w:tc>
          <w:tcPr>
            <w:tcW w:w="1252" w:type="pct"/>
            <w:vAlign w:val="center"/>
          </w:tcPr>
          <w:p w14:paraId="680F24DE">
            <w:pPr>
              <w:jc w:val="center"/>
              <w:rPr>
                <w:rFonts w:hint="default" w:ascii="Times New Roman" w:hAnsi="Times New Roman" w:cs="Times New Roman" w:eastAsiaTheme="minorEastAsia"/>
                <w:kern w:val="2"/>
                <w:sz w:val="21"/>
                <w:szCs w:val="24"/>
                <w:vertAlign w:val="baseline"/>
                <w:lang w:val="en-US" w:eastAsia="zh-CN" w:bidi="ar-SA"/>
              </w:rPr>
            </w:pPr>
            <w:r>
              <w:rPr>
                <w:rFonts w:hint="default" w:ascii="Times New Roman" w:hAnsi="Times New Roman" w:cs="Times New Roman"/>
                <w:vertAlign w:val="baseline"/>
                <w:lang w:val="en-US" w:eastAsia="zh-CN"/>
              </w:rPr>
              <w:t>技术咨询</w:t>
            </w:r>
          </w:p>
        </w:tc>
        <w:tc>
          <w:tcPr>
            <w:tcW w:w="1006" w:type="pct"/>
            <w:vAlign w:val="center"/>
          </w:tcPr>
          <w:p w14:paraId="513662A4">
            <w:pPr>
              <w:jc w:val="cente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813" w:type="pct"/>
            <w:vAlign w:val="center"/>
          </w:tcPr>
          <w:p w14:paraId="598CF90F">
            <w:pPr>
              <w:jc w:val="center"/>
              <w:rPr>
                <w:rFonts w:hint="eastAsia"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651" w:type="pct"/>
            <w:vAlign w:val="center"/>
          </w:tcPr>
          <w:p w14:paraId="6DC45C5D">
            <w:pPr>
              <w:jc w:val="center"/>
              <w:rPr>
                <w:rFonts w:hint="default" w:ascii="Times New Roman" w:hAnsi="Times New Roman" w:cs="Times New Roman" w:eastAsiaTheme="minorEastAsia"/>
                <w:kern w:val="2"/>
                <w:sz w:val="21"/>
                <w:szCs w:val="24"/>
                <w:vertAlign w:val="baseline"/>
                <w:lang w:val="en-US" w:eastAsia="zh-CN" w:bidi="ar-SA"/>
              </w:rPr>
            </w:pPr>
            <w:r>
              <w:rPr>
                <w:rFonts w:hint="default" w:ascii="Times New Roman" w:hAnsi="Times New Roman" w:cs="Times New Roman"/>
                <w:vertAlign w:val="baseline"/>
                <w:lang w:val="en-US" w:eastAsia="zh-CN"/>
              </w:rPr>
              <w:t>免费</w:t>
            </w:r>
          </w:p>
        </w:tc>
      </w:tr>
      <w:tr w14:paraId="59F3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505" w:type="pct"/>
            <w:vMerge w:val="continue"/>
            <w:vAlign w:val="center"/>
          </w:tcPr>
          <w:p w14:paraId="398A56FA">
            <w:pPr>
              <w:jc w:val="center"/>
              <w:rPr>
                <w:rFonts w:hint="default" w:ascii="Times New Roman" w:hAnsi="Times New Roman" w:cs="Times New Roman"/>
                <w:vertAlign w:val="baseline"/>
                <w:lang w:val="en-US" w:eastAsia="zh-CN"/>
              </w:rPr>
            </w:pPr>
          </w:p>
        </w:tc>
        <w:tc>
          <w:tcPr>
            <w:tcW w:w="770" w:type="pct"/>
            <w:vMerge w:val="continue"/>
            <w:vAlign w:val="center"/>
          </w:tcPr>
          <w:p w14:paraId="2765F012">
            <w:pPr>
              <w:jc w:val="center"/>
              <w:rPr>
                <w:rFonts w:hint="default" w:ascii="Times New Roman" w:hAnsi="Times New Roman" w:cs="Times New Roman"/>
                <w:vertAlign w:val="baseline"/>
                <w:lang w:val="en-US" w:eastAsia="zh-CN"/>
              </w:rPr>
            </w:pPr>
          </w:p>
        </w:tc>
        <w:tc>
          <w:tcPr>
            <w:tcW w:w="1252" w:type="pct"/>
            <w:vAlign w:val="center"/>
          </w:tcPr>
          <w:p w14:paraId="401F27A3">
            <w:pPr>
              <w:jc w:val="center"/>
              <w:rPr>
                <w:rFonts w:hint="default" w:ascii="Times New Roman" w:hAnsi="Times New Roman" w:cs="Times New Roman" w:eastAsiaTheme="minorEastAsia"/>
                <w:kern w:val="2"/>
                <w:sz w:val="21"/>
                <w:szCs w:val="24"/>
                <w:vertAlign w:val="baseline"/>
                <w:lang w:val="en-US" w:eastAsia="zh-CN" w:bidi="ar-SA"/>
              </w:rPr>
            </w:pPr>
            <w:r>
              <w:rPr>
                <w:rFonts w:hint="default" w:ascii="Times New Roman" w:hAnsi="Times New Roman" w:cs="Times New Roman"/>
                <w:vertAlign w:val="baseline"/>
                <w:lang w:val="en-US" w:eastAsia="zh-CN"/>
              </w:rPr>
              <w:t>应急支持</w:t>
            </w:r>
          </w:p>
        </w:tc>
        <w:tc>
          <w:tcPr>
            <w:tcW w:w="1006" w:type="pct"/>
            <w:vAlign w:val="center"/>
          </w:tcPr>
          <w:p w14:paraId="2F17760B">
            <w:pPr>
              <w:jc w:val="cente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813" w:type="pct"/>
            <w:vAlign w:val="center"/>
          </w:tcPr>
          <w:p w14:paraId="1DDCEF59">
            <w:pPr>
              <w:jc w:val="center"/>
              <w:rPr>
                <w:rFonts w:hint="eastAsia"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651" w:type="pct"/>
            <w:vAlign w:val="center"/>
          </w:tcPr>
          <w:p w14:paraId="1F608022">
            <w:pPr>
              <w:jc w:val="center"/>
              <w:rPr>
                <w:rFonts w:hint="default" w:ascii="Times New Roman" w:hAnsi="Times New Roman" w:cs="Times New Roman" w:eastAsiaTheme="minorEastAsia"/>
                <w:kern w:val="2"/>
                <w:sz w:val="21"/>
                <w:szCs w:val="24"/>
                <w:vertAlign w:val="baseline"/>
                <w:lang w:val="en-US" w:eastAsia="zh-CN" w:bidi="ar-SA"/>
              </w:rPr>
            </w:pPr>
            <w:r>
              <w:rPr>
                <w:rFonts w:hint="default" w:ascii="Times New Roman" w:hAnsi="Times New Roman" w:cs="Times New Roman"/>
                <w:vertAlign w:val="baseline"/>
                <w:lang w:val="en-US" w:eastAsia="zh-CN"/>
              </w:rPr>
              <w:t>免费</w:t>
            </w:r>
          </w:p>
        </w:tc>
      </w:tr>
      <w:tr w14:paraId="40CDF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505" w:type="pct"/>
            <w:vMerge w:val="continue"/>
            <w:vAlign w:val="center"/>
          </w:tcPr>
          <w:p w14:paraId="39B57F3D">
            <w:pPr>
              <w:jc w:val="center"/>
              <w:rPr>
                <w:rFonts w:hint="default" w:ascii="Times New Roman" w:hAnsi="Times New Roman" w:cs="Times New Roman"/>
                <w:vertAlign w:val="baseline"/>
                <w:lang w:val="en-US" w:eastAsia="zh-CN"/>
              </w:rPr>
            </w:pPr>
          </w:p>
        </w:tc>
        <w:tc>
          <w:tcPr>
            <w:tcW w:w="770" w:type="pct"/>
            <w:vMerge w:val="continue"/>
            <w:vAlign w:val="center"/>
          </w:tcPr>
          <w:p w14:paraId="29620F53">
            <w:pPr>
              <w:jc w:val="center"/>
              <w:rPr>
                <w:rFonts w:hint="default" w:ascii="Times New Roman" w:hAnsi="Times New Roman" w:cs="Times New Roman"/>
                <w:vertAlign w:val="baseline"/>
                <w:lang w:val="en-US" w:eastAsia="zh-CN"/>
              </w:rPr>
            </w:pPr>
          </w:p>
        </w:tc>
        <w:tc>
          <w:tcPr>
            <w:tcW w:w="1252" w:type="pct"/>
            <w:vAlign w:val="center"/>
          </w:tcPr>
          <w:p w14:paraId="369070D7">
            <w:pPr>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数据备份</w:t>
            </w:r>
          </w:p>
        </w:tc>
        <w:tc>
          <w:tcPr>
            <w:tcW w:w="1006" w:type="pct"/>
            <w:vAlign w:val="center"/>
          </w:tcPr>
          <w:p w14:paraId="6D37C4CF">
            <w:pPr>
              <w:jc w:val="center"/>
              <w:rPr>
                <w:rFonts w:hint="default"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813" w:type="pct"/>
            <w:vAlign w:val="center"/>
          </w:tcPr>
          <w:p w14:paraId="69B1AE16">
            <w:pPr>
              <w:jc w:val="center"/>
              <w:rPr>
                <w:rFonts w:hint="eastAsia" w:ascii="Times New Roman" w:hAnsi="Times New Roman" w:cs="Times New Roman" w:eastAsiaTheme="minorEastAsia"/>
                <w:kern w:val="2"/>
                <w:sz w:val="21"/>
                <w:szCs w:val="24"/>
                <w:vertAlign w:val="baseline"/>
                <w:lang w:val="en-US" w:eastAsia="zh-CN" w:bidi="ar-SA"/>
              </w:rPr>
            </w:pPr>
            <w:r>
              <w:rPr>
                <w:rFonts w:hint="eastAsia" w:ascii="Times New Roman" w:hAnsi="Times New Roman" w:cs="Times New Roman"/>
                <w:vertAlign w:val="baseline"/>
                <w:lang w:val="en-US" w:eastAsia="zh-CN"/>
              </w:rPr>
              <w:t>——</w:t>
            </w:r>
          </w:p>
        </w:tc>
        <w:tc>
          <w:tcPr>
            <w:tcW w:w="651" w:type="pct"/>
            <w:vAlign w:val="center"/>
          </w:tcPr>
          <w:p w14:paraId="4B55B7E4">
            <w:pPr>
              <w:jc w:val="center"/>
              <w:rPr>
                <w:rFonts w:hint="default" w:ascii="Times New Roman" w:hAnsi="Times New Roman" w:cs="Times New Roman" w:eastAsiaTheme="minorEastAsia"/>
                <w:kern w:val="2"/>
                <w:sz w:val="21"/>
                <w:szCs w:val="24"/>
                <w:vertAlign w:val="baseline"/>
                <w:lang w:val="en-US" w:eastAsia="zh-CN" w:bidi="ar-SA"/>
              </w:rPr>
            </w:pPr>
            <w:r>
              <w:rPr>
                <w:rFonts w:hint="default" w:ascii="Times New Roman" w:hAnsi="Times New Roman" w:cs="Times New Roman"/>
                <w:vertAlign w:val="baseline"/>
                <w:lang w:val="en-US" w:eastAsia="zh-CN"/>
              </w:rPr>
              <w:t>免费</w:t>
            </w:r>
          </w:p>
        </w:tc>
      </w:tr>
      <w:tr w14:paraId="76C9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48" w:type="pct"/>
            <w:gridSpan w:val="5"/>
            <w:vAlign w:val="center"/>
          </w:tcPr>
          <w:p w14:paraId="2CB07BA1">
            <w:pPr>
              <w:jc w:val="center"/>
              <w:rPr>
                <w:rFonts w:hint="eastAsia" w:ascii="Times New Roman" w:hAnsi="Times New Roman" w:cs="Times New Roman"/>
                <w:vertAlign w:val="baseline"/>
                <w:lang w:val="en-US" w:eastAsia="zh-CN"/>
              </w:rPr>
            </w:pPr>
            <w:r>
              <w:rPr>
                <w:rFonts w:hint="default" w:ascii="Times New Roman" w:hAnsi="Times New Roman" w:cs="Times New Roman"/>
                <w:kern w:val="2"/>
                <w:sz w:val="21"/>
                <w:szCs w:val="24"/>
                <w:vertAlign w:val="baseline"/>
                <w:lang w:val="en-US" w:eastAsia="zh-CN" w:bidi="ar-SA"/>
              </w:rPr>
              <w:t>合计（人民币）</w:t>
            </w:r>
          </w:p>
        </w:tc>
        <w:tc>
          <w:tcPr>
            <w:tcW w:w="651" w:type="pct"/>
            <w:vAlign w:val="center"/>
          </w:tcPr>
          <w:p w14:paraId="13766C84">
            <w:pPr>
              <w:jc w:val="center"/>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37700</w:t>
            </w:r>
          </w:p>
        </w:tc>
      </w:tr>
    </w:tbl>
    <w:p w14:paraId="672FB7B9">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9"/>
        <w:rPr>
          <w:rFonts w:hint="eastAsia" w:ascii="方正仿宋_GB2312" w:hAnsi="方正仿宋_GB2312" w:eastAsia="方正仿宋_GB2312" w:cs="方正仿宋_GB2312"/>
          <w:b/>
          <w:bCs/>
          <w:sz w:val="18"/>
          <w:szCs w:val="18"/>
          <w:lang w:val="en-US" w:eastAsia="zh-CN"/>
        </w:rPr>
      </w:pPr>
    </w:p>
    <w:p w14:paraId="6E037518">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default" w:ascii="方正仿宋_GB2312" w:hAnsi="方正仿宋_GB2312" w:eastAsia="方正仿宋_GB2312" w:cs="方正仿宋_GB2312"/>
          <w:b/>
          <w:bCs/>
          <w:sz w:val="28"/>
          <w:szCs w:val="28"/>
          <w:lang w:val="en-US" w:eastAsia="zh-CN"/>
        </w:rPr>
      </w:pPr>
      <w:r>
        <w:rPr>
          <w:rFonts w:hint="eastAsia" w:ascii="方正仿宋_GB2312" w:hAnsi="方正仿宋_GB2312" w:eastAsia="方正仿宋_GB2312" w:cs="方正仿宋_GB2312"/>
          <w:b/>
          <w:bCs/>
          <w:sz w:val="28"/>
          <w:szCs w:val="28"/>
          <w:lang w:val="en-US" w:eastAsia="zh-CN"/>
        </w:rPr>
        <w:t>（二）供应商资格</w:t>
      </w:r>
    </w:p>
    <w:p w14:paraId="61CC80D9">
      <w:pPr>
        <w:pStyle w:val="2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仿宋"/>
          <w:color w:val="000000"/>
          <w:kern w:val="2"/>
          <w:sz w:val="28"/>
          <w:szCs w:val="28"/>
          <w:lang w:val="en-US" w:eastAsia="zh-CN" w:bidi="ar-SA"/>
        </w:rPr>
      </w:pPr>
      <w:r>
        <w:rPr>
          <w:rFonts w:hint="eastAsia" w:ascii="仿宋" w:hAnsi="仿宋" w:eastAsia="仿宋" w:cs="仿宋"/>
          <w:color w:val="000000"/>
          <w:kern w:val="2"/>
          <w:sz w:val="28"/>
          <w:szCs w:val="28"/>
          <w:lang w:val="en-US" w:eastAsia="zh-CN" w:bidi="ar-SA"/>
        </w:rPr>
        <w:t>提供近年VOCs在线或走航维护等相关业绩证明材料。</w:t>
      </w:r>
    </w:p>
    <w:p w14:paraId="5159BEB2">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15C06CBE">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658AA7D3">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6EBED850">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40068387">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5AB9F146">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6EC3412A">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p>
    <w:p w14:paraId="36AB7EB4">
      <w:pPr>
        <w:pStyle w:val="22"/>
        <w:ind w:left="420" w:firstLine="0" w:firstLineChars="0"/>
        <w:jc w:val="both"/>
        <w:outlineLvl w:val="1"/>
        <w:rPr>
          <w:rFonts w:hint="eastAsia" w:ascii="Times New Roman" w:hAnsi="Times New Roman" w:cs="Times New Roman" w:eastAsiaTheme="majorEastAsia"/>
          <w:b/>
          <w:sz w:val="28"/>
          <w:szCs w:val="28"/>
          <w:lang w:val="en-US" w:eastAsia="zh-CN"/>
        </w:rPr>
      </w:pPr>
      <w:bookmarkStart w:id="0" w:name="_GoBack"/>
      <w:bookmarkEnd w:id="0"/>
    </w:p>
    <w:p w14:paraId="39FB12D9">
      <w:pPr>
        <w:pStyle w:val="19"/>
        <w:numPr>
          <w:ilvl w:val="0"/>
          <w:numId w:val="0"/>
        </w:numPr>
        <w:rPr>
          <w:rFonts w:hint="eastAsia" w:ascii="方正仿宋_GB2312" w:hAnsi="方正仿宋_GB2312" w:eastAsia="方正仿宋_GB2312" w:cs="方正仿宋_GB2312"/>
          <w:color w:val="auto"/>
          <w:kern w:val="2"/>
          <w:sz w:val="28"/>
          <w:szCs w:val="28"/>
          <w:lang w:val="en-US" w:eastAsia="zh-CN" w:bidi="ar-SA"/>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46193F-F54B-4A1E-9F79-A32CA337F6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43BE705-401C-4D96-BC3A-FDFF8C8D102D}"/>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3" w:fontKey="{A1237962-9004-4242-AFA9-FB2AB7A94E79}"/>
  </w:font>
  <w:font w:name="方正仿宋_GB2312">
    <w:panose1 w:val="02000000000000000000"/>
    <w:charset w:val="86"/>
    <w:family w:val="auto"/>
    <w:pitch w:val="default"/>
    <w:sig w:usb0="A00002BF" w:usb1="184F6CFA" w:usb2="00000012" w:usb3="00000000" w:csb0="00040001" w:csb1="00000000"/>
    <w:embedRegular r:id="rId4" w:fontKey="{EEAEAEE5-3CDA-45F0-8EED-FB6D373DA636}"/>
  </w:font>
  <w:font w:name="仿宋">
    <w:panose1 w:val="02010609060101010101"/>
    <w:charset w:val="86"/>
    <w:family w:val="auto"/>
    <w:pitch w:val="default"/>
    <w:sig w:usb0="800002BF" w:usb1="38CF7CFA" w:usb2="00000016" w:usb3="00000000" w:csb0="00040001" w:csb1="00000000"/>
    <w:embedRegular r:id="rId5" w:fontKey="{E7B33851-5355-4AC1-9E41-1360EB6FFC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BA57C">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FB80D">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5</w:t>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5FB80D">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val="en-US" w:eastAsia="zh-CN"/>
                      </w:rPr>
                      <w:t>5</w:t>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DC9511"/>
    <w:multiLevelType w:val="singleLevel"/>
    <w:tmpl w:val="81DC951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hZDJkZGZlYjM3MjdmZWQ0OTUzM2JmYTU0MzVkZjgifQ=="/>
  </w:docVars>
  <w:rsids>
    <w:rsidRoot w:val="00C711F5"/>
    <w:rsid w:val="007200AE"/>
    <w:rsid w:val="00887B90"/>
    <w:rsid w:val="00893649"/>
    <w:rsid w:val="00C711F5"/>
    <w:rsid w:val="01BA5CCA"/>
    <w:rsid w:val="01DC6B24"/>
    <w:rsid w:val="03251F70"/>
    <w:rsid w:val="035A0EEE"/>
    <w:rsid w:val="035E0DBD"/>
    <w:rsid w:val="04A9106E"/>
    <w:rsid w:val="056F2B0A"/>
    <w:rsid w:val="05BF4F07"/>
    <w:rsid w:val="06112117"/>
    <w:rsid w:val="06623977"/>
    <w:rsid w:val="06B343BA"/>
    <w:rsid w:val="073B2854"/>
    <w:rsid w:val="07AD05F4"/>
    <w:rsid w:val="082F2663"/>
    <w:rsid w:val="08A11962"/>
    <w:rsid w:val="09AF1993"/>
    <w:rsid w:val="09E45136"/>
    <w:rsid w:val="0A070C72"/>
    <w:rsid w:val="0A1500C6"/>
    <w:rsid w:val="0A862398"/>
    <w:rsid w:val="0AD758C1"/>
    <w:rsid w:val="0BD948AE"/>
    <w:rsid w:val="0C71390F"/>
    <w:rsid w:val="0D0A78C0"/>
    <w:rsid w:val="0D10188D"/>
    <w:rsid w:val="0D58062B"/>
    <w:rsid w:val="0D86531A"/>
    <w:rsid w:val="0E5E7EC3"/>
    <w:rsid w:val="0F087589"/>
    <w:rsid w:val="0FC87CEA"/>
    <w:rsid w:val="0FFD6111"/>
    <w:rsid w:val="108D2CE2"/>
    <w:rsid w:val="116853BF"/>
    <w:rsid w:val="11967974"/>
    <w:rsid w:val="12B46C88"/>
    <w:rsid w:val="13364074"/>
    <w:rsid w:val="13616C68"/>
    <w:rsid w:val="13E72709"/>
    <w:rsid w:val="145F0EF5"/>
    <w:rsid w:val="15345BAC"/>
    <w:rsid w:val="154B2552"/>
    <w:rsid w:val="158C35C2"/>
    <w:rsid w:val="15D57A10"/>
    <w:rsid w:val="16172D30"/>
    <w:rsid w:val="167A700D"/>
    <w:rsid w:val="17024CE3"/>
    <w:rsid w:val="171542E0"/>
    <w:rsid w:val="1795179F"/>
    <w:rsid w:val="17A47A09"/>
    <w:rsid w:val="17EC0694"/>
    <w:rsid w:val="1966543F"/>
    <w:rsid w:val="19A030A7"/>
    <w:rsid w:val="19C75E80"/>
    <w:rsid w:val="19CA0B03"/>
    <w:rsid w:val="19DA173E"/>
    <w:rsid w:val="1B27478E"/>
    <w:rsid w:val="1B8E4AA3"/>
    <w:rsid w:val="1C3E30E2"/>
    <w:rsid w:val="1C836C23"/>
    <w:rsid w:val="1D3D0F5F"/>
    <w:rsid w:val="1D480320"/>
    <w:rsid w:val="1D4C2704"/>
    <w:rsid w:val="1DB63C4E"/>
    <w:rsid w:val="1DCD2970"/>
    <w:rsid w:val="1DE641EE"/>
    <w:rsid w:val="1E015CCC"/>
    <w:rsid w:val="1E122FEB"/>
    <w:rsid w:val="1E5249F5"/>
    <w:rsid w:val="1E542CBF"/>
    <w:rsid w:val="1EA45070"/>
    <w:rsid w:val="1EB60577"/>
    <w:rsid w:val="1F364E65"/>
    <w:rsid w:val="1F532AB8"/>
    <w:rsid w:val="1F5D0750"/>
    <w:rsid w:val="1FBE1A1B"/>
    <w:rsid w:val="20783067"/>
    <w:rsid w:val="2172757B"/>
    <w:rsid w:val="21907373"/>
    <w:rsid w:val="21DD7863"/>
    <w:rsid w:val="2201071C"/>
    <w:rsid w:val="22952CD1"/>
    <w:rsid w:val="22BB665D"/>
    <w:rsid w:val="2330478E"/>
    <w:rsid w:val="2342170A"/>
    <w:rsid w:val="24736949"/>
    <w:rsid w:val="24B94E7B"/>
    <w:rsid w:val="24D00292"/>
    <w:rsid w:val="25283D74"/>
    <w:rsid w:val="25A20B86"/>
    <w:rsid w:val="25B93CD8"/>
    <w:rsid w:val="25D85189"/>
    <w:rsid w:val="26121868"/>
    <w:rsid w:val="26E5167A"/>
    <w:rsid w:val="27286CF1"/>
    <w:rsid w:val="273932E1"/>
    <w:rsid w:val="274719E5"/>
    <w:rsid w:val="276F4A98"/>
    <w:rsid w:val="27D86AE1"/>
    <w:rsid w:val="28953750"/>
    <w:rsid w:val="28BB3838"/>
    <w:rsid w:val="290D45E2"/>
    <w:rsid w:val="29882870"/>
    <w:rsid w:val="29B46954"/>
    <w:rsid w:val="2AC5396D"/>
    <w:rsid w:val="2BEC2B5B"/>
    <w:rsid w:val="2DEE4968"/>
    <w:rsid w:val="2E1F2D74"/>
    <w:rsid w:val="2E336BBB"/>
    <w:rsid w:val="2E7309DD"/>
    <w:rsid w:val="2EB86D24"/>
    <w:rsid w:val="2EF34402"/>
    <w:rsid w:val="2F15024A"/>
    <w:rsid w:val="2F742135"/>
    <w:rsid w:val="30E6401D"/>
    <w:rsid w:val="31635FFC"/>
    <w:rsid w:val="32F33F4D"/>
    <w:rsid w:val="331C3D26"/>
    <w:rsid w:val="33881AD7"/>
    <w:rsid w:val="33A6689E"/>
    <w:rsid w:val="340E72AC"/>
    <w:rsid w:val="343401A2"/>
    <w:rsid w:val="359C1823"/>
    <w:rsid w:val="35C42453"/>
    <w:rsid w:val="37095F12"/>
    <w:rsid w:val="37D307EC"/>
    <w:rsid w:val="387463B2"/>
    <w:rsid w:val="38A36115"/>
    <w:rsid w:val="3A0B6DA1"/>
    <w:rsid w:val="3B7E1390"/>
    <w:rsid w:val="3C071378"/>
    <w:rsid w:val="3D8133B8"/>
    <w:rsid w:val="3DD110BE"/>
    <w:rsid w:val="3DE03560"/>
    <w:rsid w:val="3DF14E1A"/>
    <w:rsid w:val="3E386A15"/>
    <w:rsid w:val="3E4D2B9C"/>
    <w:rsid w:val="3ED24DF7"/>
    <w:rsid w:val="3F0A35CC"/>
    <w:rsid w:val="40370D8D"/>
    <w:rsid w:val="405C39B3"/>
    <w:rsid w:val="43D41C91"/>
    <w:rsid w:val="440D4C60"/>
    <w:rsid w:val="44DD04E4"/>
    <w:rsid w:val="452D518C"/>
    <w:rsid w:val="46503266"/>
    <w:rsid w:val="466B33F7"/>
    <w:rsid w:val="467F7C57"/>
    <w:rsid w:val="46DD7E0A"/>
    <w:rsid w:val="47F94DE2"/>
    <w:rsid w:val="48DE3861"/>
    <w:rsid w:val="49625457"/>
    <w:rsid w:val="49CB3958"/>
    <w:rsid w:val="49DB44C1"/>
    <w:rsid w:val="49DF3D41"/>
    <w:rsid w:val="49E96808"/>
    <w:rsid w:val="4A3868ED"/>
    <w:rsid w:val="4D1224B4"/>
    <w:rsid w:val="4D217208"/>
    <w:rsid w:val="4DD40E26"/>
    <w:rsid w:val="4ED7120E"/>
    <w:rsid w:val="4F1D44DC"/>
    <w:rsid w:val="4F2972BB"/>
    <w:rsid w:val="4F3B3158"/>
    <w:rsid w:val="4F5E0FFF"/>
    <w:rsid w:val="4FE8631C"/>
    <w:rsid w:val="506E1523"/>
    <w:rsid w:val="507E1724"/>
    <w:rsid w:val="508765AB"/>
    <w:rsid w:val="515A53B9"/>
    <w:rsid w:val="51F3035D"/>
    <w:rsid w:val="524208AA"/>
    <w:rsid w:val="52891D48"/>
    <w:rsid w:val="52A92F54"/>
    <w:rsid w:val="532D65CD"/>
    <w:rsid w:val="53675E47"/>
    <w:rsid w:val="538A6632"/>
    <w:rsid w:val="53F27B46"/>
    <w:rsid w:val="542C1497"/>
    <w:rsid w:val="54E33989"/>
    <w:rsid w:val="54F867A2"/>
    <w:rsid w:val="551F4D44"/>
    <w:rsid w:val="557C1FAA"/>
    <w:rsid w:val="55D55FF0"/>
    <w:rsid w:val="569819EA"/>
    <w:rsid w:val="56BA722E"/>
    <w:rsid w:val="57884291"/>
    <w:rsid w:val="57E819AE"/>
    <w:rsid w:val="59617E0F"/>
    <w:rsid w:val="59D25648"/>
    <w:rsid w:val="5A122DAC"/>
    <w:rsid w:val="5A224804"/>
    <w:rsid w:val="5ABC0F0C"/>
    <w:rsid w:val="5B1C3E7B"/>
    <w:rsid w:val="5BC8203A"/>
    <w:rsid w:val="5C1E4E2F"/>
    <w:rsid w:val="5C3929A3"/>
    <w:rsid w:val="5D1C2F13"/>
    <w:rsid w:val="5D79399F"/>
    <w:rsid w:val="5E4A3943"/>
    <w:rsid w:val="5EDC78FC"/>
    <w:rsid w:val="605E34DA"/>
    <w:rsid w:val="607B4703"/>
    <w:rsid w:val="61141DFE"/>
    <w:rsid w:val="61F24AAD"/>
    <w:rsid w:val="63F07C62"/>
    <w:rsid w:val="64AD3EFA"/>
    <w:rsid w:val="64F16F3E"/>
    <w:rsid w:val="655B1BDC"/>
    <w:rsid w:val="65650043"/>
    <w:rsid w:val="6623672D"/>
    <w:rsid w:val="66A807F6"/>
    <w:rsid w:val="66AC0708"/>
    <w:rsid w:val="66C25F7E"/>
    <w:rsid w:val="66D32372"/>
    <w:rsid w:val="671A36FA"/>
    <w:rsid w:val="68AD1DA8"/>
    <w:rsid w:val="69061224"/>
    <w:rsid w:val="69D21488"/>
    <w:rsid w:val="69D908E0"/>
    <w:rsid w:val="6A744518"/>
    <w:rsid w:val="6AC277EF"/>
    <w:rsid w:val="6B270388"/>
    <w:rsid w:val="6B9731E8"/>
    <w:rsid w:val="6C6B675D"/>
    <w:rsid w:val="6D276AF7"/>
    <w:rsid w:val="6D323E0B"/>
    <w:rsid w:val="6E067091"/>
    <w:rsid w:val="6E202105"/>
    <w:rsid w:val="6F160502"/>
    <w:rsid w:val="6F3558F9"/>
    <w:rsid w:val="6F47335F"/>
    <w:rsid w:val="6F751EAF"/>
    <w:rsid w:val="6F9500AA"/>
    <w:rsid w:val="6FA3250D"/>
    <w:rsid w:val="6FE447A1"/>
    <w:rsid w:val="708D0B47"/>
    <w:rsid w:val="71B92164"/>
    <w:rsid w:val="71C9262C"/>
    <w:rsid w:val="72514749"/>
    <w:rsid w:val="73855B59"/>
    <w:rsid w:val="73E3796C"/>
    <w:rsid w:val="73F94F64"/>
    <w:rsid w:val="75874330"/>
    <w:rsid w:val="77B93724"/>
    <w:rsid w:val="77C74EAF"/>
    <w:rsid w:val="78130E07"/>
    <w:rsid w:val="781E71C5"/>
    <w:rsid w:val="786903EF"/>
    <w:rsid w:val="796536CD"/>
    <w:rsid w:val="797572B9"/>
    <w:rsid w:val="7A252A8D"/>
    <w:rsid w:val="7A2B713C"/>
    <w:rsid w:val="7A9104BC"/>
    <w:rsid w:val="7A9674E6"/>
    <w:rsid w:val="7B144771"/>
    <w:rsid w:val="7B877EE7"/>
    <w:rsid w:val="7BB80E37"/>
    <w:rsid w:val="7BDA78A7"/>
    <w:rsid w:val="7C306EC1"/>
    <w:rsid w:val="7CB27E52"/>
    <w:rsid w:val="7D1A39BD"/>
    <w:rsid w:val="7DEE1EF1"/>
    <w:rsid w:val="7DF32EA2"/>
    <w:rsid w:val="7FD0349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line="360" w:lineRule="auto"/>
      <w:outlineLvl w:val="1"/>
    </w:pPr>
    <w:rPr>
      <w:rFonts w:ascii="宋体" w:hAnsi="宋体"/>
      <w:b/>
      <w:color w:val="000000"/>
      <w:kern w:val="0"/>
      <w:sz w:val="30"/>
    </w:rPr>
  </w:style>
  <w:style w:type="paragraph" w:styleId="5">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adjustRightInd w:val="0"/>
      <w:snapToGrid w:val="0"/>
      <w:spacing w:after="120" w:line="360" w:lineRule="auto"/>
      <w:jc w:val="left"/>
    </w:pPr>
    <w:rPr>
      <w:rFonts w:ascii="Tahoma" w:hAnsi="Tahoma" w:eastAsia="微软雅黑" w:cs="Times New Roman"/>
      <w:kern w:val="0"/>
      <w:sz w:val="22"/>
      <w:szCs w:val="20"/>
    </w:rPr>
  </w:style>
  <w:style w:type="paragraph" w:styleId="6">
    <w:name w:val="toc 3"/>
    <w:basedOn w:val="1"/>
    <w:next w:val="1"/>
    <w:autoRedefine/>
    <w:qFormat/>
    <w:uiPriority w:val="39"/>
    <w:pPr>
      <w:ind w:left="420"/>
      <w:jc w:val="left"/>
    </w:pPr>
    <w:rPr>
      <w:i/>
      <w:iCs/>
      <w:sz w:val="20"/>
      <w:szCs w:val="20"/>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39"/>
    <w:pPr>
      <w:spacing w:before="120" w:after="120"/>
      <w:jc w:val="left"/>
    </w:pPr>
    <w:rPr>
      <w:b/>
      <w:bCs/>
      <w:caps/>
      <w:sz w:val="20"/>
      <w:szCs w:val="20"/>
    </w:rPr>
  </w:style>
  <w:style w:type="paragraph" w:styleId="10">
    <w:name w:val="toc 2"/>
    <w:basedOn w:val="1"/>
    <w:next w:val="1"/>
    <w:autoRedefine/>
    <w:qFormat/>
    <w:uiPriority w:val="39"/>
    <w:pPr>
      <w:ind w:left="210"/>
      <w:jc w:val="left"/>
    </w:pPr>
    <w:rPr>
      <w:smallCaps/>
      <w:sz w:val="20"/>
      <w:szCs w:val="20"/>
    </w:rPr>
  </w:style>
  <w:style w:type="paragraph" w:styleId="11">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autoRedefine/>
    <w:qFormat/>
    <w:uiPriority w:val="0"/>
    <w:rPr>
      <w:i/>
    </w:rPr>
  </w:style>
  <w:style w:type="character" w:styleId="16">
    <w:name w:val="Hyperlink"/>
    <w:autoRedefine/>
    <w:qFormat/>
    <w:uiPriority w:val="99"/>
    <w:rPr>
      <w:rFonts w:cs="Times New Roman"/>
      <w:color w:val="0000FF"/>
      <w:u w:val="single"/>
    </w:rPr>
  </w:style>
  <w:style w:type="paragraph" w:customStyle="1" w:styleId="17">
    <w:name w:val="正文正"/>
    <w:basedOn w:val="18"/>
    <w:autoRedefine/>
    <w:qFormat/>
    <w:uiPriority w:val="0"/>
    <w:pPr>
      <w:spacing w:line="560" w:lineRule="exact"/>
      <w:ind w:firstLine="561"/>
    </w:pPr>
    <w:rPr>
      <w:rFonts w:eastAsia="仿宋_GB2312"/>
      <w:sz w:val="28"/>
      <w:szCs w:val="24"/>
    </w:rPr>
  </w:style>
  <w:style w:type="paragraph" w:customStyle="1" w:styleId="18">
    <w:name w:val="正文 New New New New New New New"/>
    <w:autoRedefine/>
    <w:qFormat/>
    <w:uiPriority w:val="0"/>
    <w:pPr>
      <w:widowControl w:val="0"/>
      <w:jc w:val="both"/>
    </w:pPr>
    <w:rPr>
      <w:rFonts w:ascii="宋体" w:hAnsi="宋体" w:eastAsia="宋体" w:cs="Times New Roman"/>
      <w:kern w:val="16"/>
      <w:sz w:val="21"/>
      <w:szCs w:val="24"/>
      <w:lang w:val="en-US" w:eastAsia="zh-CN" w:bidi="ar-SA"/>
    </w:rPr>
  </w:style>
  <w:style w:type="paragraph" w:customStyle="1" w:styleId="19">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0">
    <w:name w:val="List Paragraph"/>
    <w:basedOn w:val="1"/>
    <w:autoRedefine/>
    <w:qFormat/>
    <w:uiPriority w:val="0"/>
    <w:pPr>
      <w:ind w:firstLine="420" w:firstLineChars="200"/>
    </w:pPr>
  </w:style>
  <w:style w:type="paragraph" w:customStyle="1" w:styleId="21">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列表段落1"/>
    <w:basedOn w:val="1"/>
    <w:autoRedefine/>
    <w:qFormat/>
    <w:uiPriority w:val="34"/>
    <w:pPr>
      <w:ind w:firstLine="420" w:firstLineChars="200"/>
    </w:pPr>
  </w:style>
  <w:style w:type="paragraph" w:customStyle="1" w:styleId="23">
    <w:name w:val="无间隔1"/>
    <w:autoRedefine/>
    <w:qFormat/>
    <w:uiPriority w:val="1"/>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2214</Words>
  <Characters>2383</Characters>
  <Lines>0</Lines>
  <Paragraphs>0</Paragraphs>
  <TotalTime>35</TotalTime>
  <ScaleCrop>false</ScaleCrop>
  <LinksUpToDate>false</LinksUpToDate>
  <CharactersWithSpaces>2403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2020-05-13T07:24:00Z</dcterms:created>
  <dc:creator>黄阳晓</dc:creator>
  <cp:lastModifiedBy>李华</cp:lastModifiedBy>
  <cp:lastPrinted>2024-09-03T07:09:00Z</cp:lastPrinted>
  <dcterms:modified xsi:type="dcterms:W3CDTF">2024-09-04T09:03:41Z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375207A0E4854E8395D82D9763C2652B_13</vt:lpwstr>
  </property>
</Properties>
</file>