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9"/>
      </w:pPr>
      <w:bookmarkStart w:id="0" w:name="_Hlk4502285"/>
      <w:bookmarkEnd w:id="0"/>
      <w:r>
        <w:rPr>
          <w:rFonts w:hint="eastAsia"/>
        </w:rPr>
        <w:t xml:space="preserve"> </w:t>
      </w:r>
    </w:p>
    <w:p>
      <w:pPr>
        <w:pStyle w:val="9"/>
      </w:pPr>
    </w:p>
    <w:p>
      <w:pPr>
        <w:pStyle w:val="9"/>
        <w:ind w:left="0" w:leftChars="0" w:firstLine="0" w:firstLineChars="0"/>
        <w:jc w:val="center"/>
        <w:rPr>
          <w:rFonts w:hint="eastAsia" w:ascii="黑体" w:hAnsi="黑体" w:eastAsia="黑体" w:cs="Times New Roman"/>
          <w:b/>
          <w:bCs/>
          <w:spacing w:val="24"/>
          <w:kern w:val="2"/>
          <w:sz w:val="52"/>
          <w:szCs w:val="52"/>
          <w:lang w:val="en-US" w:eastAsia="zh-CN" w:bidi="ar-SA"/>
        </w:rPr>
      </w:pPr>
      <w:r>
        <w:rPr>
          <w:rFonts w:hint="eastAsia" w:ascii="黑体" w:hAnsi="黑体" w:eastAsia="黑体" w:cs="Times New Roman"/>
          <w:b/>
          <w:bCs/>
          <w:spacing w:val="24"/>
          <w:kern w:val="2"/>
          <w:sz w:val="52"/>
          <w:szCs w:val="52"/>
          <w:lang w:val="en-US" w:eastAsia="zh-CN" w:bidi="ar-SA"/>
        </w:rPr>
        <w:t>仁化县三佳畜牧有限公司</w:t>
      </w:r>
    </w:p>
    <w:p>
      <w:pPr>
        <w:pStyle w:val="108"/>
        <w:rPr>
          <w:rFonts w:hint="eastAsia" w:ascii="黑体" w:hAnsi="黑体" w:eastAsia="黑体" w:cs="Times New Roman"/>
          <w:sz w:val="52"/>
          <w:szCs w:val="52"/>
          <w:lang w:val="en-US" w:eastAsia="zh-CN"/>
        </w:rPr>
      </w:pPr>
      <w:r>
        <w:rPr>
          <w:rFonts w:hint="eastAsia" w:ascii="黑体" w:hAnsi="黑体" w:eastAsia="黑体" w:cs="Times New Roman"/>
          <w:sz w:val="52"/>
          <w:szCs w:val="52"/>
          <w:lang w:val="en-US" w:eastAsia="zh-CN"/>
        </w:rPr>
        <w:t>高联村寨下组现代</w:t>
      </w:r>
    </w:p>
    <w:p>
      <w:pPr>
        <w:pStyle w:val="108"/>
        <w:rPr>
          <w:rFonts w:hint="eastAsia" w:ascii="黑体" w:hAnsi="黑体" w:eastAsia="黑体" w:cs="Times New Roman"/>
          <w:sz w:val="52"/>
          <w:szCs w:val="52"/>
          <w:lang w:eastAsia="zh-CN"/>
        </w:rPr>
      </w:pPr>
      <w:r>
        <w:rPr>
          <w:rFonts w:hint="eastAsia" w:ascii="黑体" w:hAnsi="黑体" w:eastAsia="黑体" w:cs="Times New Roman"/>
          <w:sz w:val="52"/>
          <w:szCs w:val="52"/>
          <w:lang w:val="en-US" w:eastAsia="zh-CN"/>
        </w:rPr>
        <w:t>高效化养猪场建设项目</w:t>
      </w:r>
    </w:p>
    <w:p>
      <w:pPr>
        <w:keepNext w:val="0"/>
        <w:keepLines w:val="0"/>
        <w:pageBreakBefore w:val="0"/>
        <w:widowControl w:val="0"/>
        <w:kinsoku/>
        <w:wordWrap/>
        <w:overflowPunct/>
        <w:topLinePunct w:val="0"/>
        <w:autoSpaceDE/>
        <w:autoSpaceDN/>
        <w:bidi w:val="0"/>
        <w:adjustRightInd/>
        <w:snapToGrid/>
        <w:spacing w:before="1"/>
        <w:ind w:left="516" w:right="516" w:firstLine="0"/>
        <w:jc w:val="center"/>
        <w:textAlignment w:val="auto"/>
        <w:rPr>
          <w:rFonts w:hint="eastAsia" w:ascii="隶书" w:eastAsia="隶书"/>
          <w:sz w:val="76"/>
        </w:rPr>
      </w:pPr>
      <w:r>
        <w:rPr>
          <w:rFonts w:hint="eastAsia" w:ascii="隶书" w:eastAsia="隶书"/>
          <w:b/>
          <w:bCs/>
          <w:sz w:val="76"/>
        </w:rPr>
        <w:t>环境影响报告书</w:t>
      </w:r>
    </w:p>
    <w:p>
      <w:pPr>
        <w:pStyle w:val="8"/>
        <w:ind w:firstLine="0" w:firstLineChars="0"/>
        <w:jc w:val="center"/>
        <w:rPr>
          <w:rFonts w:eastAsia="楷体_GB2312"/>
          <w:b/>
          <w:bCs/>
          <w:spacing w:val="24"/>
          <w:kern w:val="2"/>
          <w:sz w:val="20"/>
          <w:szCs w:val="20"/>
        </w:rPr>
      </w:pPr>
      <w:bookmarkStart w:id="1" w:name="_Toc427679715"/>
      <w:bookmarkStart w:id="2" w:name="_Toc501110722"/>
      <w:bookmarkStart w:id="3" w:name="_Toc501110939"/>
      <w:bookmarkStart w:id="4" w:name="_Toc459127333"/>
    </w:p>
    <w:p>
      <w:pPr>
        <w:pStyle w:val="8"/>
        <w:ind w:firstLine="0" w:firstLineChars="0"/>
        <w:jc w:val="center"/>
        <w:rPr>
          <w:rFonts w:eastAsia="黑体"/>
          <w:b/>
          <w:bCs/>
          <w:spacing w:val="30"/>
          <w:kern w:val="2"/>
          <w:sz w:val="32"/>
          <w:szCs w:val="20"/>
        </w:rPr>
      </w:pPr>
      <w:r>
        <w:rPr>
          <w:rFonts w:eastAsia="楷体_GB2312"/>
          <w:b/>
          <w:bCs/>
          <w:spacing w:val="24"/>
          <w:kern w:val="2"/>
          <w:sz w:val="44"/>
          <w:szCs w:val="20"/>
        </w:rPr>
        <w:t>（</w:t>
      </w:r>
      <w:r>
        <w:rPr>
          <w:rFonts w:hint="eastAsia" w:eastAsia="楷体_GB2312"/>
          <w:b/>
          <w:bCs/>
          <w:spacing w:val="24"/>
          <w:kern w:val="2"/>
          <w:sz w:val="44"/>
          <w:szCs w:val="20"/>
          <w:lang w:eastAsia="zh-CN"/>
        </w:rPr>
        <w:t>送审</w:t>
      </w:r>
      <w:r>
        <w:rPr>
          <w:rFonts w:hint="eastAsia" w:eastAsia="楷体_GB2312"/>
          <w:b/>
          <w:bCs/>
          <w:spacing w:val="24"/>
          <w:kern w:val="2"/>
          <w:sz w:val="44"/>
          <w:szCs w:val="20"/>
        </w:rPr>
        <w:t>稿</w:t>
      </w:r>
      <w:r>
        <w:rPr>
          <w:rFonts w:eastAsia="楷体_GB2312"/>
          <w:b/>
          <w:bCs/>
          <w:spacing w:val="24"/>
          <w:kern w:val="2"/>
          <w:sz w:val="44"/>
          <w:szCs w:val="20"/>
        </w:rPr>
        <w:t>）</w:t>
      </w:r>
      <w:bookmarkEnd w:id="1"/>
      <w:bookmarkEnd w:id="2"/>
      <w:bookmarkEnd w:id="3"/>
      <w:bookmarkEnd w:id="4"/>
    </w:p>
    <w:p>
      <w:pPr>
        <w:pStyle w:val="9"/>
      </w:pPr>
    </w:p>
    <w:p>
      <w:pPr>
        <w:pStyle w:val="9"/>
      </w:pPr>
    </w:p>
    <w:p>
      <w:pPr>
        <w:pStyle w:val="9"/>
      </w:pPr>
    </w:p>
    <w:p>
      <w:pPr>
        <w:pStyle w:val="9"/>
      </w:pPr>
    </w:p>
    <w:p>
      <w:pPr>
        <w:pStyle w:val="9"/>
      </w:pPr>
    </w:p>
    <w:p>
      <w:pPr>
        <w:pStyle w:val="9"/>
      </w:pPr>
    </w:p>
    <w:p>
      <w:pPr>
        <w:pStyle w:val="9"/>
      </w:pPr>
    </w:p>
    <w:p>
      <w:pPr>
        <w:pStyle w:val="9"/>
      </w:pPr>
    </w:p>
    <w:p>
      <w:pPr>
        <w:pStyle w:val="110"/>
        <w:ind w:left="0" w:leftChars="0" w:firstLine="0" w:firstLineChars="0"/>
        <w:jc w:val="both"/>
        <w:rPr>
          <w:rFonts w:hint="eastAsia" w:ascii="Times New Roman" w:hAnsi="Times New Roman" w:cs="Times New Roman"/>
          <w:sz w:val="44"/>
          <w:szCs w:val="44"/>
          <w:lang w:eastAsia="zh-CN"/>
        </w:rPr>
      </w:pPr>
      <w:r>
        <w:rPr>
          <w:rFonts w:hint="eastAsia" w:ascii="Times New Roman" w:hAnsi="Times New Roman" w:cs="Times New Roman"/>
          <w:sz w:val="44"/>
          <w:szCs w:val="44"/>
          <w:lang w:eastAsia="zh-CN"/>
        </w:rPr>
        <w:t>建设单位：仁化县三佳畜牧有限公司</w:t>
      </w:r>
    </w:p>
    <w:p>
      <w:pPr>
        <w:pStyle w:val="110"/>
        <w:ind w:left="0" w:leftChars="0" w:firstLine="0" w:firstLineChars="0"/>
        <w:jc w:val="both"/>
        <w:rPr>
          <w:rFonts w:ascii="Times New Roman" w:hAnsi="Times New Roman" w:cs="Times New Roman"/>
          <w:sz w:val="48"/>
          <w:szCs w:val="28"/>
        </w:rPr>
      </w:pPr>
      <w:r>
        <w:rPr>
          <w:rFonts w:hint="eastAsia" w:ascii="Times New Roman" w:hAnsi="Times New Roman" w:cs="Times New Roman"/>
          <w:sz w:val="44"/>
          <w:szCs w:val="44"/>
          <w:lang w:eastAsia="zh-CN"/>
        </w:rPr>
        <w:t>编制单位：</w:t>
      </w:r>
      <w:r>
        <w:rPr>
          <w:rFonts w:hint="eastAsia" w:ascii="Times New Roman" w:hAnsi="Times New Roman" w:cs="Times New Roman"/>
          <w:sz w:val="44"/>
          <w:szCs w:val="44"/>
        </w:rPr>
        <w:fldChar w:fldCharType="begin"/>
      </w:r>
      <w:r>
        <w:rPr>
          <w:rFonts w:hint="eastAsia" w:ascii="Times New Roman" w:hAnsi="Times New Roman" w:cs="Times New Roman"/>
          <w:sz w:val="44"/>
          <w:szCs w:val="44"/>
        </w:rPr>
        <w:instrText xml:space="preserve"> HYPERLINK "http://www.baidu.com/link?url=Z3giJosimHPm-uuIPntrHXKA9bN0vztgBle5lLQDZgEPM03d-tLvgTAv8_I56dL1PuqJ4DW8C6I6mlCFiE8jvK" \t "https://www.baidu.com/_blank" </w:instrText>
      </w:r>
      <w:r>
        <w:rPr>
          <w:rFonts w:hint="eastAsia" w:ascii="Times New Roman" w:hAnsi="Times New Roman" w:cs="Times New Roman"/>
          <w:sz w:val="44"/>
          <w:szCs w:val="44"/>
        </w:rPr>
        <w:fldChar w:fldCharType="separate"/>
      </w:r>
      <w:r>
        <w:rPr>
          <w:rFonts w:hint="eastAsia" w:ascii="Times New Roman" w:hAnsi="Times New Roman" w:cs="Times New Roman"/>
          <w:sz w:val="44"/>
          <w:szCs w:val="44"/>
          <w:lang w:eastAsia="zh-CN"/>
        </w:rPr>
        <w:t>湖北丰桐环保科技有限公司</w:t>
      </w:r>
      <w:r>
        <w:rPr>
          <w:rFonts w:hint="eastAsia" w:ascii="Times New Roman" w:hAnsi="Times New Roman" w:cs="Times New Roman"/>
          <w:sz w:val="44"/>
          <w:szCs w:val="44"/>
        </w:rPr>
        <w:fldChar w:fldCharType="end"/>
      </w:r>
    </w:p>
    <w:p>
      <w:pPr>
        <w:pStyle w:val="110"/>
        <w:rPr>
          <w:rFonts w:ascii="Times New Roman" w:hAnsi="Times New Roman" w:cs="Times New Roman"/>
          <w:sz w:val="48"/>
          <w:szCs w:val="28"/>
        </w:rPr>
      </w:pPr>
    </w:p>
    <w:p>
      <w:pPr>
        <w:pStyle w:val="110"/>
        <w:rPr>
          <w:rFonts w:ascii="Times New Roman" w:hAnsi="Times New Roman" w:cs="Times New Roman"/>
          <w:sz w:val="48"/>
          <w:szCs w:val="28"/>
        </w:rPr>
        <w:sectPr>
          <w:headerReference r:id="rId3" w:type="default"/>
          <w:footerReference r:id="rId4" w:type="default"/>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r>
        <w:rPr>
          <w:rFonts w:ascii="Times New Roman" w:hAnsi="Times New Roman" w:cs="Times New Roman"/>
          <w:sz w:val="48"/>
          <w:szCs w:val="28"/>
        </w:rPr>
        <w:t>二</w:t>
      </w:r>
      <w:r>
        <w:rPr>
          <w:rFonts w:hint="eastAsia" w:ascii="Times New Roman" w:hAnsi="Times New Roman" w:cs="Times New Roman"/>
          <w:sz w:val="48"/>
          <w:szCs w:val="28"/>
          <w:lang w:eastAsia="zh-CN"/>
        </w:rPr>
        <w:t>〇二〇</w:t>
      </w:r>
      <w:r>
        <w:rPr>
          <w:rFonts w:ascii="Times New Roman" w:hAnsi="Times New Roman" w:cs="Times New Roman"/>
          <w:sz w:val="48"/>
          <w:szCs w:val="28"/>
        </w:rPr>
        <w:t>年</w:t>
      </w:r>
      <w:r>
        <w:rPr>
          <w:rFonts w:hint="eastAsia" w:ascii="Times New Roman" w:hAnsi="Times New Roman" w:cs="Times New Roman"/>
          <w:sz w:val="48"/>
          <w:szCs w:val="28"/>
          <w:lang w:eastAsia="zh-CN"/>
        </w:rPr>
        <w:t>七</w:t>
      </w:r>
      <w:r>
        <w:rPr>
          <w:rFonts w:ascii="Times New Roman" w:hAnsi="Times New Roman" w:cs="Times New Roman"/>
          <w:sz w:val="48"/>
          <w:szCs w:val="28"/>
        </w:rPr>
        <w:t>月</w:t>
      </w:r>
    </w:p>
    <w:p>
      <w:pPr>
        <w:pStyle w:val="112"/>
        <w:rPr>
          <w:rFonts w:cs="Times New Roman"/>
        </w:rPr>
      </w:pPr>
      <w:r>
        <w:rPr>
          <w:rFonts w:cs="Times New Roman"/>
        </w:rPr>
        <w:t>目  录</w:t>
      </w:r>
    </w:p>
    <w:p>
      <w:pPr>
        <w:pStyle w:val="42"/>
        <w:tabs>
          <w:tab w:val="right" w:leader="dot" w:pos="8306"/>
          <w:tab w:val="clear" w:pos="420"/>
          <w:tab w:val="clear" w:pos="8640"/>
        </w:tabs>
      </w:pPr>
      <w:r>
        <w:fldChar w:fldCharType="begin"/>
      </w:r>
      <w:r>
        <w:instrText xml:space="preserve"> TOC \o "1-2" \h \z \u </w:instrText>
      </w:r>
      <w:r>
        <w:fldChar w:fldCharType="separate"/>
      </w:r>
      <w:r>
        <w:fldChar w:fldCharType="begin"/>
      </w:r>
      <w:r>
        <w:instrText xml:space="preserve"> HYPERLINK \l _Toc26985 </w:instrText>
      </w:r>
      <w:r>
        <w:fldChar w:fldCharType="separate"/>
      </w:r>
      <w:r>
        <w:rPr>
          <w:rFonts w:hint="default"/>
        </w:rPr>
        <w:t xml:space="preserve">1. </w:t>
      </w:r>
      <w:r>
        <w:rPr>
          <w:rFonts w:hint="eastAsia"/>
          <w:lang w:eastAsia="zh-CN"/>
        </w:rPr>
        <w:t>概述</w:t>
      </w:r>
      <w:r>
        <w:tab/>
      </w:r>
      <w:r>
        <w:fldChar w:fldCharType="begin"/>
      </w:r>
      <w:r>
        <w:instrText xml:space="preserve"> PAGEREF _Toc26985 </w:instrText>
      </w:r>
      <w:r>
        <w:fldChar w:fldCharType="separate"/>
      </w:r>
      <w:r>
        <w:t>1</w:t>
      </w:r>
      <w:r>
        <w:fldChar w:fldCharType="end"/>
      </w:r>
      <w: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_Toc14834 </w:instrText>
      </w:r>
      <w:r>
        <w:rPr>
          <w:bCs/>
          <w:iCs/>
          <w:szCs w:val="28"/>
        </w:rPr>
        <w:fldChar w:fldCharType="separate"/>
      </w:r>
      <w:r>
        <w:rPr>
          <w:rFonts w:hint="eastAsia"/>
        </w:rPr>
        <w:t xml:space="preserve">1.1 </w:t>
      </w:r>
      <w:r>
        <w:rPr>
          <w:rFonts w:hint="eastAsia"/>
          <w:lang w:eastAsia="zh-CN"/>
        </w:rPr>
        <w:t>项目由来</w:t>
      </w:r>
      <w:r>
        <w:tab/>
      </w:r>
      <w:r>
        <w:fldChar w:fldCharType="begin"/>
      </w:r>
      <w:r>
        <w:instrText xml:space="preserve"> PAGEREF _Toc14834 </w:instrText>
      </w:r>
      <w:r>
        <w:fldChar w:fldCharType="separate"/>
      </w:r>
      <w:r>
        <w:t>1</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_Toc12618 </w:instrText>
      </w:r>
      <w:r>
        <w:rPr>
          <w:bCs/>
          <w:iCs/>
          <w:szCs w:val="28"/>
        </w:rPr>
        <w:fldChar w:fldCharType="separate"/>
      </w:r>
      <w:r>
        <w:rPr>
          <w:rFonts w:hint="eastAsia"/>
        </w:rPr>
        <w:t xml:space="preserve">1.2 </w:t>
      </w:r>
      <w:r>
        <w:rPr>
          <w:rFonts w:hint="eastAsia"/>
          <w:lang w:eastAsia="zh-CN"/>
        </w:rPr>
        <w:t>项目建设特点</w:t>
      </w:r>
      <w:r>
        <w:tab/>
      </w:r>
      <w:r>
        <w:fldChar w:fldCharType="begin"/>
      </w:r>
      <w:r>
        <w:instrText xml:space="preserve"> PAGEREF _Toc12618 </w:instrText>
      </w:r>
      <w:r>
        <w:fldChar w:fldCharType="separate"/>
      </w:r>
      <w:r>
        <w:t>2</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_Toc28694 </w:instrText>
      </w:r>
      <w:r>
        <w:rPr>
          <w:bCs/>
          <w:iCs/>
          <w:szCs w:val="28"/>
        </w:rPr>
        <w:fldChar w:fldCharType="separate"/>
      </w:r>
      <w:r>
        <w:rPr>
          <w:rFonts w:hint="eastAsia"/>
        </w:rPr>
        <w:t xml:space="preserve">1.3 </w:t>
      </w:r>
      <w:r>
        <w:rPr>
          <w:rFonts w:hint="eastAsia"/>
          <w:lang w:eastAsia="zh-CN"/>
        </w:rPr>
        <w:t>环境影响评价的工作过程</w:t>
      </w:r>
      <w:r>
        <w:tab/>
      </w:r>
      <w:r>
        <w:fldChar w:fldCharType="begin"/>
      </w:r>
      <w:r>
        <w:instrText xml:space="preserve"> PAGEREF _Toc28694 </w:instrText>
      </w:r>
      <w:r>
        <w:fldChar w:fldCharType="separate"/>
      </w:r>
      <w:r>
        <w:t>2</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_Toc26151 </w:instrText>
      </w:r>
      <w:r>
        <w:rPr>
          <w:bCs/>
          <w:iCs/>
          <w:szCs w:val="28"/>
        </w:rPr>
        <w:fldChar w:fldCharType="separate"/>
      </w:r>
      <w:r>
        <w:rPr>
          <w:rFonts w:hint="eastAsia"/>
        </w:rPr>
        <w:t xml:space="preserve">1.4 </w:t>
      </w:r>
      <w:r>
        <w:rPr>
          <w:rFonts w:hint="eastAsia"/>
          <w:lang w:eastAsia="zh-CN"/>
        </w:rPr>
        <w:t>分析判定相关情况</w:t>
      </w:r>
      <w:r>
        <w:tab/>
      </w:r>
      <w:r>
        <w:fldChar w:fldCharType="begin"/>
      </w:r>
      <w:r>
        <w:instrText xml:space="preserve"> PAGEREF _Toc26151 </w:instrText>
      </w:r>
      <w:r>
        <w:fldChar w:fldCharType="separate"/>
      </w:r>
      <w:r>
        <w:t>3</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_Toc18883 </w:instrText>
      </w:r>
      <w:r>
        <w:rPr>
          <w:bCs/>
          <w:iCs/>
          <w:szCs w:val="28"/>
        </w:rPr>
        <w:fldChar w:fldCharType="separate"/>
      </w:r>
      <w:r>
        <w:rPr>
          <w:rFonts w:hint="eastAsia"/>
        </w:rPr>
        <w:t xml:space="preserve">1.5 </w:t>
      </w:r>
      <w:r>
        <w:t>关注的主要环境问题及环境影响</w:t>
      </w:r>
      <w:r>
        <w:tab/>
      </w:r>
      <w:r>
        <w:fldChar w:fldCharType="begin"/>
      </w:r>
      <w:r>
        <w:instrText xml:space="preserve"> PAGEREF _Toc18883 </w:instrText>
      </w:r>
      <w:r>
        <w:fldChar w:fldCharType="separate"/>
      </w:r>
      <w:r>
        <w:t>8</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_Toc30193 </w:instrText>
      </w:r>
      <w:r>
        <w:rPr>
          <w:bCs/>
          <w:iCs/>
          <w:szCs w:val="28"/>
        </w:rPr>
        <w:fldChar w:fldCharType="separate"/>
      </w:r>
      <w:r>
        <w:rPr>
          <w:rFonts w:hint="eastAsia"/>
        </w:rPr>
        <w:t xml:space="preserve">1.6 </w:t>
      </w:r>
      <w:r>
        <w:t>环境影响评价的主要结论</w:t>
      </w:r>
      <w:r>
        <w:tab/>
      </w:r>
      <w:r>
        <w:fldChar w:fldCharType="begin"/>
      </w:r>
      <w:r>
        <w:instrText xml:space="preserve"> PAGEREF _Toc30193 </w:instrText>
      </w:r>
      <w:r>
        <w:fldChar w:fldCharType="separate"/>
      </w:r>
      <w:r>
        <w:t>8</w:t>
      </w:r>
      <w:r>
        <w:fldChar w:fldCharType="end"/>
      </w:r>
      <w:r>
        <w:rPr>
          <w:bCs/>
          <w:iCs/>
          <w:szCs w:val="28"/>
        </w:rPr>
        <w:fldChar w:fldCharType="end"/>
      </w:r>
    </w:p>
    <w:p>
      <w:pPr>
        <w:pStyle w:val="42"/>
        <w:tabs>
          <w:tab w:val="right" w:leader="dot" w:pos="8306"/>
          <w:tab w:val="clear" w:pos="420"/>
          <w:tab w:val="clear" w:pos="8640"/>
        </w:tabs>
      </w:pPr>
      <w:r>
        <w:rPr>
          <w:bCs/>
          <w:iCs/>
          <w:szCs w:val="28"/>
        </w:rPr>
        <w:fldChar w:fldCharType="begin"/>
      </w:r>
      <w:r>
        <w:rPr>
          <w:bCs/>
          <w:iCs/>
          <w:szCs w:val="28"/>
        </w:rPr>
        <w:instrText xml:space="preserve"> HYPERLINK \l _Toc13075 </w:instrText>
      </w:r>
      <w:r>
        <w:rPr>
          <w:bCs/>
          <w:iCs/>
          <w:szCs w:val="28"/>
        </w:rPr>
        <w:fldChar w:fldCharType="separate"/>
      </w:r>
      <w:r>
        <w:rPr>
          <w:rFonts w:hint="default"/>
        </w:rPr>
        <w:t xml:space="preserve">2. </w:t>
      </w:r>
      <w:r>
        <w:rPr>
          <w:rFonts w:hint="eastAsia"/>
          <w:lang w:eastAsia="zh-CN"/>
        </w:rPr>
        <w:t>总则</w:t>
      </w:r>
      <w:r>
        <w:tab/>
      </w:r>
      <w:r>
        <w:fldChar w:fldCharType="begin"/>
      </w:r>
      <w:r>
        <w:instrText xml:space="preserve"> PAGEREF _Toc13075 </w:instrText>
      </w:r>
      <w:r>
        <w:fldChar w:fldCharType="separate"/>
      </w:r>
      <w:r>
        <w:t>9</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_Toc8863 </w:instrText>
      </w:r>
      <w:r>
        <w:rPr>
          <w:bCs/>
          <w:iCs/>
          <w:szCs w:val="28"/>
        </w:rPr>
        <w:fldChar w:fldCharType="separate"/>
      </w:r>
      <w:r>
        <w:rPr>
          <w:rFonts w:hint="eastAsia"/>
        </w:rPr>
        <w:t xml:space="preserve">2.1 </w:t>
      </w:r>
      <w:r>
        <w:rPr>
          <w:rFonts w:hint="eastAsia"/>
          <w:lang w:eastAsia="zh-CN"/>
        </w:rPr>
        <w:t>环境影响评价原则</w:t>
      </w:r>
      <w:r>
        <w:tab/>
      </w:r>
      <w:r>
        <w:fldChar w:fldCharType="begin"/>
      </w:r>
      <w:r>
        <w:instrText xml:space="preserve"> PAGEREF _Toc8863 </w:instrText>
      </w:r>
      <w:r>
        <w:fldChar w:fldCharType="separate"/>
      </w:r>
      <w:r>
        <w:t>9</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_Toc23382 </w:instrText>
      </w:r>
      <w:r>
        <w:rPr>
          <w:bCs/>
          <w:iCs/>
          <w:szCs w:val="28"/>
        </w:rPr>
        <w:fldChar w:fldCharType="separate"/>
      </w:r>
      <w:r>
        <w:rPr>
          <w:rFonts w:hint="eastAsia"/>
        </w:rPr>
        <w:t xml:space="preserve">2.2 </w:t>
      </w:r>
      <w:r>
        <w:rPr>
          <w:rFonts w:hint="eastAsia"/>
          <w:lang w:eastAsia="zh-CN"/>
        </w:rPr>
        <w:t>编制</w:t>
      </w:r>
      <w:r>
        <w:t>依据</w:t>
      </w:r>
      <w:r>
        <w:tab/>
      </w:r>
      <w:r>
        <w:fldChar w:fldCharType="begin"/>
      </w:r>
      <w:r>
        <w:instrText xml:space="preserve"> PAGEREF _Toc23382 </w:instrText>
      </w:r>
      <w:r>
        <w:fldChar w:fldCharType="separate"/>
      </w:r>
      <w:r>
        <w:t>9</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_Toc26254 </w:instrText>
      </w:r>
      <w:r>
        <w:rPr>
          <w:bCs/>
          <w:iCs/>
          <w:szCs w:val="28"/>
        </w:rPr>
        <w:fldChar w:fldCharType="separate"/>
      </w:r>
      <w:r>
        <w:rPr>
          <w:rFonts w:hint="eastAsia"/>
        </w:rPr>
        <w:t xml:space="preserve">2.3 </w:t>
      </w:r>
      <w:r>
        <w:t>相关规划及环境功能区划</w:t>
      </w:r>
      <w:r>
        <w:tab/>
      </w:r>
      <w:r>
        <w:fldChar w:fldCharType="begin"/>
      </w:r>
      <w:r>
        <w:instrText xml:space="preserve"> PAGEREF _Toc26254 </w:instrText>
      </w:r>
      <w:r>
        <w:fldChar w:fldCharType="separate"/>
      </w:r>
      <w:r>
        <w:t>14</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_Toc642 </w:instrText>
      </w:r>
      <w:r>
        <w:rPr>
          <w:bCs/>
          <w:iCs/>
          <w:szCs w:val="28"/>
        </w:rPr>
        <w:fldChar w:fldCharType="separate"/>
      </w:r>
      <w:r>
        <w:rPr>
          <w:rFonts w:hint="eastAsia"/>
        </w:rPr>
        <w:t xml:space="preserve">2.4 </w:t>
      </w:r>
      <w:r>
        <w:t>环境影响识别与评价因子筛选</w:t>
      </w:r>
      <w:r>
        <w:tab/>
      </w:r>
      <w:r>
        <w:fldChar w:fldCharType="begin"/>
      </w:r>
      <w:r>
        <w:instrText xml:space="preserve"> PAGEREF _Toc642 </w:instrText>
      </w:r>
      <w:r>
        <w:fldChar w:fldCharType="separate"/>
      </w:r>
      <w:r>
        <w:t>17</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_Toc7360 </w:instrText>
      </w:r>
      <w:r>
        <w:rPr>
          <w:bCs/>
          <w:iCs/>
          <w:szCs w:val="28"/>
        </w:rPr>
        <w:fldChar w:fldCharType="separate"/>
      </w:r>
      <w:r>
        <w:rPr>
          <w:rFonts w:hint="eastAsia"/>
        </w:rPr>
        <w:t xml:space="preserve">2.5 </w:t>
      </w:r>
      <w:r>
        <w:t>环境影响评价工作等级</w:t>
      </w:r>
      <w:r>
        <w:tab/>
      </w:r>
      <w:r>
        <w:fldChar w:fldCharType="begin"/>
      </w:r>
      <w:r>
        <w:instrText xml:space="preserve"> PAGEREF _Toc7360 </w:instrText>
      </w:r>
      <w:r>
        <w:fldChar w:fldCharType="separate"/>
      </w:r>
      <w:r>
        <w:t>18</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_Toc20203 </w:instrText>
      </w:r>
      <w:r>
        <w:rPr>
          <w:bCs/>
          <w:iCs/>
          <w:szCs w:val="28"/>
        </w:rPr>
        <w:fldChar w:fldCharType="separate"/>
      </w:r>
      <w:r>
        <w:rPr>
          <w:rFonts w:hint="eastAsia"/>
        </w:rPr>
        <w:t>2.6 环境影响评价范围与评价时段</w:t>
      </w:r>
      <w:r>
        <w:tab/>
      </w:r>
      <w:r>
        <w:fldChar w:fldCharType="begin"/>
      </w:r>
      <w:r>
        <w:instrText xml:space="preserve"> PAGEREF _Toc20203 </w:instrText>
      </w:r>
      <w:r>
        <w:fldChar w:fldCharType="separate"/>
      </w:r>
      <w:r>
        <w:t>24</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_Toc5162 </w:instrText>
      </w:r>
      <w:r>
        <w:rPr>
          <w:bCs/>
          <w:iCs/>
          <w:szCs w:val="28"/>
        </w:rPr>
        <w:fldChar w:fldCharType="separate"/>
      </w:r>
      <w:r>
        <w:rPr>
          <w:rFonts w:hint="eastAsia"/>
        </w:rPr>
        <w:t xml:space="preserve">2.7 </w:t>
      </w:r>
      <w:r>
        <w:rPr>
          <w:rFonts w:hint="eastAsia"/>
          <w:lang w:eastAsia="zh-CN"/>
        </w:rPr>
        <w:t>主要环境保护目标</w:t>
      </w:r>
      <w:r>
        <w:tab/>
      </w:r>
      <w:r>
        <w:fldChar w:fldCharType="begin"/>
      </w:r>
      <w:r>
        <w:instrText xml:space="preserve"> PAGEREF _Toc5162 </w:instrText>
      </w:r>
      <w:r>
        <w:fldChar w:fldCharType="separate"/>
      </w:r>
      <w:r>
        <w:t>24</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_Toc21975 </w:instrText>
      </w:r>
      <w:r>
        <w:rPr>
          <w:bCs/>
          <w:iCs/>
          <w:szCs w:val="28"/>
        </w:rPr>
        <w:fldChar w:fldCharType="separate"/>
      </w:r>
      <w:r>
        <w:rPr>
          <w:rFonts w:hint="eastAsia"/>
        </w:rPr>
        <w:t xml:space="preserve">2.8 </w:t>
      </w:r>
      <w:r>
        <w:rPr>
          <w:rFonts w:hint="eastAsia"/>
          <w:lang w:eastAsia="zh-CN"/>
        </w:rPr>
        <w:t>环境影响评价标准</w:t>
      </w:r>
      <w:r>
        <w:tab/>
      </w:r>
      <w:r>
        <w:fldChar w:fldCharType="begin"/>
      </w:r>
      <w:r>
        <w:instrText xml:space="preserve"> PAGEREF _Toc21975 </w:instrText>
      </w:r>
      <w:r>
        <w:fldChar w:fldCharType="separate"/>
      </w:r>
      <w:r>
        <w:t>27</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_Toc11901 </w:instrText>
      </w:r>
      <w:r>
        <w:rPr>
          <w:bCs/>
          <w:iCs/>
          <w:szCs w:val="28"/>
        </w:rPr>
        <w:fldChar w:fldCharType="separate"/>
      </w:r>
      <w:r>
        <w:rPr>
          <w:rFonts w:hint="eastAsia"/>
        </w:rPr>
        <w:t xml:space="preserve">2.9 </w:t>
      </w:r>
      <w:r>
        <w:rPr>
          <w:rFonts w:hint="eastAsia"/>
          <w:lang w:eastAsia="zh-CN"/>
        </w:rPr>
        <w:t>工程概况</w:t>
      </w:r>
      <w:r>
        <w:tab/>
      </w:r>
      <w:r>
        <w:fldChar w:fldCharType="begin"/>
      </w:r>
      <w:r>
        <w:instrText xml:space="preserve"> PAGEREF _Toc11901 </w:instrText>
      </w:r>
      <w:r>
        <w:fldChar w:fldCharType="separate"/>
      </w:r>
      <w:r>
        <w:t>32</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_Toc5558 </w:instrText>
      </w:r>
      <w:r>
        <w:rPr>
          <w:bCs/>
          <w:iCs/>
          <w:szCs w:val="28"/>
        </w:rPr>
        <w:fldChar w:fldCharType="separate"/>
      </w:r>
      <w:r>
        <w:rPr>
          <w:rFonts w:hint="eastAsia"/>
        </w:rPr>
        <w:t xml:space="preserve">2.10 </w:t>
      </w:r>
      <w:r>
        <w:rPr>
          <w:rFonts w:hint="eastAsia"/>
          <w:lang w:eastAsia="zh-CN"/>
        </w:rPr>
        <w:t>环境影响评价方法</w:t>
      </w:r>
      <w:r>
        <w:tab/>
      </w:r>
      <w:r>
        <w:fldChar w:fldCharType="begin"/>
      </w:r>
      <w:r>
        <w:instrText xml:space="preserve"> PAGEREF _Toc5558 </w:instrText>
      </w:r>
      <w:r>
        <w:fldChar w:fldCharType="separate"/>
      </w:r>
      <w:r>
        <w:t>38</w:t>
      </w:r>
      <w:r>
        <w:fldChar w:fldCharType="end"/>
      </w:r>
      <w:r>
        <w:rPr>
          <w:bCs/>
          <w:iCs/>
          <w:szCs w:val="28"/>
        </w:rPr>
        <w:fldChar w:fldCharType="end"/>
      </w:r>
    </w:p>
    <w:p>
      <w:pPr>
        <w:pStyle w:val="42"/>
        <w:tabs>
          <w:tab w:val="right" w:leader="dot" w:pos="8306"/>
          <w:tab w:val="clear" w:pos="420"/>
          <w:tab w:val="clear" w:pos="8640"/>
        </w:tabs>
      </w:pPr>
      <w:r>
        <w:rPr>
          <w:bCs/>
          <w:iCs/>
          <w:szCs w:val="28"/>
        </w:rPr>
        <w:fldChar w:fldCharType="begin"/>
      </w:r>
      <w:r>
        <w:rPr>
          <w:bCs/>
          <w:iCs/>
          <w:szCs w:val="28"/>
        </w:rPr>
        <w:instrText xml:space="preserve"> HYPERLINK \l _Toc28159 </w:instrText>
      </w:r>
      <w:r>
        <w:rPr>
          <w:bCs/>
          <w:iCs/>
          <w:szCs w:val="28"/>
        </w:rPr>
        <w:fldChar w:fldCharType="separate"/>
      </w:r>
      <w:r>
        <w:rPr>
          <w:rFonts w:hint="default"/>
        </w:rPr>
        <w:t xml:space="preserve">3. </w:t>
      </w:r>
      <w:r>
        <w:rPr>
          <w:rFonts w:hint="eastAsia"/>
          <w:lang w:eastAsia="zh-CN"/>
        </w:rPr>
        <w:t>建设项目概况</w:t>
      </w:r>
      <w:r>
        <w:tab/>
      </w:r>
      <w:r>
        <w:fldChar w:fldCharType="begin"/>
      </w:r>
      <w:r>
        <w:instrText xml:space="preserve"> PAGEREF _Toc28159 </w:instrText>
      </w:r>
      <w:r>
        <w:fldChar w:fldCharType="separate"/>
      </w:r>
      <w:r>
        <w:t>39</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_Toc22266 </w:instrText>
      </w:r>
      <w:r>
        <w:rPr>
          <w:bCs/>
          <w:iCs/>
          <w:szCs w:val="28"/>
        </w:rPr>
        <w:fldChar w:fldCharType="separate"/>
      </w:r>
      <w:r>
        <w:rPr>
          <w:rFonts w:hint="eastAsia"/>
        </w:rPr>
        <w:t xml:space="preserve">3.1 </w:t>
      </w:r>
      <w:r>
        <w:rPr>
          <w:rFonts w:hint="eastAsia"/>
          <w:lang w:eastAsia="zh-CN"/>
        </w:rPr>
        <w:t>项目工艺流程分析</w:t>
      </w:r>
      <w:r>
        <w:tab/>
      </w:r>
      <w:r>
        <w:fldChar w:fldCharType="begin"/>
      </w:r>
      <w:r>
        <w:instrText xml:space="preserve"> PAGEREF _Toc22266 </w:instrText>
      </w:r>
      <w:r>
        <w:fldChar w:fldCharType="separate"/>
      </w:r>
      <w:r>
        <w:t>39</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_Toc13174 </w:instrText>
      </w:r>
      <w:r>
        <w:rPr>
          <w:bCs/>
          <w:iCs/>
          <w:szCs w:val="28"/>
        </w:rPr>
        <w:fldChar w:fldCharType="separate"/>
      </w:r>
      <w:r>
        <w:rPr>
          <w:rFonts w:hint="eastAsia"/>
        </w:rPr>
        <w:t xml:space="preserve">3.2 </w:t>
      </w:r>
      <w:r>
        <w:rPr>
          <w:rFonts w:hint="eastAsia"/>
          <w:lang w:eastAsia="zh-CN"/>
        </w:rPr>
        <w:t>施工期污染源分析</w:t>
      </w:r>
      <w:r>
        <w:tab/>
      </w:r>
      <w:r>
        <w:fldChar w:fldCharType="begin"/>
      </w:r>
      <w:r>
        <w:instrText xml:space="preserve"> PAGEREF _Toc13174 </w:instrText>
      </w:r>
      <w:r>
        <w:fldChar w:fldCharType="separate"/>
      </w:r>
      <w:r>
        <w:t>41</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_Toc20717 </w:instrText>
      </w:r>
      <w:r>
        <w:rPr>
          <w:bCs/>
          <w:iCs/>
          <w:szCs w:val="28"/>
        </w:rPr>
        <w:fldChar w:fldCharType="separate"/>
      </w:r>
      <w:r>
        <w:rPr>
          <w:rFonts w:hint="eastAsia"/>
        </w:rPr>
        <w:t xml:space="preserve">3.3 </w:t>
      </w:r>
      <w:r>
        <w:rPr>
          <w:rFonts w:hint="eastAsia"/>
          <w:lang w:eastAsia="zh-CN"/>
        </w:rPr>
        <w:t>营运期污染源分析</w:t>
      </w:r>
      <w:r>
        <w:tab/>
      </w:r>
      <w:r>
        <w:fldChar w:fldCharType="begin"/>
      </w:r>
      <w:r>
        <w:instrText xml:space="preserve"> PAGEREF _Toc20717 </w:instrText>
      </w:r>
      <w:r>
        <w:fldChar w:fldCharType="separate"/>
      </w:r>
      <w:r>
        <w:t>46</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_Toc13367 </w:instrText>
      </w:r>
      <w:r>
        <w:rPr>
          <w:bCs/>
          <w:iCs/>
          <w:szCs w:val="28"/>
        </w:rPr>
        <w:fldChar w:fldCharType="separate"/>
      </w:r>
      <w:r>
        <w:rPr>
          <w:rFonts w:hint="eastAsia"/>
          <w:lang w:eastAsia="zh-CN"/>
        </w:rPr>
        <w:t>3.4 污染物排放总量控制</w:t>
      </w:r>
      <w:r>
        <w:tab/>
      </w:r>
      <w:r>
        <w:fldChar w:fldCharType="begin"/>
      </w:r>
      <w:r>
        <w:instrText xml:space="preserve"> PAGEREF _Toc13367 </w:instrText>
      </w:r>
      <w:r>
        <w:fldChar w:fldCharType="separate"/>
      </w:r>
      <w:r>
        <w:t>55</w:t>
      </w:r>
      <w:r>
        <w:fldChar w:fldCharType="end"/>
      </w:r>
      <w:r>
        <w:rPr>
          <w:bCs/>
          <w:iCs/>
          <w:szCs w:val="28"/>
        </w:rPr>
        <w:fldChar w:fldCharType="end"/>
      </w:r>
    </w:p>
    <w:p>
      <w:pPr>
        <w:pStyle w:val="42"/>
        <w:tabs>
          <w:tab w:val="right" w:leader="dot" w:pos="8306"/>
          <w:tab w:val="clear" w:pos="420"/>
          <w:tab w:val="clear" w:pos="8640"/>
        </w:tabs>
      </w:pPr>
      <w:r>
        <w:rPr>
          <w:bCs/>
          <w:iCs/>
          <w:szCs w:val="28"/>
        </w:rPr>
        <w:fldChar w:fldCharType="begin"/>
      </w:r>
      <w:r>
        <w:rPr>
          <w:bCs/>
          <w:iCs/>
          <w:szCs w:val="28"/>
        </w:rPr>
        <w:instrText xml:space="preserve"> HYPERLINK \l _Toc12756 </w:instrText>
      </w:r>
      <w:r>
        <w:rPr>
          <w:bCs/>
          <w:iCs/>
          <w:szCs w:val="28"/>
        </w:rPr>
        <w:fldChar w:fldCharType="separate"/>
      </w:r>
      <w:r>
        <w:rPr>
          <w:rFonts w:hint="default"/>
        </w:rPr>
        <w:t xml:space="preserve">4. </w:t>
      </w:r>
      <w:r>
        <w:t>环境现状调查与评价</w:t>
      </w:r>
      <w:r>
        <w:tab/>
      </w:r>
      <w:r>
        <w:fldChar w:fldCharType="begin"/>
      </w:r>
      <w:r>
        <w:instrText xml:space="preserve"> PAGEREF _Toc12756 </w:instrText>
      </w:r>
      <w:r>
        <w:fldChar w:fldCharType="separate"/>
      </w:r>
      <w:r>
        <w:t>57</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_Toc26400 </w:instrText>
      </w:r>
      <w:r>
        <w:rPr>
          <w:bCs/>
          <w:iCs/>
          <w:szCs w:val="28"/>
        </w:rPr>
        <w:fldChar w:fldCharType="separate"/>
      </w:r>
      <w:r>
        <w:rPr>
          <w:rFonts w:hint="eastAsia"/>
        </w:rPr>
        <w:t xml:space="preserve">4.1 </w:t>
      </w:r>
      <w:r>
        <w:t>自然地理状况</w:t>
      </w:r>
      <w:r>
        <w:tab/>
      </w:r>
      <w:r>
        <w:fldChar w:fldCharType="begin"/>
      </w:r>
      <w:r>
        <w:instrText xml:space="preserve"> PAGEREF _Toc26400 </w:instrText>
      </w:r>
      <w:r>
        <w:fldChar w:fldCharType="separate"/>
      </w:r>
      <w:r>
        <w:t>57</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_Toc2039 </w:instrText>
      </w:r>
      <w:r>
        <w:rPr>
          <w:bCs/>
          <w:iCs/>
          <w:szCs w:val="28"/>
        </w:rPr>
        <w:fldChar w:fldCharType="separate"/>
      </w:r>
      <w:r>
        <w:rPr>
          <w:rFonts w:hint="eastAsia"/>
        </w:rPr>
        <w:t xml:space="preserve">4.2 </w:t>
      </w:r>
      <w:r>
        <w:t>地表水环境质量现状调查与评价</w:t>
      </w:r>
      <w:r>
        <w:tab/>
      </w:r>
      <w:r>
        <w:fldChar w:fldCharType="begin"/>
      </w:r>
      <w:r>
        <w:instrText xml:space="preserve"> PAGEREF _Toc2039 </w:instrText>
      </w:r>
      <w:r>
        <w:fldChar w:fldCharType="separate"/>
      </w:r>
      <w:r>
        <w:t>61</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_Toc31984 </w:instrText>
      </w:r>
      <w:r>
        <w:rPr>
          <w:bCs/>
          <w:iCs/>
          <w:szCs w:val="28"/>
        </w:rPr>
        <w:fldChar w:fldCharType="separate"/>
      </w:r>
      <w:r>
        <w:rPr>
          <w:rFonts w:hint="eastAsia"/>
        </w:rPr>
        <w:t xml:space="preserve">4.3 </w:t>
      </w:r>
      <w:r>
        <w:t>地</w:t>
      </w:r>
      <w:r>
        <w:rPr>
          <w:rFonts w:hint="eastAsia"/>
          <w:lang w:eastAsia="zh-CN"/>
        </w:rPr>
        <w:t>下</w:t>
      </w:r>
      <w:r>
        <w:t>水环境质量现状调查与评价</w:t>
      </w:r>
      <w:r>
        <w:tab/>
      </w:r>
      <w:r>
        <w:fldChar w:fldCharType="begin"/>
      </w:r>
      <w:r>
        <w:instrText xml:space="preserve"> PAGEREF _Toc31984 </w:instrText>
      </w:r>
      <w:r>
        <w:fldChar w:fldCharType="separate"/>
      </w:r>
      <w:r>
        <w:t>62</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_Toc2676 </w:instrText>
      </w:r>
      <w:r>
        <w:rPr>
          <w:bCs/>
          <w:iCs/>
          <w:szCs w:val="28"/>
        </w:rPr>
        <w:fldChar w:fldCharType="separate"/>
      </w:r>
      <w:r>
        <w:rPr>
          <w:rFonts w:hint="eastAsia"/>
        </w:rPr>
        <w:t xml:space="preserve">4.4 </w:t>
      </w:r>
      <w:r>
        <w:t>环境空气质量现状调查与评价</w:t>
      </w:r>
      <w:r>
        <w:tab/>
      </w:r>
      <w:r>
        <w:fldChar w:fldCharType="begin"/>
      </w:r>
      <w:r>
        <w:instrText xml:space="preserve"> PAGEREF _Toc2676 </w:instrText>
      </w:r>
      <w:r>
        <w:fldChar w:fldCharType="separate"/>
      </w:r>
      <w:r>
        <w:t>66</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_Toc969 </w:instrText>
      </w:r>
      <w:r>
        <w:rPr>
          <w:bCs/>
          <w:iCs/>
          <w:szCs w:val="28"/>
        </w:rPr>
        <w:fldChar w:fldCharType="separate"/>
      </w:r>
      <w:r>
        <w:rPr>
          <w:rFonts w:hint="eastAsia"/>
        </w:rPr>
        <w:t xml:space="preserve">4.5 </w:t>
      </w:r>
      <w:r>
        <w:rPr>
          <w:rFonts w:hint="eastAsia"/>
          <w:lang w:eastAsia="zh-CN"/>
        </w:rPr>
        <w:t>声</w:t>
      </w:r>
      <w:r>
        <w:t>环境质量现状调查与评价</w:t>
      </w:r>
      <w:r>
        <w:tab/>
      </w:r>
      <w:r>
        <w:fldChar w:fldCharType="begin"/>
      </w:r>
      <w:r>
        <w:instrText xml:space="preserve"> PAGEREF _Toc969 </w:instrText>
      </w:r>
      <w:r>
        <w:fldChar w:fldCharType="separate"/>
      </w:r>
      <w:r>
        <w:t>73</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_Toc15516 </w:instrText>
      </w:r>
      <w:r>
        <w:rPr>
          <w:bCs/>
          <w:iCs/>
          <w:szCs w:val="28"/>
        </w:rPr>
        <w:fldChar w:fldCharType="separate"/>
      </w:r>
      <w:r>
        <w:rPr>
          <w:rFonts w:hint="eastAsia"/>
        </w:rPr>
        <w:t xml:space="preserve">4.6 </w:t>
      </w:r>
      <w:r>
        <w:rPr>
          <w:rFonts w:hint="eastAsia"/>
          <w:lang w:eastAsia="zh-CN"/>
        </w:rPr>
        <w:t>土壤</w:t>
      </w:r>
      <w:r>
        <w:t>环境质量现状调查与评价</w:t>
      </w:r>
      <w:r>
        <w:tab/>
      </w:r>
      <w:r>
        <w:fldChar w:fldCharType="begin"/>
      </w:r>
      <w:r>
        <w:instrText xml:space="preserve"> PAGEREF _Toc15516 </w:instrText>
      </w:r>
      <w:r>
        <w:fldChar w:fldCharType="separate"/>
      </w:r>
      <w:r>
        <w:t>75</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_Toc17504 </w:instrText>
      </w:r>
      <w:r>
        <w:rPr>
          <w:bCs/>
          <w:iCs/>
          <w:szCs w:val="28"/>
        </w:rPr>
        <w:fldChar w:fldCharType="separate"/>
      </w:r>
      <w:r>
        <w:rPr>
          <w:rFonts w:hint="eastAsia"/>
        </w:rPr>
        <w:t xml:space="preserve">4.7 </w:t>
      </w:r>
      <w:r>
        <w:t>生态环境质量现状调查与评价</w:t>
      </w:r>
      <w:r>
        <w:tab/>
      </w:r>
      <w:r>
        <w:fldChar w:fldCharType="begin"/>
      </w:r>
      <w:r>
        <w:instrText xml:space="preserve"> PAGEREF _Toc17504 </w:instrText>
      </w:r>
      <w:r>
        <w:fldChar w:fldCharType="separate"/>
      </w:r>
      <w:r>
        <w:t>77</w:t>
      </w:r>
      <w:r>
        <w:fldChar w:fldCharType="end"/>
      </w:r>
      <w:r>
        <w:rPr>
          <w:bCs/>
          <w:iCs/>
          <w:szCs w:val="28"/>
        </w:rPr>
        <w:fldChar w:fldCharType="end"/>
      </w:r>
    </w:p>
    <w:p>
      <w:pPr>
        <w:pStyle w:val="42"/>
        <w:tabs>
          <w:tab w:val="right" w:leader="dot" w:pos="8306"/>
          <w:tab w:val="clear" w:pos="420"/>
          <w:tab w:val="clear" w:pos="8640"/>
        </w:tabs>
      </w:pPr>
      <w:r>
        <w:rPr>
          <w:bCs/>
          <w:iCs/>
          <w:szCs w:val="28"/>
        </w:rPr>
        <w:fldChar w:fldCharType="begin"/>
      </w:r>
      <w:r>
        <w:rPr>
          <w:bCs/>
          <w:iCs/>
          <w:szCs w:val="28"/>
        </w:rPr>
        <w:instrText xml:space="preserve"> HYPERLINK \l _Toc29769 </w:instrText>
      </w:r>
      <w:r>
        <w:rPr>
          <w:bCs/>
          <w:iCs/>
          <w:szCs w:val="28"/>
        </w:rPr>
        <w:fldChar w:fldCharType="separate"/>
      </w:r>
      <w:r>
        <w:rPr>
          <w:rFonts w:hint="default"/>
        </w:rPr>
        <w:t xml:space="preserve">5. </w:t>
      </w:r>
      <w:r>
        <w:t>环境影响预测与</w:t>
      </w:r>
      <w:r>
        <w:rPr>
          <w:rFonts w:hint="eastAsia"/>
          <w:lang w:eastAsia="zh-CN"/>
        </w:rPr>
        <w:t>评价</w:t>
      </w:r>
      <w:r>
        <w:tab/>
      </w:r>
      <w:r>
        <w:fldChar w:fldCharType="begin"/>
      </w:r>
      <w:r>
        <w:instrText xml:space="preserve"> PAGEREF _Toc29769 </w:instrText>
      </w:r>
      <w:r>
        <w:fldChar w:fldCharType="separate"/>
      </w:r>
      <w:r>
        <w:t>78</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_Toc13604 </w:instrText>
      </w:r>
      <w:r>
        <w:rPr>
          <w:bCs/>
          <w:iCs/>
          <w:szCs w:val="28"/>
        </w:rPr>
        <w:fldChar w:fldCharType="separate"/>
      </w:r>
      <w:r>
        <w:rPr>
          <w:rFonts w:hint="eastAsia"/>
        </w:rPr>
        <w:t xml:space="preserve">5.1 </w:t>
      </w:r>
      <w:r>
        <w:t>施工期环境影响评价</w:t>
      </w:r>
      <w:r>
        <w:tab/>
      </w:r>
      <w:r>
        <w:fldChar w:fldCharType="begin"/>
      </w:r>
      <w:r>
        <w:instrText xml:space="preserve"> PAGEREF _Toc13604 </w:instrText>
      </w:r>
      <w:r>
        <w:fldChar w:fldCharType="separate"/>
      </w:r>
      <w:r>
        <w:t>78</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_Toc20037 </w:instrText>
      </w:r>
      <w:r>
        <w:rPr>
          <w:bCs/>
          <w:iCs/>
          <w:szCs w:val="28"/>
        </w:rPr>
        <w:fldChar w:fldCharType="separate"/>
      </w:r>
      <w:r>
        <w:rPr>
          <w:rFonts w:hint="eastAsia"/>
        </w:rPr>
        <w:t xml:space="preserve">5.2 </w:t>
      </w:r>
      <w:r>
        <w:rPr>
          <w:rFonts w:hint="eastAsia"/>
          <w:lang w:eastAsia="zh-CN"/>
        </w:rPr>
        <w:t>营运期</w:t>
      </w:r>
      <w:r>
        <w:t>环境影响</w:t>
      </w:r>
      <w:r>
        <w:rPr>
          <w:rFonts w:hint="eastAsia"/>
          <w:lang w:eastAsia="zh-CN"/>
        </w:rPr>
        <w:t>分析</w:t>
      </w:r>
      <w:r>
        <w:tab/>
      </w:r>
      <w:r>
        <w:fldChar w:fldCharType="begin"/>
      </w:r>
      <w:r>
        <w:instrText xml:space="preserve"> PAGEREF _Toc20037 </w:instrText>
      </w:r>
      <w:r>
        <w:fldChar w:fldCharType="separate"/>
      </w:r>
      <w:r>
        <w:t>83</w:t>
      </w:r>
      <w:r>
        <w:fldChar w:fldCharType="end"/>
      </w:r>
      <w:r>
        <w:rPr>
          <w:bCs/>
          <w:iCs/>
          <w:szCs w:val="28"/>
        </w:rPr>
        <w:fldChar w:fldCharType="end"/>
      </w:r>
    </w:p>
    <w:p>
      <w:pPr>
        <w:pStyle w:val="42"/>
        <w:tabs>
          <w:tab w:val="right" w:leader="dot" w:pos="8306"/>
          <w:tab w:val="clear" w:pos="420"/>
          <w:tab w:val="clear" w:pos="8640"/>
        </w:tabs>
      </w:pPr>
      <w:r>
        <w:rPr>
          <w:bCs/>
          <w:iCs/>
          <w:szCs w:val="28"/>
        </w:rPr>
        <w:fldChar w:fldCharType="begin"/>
      </w:r>
      <w:r>
        <w:rPr>
          <w:bCs/>
          <w:iCs/>
          <w:szCs w:val="28"/>
        </w:rPr>
        <w:instrText xml:space="preserve"> HYPERLINK \l _Toc18299 </w:instrText>
      </w:r>
      <w:r>
        <w:rPr>
          <w:bCs/>
          <w:iCs/>
          <w:szCs w:val="28"/>
        </w:rPr>
        <w:fldChar w:fldCharType="separate"/>
      </w:r>
      <w:r>
        <w:rPr>
          <w:rFonts w:hint="default"/>
        </w:rPr>
        <w:t xml:space="preserve">6. </w:t>
      </w:r>
      <w:r>
        <w:rPr>
          <w:rFonts w:hint="eastAsia"/>
        </w:rPr>
        <w:t>环境</w:t>
      </w:r>
      <w:r>
        <w:rPr>
          <w:rFonts w:hint="eastAsia"/>
          <w:lang w:eastAsia="zh-CN"/>
        </w:rPr>
        <w:t>风险评价</w:t>
      </w:r>
      <w:r>
        <w:tab/>
      </w:r>
      <w:r>
        <w:fldChar w:fldCharType="begin"/>
      </w:r>
      <w:r>
        <w:instrText xml:space="preserve"> PAGEREF _Toc18299 </w:instrText>
      </w:r>
      <w:r>
        <w:fldChar w:fldCharType="separate"/>
      </w:r>
      <w:r>
        <w:t>105</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_Toc18171 </w:instrText>
      </w:r>
      <w:r>
        <w:rPr>
          <w:bCs/>
          <w:iCs/>
          <w:szCs w:val="28"/>
        </w:rPr>
        <w:fldChar w:fldCharType="separate"/>
      </w:r>
      <w:r>
        <w:rPr>
          <w:rFonts w:hint="eastAsia"/>
        </w:rPr>
        <w:t xml:space="preserve">6.1 </w:t>
      </w:r>
      <w:r>
        <w:rPr>
          <w:rFonts w:hint="eastAsia"/>
          <w:lang w:eastAsia="zh-CN"/>
        </w:rPr>
        <w:t>评价依据</w:t>
      </w:r>
      <w:r>
        <w:tab/>
      </w:r>
      <w:r>
        <w:fldChar w:fldCharType="begin"/>
      </w:r>
      <w:r>
        <w:instrText xml:space="preserve"> PAGEREF _Toc18171 </w:instrText>
      </w:r>
      <w:r>
        <w:fldChar w:fldCharType="separate"/>
      </w:r>
      <w:r>
        <w:t>105</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_Toc7232 </w:instrText>
      </w:r>
      <w:r>
        <w:rPr>
          <w:bCs/>
          <w:iCs/>
          <w:szCs w:val="28"/>
        </w:rPr>
        <w:fldChar w:fldCharType="separate"/>
      </w:r>
      <w:r>
        <w:rPr>
          <w:rFonts w:hint="eastAsia"/>
        </w:rPr>
        <w:t xml:space="preserve">6.2 </w:t>
      </w:r>
      <w:r>
        <w:rPr>
          <w:rFonts w:hint="eastAsia"/>
          <w:lang w:eastAsia="zh-CN"/>
        </w:rPr>
        <w:t>环境风险识别</w:t>
      </w:r>
      <w:r>
        <w:tab/>
      </w:r>
      <w:r>
        <w:fldChar w:fldCharType="begin"/>
      </w:r>
      <w:r>
        <w:instrText xml:space="preserve"> PAGEREF _Toc7232 </w:instrText>
      </w:r>
      <w:r>
        <w:fldChar w:fldCharType="separate"/>
      </w:r>
      <w:r>
        <w:t>105</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_Toc8593 </w:instrText>
      </w:r>
      <w:r>
        <w:rPr>
          <w:bCs/>
          <w:iCs/>
          <w:szCs w:val="28"/>
        </w:rPr>
        <w:fldChar w:fldCharType="separate"/>
      </w:r>
      <w:r>
        <w:rPr>
          <w:rFonts w:hint="eastAsia"/>
        </w:rPr>
        <w:t xml:space="preserve">6.3 </w:t>
      </w:r>
      <w:r>
        <w:rPr>
          <w:rFonts w:hint="eastAsia"/>
          <w:lang w:eastAsia="zh-CN"/>
        </w:rPr>
        <w:t>环境风险分析</w:t>
      </w:r>
      <w:r>
        <w:tab/>
      </w:r>
      <w:r>
        <w:fldChar w:fldCharType="begin"/>
      </w:r>
      <w:r>
        <w:instrText xml:space="preserve"> PAGEREF _Toc8593 </w:instrText>
      </w:r>
      <w:r>
        <w:fldChar w:fldCharType="separate"/>
      </w:r>
      <w:r>
        <w:t>106</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_Toc16623 </w:instrText>
      </w:r>
      <w:r>
        <w:rPr>
          <w:bCs/>
          <w:iCs/>
          <w:szCs w:val="28"/>
        </w:rPr>
        <w:fldChar w:fldCharType="separate"/>
      </w:r>
      <w:r>
        <w:rPr>
          <w:rFonts w:hint="eastAsia"/>
        </w:rPr>
        <w:t xml:space="preserve">6.4 </w:t>
      </w:r>
      <w:r>
        <w:rPr>
          <w:rFonts w:hint="eastAsia"/>
          <w:lang w:eastAsia="zh-CN"/>
        </w:rPr>
        <w:t>环境风险防范措施及应急要求</w:t>
      </w:r>
      <w:r>
        <w:tab/>
      </w:r>
      <w:r>
        <w:fldChar w:fldCharType="begin"/>
      </w:r>
      <w:r>
        <w:instrText xml:space="preserve"> PAGEREF _Toc16623 </w:instrText>
      </w:r>
      <w:r>
        <w:fldChar w:fldCharType="separate"/>
      </w:r>
      <w:r>
        <w:t>107</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_Toc22740 </w:instrText>
      </w:r>
      <w:r>
        <w:rPr>
          <w:bCs/>
          <w:iCs/>
          <w:szCs w:val="28"/>
        </w:rPr>
        <w:fldChar w:fldCharType="separate"/>
      </w:r>
      <w:r>
        <w:rPr>
          <w:rFonts w:hint="eastAsia"/>
        </w:rPr>
        <w:t xml:space="preserve">6.5 </w:t>
      </w:r>
      <w:r>
        <w:rPr>
          <w:rFonts w:hint="eastAsia"/>
          <w:lang w:eastAsia="zh-CN"/>
        </w:rPr>
        <w:t>环境风险影响评价自查表</w:t>
      </w:r>
      <w:r>
        <w:tab/>
      </w:r>
      <w:r>
        <w:fldChar w:fldCharType="begin"/>
      </w:r>
      <w:r>
        <w:instrText xml:space="preserve"> PAGEREF _Toc22740 </w:instrText>
      </w:r>
      <w:r>
        <w:fldChar w:fldCharType="separate"/>
      </w:r>
      <w:r>
        <w:t>111</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_Toc25430 </w:instrText>
      </w:r>
      <w:r>
        <w:rPr>
          <w:bCs/>
          <w:iCs/>
          <w:szCs w:val="28"/>
        </w:rPr>
        <w:fldChar w:fldCharType="separate"/>
      </w:r>
      <w:r>
        <w:rPr>
          <w:rFonts w:hint="eastAsia"/>
        </w:rPr>
        <w:t xml:space="preserve">6.6 </w:t>
      </w:r>
      <w:r>
        <w:rPr>
          <w:rFonts w:hint="eastAsia"/>
          <w:lang w:eastAsia="zh-CN"/>
        </w:rPr>
        <w:t>环境风险分析结论</w:t>
      </w:r>
      <w:r>
        <w:tab/>
      </w:r>
      <w:r>
        <w:fldChar w:fldCharType="begin"/>
      </w:r>
      <w:r>
        <w:instrText xml:space="preserve"> PAGEREF _Toc25430 </w:instrText>
      </w:r>
      <w:r>
        <w:fldChar w:fldCharType="separate"/>
      </w:r>
      <w:r>
        <w:t>112</w:t>
      </w:r>
      <w:r>
        <w:fldChar w:fldCharType="end"/>
      </w:r>
      <w:r>
        <w:rPr>
          <w:bCs/>
          <w:iCs/>
          <w:szCs w:val="28"/>
        </w:rPr>
        <w:fldChar w:fldCharType="end"/>
      </w:r>
    </w:p>
    <w:p>
      <w:pPr>
        <w:pStyle w:val="42"/>
        <w:tabs>
          <w:tab w:val="right" w:leader="dot" w:pos="8306"/>
          <w:tab w:val="clear" w:pos="420"/>
          <w:tab w:val="clear" w:pos="8640"/>
        </w:tabs>
      </w:pPr>
      <w:r>
        <w:rPr>
          <w:bCs/>
          <w:iCs/>
          <w:szCs w:val="28"/>
        </w:rPr>
        <w:fldChar w:fldCharType="begin"/>
      </w:r>
      <w:r>
        <w:rPr>
          <w:bCs/>
          <w:iCs/>
          <w:szCs w:val="28"/>
        </w:rPr>
        <w:instrText xml:space="preserve"> HYPERLINK \l _Toc28842 </w:instrText>
      </w:r>
      <w:r>
        <w:rPr>
          <w:bCs/>
          <w:iCs/>
          <w:szCs w:val="28"/>
        </w:rPr>
        <w:fldChar w:fldCharType="separate"/>
      </w:r>
      <w:r>
        <w:rPr>
          <w:rFonts w:hint="default"/>
        </w:rPr>
        <w:t xml:space="preserve">7. </w:t>
      </w:r>
      <w:r>
        <w:rPr>
          <w:rFonts w:hint="eastAsia"/>
        </w:rPr>
        <w:t>环境保护措施及可行性分析</w:t>
      </w:r>
      <w:r>
        <w:tab/>
      </w:r>
      <w:r>
        <w:fldChar w:fldCharType="begin"/>
      </w:r>
      <w:r>
        <w:instrText xml:space="preserve"> PAGEREF _Toc28842 </w:instrText>
      </w:r>
      <w:r>
        <w:fldChar w:fldCharType="separate"/>
      </w:r>
      <w:r>
        <w:t>113</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_Toc6099 </w:instrText>
      </w:r>
      <w:r>
        <w:rPr>
          <w:bCs/>
          <w:iCs/>
          <w:szCs w:val="28"/>
        </w:rPr>
        <w:fldChar w:fldCharType="separate"/>
      </w:r>
      <w:r>
        <w:rPr>
          <w:rFonts w:hint="eastAsia"/>
        </w:rPr>
        <w:t xml:space="preserve">7.1 </w:t>
      </w:r>
      <w:r>
        <w:rPr>
          <w:rFonts w:hint="eastAsia"/>
          <w:lang w:eastAsia="zh-CN"/>
        </w:rPr>
        <w:t>施工期污染治理措施</w:t>
      </w:r>
      <w:r>
        <w:tab/>
      </w:r>
      <w:r>
        <w:fldChar w:fldCharType="begin"/>
      </w:r>
      <w:r>
        <w:instrText xml:space="preserve"> PAGEREF _Toc6099 </w:instrText>
      </w:r>
      <w:r>
        <w:fldChar w:fldCharType="separate"/>
      </w:r>
      <w:r>
        <w:t>113</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_Toc29661 </w:instrText>
      </w:r>
      <w:r>
        <w:rPr>
          <w:bCs/>
          <w:iCs/>
          <w:szCs w:val="28"/>
        </w:rPr>
        <w:fldChar w:fldCharType="separate"/>
      </w:r>
      <w:r>
        <w:rPr>
          <w:rFonts w:hint="eastAsia"/>
        </w:rPr>
        <w:t xml:space="preserve">7.2 </w:t>
      </w:r>
      <w:r>
        <w:rPr>
          <w:rFonts w:hint="eastAsia"/>
          <w:lang w:eastAsia="zh-CN"/>
        </w:rPr>
        <w:t>营运期污染治理措施</w:t>
      </w:r>
      <w:r>
        <w:tab/>
      </w:r>
      <w:r>
        <w:fldChar w:fldCharType="begin"/>
      </w:r>
      <w:r>
        <w:instrText xml:space="preserve"> PAGEREF _Toc29661 </w:instrText>
      </w:r>
      <w:r>
        <w:fldChar w:fldCharType="separate"/>
      </w:r>
      <w:r>
        <w:t>116</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_Toc28251 </w:instrText>
      </w:r>
      <w:r>
        <w:rPr>
          <w:bCs/>
          <w:iCs/>
          <w:szCs w:val="28"/>
        </w:rPr>
        <w:fldChar w:fldCharType="separate"/>
      </w:r>
      <w:r>
        <w:rPr>
          <w:rFonts w:hint="eastAsia"/>
        </w:rPr>
        <w:t xml:space="preserve">7.3 </w:t>
      </w:r>
      <w:r>
        <w:rPr>
          <w:rFonts w:hint="eastAsia"/>
          <w:lang w:eastAsia="zh-CN"/>
        </w:rPr>
        <w:t>环保投资估算</w:t>
      </w:r>
      <w:r>
        <w:tab/>
      </w:r>
      <w:r>
        <w:fldChar w:fldCharType="begin"/>
      </w:r>
      <w:r>
        <w:instrText xml:space="preserve"> PAGEREF _Toc28251 </w:instrText>
      </w:r>
      <w:r>
        <w:fldChar w:fldCharType="separate"/>
      </w:r>
      <w:r>
        <w:t>128</w:t>
      </w:r>
      <w:r>
        <w:fldChar w:fldCharType="end"/>
      </w:r>
      <w:r>
        <w:rPr>
          <w:bCs/>
          <w:iCs/>
          <w:szCs w:val="28"/>
        </w:rPr>
        <w:fldChar w:fldCharType="end"/>
      </w:r>
    </w:p>
    <w:p>
      <w:pPr>
        <w:pStyle w:val="42"/>
        <w:tabs>
          <w:tab w:val="right" w:leader="dot" w:pos="8306"/>
          <w:tab w:val="clear" w:pos="420"/>
          <w:tab w:val="clear" w:pos="8640"/>
        </w:tabs>
      </w:pPr>
      <w:r>
        <w:rPr>
          <w:bCs/>
          <w:iCs/>
          <w:szCs w:val="28"/>
        </w:rPr>
        <w:fldChar w:fldCharType="begin"/>
      </w:r>
      <w:r>
        <w:rPr>
          <w:bCs/>
          <w:iCs/>
          <w:szCs w:val="28"/>
        </w:rPr>
        <w:instrText xml:space="preserve"> HYPERLINK \l _Toc2434 </w:instrText>
      </w:r>
      <w:r>
        <w:rPr>
          <w:bCs/>
          <w:iCs/>
          <w:szCs w:val="28"/>
        </w:rPr>
        <w:fldChar w:fldCharType="separate"/>
      </w:r>
      <w:r>
        <w:rPr>
          <w:rFonts w:hint="default"/>
        </w:rPr>
        <w:t xml:space="preserve">8. </w:t>
      </w:r>
      <w:r>
        <w:rPr>
          <w:rFonts w:hint="eastAsia"/>
          <w:lang w:eastAsia="zh-CN"/>
        </w:rPr>
        <w:t>清洁生产</w:t>
      </w:r>
      <w:r>
        <w:tab/>
      </w:r>
      <w:r>
        <w:fldChar w:fldCharType="begin"/>
      </w:r>
      <w:r>
        <w:instrText xml:space="preserve"> PAGEREF _Toc2434 </w:instrText>
      </w:r>
      <w:r>
        <w:fldChar w:fldCharType="separate"/>
      </w:r>
      <w:r>
        <w:t>129</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_Toc13534 </w:instrText>
      </w:r>
      <w:r>
        <w:rPr>
          <w:bCs/>
          <w:iCs/>
          <w:szCs w:val="28"/>
        </w:rPr>
        <w:fldChar w:fldCharType="separate"/>
      </w:r>
      <w:r>
        <w:rPr>
          <w:rFonts w:hint="eastAsia"/>
        </w:rPr>
        <w:t>8.1 拟建项目清洁生产分析</w:t>
      </w:r>
      <w:r>
        <w:tab/>
      </w:r>
      <w:r>
        <w:fldChar w:fldCharType="begin"/>
      </w:r>
      <w:r>
        <w:instrText xml:space="preserve"> PAGEREF _Toc13534 </w:instrText>
      </w:r>
      <w:r>
        <w:fldChar w:fldCharType="separate"/>
      </w:r>
      <w:r>
        <w:t>129</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_Toc9796 </w:instrText>
      </w:r>
      <w:r>
        <w:rPr>
          <w:bCs/>
          <w:iCs/>
          <w:szCs w:val="28"/>
        </w:rPr>
        <w:fldChar w:fldCharType="separate"/>
      </w:r>
      <w:r>
        <w:rPr>
          <w:rFonts w:hint="eastAsia"/>
        </w:rPr>
        <w:t>8.2 清洁生产评价与分析</w:t>
      </w:r>
      <w:r>
        <w:tab/>
      </w:r>
      <w:r>
        <w:fldChar w:fldCharType="begin"/>
      </w:r>
      <w:r>
        <w:instrText xml:space="preserve"> PAGEREF _Toc9796 </w:instrText>
      </w:r>
      <w:r>
        <w:fldChar w:fldCharType="separate"/>
      </w:r>
      <w:r>
        <w:t>130</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_Toc31185 </w:instrText>
      </w:r>
      <w:r>
        <w:rPr>
          <w:bCs/>
          <w:iCs/>
          <w:szCs w:val="28"/>
        </w:rPr>
        <w:fldChar w:fldCharType="separate"/>
      </w:r>
      <w:r>
        <w:rPr>
          <w:rFonts w:hint="eastAsia"/>
        </w:rPr>
        <w:t>8.3 清洁生产管理要求</w:t>
      </w:r>
      <w:r>
        <w:tab/>
      </w:r>
      <w:r>
        <w:fldChar w:fldCharType="begin"/>
      </w:r>
      <w:r>
        <w:instrText xml:space="preserve"> PAGEREF _Toc31185 </w:instrText>
      </w:r>
      <w:r>
        <w:fldChar w:fldCharType="separate"/>
      </w:r>
      <w:r>
        <w:t>132</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_Toc16732 </w:instrText>
      </w:r>
      <w:r>
        <w:rPr>
          <w:bCs/>
          <w:iCs/>
          <w:szCs w:val="28"/>
        </w:rPr>
        <w:fldChar w:fldCharType="separate"/>
      </w:r>
      <w:r>
        <w:rPr>
          <w:rFonts w:hint="eastAsia"/>
        </w:rPr>
        <w:t>8.4 清洁生产分析结论</w:t>
      </w:r>
      <w:r>
        <w:tab/>
      </w:r>
      <w:r>
        <w:fldChar w:fldCharType="begin"/>
      </w:r>
      <w:r>
        <w:instrText xml:space="preserve"> PAGEREF _Toc16732 </w:instrText>
      </w:r>
      <w:r>
        <w:fldChar w:fldCharType="separate"/>
      </w:r>
      <w:r>
        <w:t>133</w:t>
      </w:r>
      <w:r>
        <w:fldChar w:fldCharType="end"/>
      </w:r>
      <w:r>
        <w:rPr>
          <w:bCs/>
          <w:iCs/>
          <w:szCs w:val="28"/>
        </w:rPr>
        <w:fldChar w:fldCharType="end"/>
      </w:r>
    </w:p>
    <w:p>
      <w:pPr>
        <w:pStyle w:val="42"/>
        <w:tabs>
          <w:tab w:val="right" w:leader="dot" w:pos="8306"/>
          <w:tab w:val="clear" w:pos="420"/>
          <w:tab w:val="clear" w:pos="8640"/>
        </w:tabs>
      </w:pPr>
      <w:r>
        <w:rPr>
          <w:bCs/>
          <w:iCs/>
          <w:szCs w:val="28"/>
        </w:rPr>
        <w:fldChar w:fldCharType="begin"/>
      </w:r>
      <w:r>
        <w:rPr>
          <w:bCs/>
          <w:iCs/>
          <w:szCs w:val="28"/>
        </w:rPr>
        <w:instrText xml:space="preserve"> HYPERLINK \l _Toc14295 </w:instrText>
      </w:r>
      <w:r>
        <w:rPr>
          <w:bCs/>
          <w:iCs/>
          <w:szCs w:val="28"/>
        </w:rPr>
        <w:fldChar w:fldCharType="separate"/>
      </w:r>
      <w:r>
        <w:rPr>
          <w:rFonts w:hint="default"/>
        </w:rPr>
        <w:t xml:space="preserve">9. </w:t>
      </w:r>
      <w:r>
        <w:rPr>
          <w:rFonts w:hint="eastAsia"/>
        </w:rPr>
        <w:t>环境影响经济损益分析</w:t>
      </w:r>
      <w:r>
        <w:tab/>
      </w:r>
      <w:r>
        <w:fldChar w:fldCharType="begin"/>
      </w:r>
      <w:r>
        <w:instrText xml:space="preserve"> PAGEREF _Toc14295 </w:instrText>
      </w:r>
      <w:r>
        <w:fldChar w:fldCharType="separate"/>
      </w:r>
      <w:r>
        <w:t>134</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_Toc29185 </w:instrText>
      </w:r>
      <w:r>
        <w:rPr>
          <w:bCs/>
          <w:iCs/>
          <w:szCs w:val="28"/>
        </w:rPr>
        <w:fldChar w:fldCharType="separate"/>
      </w:r>
      <w:r>
        <w:rPr>
          <w:rFonts w:hint="eastAsia"/>
        </w:rPr>
        <w:t xml:space="preserve">9.1 </w:t>
      </w:r>
      <w:r>
        <w:rPr>
          <w:rFonts w:hint="eastAsia"/>
          <w:lang w:eastAsia="zh-CN"/>
        </w:rPr>
        <w:t>经济效益分析</w:t>
      </w:r>
      <w:r>
        <w:tab/>
      </w:r>
      <w:r>
        <w:fldChar w:fldCharType="begin"/>
      </w:r>
      <w:r>
        <w:instrText xml:space="preserve"> PAGEREF _Toc29185 </w:instrText>
      </w:r>
      <w:r>
        <w:fldChar w:fldCharType="separate"/>
      </w:r>
      <w:r>
        <w:t>134</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_Toc7138 </w:instrText>
      </w:r>
      <w:r>
        <w:rPr>
          <w:bCs/>
          <w:iCs/>
          <w:szCs w:val="28"/>
        </w:rPr>
        <w:fldChar w:fldCharType="separate"/>
      </w:r>
      <w:r>
        <w:rPr>
          <w:rFonts w:hint="eastAsia"/>
        </w:rPr>
        <w:t xml:space="preserve">9.2 </w:t>
      </w:r>
      <w:r>
        <w:rPr>
          <w:rFonts w:hint="eastAsia"/>
          <w:lang w:eastAsia="zh-CN"/>
        </w:rPr>
        <w:t>社会效益分析</w:t>
      </w:r>
      <w:r>
        <w:tab/>
      </w:r>
      <w:r>
        <w:fldChar w:fldCharType="begin"/>
      </w:r>
      <w:r>
        <w:instrText xml:space="preserve"> PAGEREF _Toc7138 </w:instrText>
      </w:r>
      <w:r>
        <w:fldChar w:fldCharType="separate"/>
      </w:r>
      <w:r>
        <w:t>134</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_Toc16783 </w:instrText>
      </w:r>
      <w:r>
        <w:rPr>
          <w:bCs/>
          <w:iCs/>
          <w:szCs w:val="28"/>
        </w:rPr>
        <w:fldChar w:fldCharType="separate"/>
      </w:r>
      <w:r>
        <w:rPr>
          <w:rFonts w:hint="eastAsia"/>
        </w:rPr>
        <w:t xml:space="preserve">9.3 </w:t>
      </w:r>
      <w:r>
        <w:rPr>
          <w:rFonts w:hint="eastAsia"/>
          <w:lang w:eastAsia="zh-CN"/>
        </w:rPr>
        <w:t>环境效益分析</w:t>
      </w:r>
      <w:r>
        <w:tab/>
      </w:r>
      <w:r>
        <w:fldChar w:fldCharType="begin"/>
      </w:r>
      <w:r>
        <w:instrText xml:space="preserve"> PAGEREF _Toc16783 </w:instrText>
      </w:r>
      <w:r>
        <w:fldChar w:fldCharType="separate"/>
      </w:r>
      <w:r>
        <w:t>135</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_Toc8524 </w:instrText>
      </w:r>
      <w:r>
        <w:rPr>
          <w:bCs/>
          <w:iCs/>
          <w:szCs w:val="28"/>
        </w:rPr>
        <w:fldChar w:fldCharType="separate"/>
      </w:r>
      <w:r>
        <w:rPr>
          <w:rFonts w:hint="eastAsia"/>
        </w:rPr>
        <w:t xml:space="preserve">9.4 </w:t>
      </w:r>
      <w:r>
        <w:rPr>
          <w:rFonts w:hint="eastAsia"/>
          <w:lang w:eastAsia="zh-CN"/>
        </w:rPr>
        <w:t>小结</w:t>
      </w:r>
      <w:r>
        <w:tab/>
      </w:r>
      <w:r>
        <w:fldChar w:fldCharType="begin"/>
      </w:r>
      <w:r>
        <w:instrText xml:space="preserve"> PAGEREF _Toc8524 </w:instrText>
      </w:r>
      <w:r>
        <w:fldChar w:fldCharType="separate"/>
      </w:r>
      <w:r>
        <w:t>136</w:t>
      </w:r>
      <w:r>
        <w:fldChar w:fldCharType="end"/>
      </w:r>
      <w:r>
        <w:rPr>
          <w:bCs/>
          <w:iCs/>
          <w:szCs w:val="28"/>
        </w:rPr>
        <w:fldChar w:fldCharType="end"/>
      </w:r>
    </w:p>
    <w:p>
      <w:pPr>
        <w:pStyle w:val="42"/>
        <w:tabs>
          <w:tab w:val="right" w:leader="dot" w:pos="8306"/>
          <w:tab w:val="clear" w:pos="420"/>
          <w:tab w:val="clear" w:pos="8640"/>
        </w:tabs>
      </w:pPr>
      <w:r>
        <w:rPr>
          <w:bCs/>
          <w:iCs/>
          <w:szCs w:val="28"/>
        </w:rPr>
        <w:fldChar w:fldCharType="begin"/>
      </w:r>
      <w:r>
        <w:rPr>
          <w:bCs/>
          <w:iCs/>
          <w:szCs w:val="28"/>
        </w:rPr>
        <w:instrText xml:space="preserve"> HYPERLINK \l _Toc8121 </w:instrText>
      </w:r>
      <w:r>
        <w:rPr>
          <w:bCs/>
          <w:iCs/>
          <w:szCs w:val="28"/>
        </w:rPr>
        <w:fldChar w:fldCharType="separate"/>
      </w:r>
      <w:r>
        <w:rPr>
          <w:rFonts w:hint="default"/>
        </w:rPr>
        <w:t xml:space="preserve">10. </w:t>
      </w:r>
      <w:r>
        <w:rPr>
          <w:rFonts w:hint="eastAsia"/>
        </w:rPr>
        <w:t>环境管理与监测计划</w:t>
      </w:r>
      <w:r>
        <w:tab/>
      </w:r>
      <w:r>
        <w:fldChar w:fldCharType="begin"/>
      </w:r>
      <w:r>
        <w:instrText xml:space="preserve"> PAGEREF _Toc8121 </w:instrText>
      </w:r>
      <w:r>
        <w:fldChar w:fldCharType="separate"/>
      </w:r>
      <w:r>
        <w:t>137</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_Toc23471 </w:instrText>
      </w:r>
      <w:r>
        <w:rPr>
          <w:bCs/>
          <w:iCs/>
          <w:szCs w:val="28"/>
        </w:rPr>
        <w:fldChar w:fldCharType="separate"/>
      </w:r>
      <w:r>
        <w:rPr>
          <w:rFonts w:hint="eastAsia"/>
        </w:rPr>
        <w:t xml:space="preserve">10.1 </w:t>
      </w:r>
      <w:r>
        <w:rPr>
          <w:rFonts w:hint="eastAsia"/>
          <w:lang w:eastAsia="zh-CN"/>
        </w:rPr>
        <w:t>环境管理要求</w:t>
      </w:r>
      <w:r>
        <w:tab/>
      </w:r>
      <w:r>
        <w:fldChar w:fldCharType="begin"/>
      </w:r>
      <w:r>
        <w:instrText xml:space="preserve"> PAGEREF _Toc23471 </w:instrText>
      </w:r>
      <w:r>
        <w:fldChar w:fldCharType="separate"/>
      </w:r>
      <w:r>
        <w:t>137</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_Toc4486 </w:instrText>
      </w:r>
      <w:r>
        <w:rPr>
          <w:bCs/>
          <w:iCs/>
          <w:szCs w:val="28"/>
        </w:rPr>
        <w:fldChar w:fldCharType="separate"/>
      </w:r>
      <w:r>
        <w:rPr>
          <w:rFonts w:hint="eastAsia"/>
        </w:rPr>
        <w:t xml:space="preserve">10.2 </w:t>
      </w:r>
      <w:r>
        <w:rPr>
          <w:rFonts w:hint="eastAsia"/>
          <w:lang w:eastAsia="zh-CN"/>
        </w:rPr>
        <w:t>污染源排放清单</w:t>
      </w:r>
      <w:r>
        <w:tab/>
      </w:r>
      <w:r>
        <w:fldChar w:fldCharType="begin"/>
      </w:r>
      <w:r>
        <w:instrText xml:space="preserve"> PAGEREF _Toc4486 </w:instrText>
      </w:r>
      <w:r>
        <w:fldChar w:fldCharType="separate"/>
      </w:r>
      <w:r>
        <w:t>138</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_Toc17543 </w:instrText>
      </w:r>
      <w:r>
        <w:rPr>
          <w:bCs/>
          <w:iCs/>
          <w:szCs w:val="28"/>
        </w:rPr>
        <w:fldChar w:fldCharType="separate"/>
      </w:r>
      <w:r>
        <w:rPr>
          <w:rFonts w:hint="eastAsia"/>
        </w:rPr>
        <w:t xml:space="preserve">10.3 </w:t>
      </w:r>
      <w:r>
        <w:rPr>
          <w:rFonts w:hint="eastAsia"/>
          <w:lang w:eastAsia="zh-CN"/>
        </w:rPr>
        <w:t>环境管理制度</w:t>
      </w:r>
      <w:r>
        <w:tab/>
      </w:r>
      <w:r>
        <w:fldChar w:fldCharType="begin"/>
      </w:r>
      <w:r>
        <w:instrText xml:space="preserve"> PAGEREF _Toc17543 </w:instrText>
      </w:r>
      <w:r>
        <w:fldChar w:fldCharType="separate"/>
      </w:r>
      <w:r>
        <w:t>139</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_Toc14563 </w:instrText>
      </w:r>
      <w:r>
        <w:rPr>
          <w:bCs/>
          <w:iCs/>
          <w:szCs w:val="28"/>
        </w:rPr>
        <w:fldChar w:fldCharType="separate"/>
      </w:r>
      <w:r>
        <w:rPr>
          <w:rFonts w:hint="eastAsia"/>
        </w:rPr>
        <w:t xml:space="preserve">10.4 </w:t>
      </w:r>
      <w:r>
        <w:rPr>
          <w:rFonts w:hint="eastAsia"/>
          <w:lang w:eastAsia="zh-CN"/>
        </w:rPr>
        <w:t>环境监测计划</w:t>
      </w:r>
      <w:r>
        <w:tab/>
      </w:r>
      <w:r>
        <w:fldChar w:fldCharType="begin"/>
      </w:r>
      <w:r>
        <w:instrText xml:space="preserve"> PAGEREF _Toc14563 </w:instrText>
      </w:r>
      <w:r>
        <w:fldChar w:fldCharType="separate"/>
      </w:r>
      <w:r>
        <w:t>141</w:t>
      </w:r>
      <w:r>
        <w:fldChar w:fldCharType="end"/>
      </w:r>
      <w:r>
        <w:rPr>
          <w:bCs/>
          <w:iCs/>
          <w:szCs w:val="28"/>
        </w:rPr>
        <w:fldChar w:fldCharType="end"/>
      </w:r>
    </w:p>
    <w:p>
      <w:pPr>
        <w:pStyle w:val="42"/>
        <w:tabs>
          <w:tab w:val="right" w:leader="dot" w:pos="8306"/>
          <w:tab w:val="clear" w:pos="420"/>
          <w:tab w:val="clear" w:pos="8640"/>
        </w:tabs>
      </w:pPr>
      <w:r>
        <w:rPr>
          <w:bCs/>
          <w:iCs/>
          <w:szCs w:val="28"/>
        </w:rPr>
        <w:fldChar w:fldCharType="begin"/>
      </w:r>
      <w:r>
        <w:rPr>
          <w:bCs/>
          <w:iCs/>
          <w:szCs w:val="28"/>
        </w:rPr>
        <w:instrText xml:space="preserve"> HYPERLINK \l _Toc21222 </w:instrText>
      </w:r>
      <w:r>
        <w:rPr>
          <w:bCs/>
          <w:iCs/>
          <w:szCs w:val="28"/>
        </w:rPr>
        <w:fldChar w:fldCharType="separate"/>
      </w:r>
      <w:r>
        <w:rPr>
          <w:rFonts w:hint="default"/>
        </w:rPr>
        <w:t xml:space="preserve">11. </w:t>
      </w:r>
      <w:r>
        <w:t>评价结论</w:t>
      </w:r>
      <w:r>
        <w:tab/>
      </w:r>
      <w:r>
        <w:fldChar w:fldCharType="begin"/>
      </w:r>
      <w:r>
        <w:instrText xml:space="preserve"> PAGEREF _Toc21222 </w:instrText>
      </w:r>
      <w:r>
        <w:fldChar w:fldCharType="separate"/>
      </w:r>
      <w:r>
        <w:t>146</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_Toc524 </w:instrText>
      </w:r>
      <w:r>
        <w:rPr>
          <w:bCs/>
          <w:iCs/>
          <w:szCs w:val="28"/>
        </w:rPr>
        <w:fldChar w:fldCharType="separate"/>
      </w:r>
      <w:r>
        <w:rPr>
          <w:rFonts w:hint="eastAsia"/>
        </w:rPr>
        <w:t xml:space="preserve">11.1 </w:t>
      </w:r>
      <w:r>
        <w:rPr>
          <w:rFonts w:hint="eastAsia"/>
          <w:lang w:val="en-US" w:eastAsia="zh-CN"/>
        </w:rPr>
        <w:t>项目概况</w:t>
      </w:r>
      <w:r>
        <w:tab/>
      </w:r>
      <w:r>
        <w:fldChar w:fldCharType="begin"/>
      </w:r>
      <w:r>
        <w:instrText xml:space="preserve"> PAGEREF _Toc524 </w:instrText>
      </w:r>
      <w:r>
        <w:fldChar w:fldCharType="separate"/>
      </w:r>
      <w:r>
        <w:t>146</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_Toc5566 </w:instrText>
      </w:r>
      <w:r>
        <w:rPr>
          <w:bCs/>
          <w:iCs/>
          <w:szCs w:val="28"/>
        </w:rPr>
        <w:fldChar w:fldCharType="separate"/>
      </w:r>
      <w:r>
        <w:rPr>
          <w:rFonts w:hint="eastAsia"/>
        </w:rPr>
        <w:t xml:space="preserve">11.2 </w:t>
      </w:r>
      <w:r>
        <w:rPr>
          <w:rFonts w:hint="eastAsia"/>
          <w:lang w:eastAsia="zh-CN"/>
        </w:rPr>
        <w:t>区域环境质量</w:t>
      </w:r>
      <w:r>
        <w:rPr>
          <w:rFonts w:hint="eastAsia"/>
        </w:rPr>
        <w:t>境现状</w:t>
      </w:r>
      <w:r>
        <w:tab/>
      </w:r>
      <w:r>
        <w:fldChar w:fldCharType="begin"/>
      </w:r>
      <w:r>
        <w:instrText xml:space="preserve"> PAGEREF _Toc5566 </w:instrText>
      </w:r>
      <w:r>
        <w:fldChar w:fldCharType="separate"/>
      </w:r>
      <w:r>
        <w:t>146</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_Toc27945 </w:instrText>
      </w:r>
      <w:r>
        <w:rPr>
          <w:bCs/>
          <w:iCs/>
          <w:szCs w:val="28"/>
        </w:rPr>
        <w:fldChar w:fldCharType="separate"/>
      </w:r>
      <w:r>
        <w:rPr>
          <w:rFonts w:hint="eastAsia"/>
        </w:rPr>
        <w:t>11.3 环境影响</w:t>
      </w:r>
      <w:r>
        <w:rPr>
          <w:rFonts w:hint="eastAsia"/>
          <w:lang w:eastAsia="zh-CN"/>
        </w:rPr>
        <w:t>分析结论</w:t>
      </w:r>
      <w:r>
        <w:tab/>
      </w:r>
      <w:r>
        <w:fldChar w:fldCharType="begin"/>
      </w:r>
      <w:r>
        <w:instrText xml:space="preserve"> PAGEREF _Toc27945 </w:instrText>
      </w:r>
      <w:r>
        <w:fldChar w:fldCharType="separate"/>
      </w:r>
      <w:r>
        <w:t>147</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_Toc3474 </w:instrText>
      </w:r>
      <w:r>
        <w:rPr>
          <w:bCs/>
          <w:iCs/>
          <w:szCs w:val="28"/>
        </w:rPr>
        <w:fldChar w:fldCharType="separate"/>
      </w:r>
      <w:r>
        <w:rPr>
          <w:rFonts w:hint="eastAsia" w:ascii="宋体" w:hAnsi="宋体" w:eastAsia="宋体"/>
        </w:rPr>
        <w:t>11.4 项目拟采取的主要环保措施</w:t>
      </w:r>
      <w:r>
        <w:tab/>
      </w:r>
      <w:r>
        <w:fldChar w:fldCharType="begin"/>
      </w:r>
      <w:r>
        <w:instrText xml:space="preserve"> PAGEREF _Toc3474 </w:instrText>
      </w:r>
      <w:r>
        <w:fldChar w:fldCharType="separate"/>
      </w:r>
      <w:r>
        <w:t>149</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_Toc24006 </w:instrText>
      </w:r>
      <w:r>
        <w:rPr>
          <w:bCs/>
          <w:iCs/>
          <w:szCs w:val="28"/>
        </w:rPr>
        <w:fldChar w:fldCharType="separate"/>
      </w:r>
      <w:r>
        <w:rPr>
          <w:rFonts w:hint="eastAsia"/>
        </w:rPr>
        <w:t>11.5 环境影响经济损益分析</w:t>
      </w:r>
      <w:r>
        <w:tab/>
      </w:r>
      <w:r>
        <w:fldChar w:fldCharType="begin"/>
      </w:r>
      <w:r>
        <w:instrText xml:space="preserve"> PAGEREF _Toc24006 </w:instrText>
      </w:r>
      <w:r>
        <w:fldChar w:fldCharType="separate"/>
      </w:r>
      <w:r>
        <w:t>151</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_Toc10378 </w:instrText>
      </w:r>
      <w:r>
        <w:rPr>
          <w:bCs/>
          <w:iCs/>
          <w:szCs w:val="28"/>
        </w:rPr>
        <w:fldChar w:fldCharType="separate"/>
      </w:r>
      <w:r>
        <w:rPr>
          <w:rFonts w:hint="eastAsia"/>
        </w:rPr>
        <w:t>11.6 环境管理与环境</w:t>
      </w:r>
      <w:r>
        <w:rPr>
          <w:rFonts w:hint="eastAsia"/>
          <w:lang w:eastAsia="zh-CN"/>
        </w:rPr>
        <w:t>监测</w:t>
      </w:r>
      <w:r>
        <w:tab/>
      </w:r>
      <w:r>
        <w:fldChar w:fldCharType="begin"/>
      </w:r>
      <w:r>
        <w:instrText xml:space="preserve"> PAGEREF _Toc10378 </w:instrText>
      </w:r>
      <w:r>
        <w:fldChar w:fldCharType="separate"/>
      </w:r>
      <w:r>
        <w:t>151</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_Toc26385 </w:instrText>
      </w:r>
      <w:r>
        <w:rPr>
          <w:bCs/>
          <w:iCs/>
          <w:szCs w:val="28"/>
        </w:rPr>
        <w:fldChar w:fldCharType="separate"/>
      </w:r>
      <w:r>
        <w:rPr>
          <w:rFonts w:hint="eastAsia"/>
        </w:rPr>
        <w:t xml:space="preserve">11.7 </w:t>
      </w:r>
      <w:r>
        <w:rPr>
          <w:rFonts w:hint="eastAsia"/>
          <w:lang w:eastAsia="zh-CN"/>
        </w:rPr>
        <w:t>清洁生产</w:t>
      </w:r>
      <w:r>
        <w:tab/>
      </w:r>
      <w:r>
        <w:fldChar w:fldCharType="begin"/>
      </w:r>
      <w:r>
        <w:instrText xml:space="preserve"> PAGEREF _Toc26385 </w:instrText>
      </w:r>
      <w:r>
        <w:fldChar w:fldCharType="separate"/>
      </w:r>
      <w:r>
        <w:t>151</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_Toc7224 </w:instrText>
      </w:r>
      <w:r>
        <w:rPr>
          <w:bCs/>
          <w:iCs/>
          <w:szCs w:val="28"/>
        </w:rPr>
        <w:fldChar w:fldCharType="separate"/>
      </w:r>
      <w:r>
        <w:rPr>
          <w:rFonts w:hint="eastAsia"/>
          <w:lang w:eastAsia="zh-CN"/>
        </w:rPr>
        <w:t>11.8 产业政策、项目选址与平面布局合理性分析结论</w:t>
      </w:r>
      <w:r>
        <w:tab/>
      </w:r>
      <w:r>
        <w:fldChar w:fldCharType="begin"/>
      </w:r>
      <w:r>
        <w:instrText xml:space="preserve"> PAGEREF _Toc7224 </w:instrText>
      </w:r>
      <w:r>
        <w:fldChar w:fldCharType="separate"/>
      </w:r>
      <w:r>
        <w:t>152</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_Toc769 </w:instrText>
      </w:r>
      <w:r>
        <w:rPr>
          <w:bCs/>
          <w:iCs/>
          <w:szCs w:val="28"/>
        </w:rPr>
        <w:fldChar w:fldCharType="separate"/>
      </w:r>
      <w:r>
        <w:rPr>
          <w:rFonts w:hint="eastAsia"/>
        </w:rPr>
        <w:t xml:space="preserve">11.9 </w:t>
      </w:r>
      <w:r>
        <w:rPr>
          <w:rFonts w:hint="eastAsia"/>
          <w:lang w:eastAsia="zh-CN"/>
        </w:rPr>
        <w:t>公众参与采纳情况</w:t>
      </w:r>
      <w:r>
        <w:tab/>
      </w:r>
      <w:r>
        <w:fldChar w:fldCharType="begin"/>
      </w:r>
      <w:r>
        <w:instrText xml:space="preserve"> PAGEREF _Toc769 </w:instrText>
      </w:r>
      <w:r>
        <w:fldChar w:fldCharType="separate"/>
      </w:r>
      <w:r>
        <w:t>152</w:t>
      </w:r>
      <w:r>
        <w:fldChar w:fldCharType="end"/>
      </w:r>
      <w:r>
        <w:rPr>
          <w:bCs/>
          <w:iCs/>
          <w:szCs w:val="28"/>
        </w:rPr>
        <w:fldChar w:fldCharType="end"/>
      </w:r>
    </w:p>
    <w:p>
      <w:pPr>
        <w:pStyle w:val="50"/>
        <w:tabs>
          <w:tab w:val="right" w:leader="dot" w:pos="8306"/>
          <w:tab w:val="clear" w:pos="735"/>
          <w:tab w:val="clear" w:pos="8610"/>
        </w:tabs>
      </w:pPr>
      <w:r>
        <w:rPr>
          <w:bCs/>
          <w:iCs/>
          <w:szCs w:val="28"/>
        </w:rPr>
        <w:fldChar w:fldCharType="begin"/>
      </w:r>
      <w:r>
        <w:rPr>
          <w:bCs/>
          <w:iCs/>
          <w:szCs w:val="28"/>
        </w:rPr>
        <w:instrText xml:space="preserve"> HYPERLINK \l _Toc29338 </w:instrText>
      </w:r>
      <w:r>
        <w:rPr>
          <w:bCs/>
          <w:iCs/>
          <w:szCs w:val="28"/>
        </w:rPr>
        <w:fldChar w:fldCharType="separate"/>
      </w:r>
      <w:r>
        <w:rPr>
          <w:rFonts w:hint="eastAsia"/>
        </w:rPr>
        <w:t>11.10 总体评价</w:t>
      </w:r>
      <w:r>
        <w:tab/>
      </w:r>
      <w:r>
        <w:fldChar w:fldCharType="begin"/>
      </w:r>
      <w:r>
        <w:instrText xml:space="preserve"> PAGEREF _Toc29338 </w:instrText>
      </w:r>
      <w:r>
        <w:fldChar w:fldCharType="separate"/>
      </w:r>
      <w:r>
        <w:t>153</w:t>
      </w:r>
      <w:r>
        <w:fldChar w:fldCharType="end"/>
      </w:r>
      <w:r>
        <w:rPr>
          <w:bCs/>
          <w:iCs/>
          <w:szCs w:val="28"/>
        </w:rPr>
        <w:fldChar w:fldCharType="end"/>
      </w:r>
    </w:p>
    <w:p>
      <w:pPr>
        <w:rPr>
          <w:bCs/>
          <w:iCs/>
          <w:szCs w:val="28"/>
        </w:rPr>
      </w:pPr>
      <w:r>
        <w:rPr>
          <w:bCs/>
          <w:iCs/>
          <w:szCs w:val="28"/>
        </w:rPr>
        <w:fldChar w:fldCharType="end"/>
      </w: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pStyle w:val="32"/>
        <w:rPr>
          <w:bCs/>
          <w:iCs/>
          <w:szCs w:val="28"/>
        </w:rPr>
      </w:pPr>
    </w:p>
    <w:p>
      <w:pPr>
        <w:keepNext w:val="0"/>
        <w:keepLines w:val="0"/>
        <w:pageBreakBefore w:val="0"/>
        <w:widowControl w:val="0"/>
        <w:kinsoku/>
        <w:wordWrap/>
        <w:overflowPunct/>
        <w:topLinePunct w:val="0"/>
        <w:autoSpaceDE/>
        <w:autoSpaceDN/>
        <w:bidi w:val="0"/>
        <w:adjustRightInd/>
        <w:snapToGrid/>
        <w:spacing w:line="360" w:lineRule="auto"/>
        <w:textAlignment w:val="auto"/>
        <w:rPr>
          <w:b w:val="0"/>
          <w:bCs w:val="0"/>
          <w:iCs/>
          <w:sz w:val="24"/>
          <w:szCs w:val="28"/>
        </w:rPr>
      </w:pPr>
      <w:r>
        <w:rPr>
          <w:rFonts w:hint="eastAsia"/>
          <w:b/>
          <w:bCs/>
          <w:iCs/>
          <w:sz w:val="24"/>
          <w:szCs w:val="28"/>
        </w:rPr>
        <w:t>附件：</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val="0"/>
          <w:bCs w:val="0"/>
          <w:iCs/>
          <w:color w:val="auto"/>
          <w:sz w:val="24"/>
          <w:szCs w:val="28"/>
          <w:lang w:val="en-US" w:eastAsia="zh-CN"/>
        </w:rPr>
      </w:pPr>
      <w:r>
        <w:rPr>
          <w:rFonts w:hint="eastAsia"/>
          <w:b w:val="0"/>
          <w:bCs w:val="0"/>
          <w:iCs/>
          <w:color w:val="auto"/>
          <w:sz w:val="24"/>
          <w:szCs w:val="28"/>
          <w:lang w:eastAsia="zh-CN"/>
        </w:rPr>
        <w:t>附件</w:t>
      </w:r>
      <w:r>
        <w:rPr>
          <w:rFonts w:hint="eastAsia"/>
          <w:b w:val="0"/>
          <w:bCs w:val="0"/>
          <w:iCs/>
          <w:color w:val="auto"/>
          <w:sz w:val="24"/>
          <w:szCs w:val="28"/>
          <w:lang w:val="en-US" w:eastAsia="zh-CN"/>
        </w:rPr>
        <w:t>1：委托书</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val="0"/>
          <w:bCs w:val="0"/>
          <w:iCs/>
          <w:color w:val="auto"/>
          <w:sz w:val="24"/>
          <w:szCs w:val="28"/>
          <w:lang w:val="en-US" w:eastAsia="zh-CN"/>
        </w:rPr>
      </w:pPr>
      <w:r>
        <w:rPr>
          <w:rFonts w:hint="eastAsia"/>
          <w:b w:val="0"/>
          <w:bCs w:val="0"/>
          <w:iCs/>
          <w:color w:val="auto"/>
          <w:sz w:val="24"/>
          <w:szCs w:val="28"/>
          <w:lang w:val="en-US" w:eastAsia="zh-CN"/>
        </w:rPr>
        <w:t>附件2：营业执照</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val="0"/>
          <w:bCs w:val="0"/>
          <w:iCs/>
          <w:color w:val="auto"/>
          <w:sz w:val="24"/>
          <w:szCs w:val="28"/>
          <w:lang w:val="en-US" w:eastAsia="zh-CN"/>
        </w:rPr>
      </w:pPr>
      <w:r>
        <w:rPr>
          <w:rFonts w:hint="eastAsia"/>
          <w:b w:val="0"/>
          <w:bCs w:val="0"/>
          <w:iCs/>
          <w:color w:val="auto"/>
          <w:sz w:val="24"/>
          <w:szCs w:val="28"/>
          <w:lang w:val="en-US" w:eastAsia="zh-CN"/>
        </w:rPr>
        <w:t>附件3：土地租赁协议</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val="0"/>
          <w:bCs w:val="0"/>
          <w:iCs/>
          <w:color w:val="auto"/>
          <w:sz w:val="24"/>
          <w:szCs w:val="28"/>
          <w:lang w:val="en-US" w:eastAsia="zh-CN"/>
        </w:rPr>
      </w:pPr>
      <w:r>
        <w:rPr>
          <w:rFonts w:hint="eastAsia"/>
          <w:b w:val="0"/>
          <w:bCs w:val="0"/>
          <w:iCs/>
          <w:color w:val="auto"/>
          <w:sz w:val="24"/>
          <w:szCs w:val="28"/>
          <w:lang w:val="en-US" w:eastAsia="zh-CN"/>
        </w:rPr>
        <w:t>附件4  选址证明</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val="0"/>
          <w:bCs w:val="0"/>
          <w:iCs/>
          <w:color w:val="auto"/>
          <w:sz w:val="24"/>
          <w:szCs w:val="28"/>
          <w:lang w:val="en-US" w:eastAsia="zh-CN"/>
        </w:rPr>
      </w:pPr>
      <w:r>
        <w:rPr>
          <w:rFonts w:hint="eastAsia"/>
          <w:b w:val="0"/>
          <w:bCs w:val="0"/>
          <w:iCs/>
          <w:color w:val="auto"/>
          <w:sz w:val="24"/>
          <w:szCs w:val="28"/>
          <w:lang w:val="en-US" w:eastAsia="zh-CN"/>
        </w:rPr>
        <w:t>附件5：监测报告</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eastAsia="宋体"/>
          <w:b/>
          <w:bCs/>
          <w:iCs/>
          <w:sz w:val="24"/>
          <w:szCs w:val="28"/>
          <w:lang w:eastAsia="zh-CN"/>
        </w:rPr>
      </w:pP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eastAsia="宋体"/>
          <w:b/>
          <w:bCs/>
          <w:iCs/>
          <w:sz w:val="24"/>
          <w:szCs w:val="28"/>
          <w:lang w:eastAsia="zh-CN"/>
        </w:rPr>
      </w:pPr>
      <w:r>
        <w:rPr>
          <w:rFonts w:hint="eastAsia"/>
          <w:b/>
          <w:bCs/>
          <w:iCs/>
          <w:sz w:val="24"/>
          <w:szCs w:val="28"/>
          <w:lang w:eastAsia="zh-CN"/>
        </w:rPr>
        <w:t>附图：</w:t>
      </w:r>
    </w:p>
    <w:p>
      <w:pPr>
        <w:keepNext w:val="0"/>
        <w:keepLines w:val="0"/>
        <w:pageBreakBefore w:val="0"/>
        <w:widowControl w:val="0"/>
        <w:kinsoku/>
        <w:wordWrap/>
        <w:overflowPunct/>
        <w:topLinePunct w:val="0"/>
        <w:autoSpaceDE/>
        <w:autoSpaceDN/>
        <w:bidi w:val="0"/>
        <w:adjustRightInd/>
        <w:snapToGrid/>
        <w:spacing w:line="360" w:lineRule="auto"/>
        <w:textAlignment w:val="auto"/>
        <w:rPr>
          <w:b w:val="0"/>
          <w:bCs w:val="0"/>
          <w:iCs/>
          <w:sz w:val="24"/>
          <w:szCs w:val="28"/>
        </w:rPr>
      </w:pPr>
      <w:r>
        <w:rPr>
          <w:rFonts w:hint="eastAsia"/>
          <w:b w:val="0"/>
          <w:bCs w:val="0"/>
          <w:iCs/>
          <w:sz w:val="24"/>
          <w:szCs w:val="28"/>
        </w:rPr>
        <w:t>附图1   项目地理位置示意图</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val="0"/>
          <w:bCs w:val="0"/>
          <w:iCs/>
          <w:sz w:val="24"/>
          <w:szCs w:val="28"/>
        </w:rPr>
      </w:pPr>
      <w:r>
        <w:rPr>
          <w:rFonts w:hint="eastAsia"/>
          <w:b w:val="0"/>
          <w:bCs w:val="0"/>
          <w:iCs/>
          <w:sz w:val="24"/>
          <w:szCs w:val="28"/>
        </w:rPr>
        <w:t>附图2   项目平面布置及污染源分布示意图</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b w:val="0"/>
          <w:bCs w:val="0"/>
          <w:iCs/>
          <w:sz w:val="24"/>
          <w:szCs w:val="28"/>
          <w:lang w:val="en-US" w:eastAsia="zh-CN"/>
        </w:rPr>
      </w:pPr>
      <w:r>
        <w:rPr>
          <w:rFonts w:hint="eastAsia"/>
          <w:b w:val="0"/>
          <w:bCs w:val="0"/>
          <w:iCs/>
          <w:sz w:val="24"/>
          <w:szCs w:val="28"/>
          <w:lang w:val="en-US" w:eastAsia="zh-CN"/>
        </w:rPr>
        <w:t>附图3   项目所在地与仁化县三区划定范围位置关系示意图</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val="0"/>
          <w:bCs w:val="0"/>
          <w:iCs/>
          <w:sz w:val="24"/>
          <w:szCs w:val="28"/>
          <w:lang w:val="en-US" w:eastAsia="zh-CN"/>
        </w:rPr>
      </w:pPr>
      <w:r>
        <w:rPr>
          <w:rFonts w:hint="eastAsia"/>
          <w:b w:val="0"/>
          <w:bCs w:val="0"/>
          <w:iCs/>
          <w:sz w:val="24"/>
          <w:szCs w:val="28"/>
          <w:lang w:val="en-US" w:eastAsia="zh-CN"/>
        </w:rPr>
        <w:t>附图4   项目区域水系图</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eastAsia="宋体" w:cs="Times New Roman"/>
          <w:b w:val="0"/>
          <w:bCs w:val="0"/>
          <w:iCs/>
          <w:kern w:val="2"/>
          <w:sz w:val="24"/>
          <w:szCs w:val="28"/>
          <w:lang w:val="en-US" w:eastAsia="zh-CN" w:bidi="ar-SA"/>
        </w:rPr>
      </w:pPr>
      <w:r>
        <w:rPr>
          <w:rFonts w:hint="eastAsia"/>
          <w:b w:val="0"/>
          <w:bCs w:val="0"/>
          <w:iCs/>
          <w:sz w:val="24"/>
          <w:szCs w:val="28"/>
          <w:lang w:val="en-US" w:eastAsia="zh-CN"/>
        </w:rPr>
        <w:t>附图5   项</w:t>
      </w:r>
      <w:r>
        <w:rPr>
          <w:rFonts w:hint="eastAsia" w:ascii="Times New Roman" w:hAnsi="Times New Roman" w:eastAsia="宋体" w:cs="Times New Roman"/>
          <w:b w:val="0"/>
          <w:bCs w:val="0"/>
          <w:iCs/>
          <w:kern w:val="2"/>
          <w:sz w:val="24"/>
          <w:szCs w:val="28"/>
          <w:lang w:val="en-US" w:eastAsia="zh-CN" w:bidi="ar-SA"/>
        </w:rPr>
        <w:t>目大气质量监测布点示意图</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val="0"/>
          <w:bCs w:val="0"/>
          <w:iCs/>
          <w:color w:val="auto"/>
          <w:sz w:val="24"/>
          <w:szCs w:val="28"/>
        </w:rPr>
      </w:pPr>
      <w:r>
        <w:rPr>
          <w:rFonts w:hint="eastAsia"/>
          <w:b w:val="0"/>
          <w:bCs w:val="0"/>
          <w:iCs/>
          <w:color w:val="auto"/>
          <w:sz w:val="24"/>
          <w:szCs w:val="28"/>
        </w:rPr>
        <w:t>附图</w:t>
      </w:r>
      <w:r>
        <w:rPr>
          <w:rFonts w:hint="eastAsia"/>
          <w:b w:val="0"/>
          <w:bCs w:val="0"/>
          <w:iCs/>
          <w:color w:val="auto"/>
          <w:sz w:val="24"/>
          <w:szCs w:val="28"/>
          <w:lang w:val="en-US" w:eastAsia="zh-CN"/>
        </w:rPr>
        <w:t>6</w:t>
      </w:r>
      <w:r>
        <w:rPr>
          <w:rFonts w:hint="eastAsia"/>
          <w:b w:val="0"/>
          <w:bCs w:val="0"/>
          <w:iCs/>
          <w:color w:val="auto"/>
          <w:sz w:val="24"/>
          <w:szCs w:val="28"/>
        </w:rPr>
        <w:t xml:space="preserve">   </w:t>
      </w:r>
      <w:r>
        <w:rPr>
          <w:rFonts w:hint="eastAsia"/>
          <w:b w:val="0"/>
          <w:bCs w:val="0"/>
          <w:iCs/>
          <w:color w:val="auto"/>
          <w:sz w:val="24"/>
          <w:szCs w:val="28"/>
          <w:lang w:val="en-US" w:eastAsia="zh-CN"/>
        </w:rPr>
        <w:t>地下水环境监测点位示意图</w:t>
      </w:r>
    </w:p>
    <w:p>
      <w:pPr>
        <w:keepNext w:val="0"/>
        <w:keepLines w:val="0"/>
        <w:pageBreakBefore w:val="0"/>
        <w:widowControl w:val="0"/>
        <w:kinsoku/>
        <w:wordWrap/>
        <w:overflowPunct/>
        <w:topLinePunct w:val="0"/>
        <w:autoSpaceDE/>
        <w:autoSpaceDN/>
        <w:bidi w:val="0"/>
        <w:adjustRightInd/>
        <w:snapToGrid/>
        <w:spacing w:line="360" w:lineRule="auto"/>
        <w:textAlignment w:val="auto"/>
        <w:rPr>
          <w:b w:val="0"/>
          <w:bCs w:val="0"/>
          <w:iCs/>
          <w:color w:val="auto"/>
          <w:sz w:val="24"/>
          <w:szCs w:val="28"/>
        </w:rPr>
      </w:pPr>
      <w:r>
        <w:rPr>
          <w:rFonts w:hint="eastAsia"/>
          <w:b w:val="0"/>
          <w:bCs w:val="0"/>
          <w:iCs/>
          <w:color w:val="auto"/>
          <w:sz w:val="24"/>
          <w:szCs w:val="28"/>
        </w:rPr>
        <w:t>附图</w:t>
      </w:r>
      <w:r>
        <w:rPr>
          <w:rFonts w:hint="eastAsia"/>
          <w:b w:val="0"/>
          <w:bCs w:val="0"/>
          <w:iCs/>
          <w:color w:val="auto"/>
          <w:sz w:val="24"/>
          <w:szCs w:val="28"/>
          <w:lang w:val="en-US" w:eastAsia="zh-CN"/>
        </w:rPr>
        <w:t>7</w:t>
      </w:r>
      <w:r>
        <w:rPr>
          <w:rFonts w:hint="eastAsia"/>
          <w:b w:val="0"/>
          <w:bCs w:val="0"/>
          <w:iCs/>
          <w:color w:val="auto"/>
          <w:sz w:val="24"/>
          <w:szCs w:val="28"/>
        </w:rPr>
        <w:t xml:space="preserve">   </w:t>
      </w:r>
      <w:r>
        <w:rPr>
          <w:rFonts w:hint="eastAsia"/>
          <w:b w:val="0"/>
          <w:bCs w:val="0"/>
          <w:iCs/>
          <w:color w:val="auto"/>
          <w:sz w:val="24"/>
          <w:szCs w:val="28"/>
          <w:lang w:val="en-US" w:eastAsia="zh-CN"/>
        </w:rPr>
        <w:t>声环境监测点位示意图</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val="0"/>
          <w:bCs w:val="0"/>
          <w:iCs/>
          <w:color w:val="auto"/>
          <w:sz w:val="24"/>
          <w:szCs w:val="28"/>
          <w:lang w:val="en-US" w:eastAsia="zh-CN"/>
        </w:rPr>
      </w:pPr>
      <w:r>
        <w:rPr>
          <w:rFonts w:hint="eastAsia"/>
          <w:b w:val="0"/>
          <w:bCs w:val="0"/>
          <w:iCs/>
          <w:color w:val="auto"/>
          <w:sz w:val="24"/>
          <w:szCs w:val="28"/>
        </w:rPr>
        <w:t>附图</w:t>
      </w:r>
      <w:r>
        <w:rPr>
          <w:rFonts w:hint="eastAsia"/>
          <w:b w:val="0"/>
          <w:bCs w:val="0"/>
          <w:iCs/>
          <w:color w:val="auto"/>
          <w:sz w:val="24"/>
          <w:szCs w:val="28"/>
          <w:lang w:val="en-US" w:eastAsia="zh-CN"/>
        </w:rPr>
        <w:t>8</w:t>
      </w:r>
      <w:r>
        <w:rPr>
          <w:rFonts w:hint="eastAsia"/>
          <w:b w:val="0"/>
          <w:bCs w:val="0"/>
          <w:iCs/>
          <w:color w:val="auto"/>
          <w:sz w:val="24"/>
          <w:szCs w:val="28"/>
        </w:rPr>
        <w:t xml:space="preserve">   </w:t>
      </w:r>
      <w:r>
        <w:rPr>
          <w:rFonts w:hint="eastAsia"/>
          <w:b w:val="0"/>
          <w:bCs w:val="0"/>
          <w:iCs/>
          <w:color w:val="auto"/>
          <w:sz w:val="24"/>
          <w:szCs w:val="28"/>
          <w:lang w:val="en-US" w:eastAsia="zh-CN"/>
        </w:rPr>
        <w:t>土壤环境监测点位示意图</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b w:val="0"/>
          <w:bCs w:val="0"/>
          <w:iCs/>
          <w:sz w:val="24"/>
          <w:szCs w:val="28"/>
          <w:lang w:val="en-US" w:eastAsia="zh-CN"/>
        </w:rPr>
      </w:pPr>
      <w:r>
        <w:rPr>
          <w:rFonts w:hint="eastAsia"/>
          <w:b w:val="0"/>
          <w:bCs w:val="0"/>
          <w:iCs/>
          <w:sz w:val="24"/>
          <w:szCs w:val="28"/>
          <w:lang w:val="en-US" w:eastAsia="zh-CN"/>
        </w:rPr>
        <w:t>附图9   项目污水管网示意图</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val="0"/>
          <w:bCs w:val="0"/>
          <w:iCs/>
          <w:color w:val="auto"/>
          <w:sz w:val="24"/>
          <w:szCs w:val="28"/>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b w:val="0"/>
          <w:bCs w:val="0"/>
          <w:iCs/>
          <w:color w:val="auto"/>
          <w:sz w:val="24"/>
          <w:szCs w:val="28"/>
          <w:lang w:val="en-US" w:eastAsia="zh-CN"/>
        </w:rPr>
      </w:pPr>
      <w:r>
        <w:rPr>
          <w:rFonts w:hint="eastAsia"/>
          <w:b w:val="0"/>
          <w:bCs w:val="0"/>
          <w:iCs/>
          <w:color w:val="auto"/>
          <w:sz w:val="24"/>
          <w:szCs w:val="28"/>
          <w:lang w:val="en-US" w:eastAsia="zh-CN"/>
        </w:rPr>
        <w:t xml:space="preserve">附表  </w:t>
      </w:r>
    </w:p>
    <w:p>
      <w:pPr>
        <w:keepNext w:val="0"/>
        <w:keepLines w:val="0"/>
        <w:pageBreakBefore w:val="0"/>
        <w:widowControl w:val="0"/>
        <w:kinsoku/>
        <w:wordWrap/>
        <w:overflowPunct/>
        <w:topLinePunct w:val="0"/>
        <w:autoSpaceDE/>
        <w:autoSpaceDN/>
        <w:bidi w:val="0"/>
        <w:adjustRightInd/>
        <w:snapToGrid/>
        <w:spacing w:line="360" w:lineRule="auto"/>
        <w:textAlignment w:val="auto"/>
        <w:rPr>
          <w:b w:val="0"/>
          <w:bCs w:val="0"/>
          <w:iCs/>
          <w:sz w:val="24"/>
          <w:szCs w:val="28"/>
        </w:rPr>
      </w:pPr>
      <w:r>
        <w:rPr>
          <w:rFonts w:hint="eastAsia" w:ascii="Times New Roman" w:hAnsi="Times New Roman" w:cs="Times New Roman"/>
          <w:bCs/>
          <w:iCs/>
          <w:color w:val="auto"/>
          <w:sz w:val="24"/>
          <w:szCs w:val="28"/>
        </w:rPr>
        <w:t>建设项目环评审批基础信息表</w:t>
      </w:r>
    </w:p>
    <w:p>
      <w:pPr>
        <w:rPr>
          <w:rFonts w:hint="eastAsia"/>
          <w:bCs/>
          <w:iCs/>
          <w:sz w:val="24"/>
          <w:szCs w:val="28"/>
        </w:rPr>
        <w:sectPr>
          <w:headerReference r:id="rId5" w:type="default"/>
          <w:footerReference r:id="rId6" w:type="default"/>
          <w:pgSz w:w="11906" w:h="16838"/>
          <w:pgMar w:top="1440" w:right="1800" w:bottom="1440" w:left="1800" w:header="851" w:footer="992" w:gutter="0"/>
          <w:pgBorders>
            <w:top w:val="none" w:sz="0" w:space="0"/>
            <w:left w:val="none" w:sz="0" w:space="0"/>
            <w:bottom w:val="none" w:sz="0" w:space="0"/>
            <w:right w:val="none" w:sz="0" w:space="0"/>
          </w:pgBorders>
          <w:pgNumType w:fmt="upperRoman" w:start="1"/>
          <w:cols w:space="425" w:num="1"/>
          <w:docGrid w:type="lines" w:linePitch="312" w:charSpace="0"/>
        </w:sectPr>
      </w:pPr>
    </w:p>
    <w:p>
      <w:pPr>
        <w:pStyle w:val="3"/>
        <w:jc w:val="center"/>
      </w:pPr>
      <w:bookmarkStart w:id="5" w:name="_Toc26985"/>
      <w:r>
        <w:rPr>
          <w:rFonts w:hint="eastAsia"/>
          <w:lang w:eastAsia="zh-CN"/>
        </w:rPr>
        <w:t>概述</w:t>
      </w:r>
      <w:bookmarkEnd w:id="5"/>
    </w:p>
    <w:p>
      <w:pPr>
        <w:pStyle w:val="4"/>
      </w:pPr>
      <w:bookmarkStart w:id="6" w:name="_Toc14834"/>
      <w:r>
        <w:rPr>
          <w:rFonts w:hint="eastAsia"/>
          <w:lang w:eastAsia="zh-CN"/>
        </w:rPr>
        <w:t>项目由来</w:t>
      </w:r>
      <w:bookmarkEnd w:id="6"/>
    </w:p>
    <w:p>
      <w:pPr>
        <w:pStyle w:val="8"/>
        <w:rPr>
          <w:rFonts w:hint="eastAsia"/>
          <w:lang w:val="en-US" w:eastAsia="zh-CN"/>
        </w:rPr>
      </w:pPr>
      <w:r>
        <w:rPr>
          <w:rFonts w:hint="eastAsia"/>
          <w:lang w:val="en-US" w:eastAsia="zh-CN"/>
        </w:rPr>
        <w:t>仁化县三佳畜牧有限公司位于广东省韶关市仁化县丹霞街道高联村寨下组，主要从事生猪养殖。根据中央和国家机关发电《自然资源部办公厅关于保障生猪养殖用地有关问题的通知》（自然资电发</w:t>
      </w:r>
      <w:r>
        <w:rPr>
          <w:rFonts w:hint="eastAsia" w:ascii="宋体" w:hAnsi="宋体" w:eastAsia="宋体" w:cs="宋体"/>
          <w:lang w:val="en-US" w:eastAsia="zh-CN"/>
        </w:rPr>
        <w:t>〔</w:t>
      </w:r>
      <w:r>
        <w:rPr>
          <w:rFonts w:hint="eastAsia"/>
          <w:lang w:val="en-US" w:eastAsia="zh-CN"/>
        </w:rPr>
        <w:t>2019</w:t>
      </w:r>
      <w:r>
        <w:rPr>
          <w:rFonts w:hint="eastAsia" w:ascii="宋体" w:hAnsi="宋体" w:eastAsia="宋体" w:cs="宋体"/>
          <w:lang w:val="en-US" w:eastAsia="zh-CN"/>
        </w:rPr>
        <w:t>〕</w:t>
      </w:r>
      <w:r>
        <w:rPr>
          <w:rFonts w:hint="eastAsia"/>
          <w:lang w:val="en-US" w:eastAsia="zh-CN"/>
        </w:rPr>
        <w:t>39号）和生态环境部办公厅&amp;农业农村部办公厅文件《关于进一步规范畜禽养殖禁养区划定和管理促进生猪生产发展的通知》（环办土壤</w:t>
      </w:r>
      <w:r>
        <w:rPr>
          <w:rFonts w:hint="eastAsia" w:ascii="宋体" w:hAnsi="宋体" w:eastAsia="宋体" w:cs="宋体"/>
          <w:lang w:val="en-US" w:eastAsia="zh-CN"/>
        </w:rPr>
        <w:t>〔</w:t>
      </w:r>
      <w:r>
        <w:rPr>
          <w:rFonts w:hint="eastAsia"/>
          <w:lang w:val="en-US" w:eastAsia="zh-CN"/>
        </w:rPr>
        <w:t>2019</w:t>
      </w:r>
      <w:r>
        <w:rPr>
          <w:rFonts w:hint="eastAsia" w:ascii="宋体" w:hAnsi="宋体" w:eastAsia="宋体" w:cs="宋体"/>
          <w:lang w:val="en-US" w:eastAsia="zh-CN"/>
        </w:rPr>
        <w:t>〕</w:t>
      </w:r>
      <w:r>
        <w:rPr>
          <w:rFonts w:hint="eastAsia"/>
          <w:lang w:val="en-US" w:eastAsia="zh-CN"/>
        </w:rPr>
        <w:t>55号）指示精神，当前我国受非洲猪瘟疫情冲击导致生猪存栏下降，产能下滑，稳产保供形势严峻。为了稳定生猪的生产，保证猪肉市场长期稳定，契合国家发展大型养殖场的政策，稳定猪价，充分利用土地资源，韶关市仁化县三佳畜牧有限公司拟投资1280万元建设高联村寨下组现代高效化养猪场建设项目，建设后可年出栏瘦肉型生猪1.8万头。</w:t>
      </w:r>
    </w:p>
    <w:p>
      <w:pPr>
        <w:pStyle w:val="8"/>
        <w:rPr>
          <w:rFonts w:hint="eastAsia"/>
          <w:lang w:val="en-US" w:eastAsia="zh-CN"/>
        </w:rPr>
        <w:sectPr>
          <w:headerReference r:id="rId7" w:type="default"/>
          <w:footerReference r:id="rId8" w:type="default"/>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425" w:num="1"/>
          <w:docGrid w:type="lines" w:linePitch="312" w:charSpace="0"/>
        </w:sectPr>
      </w:pPr>
      <w:r>
        <w:rPr>
          <w:rFonts w:hint="eastAsia"/>
          <w:lang w:val="en-US" w:eastAsia="zh-CN"/>
        </w:rPr>
        <w:t>根据《中华人民共和国环境保护法》（2015年1月1日）、《中华人民共和国环境影响评价法》（2018年12月29日）、国务院令第682号《建设项目环境保护管理条例》等有关要求，本项目的建设必须执行环境影响评价制度。根据《建设项目环境影响评价分类管理名录》（2018年4月28日、环境保护部令 第44号、生态环境部令 第1号），本项目属于“一、畜牧业”中的“1.畜禽养殖场、养殖小区”中的“年出栏生猪5000头及以上”，应当编制环境影响报告书。为此，韶关市仁化县三佳畜牧有限公司于2020年3月委托湖北丰桐环保科技有限公司承担韶关市仁化县三佳畜牧有限公司高联村寨下组现代高效化养猪场建设项目（下称本项目）的环境影响评价工作。环评单位在接受委托后，立即收集了相关资料，对本项目拟定现场开展现场踏勘、调查，并开展必要的环境现状监测，经过资料整理和模式运算，对本项目所造成的环境影响进行分析、预测和评价，提出减少环境影响应采取的措施，在此基础上编制了《韶关市仁化县三佳畜牧有限公司高联村寨下组现代高效化养猪场建设项目环境影响报告书》。</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textAlignment w:val="auto"/>
        <w:rPr>
          <w:rFonts w:hint="eastAsia"/>
          <w:lang w:val="en-US" w:eastAsia="zh-CN"/>
        </w:rPr>
      </w:pPr>
      <w:r>
        <w:drawing>
          <wp:inline distT="0" distB="0" distL="114300" distR="114300">
            <wp:extent cx="5249545" cy="4183380"/>
            <wp:effectExtent l="15875" t="15875" r="22860" b="22225"/>
            <wp:docPr id="2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2"/>
                    <pic:cNvPicPr>
                      <a:picLocks noChangeAspect="1"/>
                    </pic:cNvPicPr>
                  </pic:nvPicPr>
                  <pic:blipFill>
                    <a:blip r:embed="rId14"/>
                    <a:stretch>
                      <a:fillRect/>
                    </a:stretch>
                  </pic:blipFill>
                  <pic:spPr>
                    <a:xfrm>
                      <a:off x="0" y="0"/>
                      <a:ext cx="5249545" cy="4183380"/>
                    </a:xfrm>
                    <a:prstGeom prst="rect">
                      <a:avLst/>
                    </a:prstGeom>
                    <a:noFill/>
                    <a:ln w="15875">
                      <a:solidFill>
                        <a:schemeClr val="tx1"/>
                      </a:solidFill>
                    </a:ln>
                  </pic:spPr>
                </pic:pic>
              </a:graphicData>
            </a:graphic>
          </wp:inline>
        </w:drawing>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图1.1-1  项目地理位置示意图</w:t>
      </w:r>
    </w:p>
    <w:p>
      <w:pPr>
        <w:pStyle w:val="4"/>
      </w:pPr>
      <w:bookmarkStart w:id="7" w:name="_Toc12618"/>
      <w:r>
        <w:rPr>
          <w:rFonts w:hint="eastAsia"/>
          <w:lang w:eastAsia="zh-CN"/>
        </w:rPr>
        <w:t>项目建设特点</w:t>
      </w:r>
      <w:bookmarkEnd w:id="7"/>
    </w:p>
    <w:p>
      <w:pPr>
        <w:pStyle w:val="8"/>
        <w:rPr>
          <w:rFonts w:hint="eastAsia"/>
          <w:lang w:val="en-US" w:eastAsia="zh-CN"/>
        </w:rPr>
      </w:pPr>
      <w:r>
        <w:rPr>
          <w:rFonts w:hint="eastAsia"/>
          <w:lang w:val="en-US" w:eastAsia="zh-CN"/>
        </w:rPr>
        <w:t>根据现场调查，项目所在地不在生活饮用水水源保护区范围；不涉及风景名胜区、自然保护区；不属于城市和城镇居民区等人口集中地区；不属于国家或地方法律、法规规定需特殊保护的其它区域。项目位于韶关市人民政府依法划定的适养区，从项目周围环境状况和周边村民居住区分布情况看，本项目选址符合《畜禽养殖业污染防治技术规范》（HJ/T81-2001）、《畜禽规模养殖场粪污资源化利用设施建设规范（试行）》（农办牧〔2018〕2号）中的选址要求。</w:t>
      </w:r>
    </w:p>
    <w:p>
      <w:pPr>
        <w:pStyle w:val="8"/>
        <w:rPr>
          <w:rFonts w:hint="eastAsia"/>
          <w:lang w:val="en-US" w:eastAsia="zh-CN"/>
        </w:rPr>
      </w:pPr>
      <w:r>
        <w:rPr>
          <w:rFonts w:hint="eastAsia"/>
          <w:lang w:val="en-US" w:eastAsia="zh-CN"/>
        </w:rPr>
        <w:t>项目施工和生产运营过程中将产生一定量的废水、废气、噪声和固体废物，根据建设项目排放的主要污染因子以及场址的地理位置、气象因素，环评重点为生产过程中废气、废水、噪声以及固废对环境的影响。</w:t>
      </w:r>
    </w:p>
    <w:p>
      <w:pPr>
        <w:pStyle w:val="4"/>
      </w:pPr>
      <w:bookmarkStart w:id="8" w:name="_Toc28694"/>
      <w:r>
        <w:rPr>
          <w:rFonts w:hint="eastAsia"/>
          <w:lang w:eastAsia="zh-CN"/>
        </w:rPr>
        <w:t>环境影响评价的工作过程</w:t>
      </w:r>
      <w:bookmarkEnd w:id="8"/>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lang w:val="en-US" w:eastAsia="zh-CN"/>
        </w:rPr>
      </w:pPr>
      <w:r>
        <w:rPr>
          <w:rFonts w:hint="eastAsia"/>
          <w:lang w:val="en-US" w:eastAsia="zh-CN"/>
        </w:rPr>
        <w:t xml:space="preserve">韶关市仁化县三佳畜牧有限公司高联村寨下组现代高效化养猪场建设项目的环境影响评价主要工作过程为：接受委托→确定环境影响评价文件类型→收集资料→初步工程分析→环境现状调查→环境质量现状监测→污染源分析→环境影响预测评价→提出环境保护措施并进行经济技术可行性论证→分析论证项目建设及选址合理合法性→编制环境影响报告书→环境技术中心评审→报环境保护行政主管部门审批。 </w:t>
      </w:r>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lang w:val="en-US" w:eastAsia="zh-CN"/>
        </w:rPr>
      </w:pPr>
      <w:r>
        <w:rPr>
          <w:rFonts w:hint="eastAsia"/>
          <w:lang w:val="en-US" w:eastAsia="zh-CN"/>
        </w:rPr>
        <w:t xml:space="preserve">按照《建设项目环境影响评价技术导则 总纲》（HJ2.1-2016）的要求，建设项目环评的工作分为三个阶段，即调查分析和工作方案制定阶段，分析论证和预测评价阶段，环境影响报告书编制阶段，具体程序流程见下图。 </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textAlignment w:val="auto"/>
        <w:rPr>
          <w:rFonts w:hint="eastAsia"/>
          <w:lang w:val="en-US" w:eastAsia="zh-CN"/>
        </w:rPr>
      </w:pPr>
      <w:r>
        <w:rPr>
          <w:sz w:val="21"/>
          <w:szCs w:val="21"/>
        </w:rPr>
        <w:drawing>
          <wp:inline distT="0" distB="0" distL="114300" distR="114300">
            <wp:extent cx="5273040" cy="5027930"/>
            <wp:effectExtent l="0" t="0" r="3810" b="1270"/>
            <wp:docPr id="4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2"/>
                    <pic:cNvPicPr>
                      <a:picLocks noChangeAspect="1"/>
                    </pic:cNvPicPr>
                  </pic:nvPicPr>
                  <pic:blipFill>
                    <a:blip r:embed="rId15"/>
                    <a:stretch>
                      <a:fillRect/>
                    </a:stretch>
                  </pic:blipFill>
                  <pic:spPr>
                    <a:xfrm>
                      <a:off x="0" y="0"/>
                      <a:ext cx="5273040" cy="5027930"/>
                    </a:xfrm>
                    <a:prstGeom prst="rect">
                      <a:avLst/>
                    </a:prstGeom>
                    <a:noFill/>
                    <a:ln>
                      <a:noFill/>
                    </a:ln>
                  </pic:spPr>
                </pic:pic>
              </a:graphicData>
            </a:graphic>
          </wp:inline>
        </w:drawing>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b/>
          <w:bCs/>
          <w:sz w:val="21"/>
          <w:szCs w:val="21"/>
          <w:lang w:val="en-US" w:eastAsia="zh-CN"/>
        </w:rPr>
        <w:t>图1.</w:t>
      </w:r>
      <w:r>
        <w:rPr>
          <w:rFonts w:hint="eastAsia" w:ascii="Times New Roman" w:hAnsi="Times New Roman" w:cs="Times New Roman"/>
          <w:b/>
          <w:bCs/>
          <w:sz w:val="21"/>
          <w:szCs w:val="21"/>
          <w:lang w:val="en-US" w:eastAsia="zh-CN"/>
        </w:rPr>
        <w:t>3</w:t>
      </w:r>
      <w:r>
        <w:rPr>
          <w:rFonts w:hint="default" w:ascii="Times New Roman" w:hAnsi="Times New Roman" w:eastAsia="宋体" w:cs="Times New Roman"/>
          <w:b/>
          <w:bCs/>
          <w:sz w:val="21"/>
          <w:szCs w:val="21"/>
          <w:lang w:val="en-US" w:eastAsia="zh-CN"/>
        </w:rPr>
        <w:t>-1  项目环境影响评价工作程序示意图</w:t>
      </w:r>
    </w:p>
    <w:p>
      <w:pPr>
        <w:pStyle w:val="4"/>
      </w:pPr>
      <w:bookmarkStart w:id="9" w:name="_Toc26151"/>
      <w:r>
        <w:rPr>
          <w:rFonts w:hint="eastAsia"/>
          <w:lang w:eastAsia="zh-CN"/>
        </w:rPr>
        <w:t>分析判定相关情况</w:t>
      </w:r>
      <w:bookmarkEnd w:id="9"/>
    </w:p>
    <w:p>
      <w:pPr>
        <w:pStyle w:val="5"/>
        <w:ind w:firstLine="562"/>
      </w:pPr>
      <w:r>
        <w:rPr>
          <w:rFonts w:hint="eastAsia"/>
          <w:lang w:eastAsia="zh-CN"/>
        </w:rPr>
        <w:t>产业政策分析</w:t>
      </w:r>
    </w:p>
    <w:p>
      <w:pPr>
        <w:pStyle w:val="6"/>
      </w:pPr>
      <w:r>
        <w:rPr>
          <w:rFonts w:hint="eastAsia"/>
        </w:rPr>
        <w:t xml:space="preserve">与《产业结构调整指导目录（2019年本）》符合性分析 </w:t>
      </w:r>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lang w:val="en-US" w:eastAsia="zh-CN"/>
        </w:rPr>
      </w:pPr>
      <w:r>
        <w:rPr>
          <w:rFonts w:hint="eastAsia"/>
          <w:lang w:val="en-US" w:eastAsia="zh-CN"/>
        </w:rPr>
        <w:t xml:space="preserve">本项目为生猪养殖，猪只的饲养过程中不使用任何抗生素或化学抗菌药物，包括有机砷制剂；不使用高铜、国家禁止的药物，包括瘦肉精、莱克多巴胺和镇定剂等，改用益生菌，属于《产业结构调整指导目录（2019年本）》第一类鼓励类农林业第4条“畜禽标准化规模养殖技术开发与应用”项目，属于鼓励类项目。 </w:t>
      </w:r>
    </w:p>
    <w:p>
      <w:pPr>
        <w:pStyle w:val="6"/>
      </w:pPr>
      <w:r>
        <w:rPr>
          <w:rFonts w:hint="eastAsia"/>
        </w:rPr>
        <w:t xml:space="preserve">与《市场准入负面清单（2019年版）》符合性分析 </w:t>
      </w:r>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lang w:val="en-US" w:eastAsia="zh-CN"/>
        </w:rPr>
      </w:pPr>
      <w:r>
        <w:rPr>
          <w:rFonts w:hint="eastAsia"/>
          <w:lang w:val="en-US" w:eastAsia="zh-CN"/>
        </w:rPr>
        <w:t xml:space="preserve">根据《市场准入负面清单（2019年版）》，本项目为生猪养殖，不位于负面清单里面，无禁止或许可事项，故本项目的建设符合《市场准入负面清单（2019年版）》的相关要求。 </w:t>
      </w:r>
    </w:p>
    <w:p>
      <w:pPr>
        <w:pStyle w:val="5"/>
        <w:ind w:firstLine="562"/>
      </w:pPr>
      <w:r>
        <w:rPr>
          <w:rFonts w:hint="eastAsia"/>
          <w:lang w:eastAsia="zh-CN"/>
        </w:rPr>
        <w:t>环保规划相符性分析</w:t>
      </w:r>
    </w:p>
    <w:p>
      <w:pPr>
        <w:pStyle w:val="6"/>
      </w:pPr>
      <w:r>
        <w:rPr>
          <w:rFonts w:hint="eastAsia"/>
        </w:rPr>
        <w:t xml:space="preserve">与《关于做好畜禽规模养殖项目环境影响评价管理工作的通知》符合性分析 </w:t>
      </w:r>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lang w:val="en-US" w:eastAsia="zh-CN"/>
        </w:rPr>
      </w:pPr>
      <w:r>
        <w:rPr>
          <w:rFonts w:hint="eastAsia"/>
          <w:lang w:val="en-US" w:eastAsia="zh-CN"/>
        </w:rPr>
        <w:t xml:space="preserve">根据《关于做好畜禽规模养殖项目环境影响评价管理工作的通知》（环办环评[2018]31号）的要求，本项目选址符合相关规划要求，不位于禁养区，不位于水源保护区等敏感区，项目粪污源化利用，加强畜禽养殖粪污资源化利用过程中的污染控制，与《关于做好畜禽规模养殖项目环境影响评价管理工作的通知》相符。 </w:t>
      </w:r>
    </w:p>
    <w:p>
      <w:pPr>
        <w:pStyle w:val="6"/>
      </w:pPr>
      <w:r>
        <w:rPr>
          <w:rFonts w:hint="eastAsia"/>
        </w:rPr>
        <w:t xml:space="preserve">与《韶关市生猪和家禽生产发展规划和布局（2008-2020）》符合性分析 </w:t>
      </w:r>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lang w:val="en-US" w:eastAsia="zh-CN"/>
        </w:rPr>
      </w:pPr>
      <w:r>
        <w:rPr>
          <w:rFonts w:hint="eastAsia"/>
          <w:lang w:val="en-US" w:eastAsia="zh-CN"/>
        </w:rPr>
        <w:t xml:space="preserve">根据《韶关市生猪和家禽生产发展规划和布局（2008-2020）》，生猪生产总体布局分为主城郊区、平原区、山区。区域发展的战略是：提高主城郊区发展水平，加快发展平原区，稳定发展山区，推进养猪生产的区域化、专业化、规模化和标准化。主城郊区包括武江区、浈江区、曲江区。利用其区位优势、市场优势、经济基础好等有利条件，加快养猪业产业化进程，率先实现养猪产业现代化。平原区包括乐昌市南部、南雄市、仁化县、始兴县。山区包括乳源瑶族自治县、新丰县，利用其生态环境及国家扶贫开展支持等有利条件，发展特色养猪业。本项目位于韶关市仁化县丹霞街道高联村寨下组，属于平原区，为新建项目，采用先进的粪污处理设备和技术，发展规模化养殖业。因此本项目的建设符合《韶关市生猪和家禽生产发展规划和布局（2008-2020）》。 </w:t>
      </w:r>
    </w:p>
    <w:p>
      <w:pPr>
        <w:pStyle w:val="6"/>
      </w:pPr>
      <w:r>
        <w:rPr>
          <w:rFonts w:hint="eastAsia"/>
        </w:rPr>
        <w:t>与《</w:t>
      </w:r>
      <w:r>
        <w:rPr>
          <w:rFonts w:hint="eastAsia"/>
          <w:lang w:eastAsia="zh-CN"/>
        </w:rPr>
        <w:t>韶关市仁化县</w:t>
      </w:r>
      <w:r>
        <w:rPr>
          <w:rFonts w:hint="eastAsia"/>
        </w:rPr>
        <w:t xml:space="preserve">畜禽养殖禁养区、限养区和适养区划定方案》符合性分析  </w:t>
      </w:r>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lang w:val="en-US" w:eastAsia="zh-CN"/>
        </w:rPr>
      </w:pPr>
      <w:r>
        <w:rPr>
          <w:rFonts w:hint="eastAsia"/>
          <w:lang w:val="en-US" w:eastAsia="zh-CN"/>
        </w:rPr>
        <w:t xml:space="preserve">根据《韶关市仁化县畜禽养殖禁养区、限养区和适养区划定方案》，禁养区（一）内禁止建设畜禽养殖项目。已建成的畜禽养殖项目，由县政府相关部门依法责令限期搬迁或关闭；禁养区（二）内禁止建设有污染物排放的畜禽养殖项目（注：畜禽粪便、养殖废水、沼渣、沼液等经过无害化处理用作肥料还田，符合法律法规要求以及国家和地方相关标准不造成环境污染的，不属于排放污染物）。已建成的有污染物排放的畜禽养殖项目，由县政府相关部门依法责令限期升级改造为不排放污染物、搬迁或关闭；禁养区（三）内禁止建设畜禽养殖场。已建成的畜禽养殖场，由县政府相关部门依法责令限期搬迁或关闭。限养区内禁止新建有污染物排放的畜禽养殖场，现有畜禽养殖场改、扩建不得增加污染物排放量。 </w:t>
      </w:r>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lang w:val="en-US" w:eastAsia="zh-CN"/>
        </w:rPr>
      </w:pPr>
      <w:r>
        <w:rPr>
          <w:rFonts w:hint="eastAsia"/>
          <w:lang w:val="en-US" w:eastAsia="zh-CN"/>
        </w:rPr>
        <w:t>禁养区：（一）饮用水水源保护区：自然保护区核心区和缓冲区；风景名胜区；（二）仁化县城市总体规划（2010~2030）中的城市建成区，丹霞街道、董塘镇、石塘镇、长江镇、扶溪镇、闻韶镇、城口镇、红山镇、周田镇、黄坑镇、大桥镇镇区范围；（三）《广东省环境保护规划纲要（2006~2020年）》所划定生态严格控制区；法律法规对顶的其他禁止建设养殖场的区域。</w:t>
      </w:r>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default"/>
          <w:lang w:val="en-US" w:eastAsia="zh-CN"/>
        </w:rPr>
      </w:pPr>
      <w:r>
        <w:rPr>
          <w:rFonts w:hint="eastAsia"/>
          <w:lang w:val="en-US" w:eastAsia="zh-CN"/>
        </w:rPr>
        <w:t>限养区：1、主干道（铁路、高速公路、国道、省道）两侧1000米范围内；2、丹霞山国家级自然保护区的实验区，广东仁化高坪省级自然保护区的实验区；3、丹霞山国家级风景名胜区的外围环境保护带；4、仁化县城市总体规划（2010~2030）中城市建成区和丹霞街道、董塘镇、石塘镇、长江镇、扶溪镇、闻韶镇、城口镇、红山镇、周田镇、黄坑镇、大桥镇镇区范围外延500米范围；5、锦江、浈江河岸线两侧1000米范围（已列入禁养区范围的除外）；6、超过土地承载力的区域；7、其他不宜建设养殖场的区域。</w:t>
      </w:r>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lang w:val="en-US" w:eastAsia="zh-CN"/>
        </w:rPr>
      </w:pPr>
      <w:r>
        <w:rPr>
          <w:rFonts w:hint="eastAsia"/>
          <w:lang w:val="en-US" w:eastAsia="zh-CN"/>
        </w:rPr>
        <w:t>适养区：除禁养区、限养区以外的区域。</w:t>
      </w:r>
    </w:p>
    <w:p>
      <w:pPr>
        <w:pStyle w:val="8"/>
        <w:rPr>
          <w:rFonts w:hint="eastAsia"/>
          <w:lang w:val="en-US" w:eastAsia="zh-CN"/>
        </w:rPr>
      </w:pPr>
      <w:r>
        <w:rPr>
          <w:rFonts w:hint="eastAsia"/>
          <w:lang w:val="en-US" w:eastAsia="zh-CN"/>
        </w:rPr>
        <w:t>本次新建项目位于适养区范围内，不在《韶关市仁化县畜禽养殖禁养区、限养区和适养区划定方案》所规定的禁养区、限养区范围内，项目选址符合区划方案的要求，详见下图。</w:t>
      </w:r>
    </w:p>
    <w:p>
      <w:pPr>
        <w:pStyle w:val="8"/>
        <w:ind w:left="0" w:leftChars="0" w:firstLine="0" w:firstLineChars="0"/>
        <w:rPr>
          <w:rFonts w:hint="eastAsia"/>
          <w:lang w:val="en-US" w:eastAsia="zh-CN"/>
        </w:rPr>
      </w:pPr>
      <w:r>
        <w:drawing>
          <wp:inline distT="0" distB="0" distL="114300" distR="114300">
            <wp:extent cx="5210175" cy="4200525"/>
            <wp:effectExtent l="12700" t="12700" r="15875" b="15875"/>
            <wp:docPr id="5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2"/>
                    <pic:cNvPicPr>
                      <a:picLocks noChangeAspect="1"/>
                    </pic:cNvPicPr>
                  </pic:nvPicPr>
                  <pic:blipFill>
                    <a:blip r:embed="rId16"/>
                    <a:stretch>
                      <a:fillRect/>
                    </a:stretch>
                  </pic:blipFill>
                  <pic:spPr>
                    <a:xfrm>
                      <a:off x="0" y="0"/>
                      <a:ext cx="5210175" cy="4200525"/>
                    </a:xfrm>
                    <a:prstGeom prst="rect">
                      <a:avLst/>
                    </a:prstGeom>
                    <a:noFill/>
                    <a:ln w="12700">
                      <a:solidFill>
                        <a:schemeClr val="tx1"/>
                      </a:solidFill>
                    </a:ln>
                  </pic:spPr>
                </pic:pic>
              </a:graphicData>
            </a:graphic>
          </wp:inline>
        </w:drawing>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color w:val="000000"/>
          <w:sz w:val="21"/>
          <w:szCs w:val="21"/>
        </w:rPr>
        <w:t>图1.</w:t>
      </w:r>
      <w:r>
        <w:rPr>
          <w:rFonts w:hint="default" w:ascii="Times New Roman" w:hAnsi="Times New Roman" w:eastAsia="宋体" w:cs="Times New Roman"/>
          <w:b/>
          <w:bCs/>
          <w:color w:val="000000"/>
          <w:sz w:val="21"/>
          <w:szCs w:val="21"/>
          <w:lang w:val="en-US" w:eastAsia="zh-CN"/>
        </w:rPr>
        <w:t>4</w:t>
      </w:r>
      <w:r>
        <w:rPr>
          <w:rFonts w:hint="default" w:ascii="Times New Roman" w:hAnsi="Times New Roman" w:eastAsia="宋体" w:cs="Times New Roman"/>
          <w:b/>
          <w:bCs/>
          <w:color w:val="000000"/>
          <w:sz w:val="21"/>
          <w:szCs w:val="21"/>
        </w:rPr>
        <w:t xml:space="preserve">-1 </w:t>
      </w:r>
      <w:r>
        <w:rPr>
          <w:rFonts w:hint="default" w:ascii="Times New Roman" w:hAnsi="Times New Roman" w:eastAsia="宋体" w:cs="Times New Roman"/>
          <w:b/>
          <w:bCs/>
          <w:color w:val="000000"/>
          <w:sz w:val="21"/>
          <w:szCs w:val="21"/>
          <w:lang w:val="en-US" w:eastAsia="zh-CN"/>
        </w:rPr>
        <w:t xml:space="preserve"> </w:t>
      </w:r>
      <w:r>
        <w:rPr>
          <w:rFonts w:hint="default" w:ascii="Times New Roman" w:hAnsi="Times New Roman" w:eastAsia="宋体" w:cs="Times New Roman"/>
          <w:b/>
          <w:bCs/>
          <w:color w:val="000000"/>
          <w:sz w:val="21"/>
          <w:szCs w:val="21"/>
        </w:rPr>
        <w:t>项目所在地的三区划定图</w:t>
      </w:r>
    </w:p>
    <w:p>
      <w:pPr>
        <w:pStyle w:val="6"/>
      </w:pPr>
      <w:r>
        <w:rPr>
          <w:rFonts w:hint="eastAsia"/>
        </w:rPr>
        <w:t xml:space="preserve">与《广东省饮用水源水质保护条例》符合性分析 </w:t>
      </w:r>
    </w:p>
    <w:p>
      <w:pPr>
        <w:pStyle w:val="8"/>
        <w:rPr>
          <w:rFonts w:hint="eastAsia"/>
          <w:lang w:val="en-US" w:eastAsia="zh-CN"/>
        </w:rPr>
      </w:pPr>
      <w:r>
        <w:rPr>
          <w:rFonts w:hint="eastAsia"/>
          <w:lang w:val="en-US" w:eastAsia="zh-CN"/>
        </w:rPr>
        <w:t>《广东省饮用水源水质保护条例》第十五条规定：饮用水地表水源保护区内禁止设置畜禽养殖场、养殖小区。本项目不在饮用水源保护区内，符合《广东省饮用水源水质保护条例》。</w:t>
      </w:r>
    </w:p>
    <w:p>
      <w:pPr>
        <w:pStyle w:val="6"/>
      </w:pPr>
      <w:r>
        <w:rPr>
          <w:rFonts w:hint="eastAsia"/>
        </w:rPr>
        <w:t xml:space="preserve">与《畜禽养殖业污染防治技术规范》、《畜禽规模养殖场粪污资源化利用设施建设规范（试行）》（农办牧〔2018〕2 号）符合性分析 </w:t>
      </w:r>
    </w:p>
    <w:p>
      <w:pPr>
        <w:pStyle w:val="8"/>
        <w:rPr>
          <w:rFonts w:hint="eastAsia"/>
          <w:lang w:val="en-US" w:eastAsia="zh-CN"/>
        </w:rPr>
      </w:pPr>
      <w:r>
        <w:rPr>
          <w:rFonts w:hint="eastAsia"/>
          <w:lang w:val="en-US" w:eastAsia="zh-CN"/>
        </w:rPr>
        <w:t>《畜禽养殖业污染防治技术规范》（HJ/T81-2001）规定畜禽粪便贮存设施的位置必须远离各类地表水体（距离不得小于400m），并设在养殖场生产及生活管理区的常年主导风向的下风向或侧方向。根据现场勘查，项目附近主要水体为锦江，</w:t>
      </w:r>
      <w:r>
        <w:rPr>
          <w:rFonts w:hint="eastAsia"/>
          <w:highlight w:val="none"/>
          <w:shd w:val="clear"/>
          <w:lang w:val="en-US" w:eastAsia="zh-CN"/>
        </w:rPr>
        <w:t>与锦江的距离为5.6km</w:t>
      </w:r>
      <w:r>
        <w:rPr>
          <w:rFonts w:hint="eastAsia"/>
          <w:lang w:val="en-US" w:eastAsia="zh-CN"/>
        </w:rPr>
        <w:t>，符合《畜禽养殖业污染防治技术规范》（HJ/T81-2001）要求。</w:t>
      </w:r>
    </w:p>
    <w:p>
      <w:pPr>
        <w:pStyle w:val="8"/>
        <w:rPr>
          <w:rFonts w:hint="eastAsia"/>
          <w:lang w:val="en-US" w:eastAsia="zh-CN"/>
        </w:rPr>
      </w:pPr>
      <w:r>
        <w:rPr>
          <w:rFonts w:hint="eastAsia"/>
          <w:lang w:val="en-US" w:eastAsia="zh-CN"/>
        </w:rPr>
        <w:t>《畜禽养殖业污染防治技术规范》第7条指出：畜禽粪便必须经过无害化处理，并且须符合《粪便无害化卫生标准》后，才能进行土地利用，禁止未经处理的畜禽粪便直接施入农田。本项目产生的猪粪经“异位发酵床”制成有机肥外售</w:t>
      </w:r>
      <w:r>
        <w:rPr>
          <w:rFonts w:hint="eastAsia"/>
          <w:highlight w:val="none"/>
          <w:lang w:val="en-US" w:eastAsia="zh-CN"/>
        </w:rPr>
        <w:t>，不外排，</w:t>
      </w:r>
      <w:r>
        <w:rPr>
          <w:rFonts w:hint="eastAsia"/>
          <w:lang w:val="en-US" w:eastAsia="zh-CN"/>
        </w:rPr>
        <w:t>符合《畜禽养殖业污染防治技术规范》（HJ/T81-2001）要求。</w:t>
      </w:r>
    </w:p>
    <w:p>
      <w:pPr>
        <w:pStyle w:val="6"/>
      </w:pPr>
      <w:r>
        <w:rPr>
          <w:rFonts w:hint="eastAsia"/>
        </w:rPr>
        <w:t xml:space="preserve">与《韶关市环境保护纲要（2006-2020年）》符合性分析 </w:t>
      </w:r>
    </w:p>
    <w:p>
      <w:pPr>
        <w:pStyle w:val="8"/>
        <w:rPr>
          <w:rFonts w:hint="eastAsia"/>
          <w:lang w:val="en-US" w:eastAsia="zh-CN"/>
        </w:rPr>
      </w:pPr>
      <w:r>
        <w:rPr>
          <w:rFonts w:hint="eastAsia"/>
          <w:lang w:val="en-US" w:eastAsia="zh-CN"/>
        </w:rPr>
        <w:t>《韶关市环境保护纲要（2006-2020年）》提出控制畜禽养殖场的规模，提倡户用沼气，实现充分、有效和环保利用畜禽粪便。重点发展资源利用型畜牧业，建设新型生猪饲养基地，推行规模化集中养殖，努力实现生产全过程的物质流管理。本项目采用干清粪工艺，将人工或机械搜集的猪粪经“异位发酵床”发酵处理后外售，不外排，充分将粪便资源合理化，因此本项目的建设符合《韶关市环境保护规划纲要（2006-2020年）》。</w:t>
      </w:r>
    </w:p>
    <w:p>
      <w:pPr>
        <w:pStyle w:val="6"/>
      </w:pPr>
      <w:r>
        <w:rPr>
          <w:rFonts w:hint="eastAsia"/>
        </w:rPr>
        <w:t xml:space="preserve">与《韶关市国民经济和社会发展第十三个五年规划纲要》符合性分析 </w:t>
      </w:r>
    </w:p>
    <w:p>
      <w:pPr>
        <w:pStyle w:val="8"/>
        <w:rPr>
          <w:rFonts w:hint="eastAsia"/>
          <w:lang w:val="en-US" w:eastAsia="zh-CN"/>
        </w:rPr>
      </w:pPr>
      <w:r>
        <w:rPr>
          <w:rFonts w:hint="eastAsia"/>
          <w:lang w:val="en-US" w:eastAsia="zh-CN"/>
        </w:rPr>
        <w:t>《韶关市国民经济和社会发展第十三个五年规划纲要》提出加强畜禽养殖污染防治，严禁在水资源保护区、生态敏感区新建、扩建、改建规模化畜禽养殖场，本项目不在水源保护区、畜禽禁养区内，畜禽废水达标处理后用于农业、林业灌溉，不直接向环境水体排放，因此本项目的建设符合《韶关市国民经济和社会发展第十三个五年规划纲要》。</w:t>
      </w:r>
    </w:p>
    <w:p>
      <w:pPr>
        <w:pStyle w:val="6"/>
      </w:pPr>
      <w:r>
        <w:rPr>
          <w:rFonts w:hint="eastAsia"/>
        </w:rPr>
        <w:t xml:space="preserve">与“三线一单”符合性分析 </w:t>
      </w:r>
    </w:p>
    <w:p>
      <w:pPr>
        <w:keepNext w:val="0"/>
        <w:keepLines w:val="0"/>
        <w:pageBreakBefore w:val="0"/>
        <w:widowControl w:val="0"/>
        <w:numPr>
          <w:ilvl w:val="0"/>
          <w:numId w:val="0"/>
        </w:numPr>
        <w:tabs>
          <w:tab w:val="left" w:pos="0"/>
        </w:tabs>
        <w:kinsoku/>
        <w:wordWrap/>
        <w:overflowPunct/>
        <w:topLinePunct w:val="0"/>
        <w:autoSpaceDE/>
        <w:autoSpaceDN/>
        <w:bidi w:val="0"/>
        <w:adjustRightInd w:val="0"/>
        <w:snapToGrid/>
        <w:spacing w:before="0" w:after="0" w:line="240" w:lineRule="auto"/>
        <w:ind w:left="0" w:leftChars="0"/>
        <w:jc w:val="center"/>
        <w:textAlignment w:val="baseline"/>
        <w:outlineLvl w:val="9"/>
        <w:rPr>
          <w:rFonts w:hint="default" w:ascii="Times New Roman" w:hAnsi="Times New Roman" w:eastAsia="宋体" w:cs="Times New Roman"/>
          <w:b/>
          <w:bCs/>
        </w:rPr>
      </w:pPr>
      <w:r>
        <w:rPr>
          <w:rFonts w:hint="default" w:ascii="Times New Roman" w:hAnsi="Times New Roman" w:eastAsia="宋体" w:cs="Times New Roman"/>
          <w:b/>
          <w:bCs/>
        </w:rPr>
        <w:t>表 1.</w:t>
      </w:r>
      <w:r>
        <w:rPr>
          <w:rFonts w:hint="eastAsia" w:ascii="Times New Roman" w:hAnsi="Times New Roman" w:cs="Times New Roman"/>
          <w:b/>
          <w:bCs/>
          <w:lang w:val="en-US" w:eastAsia="zh-CN"/>
        </w:rPr>
        <w:t>4</w:t>
      </w:r>
      <w:r>
        <w:rPr>
          <w:rFonts w:hint="default" w:ascii="Times New Roman" w:hAnsi="Times New Roman" w:eastAsia="宋体" w:cs="Times New Roman"/>
          <w:b/>
          <w:bCs/>
        </w:rPr>
        <w:t>-1“三线一单”符合性分析</w:t>
      </w:r>
    </w:p>
    <w:tbl>
      <w:tblPr>
        <w:tblStyle w:val="63"/>
        <w:tblW w:w="4999" w:type="pct"/>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autofit"/>
        <w:tblCellMar>
          <w:top w:w="0" w:type="dxa"/>
          <w:left w:w="0" w:type="dxa"/>
          <w:bottom w:w="0" w:type="dxa"/>
          <w:right w:w="0" w:type="dxa"/>
        </w:tblCellMar>
      </w:tblPr>
      <w:tblGrid>
        <w:gridCol w:w="1373"/>
        <w:gridCol w:w="6931"/>
      </w:tblGrid>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13" w:hRule="atLeast"/>
        </w:trPr>
        <w:tc>
          <w:tcPr>
            <w:tcW w:w="827"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内容</w:t>
            </w:r>
          </w:p>
        </w:tc>
        <w:tc>
          <w:tcPr>
            <w:tcW w:w="4172"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符合性分析</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935" w:hRule="atLeast"/>
        </w:trPr>
        <w:tc>
          <w:tcPr>
            <w:tcW w:w="827"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生态保护红线</w:t>
            </w:r>
          </w:p>
        </w:tc>
        <w:tc>
          <w:tcPr>
            <w:tcW w:w="4172"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pacing w:val="-8"/>
                <w:sz w:val="21"/>
                <w:szCs w:val="21"/>
              </w:rPr>
              <w:t>本项目位于</w:t>
            </w:r>
            <w:r>
              <w:rPr>
                <w:rFonts w:hint="default" w:ascii="Times New Roman" w:hAnsi="Times New Roman" w:eastAsia="宋体" w:cs="Times New Roman"/>
                <w:spacing w:val="-8"/>
                <w:sz w:val="21"/>
                <w:szCs w:val="21"/>
                <w:lang w:val="en-US" w:eastAsia="zh-CN"/>
              </w:rPr>
              <w:t>仁化县丹霞街道高联村寨下组</w:t>
            </w:r>
            <w:r>
              <w:rPr>
                <w:rFonts w:hint="default" w:ascii="Times New Roman" w:hAnsi="Times New Roman" w:eastAsia="宋体" w:cs="Times New Roman"/>
                <w:spacing w:val="-8"/>
                <w:sz w:val="21"/>
                <w:szCs w:val="21"/>
                <w:highlight w:val="none"/>
              </w:rPr>
              <w:t>，根据图</w:t>
            </w:r>
            <w:r>
              <w:rPr>
                <w:rFonts w:hint="default" w:ascii="Times New Roman" w:hAnsi="Times New Roman" w:eastAsia="宋体" w:cs="Times New Roman"/>
                <w:sz w:val="21"/>
                <w:szCs w:val="21"/>
                <w:highlight w:val="none"/>
              </w:rPr>
              <w:t>2.3-1</w:t>
            </w:r>
            <w:r>
              <w:rPr>
                <w:rFonts w:hint="default" w:ascii="Times New Roman" w:hAnsi="Times New Roman" w:eastAsia="宋体" w:cs="Times New Roman"/>
                <w:spacing w:val="-22"/>
                <w:sz w:val="21"/>
                <w:szCs w:val="21"/>
                <w:highlight w:val="none"/>
              </w:rPr>
              <w:t xml:space="preserve">至 </w:t>
            </w:r>
            <w:r>
              <w:rPr>
                <w:rFonts w:hint="default" w:ascii="Times New Roman" w:hAnsi="Times New Roman" w:eastAsia="宋体" w:cs="Times New Roman"/>
                <w:sz w:val="21"/>
                <w:szCs w:val="21"/>
                <w:highlight w:val="none"/>
              </w:rPr>
              <w:t>2.3-</w:t>
            </w:r>
            <w:r>
              <w:rPr>
                <w:rFonts w:hint="eastAsia" w:ascii="Times New Roman" w:hAnsi="Times New Roman" w:cs="Times New Roman"/>
                <w:sz w:val="21"/>
                <w:szCs w:val="21"/>
                <w:highlight w:val="none"/>
                <w:lang w:val="en-US" w:eastAsia="zh-CN"/>
              </w:rPr>
              <w:t>5</w:t>
            </w:r>
            <w:r>
              <w:rPr>
                <w:rFonts w:hint="default" w:ascii="Times New Roman" w:hAnsi="Times New Roman" w:eastAsia="宋体" w:cs="Times New Roman"/>
                <w:spacing w:val="-7"/>
                <w:sz w:val="21"/>
                <w:szCs w:val="21"/>
                <w:highlight w:val="none"/>
              </w:rPr>
              <w:t>分析，项</w:t>
            </w:r>
            <w:r>
              <w:rPr>
                <w:rFonts w:hint="default" w:ascii="Times New Roman" w:hAnsi="Times New Roman" w:eastAsia="宋体" w:cs="Times New Roman"/>
                <w:spacing w:val="-7"/>
                <w:sz w:val="21"/>
                <w:szCs w:val="21"/>
              </w:rPr>
              <w:t>目不涉及广东省划</w:t>
            </w:r>
            <w:r>
              <w:rPr>
                <w:rFonts w:hint="default" w:ascii="Times New Roman" w:hAnsi="Times New Roman" w:eastAsia="宋体" w:cs="Times New Roman"/>
                <w:spacing w:val="-6"/>
                <w:sz w:val="21"/>
                <w:szCs w:val="21"/>
              </w:rPr>
              <w:t>定的生态保护红线、周边无自然保护区、饮用水源保护区等生态保护目标，符合生</w:t>
            </w:r>
            <w:r>
              <w:rPr>
                <w:rFonts w:hint="default" w:ascii="Times New Roman" w:hAnsi="Times New Roman" w:eastAsia="宋体" w:cs="Times New Roman"/>
                <w:sz w:val="21"/>
                <w:szCs w:val="21"/>
              </w:rPr>
              <w:t>态保护红线要求。</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623" w:hRule="atLeast"/>
        </w:trPr>
        <w:tc>
          <w:tcPr>
            <w:tcW w:w="82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资源利用上线</w:t>
            </w:r>
          </w:p>
        </w:tc>
        <w:tc>
          <w:tcPr>
            <w:tcW w:w="4172"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本项目营运过程中消耗一定量的电源、水资源等资源消耗，项目资源消耗量相对区域资源，利用总量较少，符合资源利用上线要求。</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623" w:hRule="atLeast"/>
        </w:trPr>
        <w:tc>
          <w:tcPr>
            <w:tcW w:w="82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环境质量底线</w:t>
            </w:r>
          </w:p>
        </w:tc>
        <w:tc>
          <w:tcPr>
            <w:tcW w:w="4172"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本项目附近地表水环境、地下水环境、大气环境、声环境质量能够满足相应的标准要求。因此，本项目符合环境质量底线。</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625" w:hRule="atLeast"/>
        </w:trPr>
        <w:tc>
          <w:tcPr>
            <w:tcW w:w="82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负面清单</w:t>
            </w:r>
          </w:p>
        </w:tc>
        <w:tc>
          <w:tcPr>
            <w:tcW w:w="4172"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本项目位于</w:t>
            </w:r>
            <w:r>
              <w:rPr>
                <w:rFonts w:hint="default" w:ascii="Times New Roman" w:hAnsi="Times New Roman" w:eastAsia="宋体" w:cs="Times New Roman"/>
                <w:sz w:val="21"/>
                <w:szCs w:val="21"/>
                <w:lang w:val="en-US" w:eastAsia="zh-CN"/>
              </w:rPr>
              <w:t>仁化县丹霞街道高联村寨下组</w:t>
            </w:r>
            <w:r>
              <w:rPr>
                <w:rFonts w:hint="default" w:ascii="Times New Roman" w:hAnsi="Times New Roman" w:eastAsia="宋体" w:cs="Times New Roman"/>
                <w:sz w:val="21"/>
                <w:szCs w:val="21"/>
              </w:rPr>
              <w:t>，</w:t>
            </w:r>
            <w:r>
              <w:rPr>
                <w:rFonts w:hint="default" w:ascii="Times New Roman" w:hAnsi="Times New Roman" w:eastAsia="宋体" w:cs="Times New Roman"/>
                <w:sz w:val="21"/>
                <w:szCs w:val="21"/>
                <w:highlight w:val="none"/>
              </w:rPr>
              <w:t>属于</w:t>
            </w:r>
            <w:r>
              <w:rPr>
                <w:rFonts w:hint="eastAsia" w:ascii="Times New Roman" w:hAnsi="Times New Roman" w:cs="Times New Roman"/>
                <w:sz w:val="21"/>
                <w:szCs w:val="21"/>
                <w:highlight w:val="none"/>
                <w:lang w:eastAsia="zh-CN"/>
              </w:rPr>
              <w:t>仁化北部山地生物多样性保护与水源涵养</w:t>
            </w:r>
            <w:r>
              <w:rPr>
                <w:rFonts w:hint="default" w:ascii="Times New Roman" w:hAnsi="Times New Roman" w:eastAsia="宋体" w:cs="Times New Roman"/>
                <w:sz w:val="21"/>
                <w:szCs w:val="21"/>
                <w:highlight w:val="none"/>
              </w:rPr>
              <w:t>生态功能区，</w:t>
            </w:r>
            <w:r>
              <w:rPr>
                <w:rFonts w:hint="default" w:ascii="Times New Roman" w:hAnsi="Times New Roman" w:eastAsia="宋体" w:cs="Times New Roman"/>
                <w:sz w:val="21"/>
                <w:szCs w:val="21"/>
              </w:rPr>
              <w:t>不在该功能区的负面清单内。</w:t>
            </w:r>
          </w:p>
        </w:tc>
      </w:tr>
    </w:tbl>
    <w:p>
      <w:pPr>
        <w:pStyle w:val="5"/>
        <w:ind w:firstLine="562"/>
      </w:pPr>
      <w:r>
        <w:rPr>
          <w:rFonts w:hint="eastAsia"/>
          <w:lang w:eastAsia="zh-CN"/>
        </w:rPr>
        <w:t>项目用地合法合理性分析</w:t>
      </w:r>
    </w:p>
    <w:p>
      <w:pPr>
        <w:pStyle w:val="8"/>
        <w:rPr>
          <w:rFonts w:hint="eastAsia"/>
          <w:lang w:val="en-US" w:eastAsia="zh-CN"/>
        </w:rPr>
      </w:pPr>
      <w:r>
        <w:rPr>
          <w:rFonts w:hint="eastAsia"/>
          <w:lang w:val="en-US" w:eastAsia="zh-CN"/>
        </w:rPr>
        <w:t>本项目位于韶关市仁化县丹霞街道高联村寨下</w:t>
      </w:r>
      <w:r>
        <w:rPr>
          <w:rFonts w:hint="eastAsia"/>
          <w:highlight w:val="none"/>
          <w:lang w:val="en-US" w:eastAsia="zh-CN"/>
        </w:rPr>
        <w:t>组，根据用地协议，本项</w:t>
      </w:r>
      <w:r>
        <w:rPr>
          <w:rFonts w:hint="eastAsia"/>
          <w:lang w:val="en-US" w:eastAsia="zh-CN"/>
        </w:rPr>
        <w:t>目用地类型为设施农用地、林地，不占基本农田，项目用地合法合理。</w:t>
      </w:r>
    </w:p>
    <w:p>
      <w:pPr>
        <w:pStyle w:val="4"/>
      </w:pPr>
      <w:bookmarkStart w:id="10" w:name="_Toc18883"/>
      <w:r>
        <w:t>关注的主要环境问题及环境影响</w:t>
      </w:r>
      <w:bookmarkEnd w:id="10"/>
    </w:p>
    <w:p>
      <w:pPr>
        <w:pStyle w:val="8"/>
        <w:rPr>
          <w:rFonts w:hint="eastAsia"/>
          <w:lang w:val="en-US" w:eastAsia="zh-CN"/>
        </w:rPr>
      </w:pPr>
      <w:r>
        <w:rPr>
          <w:rFonts w:hint="eastAsia"/>
          <w:lang w:val="en-US" w:eastAsia="zh-CN"/>
        </w:rPr>
        <w:t>本项目关注的主要环境问题：养殖废水治理措施及对周边环境的影响，养殖废水零排放的可行性分析；养殖废气对周边敏感目标的影响；畜禽粪便处理措施的合理性等。</w:t>
      </w:r>
    </w:p>
    <w:p>
      <w:pPr>
        <w:pStyle w:val="4"/>
      </w:pPr>
      <w:bookmarkStart w:id="11" w:name="_Toc30193"/>
      <w:r>
        <w:t>环境影响评价的主要结论</w:t>
      </w:r>
      <w:bookmarkEnd w:id="11"/>
    </w:p>
    <w:p>
      <w:pPr>
        <w:pStyle w:val="8"/>
        <w:rPr>
          <w:rFonts w:hint="eastAsia"/>
          <w:lang w:val="en-US" w:eastAsia="zh-CN"/>
        </w:rPr>
      </w:pPr>
      <w:r>
        <w:rPr>
          <w:rFonts w:hint="eastAsia"/>
          <w:lang w:val="en-US" w:eastAsia="zh-CN"/>
        </w:rPr>
        <w:t>本项目选址合理；项目建设符合国家和地方产业政策，项目完成后有较高的社会、经济效益；加强管理及采取各项污染防治措施可有效实现污染物达标排放；项目周围的环境质量现状良好，总体来说能满足环境功能的要求；经项目环境影响分析结果可知，项目建成运营后，产生的废水、废气等污染物通过加强管理及采取各项污染防治措施可有效实现污染物达标排放，污染物的排放满足环境容量的限制要求，不改变所在地区的环境功能属性；项目周围的环境质量现状良好，总体来说能满足环境功能的要求；事故环境风险处于可接受水平；环保投资可基本满足环保设施建设的需要，能实现环境效益与经济效益的统一，周围群众对项目建设基本持支持态度。</w:t>
      </w:r>
    </w:p>
    <w:p>
      <w:pPr>
        <w:pStyle w:val="8"/>
        <w:rPr>
          <w:rFonts w:hint="eastAsia"/>
          <w:b/>
          <w:bCs/>
          <w:lang w:val="en-US" w:eastAsia="zh-CN"/>
        </w:rPr>
      </w:pPr>
      <w:r>
        <w:rPr>
          <w:rFonts w:hint="eastAsia"/>
          <w:lang w:val="en-US" w:eastAsia="zh-CN"/>
        </w:rPr>
        <w:t>本项目保证严格执行我国建设项目环境保护“三同时”制度、对各项污染防治措施和本报告书中提出的各项环境保护对策建议切实逐项予以落实，并加强生产和污染治理设施的运行管理、保证各种污染物达标排放的前提下，</w:t>
      </w:r>
      <w:r>
        <w:rPr>
          <w:rFonts w:hint="eastAsia"/>
          <w:b/>
          <w:bCs/>
          <w:lang w:val="en-US" w:eastAsia="zh-CN"/>
        </w:rPr>
        <w:t>本项目的建设从环保角度而言是可行的。</w:t>
      </w:r>
    </w:p>
    <w:p>
      <w:pPr>
        <w:pStyle w:val="8"/>
        <w:rPr>
          <w:rFonts w:hint="eastAsia"/>
          <w:b/>
          <w:bCs/>
          <w:lang w:val="en-US" w:eastAsia="zh-CN"/>
        </w:rPr>
      </w:pPr>
    </w:p>
    <w:p>
      <w:pPr>
        <w:pStyle w:val="8"/>
        <w:rPr>
          <w:rFonts w:hint="eastAsia"/>
          <w:b/>
          <w:bCs/>
          <w:lang w:val="en-US" w:eastAsia="zh-CN"/>
        </w:rPr>
      </w:pPr>
    </w:p>
    <w:p>
      <w:pPr>
        <w:pStyle w:val="8"/>
        <w:rPr>
          <w:rFonts w:hint="eastAsia"/>
          <w:b/>
          <w:bCs/>
          <w:lang w:val="en-US" w:eastAsia="zh-CN"/>
        </w:rPr>
      </w:pPr>
    </w:p>
    <w:p>
      <w:pPr>
        <w:pStyle w:val="8"/>
        <w:rPr>
          <w:rFonts w:hint="eastAsia"/>
          <w:b/>
          <w:bCs/>
          <w:lang w:val="en-US" w:eastAsia="zh-CN"/>
        </w:rPr>
      </w:pPr>
    </w:p>
    <w:p>
      <w:pPr>
        <w:pStyle w:val="8"/>
        <w:rPr>
          <w:rFonts w:hint="eastAsia"/>
          <w:b/>
          <w:bCs/>
          <w:lang w:val="en-US" w:eastAsia="zh-CN"/>
        </w:rPr>
      </w:pPr>
    </w:p>
    <w:p>
      <w:pPr>
        <w:pStyle w:val="8"/>
        <w:rPr>
          <w:rFonts w:hint="eastAsia"/>
          <w:b/>
          <w:bCs/>
          <w:lang w:val="en-US" w:eastAsia="zh-CN"/>
        </w:rPr>
      </w:pPr>
    </w:p>
    <w:p>
      <w:pPr>
        <w:pStyle w:val="8"/>
        <w:rPr>
          <w:rFonts w:hint="eastAsia"/>
          <w:b/>
          <w:bCs/>
          <w:lang w:val="en-US" w:eastAsia="zh-CN"/>
        </w:rPr>
      </w:pPr>
    </w:p>
    <w:p>
      <w:pPr>
        <w:pStyle w:val="8"/>
        <w:rPr>
          <w:rFonts w:hint="eastAsia"/>
          <w:b/>
          <w:bCs/>
          <w:lang w:val="en-US" w:eastAsia="zh-CN"/>
        </w:rPr>
      </w:pPr>
    </w:p>
    <w:p>
      <w:pPr>
        <w:pStyle w:val="8"/>
        <w:rPr>
          <w:rFonts w:hint="eastAsia"/>
          <w:b/>
          <w:bCs/>
          <w:lang w:val="en-US" w:eastAsia="zh-CN"/>
        </w:rPr>
      </w:pPr>
    </w:p>
    <w:p>
      <w:pPr>
        <w:pStyle w:val="3"/>
        <w:jc w:val="center"/>
      </w:pPr>
      <w:bookmarkStart w:id="12" w:name="_Toc13075"/>
      <w:bookmarkStart w:id="13" w:name="_Toc346282456"/>
      <w:r>
        <w:rPr>
          <w:rFonts w:hint="eastAsia"/>
          <w:lang w:eastAsia="zh-CN"/>
        </w:rPr>
        <w:t>总则</w:t>
      </w:r>
      <w:bookmarkEnd w:id="12"/>
      <w:bookmarkEnd w:id="13"/>
    </w:p>
    <w:p>
      <w:pPr>
        <w:pStyle w:val="4"/>
      </w:pPr>
      <w:bookmarkStart w:id="14" w:name="_Toc8863"/>
      <w:r>
        <w:rPr>
          <w:rFonts w:hint="eastAsia"/>
          <w:lang w:eastAsia="zh-CN"/>
        </w:rPr>
        <w:t>环境影响评价原则</w:t>
      </w:r>
      <w:bookmarkEnd w:id="14"/>
    </w:p>
    <w:p>
      <w:pPr>
        <w:pStyle w:val="8"/>
        <w:rPr>
          <w:rFonts w:hint="eastAsia"/>
          <w:color w:val="auto"/>
        </w:rPr>
      </w:pPr>
      <w:r>
        <w:rPr>
          <w:rFonts w:hint="eastAsia"/>
          <w:color w:val="auto"/>
        </w:rPr>
        <w:t>突出环境影响评价的源头预防作用，坚持保护和改善环境质量。</w:t>
      </w:r>
    </w:p>
    <w:p>
      <w:pPr>
        <w:pStyle w:val="8"/>
        <w:rPr>
          <w:rFonts w:hint="eastAsia"/>
          <w:color w:val="auto"/>
        </w:rPr>
      </w:pPr>
      <w:r>
        <w:rPr>
          <w:rFonts w:hint="eastAsia"/>
          <w:color w:val="auto"/>
          <w:lang w:val="en-US" w:eastAsia="zh-CN"/>
        </w:rPr>
        <w:t>a）</w:t>
      </w:r>
      <w:r>
        <w:rPr>
          <w:rFonts w:hint="eastAsia"/>
          <w:color w:val="auto"/>
        </w:rPr>
        <w:t>依法评价</w:t>
      </w:r>
    </w:p>
    <w:p>
      <w:pPr>
        <w:pStyle w:val="8"/>
        <w:rPr>
          <w:rFonts w:hint="eastAsia"/>
          <w:color w:val="auto"/>
        </w:rPr>
      </w:pPr>
      <w:r>
        <w:rPr>
          <w:rFonts w:hint="eastAsia"/>
          <w:color w:val="auto"/>
        </w:rPr>
        <w:t>贯彻执行我国环境保护相关法律法规、标准、政策和规划等，优化项目建设，服务环境管理。</w:t>
      </w:r>
    </w:p>
    <w:p>
      <w:pPr>
        <w:pStyle w:val="8"/>
        <w:rPr>
          <w:rFonts w:hint="eastAsia"/>
          <w:color w:val="auto"/>
        </w:rPr>
      </w:pPr>
      <w:r>
        <w:rPr>
          <w:rFonts w:hint="eastAsia"/>
          <w:color w:val="auto"/>
          <w:lang w:val="en-US" w:eastAsia="zh-CN"/>
        </w:rPr>
        <w:t>b）</w:t>
      </w:r>
      <w:r>
        <w:rPr>
          <w:rFonts w:hint="eastAsia"/>
          <w:color w:val="auto"/>
        </w:rPr>
        <w:t>科学评价</w:t>
      </w:r>
    </w:p>
    <w:p>
      <w:pPr>
        <w:pStyle w:val="8"/>
        <w:rPr>
          <w:rFonts w:hint="eastAsia"/>
          <w:color w:val="auto"/>
        </w:rPr>
      </w:pPr>
      <w:r>
        <w:rPr>
          <w:rFonts w:hint="eastAsia"/>
          <w:color w:val="auto"/>
        </w:rPr>
        <w:t>规范环境影响评价方法，科学分析项目建设对环境质量的影响。</w:t>
      </w:r>
    </w:p>
    <w:p>
      <w:pPr>
        <w:pStyle w:val="8"/>
        <w:rPr>
          <w:rFonts w:hint="eastAsia"/>
          <w:color w:val="auto"/>
        </w:rPr>
      </w:pPr>
      <w:r>
        <w:rPr>
          <w:rFonts w:hint="eastAsia"/>
          <w:color w:val="auto"/>
          <w:lang w:val="en-US" w:eastAsia="zh-CN"/>
        </w:rPr>
        <w:t>c）</w:t>
      </w:r>
      <w:r>
        <w:rPr>
          <w:rFonts w:hint="eastAsia"/>
          <w:color w:val="auto"/>
        </w:rPr>
        <w:t>突出重点</w:t>
      </w:r>
    </w:p>
    <w:p>
      <w:pPr>
        <w:pStyle w:val="8"/>
        <w:rPr>
          <w:rFonts w:hint="eastAsia"/>
          <w:color w:val="auto"/>
        </w:rPr>
      </w:pPr>
      <w:r>
        <w:rPr>
          <w:rFonts w:hint="eastAsia"/>
          <w:color w:val="auto"/>
        </w:rPr>
        <w:t>根据建设项目的工程内容及其特点，明确与环境要素间的作用效应关系，根据规划环境影响评价结论和审查意见，充分利用符合时效的数据资料及成果，对建设项目主要环境影响予以重点分析和评价。</w:t>
      </w:r>
    </w:p>
    <w:p>
      <w:pPr>
        <w:pStyle w:val="4"/>
      </w:pPr>
      <w:bookmarkStart w:id="15" w:name="_Toc23382"/>
      <w:bookmarkStart w:id="16" w:name="_Toc346282437"/>
      <w:r>
        <w:rPr>
          <w:rFonts w:hint="eastAsia"/>
          <w:lang w:eastAsia="zh-CN"/>
        </w:rPr>
        <w:t>编制</w:t>
      </w:r>
      <w:r>
        <w:t>依据</w:t>
      </w:r>
      <w:bookmarkEnd w:id="15"/>
      <w:bookmarkEnd w:id="16"/>
    </w:p>
    <w:p>
      <w:pPr>
        <w:pStyle w:val="5"/>
        <w:ind w:firstLine="562"/>
      </w:pPr>
      <w:r>
        <w:t>国家法律、法规、政策文件</w:t>
      </w:r>
    </w:p>
    <w:p>
      <w:pPr>
        <w:pStyle w:val="8"/>
        <w:jc w:val="left"/>
      </w:pPr>
      <w:r>
        <w:rPr>
          <w:rFonts w:hint="eastAsia"/>
        </w:rPr>
        <w:t>（1）《中华人民共和国环境保护法》（2015年1月1日实施）；</w:t>
      </w:r>
    </w:p>
    <w:p>
      <w:pPr>
        <w:pStyle w:val="8"/>
        <w:jc w:val="left"/>
      </w:pPr>
      <w:r>
        <w:rPr>
          <w:rFonts w:hint="eastAsia"/>
        </w:rPr>
        <w:t>（2）《中华人民共和国水污染防治法》（20</w:t>
      </w:r>
      <w:r>
        <w:t>18</w:t>
      </w:r>
      <w:r>
        <w:rPr>
          <w:rFonts w:hint="eastAsia"/>
        </w:rPr>
        <w:t>年</w:t>
      </w:r>
      <w:r>
        <w:t>1</w:t>
      </w:r>
      <w:r>
        <w:rPr>
          <w:rFonts w:hint="eastAsia"/>
        </w:rPr>
        <w:t>月1日实施）；</w:t>
      </w:r>
    </w:p>
    <w:p>
      <w:pPr>
        <w:pStyle w:val="8"/>
        <w:jc w:val="left"/>
      </w:pPr>
      <w:r>
        <w:rPr>
          <w:rFonts w:hint="eastAsia"/>
        </w:rPr>
        <w:t>（3）《中华人民共和国大气污染防治法》（2018年10月26日实施）；</w:t>
      </w:r>
    </w:p>
    <w:p>
      <w:pPr>
        <w:pStyle w:val="8"/>
        <w:jc w:val="left"/>
      </w:pPr>
      <w:r>
        <w:rPr>
          <w:rFonts w:hint="eastAsia"/>
        </w:rPr>
        <w:t>（4）《中华人民共和国环境噪声污染防治法》（</w:t>
      </w:r>
      <w:r>
        <w:t>2018</w:t>
      </w:r>
      <w:r>
        <w:rPr>
          <w:rFonts w:hint="eastAsia"/>
        </w:rPr>
        <w:t>年</w:t>
      </w:r>
      <w:r>
        <w:t>12</w:t>
      </w:r>
      <w:r>
        <w:rPr>
          <w:rFonts w:hint="eastAsia"/>
        </w:rPr>
        <w:t>月</w:t>
      </w:r>
      <w:r>
        <w:t>29</w:t>
      </w:r>
      <w:r>
        <w:rPr>
          <w:rFonts w:hint="eastAsia"/>
        </w:rPr>
        <w:t>日修订）；</w:t>
      </w:r>
    </w:p>
    <w:p>
      <w:pPr>
        <w:pStyle w:val="8"/>
        <w:jc w:val="left"/>
      </w:pPr>
      <w:r>
        <w:rPr>
          <w:rFonts w:hint="eastAsia"/>
        </w:rPr>
        <w:t>（5）《中华人民共和国固体废物污染环境防治法》（2</w:t>
      </w:r>
      <w:r>
        <w:rPr>
          <w:rFonts w:hint="eastAsia"/>
          <w:lang w:val="en-US" w:eastAsia="zh-CN"/>
        </w:rPr>
        <w:t>020</w:t>
      </w:r>
      <w:r>
        <w:rPr>
          <w:rFonts w:hint="eastAsia"/>
        </w:rPr>
        <w:t>年</w:t>
      </w:r>
      <w:r>
        <w:rPr>
          <w:rFonts w:hint="eastAsia"/>
          <w:lang w:val="en-US" w:eastAsia="zh-CN"/>
        </w:rPr>
        <w:t>4</w:t>
      </w:r>
      <w:r>
        <w:rPr>
          <w:rFonts w:hint="eastAsia"/>
        </w:rPr>
        <w:t>月</w:t>
      </w:r>
      <w:r>
        <w:rPr>
          <w:rFonts w:hint="eastAsia"/>
          <w:lang w:val="en-US" w:eastAsia="zh-CN"/>
        </w:rPr>
        <w:t>29</w:t>
      </w:r>
      <w:r>
        <w:rPr>
          <w:rFonts w:hint="eastAsia"/>
        </w:rPr>
        <w:t>日修订</w:t>
      </w:r>
      <w:r>
        <w:rPr>
          <w:rFonts w:hint="eastAsia"/>
          <w:lang w:val="en-US" w:eastAsia="zh-CN"/>
        </w:rPr>
        <w:t>,2020年9月1日起施行</w:t>
      </w:r>
      <w:r>
        <w:rPr>
          <w:rFonts w:hint="eastAsia"/>
        </w:rPr>
        <w:t>）；</w:t>
      </w:r>
    </w:p>
    <w:p>
      <w:pPr>
        <w:pStyle w:val="8"/>
        <w:jc w:val="left"/>
      </w:pPr>
      <w:r>
        <w:rPr>
          <w:rFonts w:hint="eastAsia"/>
        </w:rPr>
        <w:t>（6）《中华人民共和国清洁生产促进法》（2013年1月1日修订实施）；</w:t>
      </w:r>
    </w:p>
    <w:p>
      <w:pPr>
        <w:pStyle w:val="8"/>
        <w:jc w:val="left"/>
      </w:pPr>
      <w:r>
        <w:rPr>
          <w:rFonts w:hint="eastAsia"/>
        </w:rPr>
        <w:t>（7）《中华人民共和国循环经济促进法》（20</w:t>
      </w:r>
      <w:r>
        <w:rPr>
          <w:rFonts w:hint="eastAsia"/>
          <w:lang w:val="en-US" w:eastAsia="zh-CN"/>
        </w:rPr>
        <w:t>18</w:t>
      </w:r>
      <w:r>
        <w:rPr>
          <w:rFonts w:hint="eastAsia"/>
        </w:rPr>
        <w:t>年</w:t>
      </w:r>
      <w:r>
        <w:rPr>
          <w:rFonts w:hint="eastAsia"/>
          <w:lang w:val="en-US" w:eastAsia="zh-CN"/>
        </w:rPr>
        <w:t>10</w:t>
      </w:r>
      <w:r>
        <w:rPr>
          <w:rFonts w:hint="eastAsia"/>
        </w:rPr>
        <w:t>月</w:t>
      </w:r>
      <w:r>
        <w:rPr>
          <w:rFonts w:hint="eastAsia"/>
          <w:lang w:val="en-US" w:eastAsia="zh-CN"/>
        </w:rPr>
        <w:t>26</w:t>
      </w:r>
      <w:r>
        <w:rPr>
          <w:rFonts w:hint="eastAsia"/>
        </w:rPr>
        <w:t>日</w:t>
      </w:r>
      <w:r>
        <w:rPr>
          <w:rFonts w:hint="eastAsia"/>
          <w:lang w:eastAsia="zh-CN"/>
        </w:rPr>
        <w:t>修订实施</w:t>
      </w:r>
      <w:r>
        <w:rPr>
          <w:rFonts w:hint="eastAsia"/>
        </w:rPr>
        <w:t>）；</w:t>
      </w:r>
    </w:p>
    <w:p>
      <w:pPr>
        <w:pStyle w:val="8"/>
        <w:jc w:val="left"/>
      </w:pPr>
      <w:r>
        <w:rPr>
          <w:rFonts w:hint="eastAsia"/>
        </w:rPr>
        <w:t>（8）《中华人民共和国水土保持法》（2011年3月1日施）；</w:t>
      </w:r>
    </w:p>
    <w:p>
      <w:pPr>
        <w:pStyle w:val="8"/>
        <w:jc w:val="left"/>
      </w:pPr>
      <w:r>
        <w:rPr>
          <w:rFonts w:hint="eastAsia"/>
        </w:rPr>
        <w:t>（9）《中华人民共和国环境影响评价法》（201</w:t>
      </w:r>
      <w:r>
        <w:rPr>
          <w:rFonts w:hint="eastAsia"/>
          <w:lang w:val="en-US" w:eastAsia="zh-CN"/>
        </w:rPr>
        <w:t>8</w:t>
      </w:r>
      <w:r>
        <w:rPr>
          <w:rFonts w:hint="eastAsia"/>
        </w:rPr>
        <w:t>年</w:t>
      </w:r>
      <w:r>
        <w:rPr>
          <w:rFonts w:hint="eastAsia"/>
          <w:lang w:val="en-US" w:eastAsia="zh-CN"/>
        </w:rPr>
        <w:t>12</w:t>
      </w:r>
      <w:r>
        <w:rPr>
          <w:rFonts w:hint="eastAsia"/>
        </w:rPr>
        <w:t>月</w:t>
      </w:r>
      <w:r>
        <w:rPr>
          <w:rFonts w:hint="eastAsia"/>
          <w:lang w:val="en-US" w:eastAsia="zh-CN"/>
        </w:rPr>
        <w:t>29</w:t>
      </w:r>
      <w:r>
        <w:rPr>
          <w:rFonts w:hint="eastAsia"/>
        </w:rPr>
        <w:t>日修</w:t>
      </w:r>
      <w:r>
        <w:t>订</w:t>
      </w:r>
      <w:r>
        <w:rPr>
          <w:rFonts w:hint="eastAsia"/>
        </w:rPr>
        <w:t>）；</w:t>
      </w:r>
    </w:p>
    <w:p>
      <w:pPr>
        <w:pStyle w:val="8"/>
        <w:jc w:val="left"/>
      </w:pPr>
      <w:r>
        <w:rPr>
          <w:rFonts w:hint="eastAsia"/>
        </w:rPr>
        <w:t>（10）《中</w:t>
      </w:r>
      <w:r>
        <w:rPr>
          <w:rFonts w:hint="eastAsia"/>
          <w:lang w:eastAsia="zh-CN"/>
        </w:rPr>
        <w:t>华</w:t>
      </w:r>
      <w:r>
        <w:rPr>
          <w:rFonts w:hint="eastAsia"/>
        </w:rPr>
        <w:t>人民共和国畜牧法（2015年</w:t>
      </w:r>
      <w:r>
        <w:rPr>
          <w:rFonts w:hint="eastAsia"/>
          <w:lang w:val="en-US" w:eastAsia="zh-CN"/>
        </w:rPr>
        <w:t>4月24日</w:t>
      </w:r>
      <w:r>
        <w:rPr>
          <w:rFonts w:hint="eastAsia"/>
        </w:rPr>
        <w:t>修正</w:t>
      </w:r>
      <w:r>
        <w:rPr>
          <w:rFonts w:hint="eastAsia"/>
          <w:lang w:eastAsia="zh-CN"/>
        </w:rPr>
        <w:t>版</w:t>
      </w:r>
      <w:r>
        <w:rPr>
          <w:rFonts w:hint="eastAsia"/>
        </w:rPr>
        <w:t>）》；</w:t>
      </w:r>
    </w:p>
    <w:p>
      <w:pPr>
        <w:pStyle w:val="8"/>
        <w:jc w:val="left"/>
      </w:pPr>
      <w:r>
        <w:rPr>
          <w:rFonts w:hint="eastAsia"/>
        </w:rPr>
        <w:t>（11）《中</w:t>
      </w:r>
      <w:r>
        <w:rPr>
          <w:rFonts w:hint="eastAsia"/>
          <w:lang w:eastAsia="zh-CN"/>
        </w:rPr>
        <w:t>华</w:t>
      </w:r>
      <w:r>
        <w:rPr>
          <w:rFonts w:hint="eastAsia"/>
        </w:rPr>
        <w:t>人民共和国畜传染病防治法（2013年修正）》，2004年12月1日施行；</w:t>
      </w:r>
    </w:p>
    <w:p>
      <w:pPr>
        <w:pStyle w:val="8"/>
        <w:jc w:val="left"/>
      </w:pPr>
      <w:r>
        <w:rPr>
          <w:rFonts w:hint="eastAsia"/>
        </w:rPr>
        <w:t>（12）《中</w:t>
      </w:r>
      <w:r>
        <w:rPr>
          <w:rFonts w:hint="eastAsia"/>
          <w:lang w:eastAsia="zh-CN"/>
        </w:rPr>
        <w:t>华</w:t>
      </w:r>
      <w:r>
        <w:rPr>
          <w:rFonts w:hint="eastAsia"/>
        </w:rPr>
        <w:t>人民共和国动物防疫法（2015年修正）》，2008年1月1日施行；</w:t>
      </w:r>
    </w:p>
    <w:p>
      <w:pPr>
        <w:pStyle w:val="8"/>
        <w:jc w:val="left"/>
      </w:pPr>
      <w:r>
        <w:rPr>
          <w:rFonts w:hint="eastAsia"/>
        </w:rPr>
        <w:t>（13）《国务院关于落实科学发展观加强环境保护的决定》(国发</w:t>
      </w:r>
      <w:r>
        <w:rPr>
          <w:rFonts w:hint="eastAsia" w:ascii="宋体" w:hAnsi="宋体" w:eastAsia="宋体" w:cs="宋体"/>
        </w:rPr>
        <w:t>〔</w:t>
      </w:r>
      <w:r>
        <w:rPr>
          <w:rFonts w:hint="eastAsia"/>
        </w:rPr>
        <w:t>2005</w:t>
      </w:r>
      <w:r>
        <w:rPr>
          <w:rFonts w:hint="eastAsia" w:ascii="宋体" w:hAnsi="宋体" w:eastAsia="宋体" w:cs="宋体"/>
        </w:rPr>
        <w:t>〕</w:t>
      </w:r>
      <w:r>
        <w:rPr>
          <w:rFonts w:hint="eastAsia"/>
        </w:rPr>
        <w:t>39号)；</w:t>
      </w:r>
    </w:p>
    <w:p>
      <w:pPr>
        <w:pStyle w:val="8"/>
        <w:jc w:val="left"/>
      </w:pPr>
      <w:r>
        <w:rPr>
          <w:rFonts w:hint="eastAsia"/>
        </w:rPr>
        <w:t>（14）《环境影响评价公众参与办法》（部令第4号）；</w:t>
      </w:r>
    </w:p>
    <w:p>
      <w:pPr>
        <w:pStyle w:val="8"/>
        <w:jc w:val="left"/>
      </w:pPr>
      <w:r>
        <w:rPr>
          <w:rFonts w:hint="eastAsia"/>
        </w:rPr>
        <w:t>（15）《关于进一步做好规划环境影响评价工作的通知》(环办</w:t>
      </w:r>
      <w:r>
        <w:rPr>
          <w:rFonts w:hint="eastAsia" w:ascii="宋体" w:hAnsi="宋体" w:eastAsia="宋体" w:cs="宋体"/>
        </w:rPr>
        <w:t>〔</w:t>
      </w:r>
      <w:r>
        <w:rPr>
          <w:rFonts w:hint="eastAsia"/>
        </w:rPr>
        <w:t>2006</w:t>
      </w:r>
      <w:r>
        <w:rPr>
          <w:rFonts w:hint="eastAsia" w:ascii="宋体" w:hAnsi="宋体" w:eastAsia="宋体" w:cs="宋体"/>
        </w:rPr>
        <w:t>〕</w:t>
      </w:r>
      <w:r>
        <w:rPr>
          <w:rFonts w:hint="eastAsia"/>
        </w:rPr>
        <w:t>109号)；</w:t>
      </w:r>
    </w:p>
    <w:p>
      <w:pPr>
        <w:pStyle w:val="8"/>
        <w:jc w:val="left"/>
      </w:pPr>
      <w:r>
        <w:rPr>
          <w:rFonts w:hint="eastAsia"/>
        </w:rPr>
        <w:t>（16）《关于进一步加强畜禽养殖污染防治工作的通知》，环水体</w:t>
      </w:r>
      <w:r>
        <w:rPr>
          <w:rFonts w:hint="eastAsia" w:ascii="宋体" w:hAnsi="宋体" w:eastAsia="宋体" w:cs="宋体"/>
        </w:rPr>
        <w:t>〔</w:t>
      </w:r>
      <w:r>
        <w:rPr>
          <w:rFonts w:hint="eastAsia"/>
        </w:rPr>
        <w:t>2016</w:t>
      </w:r>
      <w:r>
        <w:rPr>
          <w:rFonts w:hint="eastAsia" w:ascii="宋体" w:hAnsi="宋体" w:eastAsia="宋体" w:cs="宋体"/>
        </w:rPr>
        <w:t>〕</w:t>
      </w:r>
      <w:r>
        <w:rPr>
          <w:rFonts w:hint="eastAsia"/>
        </w:rPr>
        <w:t>144号；</w:t>
      </w:r>
    </w:p>
    <w:p>
      <w:pPr>
        <w:pStyle w:val="8"/>
        <w:jc w:val="left"/>
      </w:pPr>
      <w:r>
        <w:rPr>
          <w:rFonts w:hint="eastAsia"/>
        </w:rPr>
        <w:t>（17）《产业结构调整指导目录（201</w:t>
      </w:r>
      <w:r>
        <w:rPr>
          <w:rFonts w:hint="eastAsia"/>
          <w:lang w:val="en-US" w:eastAsia="zh-CN"/>
        </w:rPr>
        <w:t>9</w:t>
      </w:r>
      <w:r>
        <w:rPr>
          <w:rFonts w:hint="eastAsia"/>
        </w:rPr>
        <w:t>年本）》；</w:t>
      </w:r>
    </w:p>
    <w:p>
      <w:pPr>
        <w:pStyle w:val="8"/>
        <w:jc w:val="left"/>
      </w:pPr>
      <w:r>
        <w:rPr>
          <w:rFonts w:hint="eastAsia"/>
        </w:rPr>
        <w:t>（</w:t>
      </w:r>
      <w:r>
        <w:rPr>
          <w:rFonts w:hint="eastAsia"/>
          <w:lang w:val="en-US" w:eastAsia="zh-CN"/>
        </w:rPr>
        <w:t>18</w:t>
      </w:r>
      <w:r>
        <w:rPr>
          <w:rFonts w:hint="eastAsia"/>
        </w:rPr>
        <w:t>）《畜禽养殖污染防治管理办法》，2001年5月8日施行；</w:t>
      </w:r>
    </w:p>
    <w:p>
      <w:pPr>
        <w:pStyle w:val="8"/>
        <w:jc w:val="left"/>
      </w:pPr>
      <w:r>
        <w:rPr>
          <w:rFonts w:hint="eastAsia"/>
        </w:rPr>
        <w:t>（</w:t>
      </w:r>
      <w:r>
        <w:rPr>
          <w:rFonts w:hint="eastAsia"/>
          <w:lang w:val="en-US" w:eastAsia="zh-CN"/>
        </w:rPr>
        <w:t>19</w:t>
      </w:r>
      <w:r>
        <w:rPr>
          <w:rFonts w:hint="eastAsia"/>
        </w:rPr>
        <w:t>）《畜禽养殖业污染防治技术政策》，环发</w:t>
      </w:r>
      <w:r>
        <w:rPr>
          <w:rFonts w:hint="eastAsia" w:ascii="宋体" w:hAnsi="宋体" w:eastAsia="宋体" w:cs="宋体"/>
        </w:rPr>
        <w:t>〔</w:t>
      </w:r>
      <w:r>
        <w:rPr>
          <w:rFonts w:hint="eastAsia"/>
        </w:rPr>
        <w:t>2010</w:t>
      </w:r>
      <w:r>
        <w:rPr>
          <w:rFonts w:hint="eastAsia" w:ascii="宋体" w:hAnsi="宋体" w:eastAsia="宋体" w:cs="宋体"/>
        </w:rPr>
        <w:t>〕</w:t>
      </w:r>
      <w:r>
        <w:rPr>
          <w:rFonts w:hint="eastAsia"/>
        </w:rPr>
        <w:t>151号；</w:t>
      </w:r>
    </w:p>
    <w:p>
      <w:pPr>
        <w:pStyle w:val="8"/>
        <w:jc w:val="left"/>
      </w:pPr>
      <w:r>
        <w:rPr>
          <w:rFonts w:hint="eastAsia"/>
        </w:rPr>
        <w:t>（</w:t>
      </w:r>
      <w:r>
        <w:rPr>
          <w:rFonts w:hint="eastAsia"/>
          <w:lang w:val="en-US" w:eastAsia="zh-CN"/>
        </w:rPr>
        <w:t>20</w:t>
      </w:r>
      <w:r>
        <w:rPr>
          <w:rFonts w:hint="eastAsia"/>
        </w:rPr>
        <w:t>）《关于进一步加强环境影响评价管理防范环境风险的通知》(环发[2012]77号)；</w:t>
      </w:r>
    </w:p>
    <w:p>
      <w:pPr>
        <w:pStyle w:val="8"/>
        <w:jc w:val="left"/>
        <w:rPr>
          <w:rFonts w:hint="eastAsia" w:eastAsia="宋体"/>
          <w:lang w:eastAsia="zh-CN"/>
        </w:rPr>
      </w:pPr>
      <w:r>
        <w:rPr>
          <w:rFonts w:hint="eastAsia"/>
        </w:rPr>
        <w:t>（</w:t>
      </w:r>
      <w:r>
        <w:rPr>
          <w:rFonts w:hint="eastAsia"/>
          <w:lang w:val="en-US" w:eastAsia="zh-CN"/>
        </w:rPr>
        <w:t>21</w:t>
      </w:r>
      <w:r>
        <w:rPr>
          <w:rFonts w:hint="eastAsia"/>
        </w:rPr>
        <w:t>）《关于落实大气污染防治行动计划严格环境影响评价准入的通知》(环办[2014]30号)</w:t>
      </w:r>
      <w:r>
        <w:rPr>
          <w:rFonts w:hint="eastAsia"/>
          <w:lang w:eastAsia="zh-CN"/>
        </w:rPr>
        <w:t>；</w:t>
      </w:r>
    </w:p>
    <w:p>
      <w:pPr>
        <w:pStyle w:val="8"/>
        <w:jc w:val="left"/>
      </w:pPr>
      <w:r>
        <w:rPr>
          <w:rFonts w:hint="eastAsia"/>
        </w:rPr>
        <w:t>（</w:t>
      </w:r>
      <w:r>
        <w:rPr>
          <w:rFonts w:hint="eastAsia"/>
          <w:lang w:val="en-US" w:eastAsia="zh-CN"/>
        </w:rPr>
        <w:t>22</w:t>
      </w:r>
      <w:r>
        <w:rPr>
          <w:rFonts w:hint="eastAsia"/>
        </w:rPr>
        <w:t>）《家畜家禽防疫条例实施细则》，1992年4月8日；</w:t>
      </w:r>
    </w:p>
    <w:p>
      <w:pPr>
        <w:pStyle w:val="8"/>
        <w:jc w:val="left"/>
      </w:pPr>
      <w:r>
        <w:rPr>
          <w:rFonts w:hint="eastAsia"/>
        </w:rPr>
        <w:t>（</w:t>
      </w:r>
      <w:r>
        <w:rPr>
          <w:rFonts w:hint="eastAsia"/>
          <w:lang w:val="en-US" w:eastAsia="zh-CN"/>
        </w:rPr>
        <w:t>23</w:t>
      </w:r>
      <w:r>
        <w:rPr>
          <w:rFonts w:hint="eastAsia"/>
        </w:rPr>
        <w:t>）《饲料和饲料添加剂管理条例》，2017年3月1日修订；</w:t>
      </w:r>
    </w:p>
    <w:p>
      <w:pPr>
        <w:pStyle w:val="8"/>
        <w:jc w:val="left"/>
      </w:pPr>
      <w:r>
        <w:rPr>
          <w:rFonts w:hint="eastAsia"/>
        </w:rPr>
        <w:t>（</w:t>
      </w:r>
      <w:r>
        <w:rPr>
          <w:rFonts w:hint="eastAsia"/>
          <w:lang w:val="en-US" w:eastAsia="zh-CN"/>
        </w:rPr>
        <w:t>24</w:t>
      </w:r>
      <w:r>
        <w:rPr>
          <w:rFonts w:hint="eastAsia"/>
        </w:rPr>
        <w:t>）《国务院关于印发大气污染防治行动计划的通知》（国发</w:t>
      </w:r>
      <w:r>
        <w:rPr>
          <w:rFonts w:hint="eastAsia" w:ascii="宋体" w:hAnsi="宋体" w:eastAsia="宋体" w:cs="宋体"/>
        </w:rPr>
        <w:t>〔</w:t>
      </w:r>
      <w:r>
        <w:rPr>
          <w:rFonts w:hint="eastAsia"/>
        </w:rPr>
        <w:t>2013</w:t>
      </w:r>
      <w:r>
        <w:rPr>
          <w:rFonts w:hint="eastAsia" w:ascii="宋体" w:hAnsi="宋体" w:eastAsia="宋体" w:cs="宋体"/>
        </w:rPr>
        <w:t>〕</w:t>
      </w:r>
      <w:r>
        <w:rPr>
          <w:rFonts w:hint="eastAsia"/>
        </w:rPr>
        <w:t>37号）；</w:t>
      </w:r>
    </w:p>
    <w:p>
      <w:pPr>
        <w:pStyle w:val="8"/>
        <w:jc w:val="left"/>
      </w:pPr>
      <w:r>
        <w:rPr>
          <w:rFonts w:hint="eastAsia"/>
        </w:rPr>
        <w:t>（2</w:t>
      </w:r>
      <w:r>
        <w:rPr>
          <w:rFonts w:hint="eastAsia"/>
          <w:lang w:val="en-US" w:eastAsia="zh-CN"/>
        </w:rPr>
        <w:t>5</w:t>
      </w:r>
      <w:r>
        <w:rPr>
          <w:rFonts w:hint="eastAsia"/>
        </w:rPr>
        <w:t>）《国务院关于印发水污染防治行动计划的通知》（国发</w:t>
      </w:r>
      <w:r>
        <w:rPr>
          <w:rFonts w:hint="eastAsia" w:ascii="宋体" w:hAnsi="宋体" w:eastAsia="宋体" w:cs="宋体"/>
        </w:rPr>
        <w:t>〔</w:t>
      </w:r>
      <w:r>
        <w:rPr>
          <w:rFonts w:hint="eastAsia"/>
        </w:rPr>
        <w:t>2015</w:t>
      </w:r>
      <w:r>
        <w:rPr>
          <w:rFonts w:hint="eastAsia" w:ascii="宋体" w:hAnsi="宋体" w:eastAsia="宋体" w:cs="宋体"/>
        </w:rPr>
        <w:t>〕</w:t>
      </w:r>
      <w:r>
        <w:rPr>
          <w:rFonts w:hint="eastAsia"/>
        </w:rPr>
        <w:t>17号）；</w:t>
      </w:r>
    </w:p>
    <w:p>
      <w:pPr>
        <w:pStyle w:val="8"/>
        <w:jc w:val="left"/>
        <w:rPr>
          <w:rFonts w:hint="eastAsia"/>
        </w:rPr>
      </w:pPr>
      <w:r>
        <w:rPr>
          <w:rFonts w:hint="eastAsia"/>
        </w:rPr>
        <w:t>（2</w:t>
      </w:r>
      <w:r>
        <w:rPr>
          <w:rFonts w:hint="eastAsia"/>
          <w:lang w:val="en-US" w:eastAsia="zh-CN"/>
        </w:rPr>
        <w:t>6</w:t>
      </w:r>
      <w:r>
        <w:rPr>
          <w:rFonts w:hint="eastAsia"/>
        </w:rPr>
        <w:t>）《国务院关于印发土壤污染防治行动计划的通知》（国发</w:t>
      </w:r>
      <w:r>
        <w:rPr>
          <w:rFonts w:hint="eastAsia" w:ascii="宋体" w:hAnsi="宋体" w:eastAsia="宋体" w:cs="宋体"/>
        </w:rPr>
        <w:t>〔</w:t>
      </w:r>
      <w:r>
        <w:rPr>
          <w:rFonts w:hint="eastAsia"/>
        </w:rPr>
        <w:t>2016</w:t>
      </w:r>
      <w:r>
        <w:rPr>
          <w:rFonts w:hint="eastAsia" w:ascii="宋体" w:hAnsi="宋体" w:eastAsia="宋体" w:cs="宋体"/>
        </w:rPr>
        <w:t>〕</w:t>
      </w:r>
      <w:r>
        <w:rPr>
          <w:rFonts w:hint="eastAsia"/>
        </w:rPr>
        <w:t>3号）；</w:t>
      </w:r>
    </w:p>
    <w:p>
      <w:pPr>
        <w:pStyle w:val="8"/>
        <w:jc w:val="left"/>
        <w:rPr>
          <w:rFonts w:hint="eastAsia"/>
        </w:rPr>
      </w:pPr>
      <w:r>
        <w:rPr>
          <w:rFonts w:hint="eastAsia"/>
          <w:lang w:eastAsia="zh-CN"/>
        </w:rPr>
        <w:t>（</w:t>
      </w:r>
      <w:r>
        <w:rPr>
          <w:rFonts w:hint="eastAsia"/>
          <w:lang w:val="en-US" w:eastAsia="zh-CN"/>
        </w:rPr>
        <w:t>27</w:t>
      </w:r>
      <w:r>
        <w:rPr>
          <w:rFonts w:hint="eastAsia"/>
          <w:lang w:eastAsia="zh-CN"/>
        </w:rPr>
        <w:t>）</w:t>
      </w:r>
      <w:r>
        <w:rPr>
          <w:rFonts w:hint="eastAsia"/>
        </w:rPr>
        <w:t>《关于印发&lt;病死及死因不明动物处置办法(试行)&gt;的通知》（农医发</w:t>
      </w:r>
      <w:r>
        <w:rPr>
          <w:rFonts w:hint="eastAsia" w:ascii="宋体" w:hAnsi="宋体" w:eastAsia="宋体" w:cs="宋体"/>
        </w:rPr>
        <w:t>〔</w:t>
      </w:r>
      <w:r>
        <w:rPr>
          <w:rFonts w:hint="eastAsia"/>
        </w:rPr>
        <w:t>2005</w:t>
      </w:r>
      <w:r>
        <w:rPr>
          <w:rFonts w:hint="eastAsia" w:ascii="宋体" w:hAnsi="宋体" w:eastAsia="宋体" w:cs="宋体"/>
        </w:rPr>
        <w:t>〕</w:t>
      </w:r>
      <w:r>
        <w:rPr>
          <w:rFonts w:hint="eastAsia"/>
        </w:rPr>
        <w:t>25号）；</w:t>
      </w:r>
    </w:p>
    <w:p>
      <w:pPr>
        <w:pStyle w:val="8"/>
        <w:jc w:val="left"/>
        <w:rPr>
          <w:rFonts w:hint="eastAsia"/>
        </w:rPr>
      </w:pPr>
      <w:r>
        <w:rPr>
          <w:rFonts w:hint="eastAsia"/>
          <w:lang w:eastAsia="zh-CN"/>
        </w:rPr>
        <w:t>（</w:t>
      </w:r>
      <w:r>
        <w:rPr>
          <w:rFonts w:hint="eastAsia"/>
          <w:lang w:val="en-US" w:eastAsia="zh-CN"/>
        </w:rPr>
        <w:t>28</w:t>
      </w:r>
      <w:r>
        <w:rPr>
          <w:rFonts w:hint="eastAsia"/>
          <w:lang w:eastAsia="zh-CN"/>
        </w:rPr>
        <w:t>）</w:t>
      </w:r>
      <w:r>
        <w:rPr>
          <w:rFonts w:hint="eastAsia"/>
        </w:rPr>
        <w:t>《危险废物污染防治技术政策》（环发</w:t>
      </w:r>
      <w:r>
        <w:rPr>
          <w:rFonts w:hint="eastAsia" w:ascii="宋体" w:hAnsi="宋体" w:eastAsia="宋体" w:cs="宋体"/>
        </w:rPr>
        <w:t>〔</w:t>
      </w:r>
      <w:r>
        <w:rPr>
          <w:rFonts w:hint="eastAsia"/>
        </w:rPr>
        <w:t>2001</w:t>
      </w:r>
      <w:r>
        <w:rPr>
          <w:rFonts w:hint="eastAsia" w:ascii="宋体" w:hAnsi="宋体" w:eastAsia="宋体" w:cs="宋体"/>
        </w:rPr>
        <w:t>〕</w:t>
      </w:r>
      <w:r>
        <w:rPr>
          <w:rFonts w:hint="eastAsia"/>
        </w:rPr>
        <w:t>199 号）；</w:t>
      </w:r>
    </w:p>
    <w:p>
      <w:pPr>
        <w:pStyle w:val="8"/>
        <w:jc w:val="left"/>
        <w:rPr>
          <w:rFonts w:hint="eastAsia"/>
        </w:rPr>
      </w:pPr>
      <w:r>
        <w:rPr>
          <w:rFonts w:hint="eastAsia"/>
          <w:lang w:eastAsia="zh-CN"/>
        </w:rPr>
        <w:t>（</w:t>
      </w:r>
      <w:r>
        <w:rPr>
          <w:rFonts w:hint="eastAsia"/>
          <w:lang w:val="en-US" w:eastAsia="zh-CN"/>
        </w:rPr>
        <w:t>29</w:t>
      </w:r>
      <w:r>
        <w:rPr>
          <w:rFonts w:hint="eastAsia"/>
          <w:lang w:eastAsia="zh-CN"/>
        </w:rPr>
        <w:t>）</w:t>
      </w:r>
      <w:r>
        <w:rPr>
          <w:rFonts w:hint="eastAsia"/>
        </w:rPr>
        <w:t>《国家危险废物名录》，2016年8月1日施行；</w:t>
      </w:r>
    </w:p>
    <w:p>
      <w:pPr>
        <w:pStyle w:val="8"/>
        <w:jc w:val="left"/>
        <w:rPr>
          <w:rFonts w:hint="eastAsia" w:eastAsia="宋体"/>
          <w:lang w:eastAsia="zh-CN"/>
        </w:rPr>
      </w:pPr>
      <w:r>
        <w:rPr>
          <w:rFonts w:hint="eastAsia"/>
          <w:lang w:eastAsia="zh-CN"/>
        </w:rPr>
        <w:t>（</w:t>
      </w:r>
      <w:r>
        <w:rPr>
          <w:rFonts w:hint="eastAsia"/>
          <w:lang w:val="en-US" w:eastAsia="zh-CN"/>
        </w:rPr>
        <w:t>30</w:t>
      </w:r>
      <w:r>
        <w:rPr>
          <w:rFonts w:hint="eastAsia"/>
          <w:lang w:eastAsia="zh-CN"/>
        </w:rPr>
        <w:t>）</w:t>
      </w:r>
      <w:r>
        <w:rPr>
          <w:rFonts w:hint="eastAsia"/>
        </w:rPr>
        <w:t>《危险废物转移联单管理办法》，国家环境保护总局，1999年6月22日</w:t>
      </w:r>
      <w:r>
        <w:rPr>
          <w:rFonts w:hint="eastAsia"/>
          <w:lang w:eastAsia="zh-CN"/>
        </w:rPr>
        <w:t>；</w:t>
      </w:r>
    </w:p>
    <w:p>
      <w:pPr>
        <w:pStyle w:val="8"/>
        <w:jc w:val="left"/>
        <w:rPr>
          <w:rFonts w:hint="eastAsia" w:eastAsia="宋体"/>
          <w:lang w:eastAsia="zh-CN"/>
        </w:rPr>
      </w:pPr>
      <w:r>
        <w:rPr>
          <w:rFonts w:hint="eastAsia"/>
          <w:lang w:eastAsia="zh-CN"/>
        </w:rPr>
        <w:t>（</w:t>
      </w:r>
      <w:r>
        <w:rPr>
          <w:rFonts w:hint="eastAsia"/>
          <w:lang w:val="en-US" w:eastAsia="zh-CN"/>
        </w:rPr>
        <w:t>31</w:t>
      </w:r>
      <w:r>
        <w:rPr>
          <w:rFonts w:hint="eastAsia"/>
          <w:lang w:eastAsia="zh-CN"/>
        </w:rPr>
        <w:t>）</w:t>
      </w:r>
      <w:r>
        <w:rPr>
          <w:rFonts w:hint="eastAsia"/>
        </w:rPr>
        <w:t>《市场准入负面清单（2019年版）》，2019年1月1号起施行</w:t>
      </w:r>
      <w:r>
        <w:rPr>
          <w:rFonts w:hint="eastAsia"/>
          <w:lang w:eastAsia="zh-CN"/>
        </w:rPr>
        <w:t>；</w:t>
      </w:r>
    </w:p>
    <w:p>
      <w:pPr>
        <w:pStyle w:val="8"/>
        <w:jc w:val="left"/>
        <w:rPr>
          <w:rFonts w:hint="eastAsia"/>
        </w:rPr>
      </w:pPr>
      <w:r>
        <w:rPr>
          <w:rFonts w:hint="eastAsia"/>
          <w:lang w:eastAsia="zh-CN"/>
        </w:rPr>
        <w:t>（</w:t>
      </w:r>
      <w:r>
        <w:rPr>
          <w:rFonts w:hint="eastAsia"/>
          <w:lang w:val="en-US" w:eastAsia="zh-CN"/>
        </w:rPr>
        <w:t>32</w:t>
      </w:r>
      <w:r>
        <w:rPr>
          <w:rFonts w:hint="eastAsia"/>
          <w:lang w:eastAsia="zh-CN"/>
        </w:rPr>
        <w:t>）</w:t>
      </w:r>
      <w:r>
        <w:rPr>
          <w:rFonts w:hint="eastAsia"/>
        </w:rPr>
        <w:t>《打赢蓝天保卫战三年行动计划》，国发</w:t>
      </w:r>
      <w:r>
        <w:rPr>
          <w:rFonts w:hint="eastAsia" w:ascii="宋体" w:hAnsi="宋体" w:eastAsia="宋体" w:cs="宋体"/>
        </w:rPr>
        <w:t>〔</w:t>
      </w:r>
      <w:r>
        <w:rPr>
          <w:rFonts w:hint="eastAsia"/>
          <w:lang w:val="en-US" w:eastAsia="zh-CN"/>
        </w:rPr>
        <w:t>2018</w:t>
      </w:r>
      <w:r>
        <w:rPr>
          <w:rFonts w:hint="eastAsia" w:ascii="宋体" w:hAnsi="宋体" w:eastAsia="宋体" w:cs="宋体"/>
        </w:rPr>
        <w:t>〕</w:t>
      </w:r>
      <w:r>
        <w:rPr>
          <w:rFonts w:hint="eastAsia"/>
        </w:rPr>
        <w:t>22号；</w:t>
      </w:r>
    </w:p>
    <w:p>
      <w:pPr>
        <w:pStyle w:val="8"/>
        <w:jc w:val="left"/>
        <w:rPr>
          <w:rFonts w:hint="eastAsia"/>
        </w:rPr>
      </w:pPr>
      <w:r>
        <w:rPr>
          <w:rFonts w:hint="eastAsia"/>
          <w:lang w:eastAsia="zh-CN"/>
        </w:rPr>
        <w:t>（</w:t>
      </w:r>
      <w:r>
        <w:rPr>
          <w:rFonts w:hint="eastAsia"/>
          <w:lang w:val="en-US" w:eastAsia="zh-CN"/>
        </w:rPr>
        <w:t>33</w:t>
      </w:r>
      <w:r>
        <w:rPr>
          <w:rFonts w:hint="eastAsia"/>
          <w:lang w:eastAsia="zh-CN"/>
        </w:rPr>
        <w:t>）</w:t>
      </w:r>
      <w:r>
        <w:rPr>
          <w:rFonts w:hint="eastAsia"/>
        </w:rPr>
        <w:t>《建设项目主要污染物排放总量指标审核及管理暂行办法》（环发</w:t>
      </w:r>
      <w:r>
        <w:rPr>
          <w:rFonts w:hint="eastAsia" w:ascii="宋体" w:hAnsi="宋体" w:eastAsia="宋体" w:cs="宋体"/>
        </w:rPr>
        <w:t>〔</w:t>
      </w:r>
      <w:r>
        <w:rPr>
          <w:rFonts w:hint="eastAsia"/>
        </w:rPr>
        <w:t>2014</w:t>
      </w:r>
      <w:r>
        <w:rPr>
          <w:rFonts w:hint="eastAsia" w:ascii="宋体" w:hAnsi="宋体" w:eastAsia="宋体" w:cs="宋体"/>
        </w:rPr>
        <w:t>〕</w:t>
      </w:r>
      <w:r>
        <w:rPr>
          <w:rFonts w:hint="eastAsia"/>
        </w:rPr>
        <w:t>197 号</w:t>
      </w:r>
    </w:p>
    <w:p>
      <w:pPr>
        <w:pStyle w:val="8"/>
        <w:jc w:val="left"/>
        <w:rPr>
          <w:rFonts w:hint="eastAsia"/>
        </w:rPr>
      </w:pPr>
      <w:r>
        <w:rPr>
          <w:rFonts w:hint="eastAsia"/>
          <w:lang w:eastAsia="zh-CN"/>
        </w:rPr>
        <w:t>（</w:t>
      </w:r>
      <w:r>
        <w:rPr>
          <w:rFonts w:hint="eastAsia"/>
          <w:lang w:val="en-US" w:eastAsia="zh-CN"/>
        </w:rPr>
        <w:t>34</w:t>
      </w:r>
      <w:r>
        <w:rPr>
          <w:rFonts w:hint="eastAsia"/>
          <w:lang w:eastAsia="zh-CN"/>
        </w:rPr>
        <w:t>）</w:t>
      </w:r>
      <w:r>
        <w:rPr>
          <w:rFonts w:hint="eastAsia"/>
        </w:rPr>
        <w:t>《关于进一步规范畜禽养殖禁养区划定和管理促进生猪生产发展的通知》（环办土壤</w:t>
      </w:r>
      <w:r>
        <w:rPr>
          <w:rFonts w:hint="eastAsia" w:ascii="宋体" w:hAnsi="宋体" w:eastAsia="宋体" w:cs="宋体"/>
        </w:rPr>
        <w:t>〔</w:t>
      </w:r>
      <w:r>
        <w:rPr>
          <w:rFonts w:hint="eastAsia"/>
        </w:rPr>
        <w:t>2019</w:t>
      </w:r>
      <w:r>
        <w:rPr>
          <w:rFonts w:hint="eastAsia" w:ascii="宋体" w:hAnsi="宋体" w:eastAsia="宋体" w:cs="宋体"/>
        </w:rPr>
        <w:t>〕</w:t>
      </w:r>
      <w:r>
        <w:rPr>
          <w:rFonts w:hint="eastAsia"/>
        </w:rPr>
        <w:t>55 号）；</w:t>
      </w:r>
    </w:p>
    <w:p>
      <w:pPr>
        <w:pStyle w:val="8"/>
        <w:jc w:val="left"/>
        <w:rPr>
          <w:rFonts w:hint="eastAsia"/>
        </w:rPr>
      </w:pPr>
      <w:r>
        <w:rPr>
          <w:rFonts w:hint="eastAsia"/>
          <w:lang w:eastAsia="zh-CN"/>
        </w:rPr>
        <w:t>（</w:t>
      </w:r>
      <w:r>
        <w:rPr>
          <w:rFonts w:hint="eastAsia"/>
          <w:lang w:val="en-US" w:eastAsia="zh-CN"/>
        </w:rPr>
        <w:t>35</w:t>
      </w:r>
      <w:r>
        <w:rPr>
          <w:rFonts w:hint="eastAsia"/>
          <w:lang w:eastAsia="zh-CN"/>
        </w:rPr>
        <w:t>）</w:t>
      </w:r>
      <w:r>
        <w:rPr>
          <w:rFonts w:hint="eastAsia"/>
        </w:rPr>
        <w:t>《关于做好畜禽规模养殖项目环境影响评价管理工作的通知》（环办环评</w:t>
      </w:r>
      <w:r>
        <w:rPr>
          <w:rFonts w:hint="eastAsia" w:ascii="宋体" w:hAnsi="宋体" w:eastAsia="宋体" w:cs="宋体"/>
        </w:rPr>
        <w:t>〔</w:t>
      </w:r>
      <w:r>
        <w:rPr>
          <w:rFonts w:hint="eastAsia"/>
        </w:rPr>
        <w:t>2018</w:t>
      </w:r>
      <w:r>
        <w:rPr>
          <w:rFonts w:hint="eastAsia" w:ascii="宋体" w:hAnsi="宋体" w:eastAsia="宋体" w:cs="宋体"/>
        </w:rPr>
        <w:t>〕</w:t>
      </w:r>
      <w:r>
        <w:rPr>
          <w:rFonts w:hint="eastAsia"/>
        </w:rPr>
        <w:t>31号）；</w:t>
      </w:r>
    </w:p>
    <w:p>
      <w:pPr>
        <w:pStyle w:val="8"/>
        <w:jc w:val="left"/>
        <w:rPr>
          <w:rFonts w:hint="eastAsia"/>
        </w:rPr>
      </w:pPr>
      <w:r>
        <w:rPr>
          <w:rFonts w:hint="eastAsia"/>
          <w:lang w:eastAsia="zh-CN"/>
        </w:rPr>
        <w:t>（</w:t>
      </w:r>
      <w:r>
        <w:rPr>
          <w:rFonts w:hint="eastAsia"/>
          <w:lang w:val="en-US" w:eastAsia="zh-CN"/>
        </w:rPr>
        <w:t>36</w:t>
      </w:r>
      <w:r>
        <w:rPr>
          <w:rFonts w:hint="eastAsia"/>
          <w:lang w:eastAsia="zh-CN"/>
        </w:rPr>
        <w:t>）</w:t>
      </w:r>
      <w:r>
        <w:rPr>
          <w:rFonts w:hint="eastAsia"/>
        </w:rPr>
        <w:t>《饲料和饲料添加剂管理条例》（国务院令第645号）。</w:t>
      </w:r>
    </w:p>
    <w:p>
      <w:pPr>
        <w:pStyle w:val="5"/>
        <w:ind w:firstLine="562"/>
      </w:pPr>
      <w:r>
        <w:t>地方地方法律、法规、政策</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bookmarkStart w:id="17" w:name="_Toc346282440"/>
      <w:r>
        <w:t>（1） 《广东省环境保护条例》，2015年7月1日施行；</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t>（2） 《广东省环境保护规划纲要(2006-2020 年)》，粤环函</w:t>
      </w:r>
      <w:r>
        <w:rPr>
          <w:rFonts w:hint="eastAsia" w:ascii="宋体" w:hAnsi="宋体" w:eastAsia="宋体" w:cs="宋体"/>
        </w:rPr>
        <w:t>〔</w:t>
      </w:r>
      <w:r>
        <w:t>2006</w:t>
      </w:r>
      <w:r>
        <w:rPr>
          <w:rFonts w:hint="eastAsia" w:ascii="宋体" w:hAnsi="宋体" w:eastAsia="宋体" w:cs="宋体"/>
        </w:rPr>
        <w:t>〕</w:t>
      </w:r>
      <w:r>
        <w:t>35号；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3</w:t>
      </w:r>
      <w:r>
        <w:rPr>
          <w:rFonts w:hint="eastAsia"/>
          <w:lang w:eastAsia="zh-CN"/>
        </w:rPr>
        <w:t>）</w:t>
      </w:r>
      <w:r>
        <w:t>《广东省固体废物污染环境防治条例》（2018年11月29日修订）；</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4</w:t>
      </w:r>
      <w:r>
        <w:rPr>
          <w:rFonts w:hint="eastAsia"/>
          <w:lang w:eastAsia="zh-CN"/>
        </w:rPr>
        <w:t>）</w:t>
      </w:r>
      <w:r>
        <w:t>《广东省实施&lt;危险废物转移联单管理办法&gt;规定》，1999年10月1日</w:t>
      </w:r>
      <w:r>
        <w:rPr>
          <w:rFonts w:hint="eastAsia"/>
          <w:lang w:eastAsia="zh-CN"/>
        </w:rPr>
        <w:t>实施</w:t>
      </w:r>
      <w:r>
        <w:t>；</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5</w:t>
      </w:r>
      <w:r>
        <w:rPr>
          <w:rFonts w:hint="eastAsia"/>
          <w:lang w:eastAsia="zh-CN"/>
        </w:rPr>
        <w:t>）</w:t>
      </w:r>
      <w:r>
        <w:t>《广东省地表水环境功能区划》，粤府函</w:t>
      </w:r>
      <w:r>
        <w:rPr>
          <w:rFonts w:hint="eastAsia" w:ascii="宋体" w:hAnsi="宋体" w:eastAsia="宋体" w:cs="宋体"/>
        </w:rPr>
        <w:t>〔</w:t>
      </w:r>
      <w:r>
        <w:t>2011</w:t>
      </w:r>
      <w:r>
        <w:rPr>
          <w:rFonts w:hint="eastAsia" w:ascii="宋体" w:hAnsi="宋体" w:eastAsia="宋体" w:cs="宋体"/>
        </w:rPr>
        <w:t>〕</w:t>
      </w:r>
      <w:r>
        <w:t>14号；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rPr>
          <w:rFonts w:hint="eastAsia" w:eastAsia="宋体"/>
          <w:lang w:eastAsia="zh-CN"/>
        </w:rPr>
      </w:pPr>
      <w:r>
        <w:rPr>
          <w:rFonts w:hint="eastAsia"/>
          <w:lang w:eastAsia="zh-CN"/>
        </w:rPr>
        <w:t>（</w:t>
      </w:r>
      <w:r>
        <w:rPr>
          <w:rFonts w:hint="eastAsia"/>
          <w:lang w:val="en-US" w:eastAsia="zh-CN"/>
        </w:rPr>
        <w:t>6</w:t>
      </w:r>
      <w:r>
        <w:rPr>
          <w:rFonts w:hint="eastAsia"/>
          <w:lang w:eastAsia="zh-CN"/>
        </w:rPr>
        <w:t>）</w:t>
      </w:r>
      <w:r>
        <w:t>《广东省人民政府关于印发广东省建设项目环境影响评价文件分级审批办法的通知》，粤府〔2019〕6号，2019年1月19日</w:t>
      </w:r>
      <w:r>
        <w:rPr>
          <w:rFonts w:hint="eastAsia"/>
          <w:lang w:eastAsia="zh-CN"/>
        </w:rPr>
        <w:t>；</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7</w:t>
      </w:r>
      <w:r>
        <w:rPr>
          <w:rFonts w:hint="eastAsia"/>
          <w:lang w:eastAsia="zh-CN"/>
        </w:rPr>
        <w:t>）</w:t>
      </w:r>
      <w:r>
        <w:t>《关于印发广东省规模化畜禽养殖场（小区）主要污染物减排技术指南的通知》，2012年5月24日；</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8</w:t>
      </w:r>
      <w:r>
        <w:rPr>
          <w:rFonts w:hint="eastAsia"/>
          <w:lang w:eastAsia="zh-CN"/>
        </w:rPr>
        <w:t>）</w:t>
      </w:r>
      <w:r>
        <w:t>《广东省饮用水源水质保护条例（2010年修正本）》，2010年7月23日；</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9</w:t>
      </w:r>
      <w:r>
        <w:rPr>
          <w:rFonts w:hint="eastAsia"/>
          <w:lang w:eastAsia="zh-CN"/>
        </w:rPr>
        <w:t>）</w:t>
      </w:r>
      <w:r>
        <w:t>《韶关市城市集中饮用水水源保护区划分调整可行性研究报告》（2016 年</w:t>
      </w:r>
      <w:r>
        <w:rPr>
          <w:rFonts w:hint="eastAsia"/>
          <w:lang w:val="en-US" w:eastAsia="zh-CN"/>
        </w:rPr>
        <w:t>10</w:t>
      </w:r>
      <w:r>
        <w:t>月）；</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10</w:t>
      </w:r>
      <w:r>
        <w:rPr>
          <w:rFonts w:hint="eastAsia"/>
          <w:lang w:eastAsia="zh-CN"/>
        </w:rPr>
        <w:t>）</w:t>
      </w:r>
      <w:r>
        <w:t>《广东省国民经济和社会发展第十三个五年规划纲要》，2016年4月；</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11</w:t>
      </w:r>
      <w:r>
        <w:rPr>
          <w:rFonts w:hint="eastAsia"/>
          <w:lang w:eastAsia="zh-CN"/>
        </w:rPr>
        <w:t>）</w:t>
      </w:r>
      <w:r>
        <w:t>《关于同意广东省地下水功能区划的复函》（粤办函</w:t>
      </w:r>
      <w:r>
        <w:rPr>
          <w:rFonts w:hint="eastAsia" w:ascii="宋体" w:hAnsi="宋体" w:eastAsia="宋体" w:cs="宋体"/>
        </w:rPr>
        <w:t>〔</w:t>
      </w:r>
      <w:r>
        <w:t>2009</w:t>
      </w:r>
      <w:r>
        <w:rPr>
          <w:rFonts w:hint="eastAsia" w:ascii="宋体" w:hAnsi="宋体" w:eastAsia="宋体" w:cs="宋体"/>
        </w:rPr>
        <w:t>〕</w:t>
      </w:r>
      <w:r>
        <w:t>459号）；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12</w:t>
      </w:r>
      <w:r>
        <w:rPr>
          <w:rFonts w:hint="eastAsia"/>
          <w:lang w:eastAsia="zh-CN"/>
        </w:rPr>
        <w:t>）</w:t>
      </w:r>
      <w:r>
        <w:t>《关于印发广东省地下水功能区划的通知》（粤水资源</w:t>
      </w:r>
      <w:r>
        <w:rPr>
          <w:rFonts w:hint="eastAsia" w:ascii="宋体" w:hAnsi="宋体" w:eastAsia="宋体" w:cs="宋体"/>
        </w:rPr>
        <w:t>〔</w:t>
      </w:r>
      <w:r>
        <w:t>2009</w:t>
      </w:r>
      <w:r>
        <w:rPr>
          <w:rFonts w:hint="eastAsia" w:ascii="宋体" w:hAnsi="宋体" w:eastAsia="宋体" w:cs="宋体"/>
        </w:rPr>
        <w:t>〕</w:t>
      </w:r>
      <w:r>
        <w:t>19号）；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13</w:t>
      </w:r>
      <w:r>
        <w:rPr>
          <w:rFonts w:hint="eastAsia"/>
          <w:lang w:eastAsia="zh-CN"/>
        </w:rPr>
        <w:t>）</w:t>
      </w:r>
      <w:r>
        <w:t>《广东省生猪生产发展总体规划和区域布局（2008-2020年）》，粤农</w:t>
      </w:r>
      <w:r>
        <w:rPr>
          <w:rFonts w:hint="eastAsia" w:ascii="宋体" w:hAnsi="宋体" w:eastAsia="宋体" w:cs="宋体"/>
        </w:rPr>
        <w:t>〔</w:t>
      </w:r>
      <w:r>
        <w:t>200</w:t>
      </w:r>
      <w:r>
        <w:rPr>
          <w:rFonts w:hint="eastAsia"/>
          <w:lang w:val="en-US" w:eastAsia="zh-CN"/>
        </w:rPr>
        <w:t>8</w:t>
      </w:r>
      <w:r>
        <w:rPr>
          <w:rFonts w:hint="eastAsia" w:ascii="宋体" w:hAnsi="宋体" w:eastAsia="宋体" w:cs="宋体"/>
        </w:rPr>
        <w:t>〕</w:t>
      </w:r>
      <w:r>
        <w:t>185；</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14</w:t>
      </w:r>
      <w:r>
        <w:rPr>
          <w:rFonts w:hint="eastAsia"/>
          <w:lang w:eastAsia="zh-CN"/>
        </w:rPr>
        <w:t>）</w:t>
      </w:r>
      <w:r>
        <w:t>《广东省主体功能区规划的配套环保政策》，粤环</w:t>
      </w:r>
      <w:r>
        <w:rPr>
          <w:rFonts w:hint="eastAsia" w:ascii="宋体" w:hAnsi="宋体" w:eastAsia="宋体" w:cs="宋体"/>
        </w:rPr>
        <w:t>〔</w:t>
      </w:r>
      <w:r>
        <w:t>20</w:t>
      </w:r>
      <w:r>
        <w:rPr>
          <w:rFonts w:hint="eastAsia"/>
          <w:lang w:val="en-US" w:eastAsia="zh-CN"/>
        </w:rPr>
        <w:t>14</w:t>
      </w:r>
      <w:r>
        <w:rPr>
          <w:rFonts w:hint="eastAsia" w:ascii="宋体" w:hAnsi="宋体" w:eastAsia="宋体" w:cs="宋体"/>
        </w:rPr>
        <w:t>〕</w:t>
      </w:r>
      <w:r>
        <w:t>7号；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t>（1</w:t>
      </w:r>
      <w:r>
        <w:rPr>
          <w:rFonts w:hint="eastAsia"/>
          <w:lang w:val="en-US" w:eastAsia="zh-CN"/>
        </w:rPr>
        <w:t>5</w:t>
      </w:r>
      <w:r>
        <w:t>）《韶关市城市总体规划（2015~2030）》；</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t>（1</w:t>
      </w:r>
      <w:r>
        <w:rPr>
          <w:rFonts w:hint="eastAsia"/>
          <w:lang w:val="en-US" w:eastAsia="zh-CN"/>
        </w:rPr>
        <w:t>6</w:t>
      </w:r>
      <w:r>
        <w:t>）《韶关市环境保护规划纲要（2006-2020）》，韶府办</w:t>
      </w:r>
      <w:r>
        <w:rPr>
          <w:rFonts w:hint="eastAsia" w:ascii="宋体" w:hAnsi="宋体" w:eastAsia="宋体" w:cs="宋体"/>
        </w:rPr>
        <w:t>〔</w:t>
      </w:r>
      <w:r>
        <w:t>200</w:t>
      </w:r>
      <w:r>
        <w:rPr>
          <w:rFonts w:hint="eastAsia"/>
          <w:lang w:val="en-US" w:eastAsia="zh-CN"/>
        </w:rPr>
        <w:t>8</w:t>
      </w:r>
      <w:r>
        <w:rPr>
          <w:rFonts w:hint="eastAsia" w:ascii="宋体" w:hAnsi="宋体" w:eastAsia="宋体" w:cs="宋体"/>
        </w:rPr>
        <w:t>〕</w:t>
      </w:r>
      <w:r>
        <w:t>210 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17</w:t>
      </w:r>
      <w:r>
        <w:rPr>
          <w:rFonts w:hint="eastAsia"/>
          <w:lang w:eastAsia="zh-CN"/>
        </w:rPr>
        <w:t>）</w:t>
      </w:r>
      <w:r>
        <w:t>《韶关市国民经济和社会发展第十三个五年规划纲要》，2016年10月；</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18</w:t>
      </w:r>
      <w:r>
        <w:rPr>
          <w:rFonts w:hint="eastAsia"/>
          <w:lang w:eastAsia="zh-CN"/>
        </w:rPr>
        <w:t>）</w:t>
      </w:r>
      <w:r>
        <w:t>《韶关市农业农村经济“十三五”发展规划》，韶农</w:t>
      </w:r>
      <w:r>
        <w:rPr>
          <w:rFonts w:hint="eastAsia" w:ascii="宋体" w:hAnsi="宋体" w:eastAsia="宋体" w:cs="宋体"/>
        </w:rPr>
        <w:t>〔</w:t>
      </w:r>
      <w:r>
        <w:t>20</w:t>
      </w:r>
      <w:r>
        <w:rPr>
          <w:rFonts w:hint="eastAsia"/>
          <w:lang w:val="en-US" w:eastAsia="zh-CN"/>
        </w:rPr>
        <w:t>16</w:t>
      </w:r>
      <w:r>
        <w:rPr>
          <w:rFonts w:hint="eastAsia" w:ascii="宋体" w:hAnsi="宋体" w:eastAsia="宋体" w:cs="宋体"/>
        </w:rPr>
        <w:t>〕</w:t>
      </w:r>
      <w:r>
        <w:t>67号；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19</w:t>
      </w:r>
      <w:r>
        <w:rPr>
          <w:rFonts w:hint="eastAsia"/>
          <w:lang w:eastAsia="zh-CN"/>
        </w:rPr>
        <w:t>）</w:t>
      </w:r>
      <w:r>
        <w:t>《广东省韶关市土地利用总体规划（2006-2020年）》，2010年；</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20</w:t>
      </w:r>
      <w:r>
        <w:rPr>
          <w:rFonts w:hint="eastAsia"/>
          <w:lang w:eastAsia="zh-CN"/>
        </w:rPr>
        <w:t>）</w:t>
      </w:r>
      <w:r>
        <w:t>《韶关市生猪和家禽发展规划和布局（2008~2020）》，韶农〔2009</w:t>
      </w:r>
      <w:r>
        <w:rPr>
          <w:rFonts w:hint="eastAsia" w:ascii="宋体" w:hAnsi="宋体" w:eastAsia="宋体" w:cs="宋体"/>
        </w:rPr>
        <w:t>〕</w:t>
      </w:r>
      <w:r>
        <w:t>7号；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21</w:t>
      </w:r>
      <w:r>
        <w:rPr>
          <w:rFonts w:hint="eastAsia"/>
          <w:lang w:eastAsia="zh-CN"/>
        </w:rPr>
        <w:t>）</w:t>
      </w:r>
      <w:r>
        <w:t>《印发关于促进全市生猪生产和价格稳定工作方案的通知》，韶府办〔2011</w:t>
      </w:r>
      <w:r>
        <w:rPr>
          <w:rFonts w:hint="eastAsia" w:ascii="宋体" w:hAnsi="宋体" w:eastAsia="宋体" w:cs="宋体"/>
        </w:rPr>
        <w:t>〕</w:t>
      </w:r>
      <w:r>
        <w:t>67号；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22</w:t>
      </w:r>
      <w:r>
        <w:rPr>
          <w:rFonts w:hint="eastAsia"/>
          <w:lang w:eastAsia="zh-CN"/>
        </w:rPr>
        <w:t>）</w:t>
      </w:r>
      <w:r>
        <w:t>《广东省打赢蓝天保卫战实施方案（2018-2020 年）》（粤府函〔2018〕128号）；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23</w:t>
      </w:r>
      <w:r>
        <w:rPr>
          <w:rFonts w:hint="eastAsia"/>
          <w:lang w:eastAsia="zh-CN"/>
        </w:rPr>
        <w:t>）</w:t>
      </w:r>
      <w:r>
        <w:t>《关于印发南粤水更清行动计划（修订本）（2017-2020 年）的通知》（粤环〔2017</w:t>
      </w:r>
      <w:r>
        <w:rPr>
          <w:rFonts w:hint="eastAsia" w:ascii="宋体" w:hAnsi="宋体" w:eastAsia="宋体" w:cs="宋体"/>
        </w:rPr>
        <w:t>〕</w:t>
      </w:r>
      <w:r>
        <w:t>28号）；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24</w:t>
      </w:r>
      <w:r>
        <w:rPr>
          <w:rFonts w:hint="eastAsia"/>
          <w:lang w:eastAsia="zh-CN"/>
        </w:rPr>
        <w:t>）</w:t>
      </w:r>
      <w:r>
        <w:t>《广东省人民政府关于印发广东省水污染防治行动计划实施方案的通知》（粤府〔2015</w:t>
      </w:r>
      <w:r>
        <w:rPr>
          <w:rFonts w:hint="eastAsia" w:ascii="宋体" w:hAnsi="宋体" w:eastAsia="宋体" w:cs="宋体"/>
        </w:rPr>
        <w:t>〕</w:t>
      </w:r>
      <w:r>
        <w:t>131号）；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25</w:t>
      </w:r>
      <w:r>
        <w:rPr>
          <w:rFonts w:hint="eastAsia"/>
          <w:lang w:eastAsia="zh-CN"/>
        </w:rPr>
        <w:t>）</w:t>
      </w:r>
      <w:r>
        <w:t>《广东省人民政府关于印发广东省大气污染防治强化措施及分工方案的通知》（粤办函〔2017</w:t>
      </w:r>
      <w:r>
        <w:rPr>
          <w:rFonts w:hint="eastAsia" w:ascii="宋体" w:hAnsi="宋体" w:eastAsia="宋体" w:cs="宋体"/>
        </w:rPr>
        <w:t>〕</w:t>
      </w:r>
      <w:r>
        <w:t>471号）；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26</w:t>
      </w:r>
      <w:r>
        <w:rPr>
          <w:rFonts w:hint="eastAsia"/>
          <w:lang w:eastAsia="zh-CN"/>
        </w:rPr>
        <w:t>）</w:t>
      </w:r>
      <w:r>
        <w:t>《广东省人民政府关于印发广东省土壤污染防治行动计划实施方案的通知》（粤府〔2016</w:t>
      </w:r>
      <w:r>
        <w:rPr>
          <w:rFonts w:hint="eastAsia" w:ascii="宋体" w:hAnsi="宋体" w:eastAsia="宋体" w:cs="宋体"/>
        </w:rPr>
        <w:t>〕</w:t>
      </w:r>
      <w:r>
        <w:t>145号）；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27</w:t>
      </w:r>
      <w:r>
        <w:rPr>
          <w:rFonts w:hint="eastAsia"/>
          <w:lang w:eastAsia="zh-CN"/>
        </w:rPr>
        <w:t>）</w:t>
      </w:r>
      <w:r>
        <w:t>《关于发布广东省生态环境厅审批环境影响评价文件的建设项目名录（2019年本）的通知》，粤环〔2019〕24号；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28</w:t>
      </w:r>
      <w:r>
        <w:rPr>
          <w:rFonts w:hint="eastAsia"/>
          <w:lang w:eastAsia="zh-CN"/>
        </w:rPr>
        <w:t>）</w:t>
      </w:r>
      <w:r>
        <w:t>《广东省环境保护厅关于转发环境保护部&lt;建设项目主要污染物排放总量指标审核及管理暂行办法&gt;的通知》（粤环〔2015〕45号）；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29</w:t>
      </w:r>
      <w:r>
        <w:rPr>
          <w:rFonts w:hint="eastAsia"/>
          <w:lang w:eastAsia="zh-CN"/>
        </w:rPr>
        <w:t>）</w:t>
      </w:r>
      <w:r>
        <w:t>《关于印发广东省污染源排污口规范化设置导则的通知》(粤环〔2008〕42号，2008年4月28日发布)；</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30</w:t>
      </w:r>
      <w:r>
        <w:rPr>
          <w:rFonts w:hint="eastAsia"/>
          <w:lang w:eastAsia="zh-CN"/>
        </w:rPr>
        <w:t>）</w:t>
      </w:r>
      <w:r>
        <w:t>《广东省人民政府办公厅关于印发广东省控制污染物排放许可制实施计划的通知》（粤府办〔2017〕29号）；</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31</w:t>
      </w:r>
      <w:r>
        <w:rPr>
          <w:rFonts w:hint="eastAsia"/>
          <w:lang w:eastAsia="zh-CN"/>
        </w:rPr>
        <w:t>）</w:t>
      </w:r>
      <w:r>
        <w:t>《广东省环境保护厅关于实施国家排污许可制有关事项的公告》（粤环发〔2018〕7号）。</w:t>
      </w:r>
    </w:p>
    <w:bookmarkEnd w:id="17"/>
    <w:p>
      <w:pPr>
        <w:pStyle w:val="5"/>
        <w:ind w:firstLine="562"/>
      </w:pPr>
      <w:r>
        <w:t>导则、技术规范、养殖行业标准</w:t>
      </w:r>
    </w:p>
    <w:p>
      <w:pPr>
        <w:pStyle w:val="8"/>
      </w:pPr>
      <w:r>
        <w:rPr>
          <w:rFonts w:hint="eastAsia"/>
        </w:rPr>
        <w:t>（1）《建设项目环境影响评价技术导则 总纲》（HJ 2.1-2016）</w:t>
      </w:r>
      <w:r>
        <w:t>；</w:t>
      </w:r>
    </w:p>
    <w:p>
      <w:pPr>
        <w:pStyle w:val="8"/>
      </w:pPr>
      <w:r>
        <w:rPr>
          <w:rFonts w:hint="eastAsia"/>
        </w:rPr>
        <w:t>（</w:t>
      </w:r>
      <w:r>
        <w:rPr>
          <w:rFonts w:hint="eastAsia"/>
          <w:lang w:val="en-US" w:eastAsia="zh-CN"/>
        </w:rPr>
        <w:t>2</w:t>
      </w:r>
      <w:r>
        <w:rPr>
          <w:rFonts w:hint="eastAsia"/>
        </w:rPr>
        <w:t>）</w:t>
      </w:r>
      <w:r>
        <w:t>《环境影响评价技术导则——大气环境》(HJ2.2-2018)；</w:t>
      </w:r>
    </w:p>
    <w:p>
      <w:pPr>
        <w:pStyle w:val="8"/>
      </w:pPr>
      <w:r>
        <w:rPr>
          <w:rFonts w:hint="eastAsia"/>
        </w:rPr>
        <w:t>（</w:t>
      </w:r>
      <w:r>
        <w:rPr>
          <w:rFonts w:hint="eastAsia"/>
          <w:lang w:val="en-US" w:eastAsia="zh-CN"/>
        </w:rPr>
        <w:t>3</w:t>
      </w:r>
      <w:r>
        <w:rPr>
          <w:rFonts w:hint="eastAsia"/>
        </w:rPr>
        <w:t>）</w:t>
      </w:r>
      <w:r>
        <w:t>《环境影响评价技术导则——地</w:t>
      </w:r>
      <w:r>
        <w:rPr>
          <w:rFonts w:hint="eastAsia"/>
        </w:rPr>
        <w:t>表</w:t>
      </w:r>
      <w:r>
        <w:t>水环境》(HJ2.3-2018)；</w:t>
      </w:r>
    </w:p>
    <w:p>
      <w:pPr>
        <w:pStyle w:val="8"/>
      </w:pPr>
      <w:r>
        <w:rPr>
          <w:rFonts w:hint="eastAsia"/>
        </w:rPr>
        <w:t>（</w:t>
      </w:r>
      <w:r>
        <w:rPr>
          <w:rFonts w:hint="eastAsia"/>
          <w:lang w:val="en-US" w:eastAsia="zh-CN"/>
        </w:rPr>
        <w:t>4</w:t>
      </w:r>
      <w:r>
        <w:rPr>
          <w:rFonts w:hint="eastAsia"/>
        </w:rPr>
        <w:t>）</w:t>
      </w:r>
      <w:r>
        <w:t>《环境影响评价技术导则——地下水环境》(HJ610-2016)；</w:t>
      </w:r>
    </w:p>
    <w:p>
      <w:pPr>
        <w:pStyle w:val="8"/>
      </w:pPr>
      <w:r>
        <w:rPr>
          <w:rFonts w:hint="eastAsia"/>
        </w:rPr>
        <w:t>（</w:t>
      </w:r>
      <w:r>
        <w:rPr>
          <w:rFonts w:hint="eastAsia"/>
          <w:lang w:val="en-US" w:eastAsia="zh-CN"/>
        </w:rPr>
        <w:t>5</w:t>
      </w:r>
      <w:r>
        <w:rPr>
          <w:rFonts w:hint="eastAsia"/>
        </w:rPr>
        <w:t>）</w:t>
      </w:r>
      <w:r>
        <w:t>《环境影响评价技术导则——声环境》(HJ2.4-2009)；</w:t>
      </w:r>
    </w:p>
    <w:p>
      <w:pPr>
        <w:pStyle w:val="8"/>
      </w:pPr>
      <w:r>
        <w:rPr>
          <w:rFonts w:hint="eastAsia"/>
        </w:rPr>
        <w:t>（</w:t>
      </w:r>
      <w:r>
        <w:rPr>
          <w:rFonts w:hint="eastAsia"/>
          <w:lang w:val="en-US" w:eastAsia="zh-CN"/>
        </w:rPr>
        <w:t>6</w:t>
      </w:r>
      <w:r>
        <w:rPr>
          <w:rFonts w:hint="eastAsia"/>
        </w:rPr>
        <w:t>）</w:t>
      </w:r>
      <w:r>
        <w:t>《环境影响评价技术导则——生态影响》(HJ/T19-201</w:t>
      </w:r>
      <w:r>
        <w:rPr>
          <w:rFonts w:hint="eastAsia"/>
        </w:rPr>
        <w:t>6</w:t>
      </w:r>
      <w:r>
        <w:t>)；</w:t>
      </w:r>
    </w:p>
    <w:p>
      <w:pPr>
        <w:pStyle w:val="8"/>
        <w:rPr>
          <w:rFonts w:hint="eastAsia" w:eastAsia="宋体"/>
          <w:lang w:eastAsia="zh-CN"/>
        </w:rPr>
      </w:pPr>
      <w:r>
        <w:rPr>
          <w:rFonts w:hint="eastAsia"/>
        </w:rPr>
        <w:t>（</w:t>
      </w:r>
      <w:r>
        <w:rPr>
          <w:rFonts w:hint="eastAsia"/>
          <w:lang w:val="en-US" w:eastAsia="zh-CN"/>
        </w:rPr>
        <w:t>7</w:t>
      </w:r>
      <w:r>
        <w:rPr>
          <w:rFonts w:hint="eastAsia"/>
        </w:rPr>
        <w:t>）</w:t>
      </w:r>
      <w:r>
        <w:t>《环境影响评价技术导则——</w:t>
      </w:r>
      <w:r>
        <w:rPr>
          <w:rFonts w:hint="eastAsia"/>
        </w:rPr>
        <w:t>土壤</w:t>
      </w:r>
      <w:r>
        <w:t>影响》</w:t>
      </w:r>
      <w:r>
        <w:rPr>
          <w:rFonts w:hint="eastAsia"/>
        </w:rPr>
        <w:t>（试行）（H</w:t>
      </w:r>
      <w:r>
        <w:t>J964-2018</w:t>
      </w:r>
      <w:r>
        <w:rPr>
          <w:rFonts w:hint="eastAsia"/>
        </w:rPr>
        <w:t>）</w:t>
      </w:r>
      <w:r>
        <w:rPr>
          <w:rFonts w:hint="eastAsia"/>
          <w:lang w:eastAsia="zh-CN"/>
        </w:rPr>
        <w:t>；</w:t>
      </w:r>
    </w:p>
    <w:p>
      <w:pPr>
        <w:pStyle w:val="8"/>
        <w:rPr>
          <w:rFonts w:hint="eastAsia" w:eastAsia="宋体"/>
          <w:lang w:eastAsia="zh-CN"/>
        </w:rPr>
      </w:pPr>
      <w:r>
        <w:rPr>
          <w:rFonts w:hint="eastAsia"/>
        </w:rPr>
        <w:t>（</w:t>
      </w:r>
      <w:r>
        <w:rPr>
          <w:rFonts w:hint="eastAsia"/>
          <w:lang w:val="en-US" w:eastAsia="zh-CN"/>
        </w:rPr>
        <w:t>8</w:t>
      </w:r>
      <w:r>
        <w:rPr>
          <w:rFonts w:hint="eastAsia"/>
        </w:rPr>
        <w:t>）《建设项目环境风险评价技术导则》（H</w:t>
      </w:r>
      <w:r>
        <w:t>J169-2018</w:t>
      </w:r>
      <w:r>
        <w:rPr>
          <w:rFonts w:hint="eastAsia"/>
        </w:rPr>
        <w:t>）</w:t>
      </w:r>
      <w:r>
        <w:rPr>
          <w:rFonts w:hint="eastAsia"/>
          <w:lang w:eastAsia="zh-CN"/>
        </w:rPr>
        <w:t>；</w:t>
      </w:r>
    </w:p>
    <w:p>
      <w:pPr>
        <w:pStyle w:val="8"/>
        <w:rPr>
          <w:rFonts w:hint="eastAsia"/>
        </w:rPr>
      </w:pPr>
      <w:r>
        <w:rPr>
          <w:rFonts w:hint="eastAsia"/>
        </w:rPr>
        <w:t>（</w:t>
      </w:r>
      <w:r>
        <w:rPr>
          <w:rFonts w:hint="eastAsia"/>
          <w:lang w:val="en-US" w:eastAsia="zh-CN"/>
        </w:rPr>
        <w:t>9</w:t>
      </w:r>
      <w:r>
        <w:rPr>
          <w:rFonts w:hint="eastAsia"/>
        </w:rPr>
        <w:t>）《地表水和污水检测技术规范》（HJ/T 91-2002）；</w:t>
      </w:r>
    </w:p>
    <w:p>
      <w:pPr>
        <w:pStyle w:val="8"/>
        <w:rPr>
          <w:rFonts w:hint="eastAsia"/>
        </w:rPr>
      </w:pPr>
      <w:r>
        <w:rPr>
          <w:rFonts w:hint="eastAsia"/>
          <w:lang w:eastAsia="zh-CN"/>
        </w:rPr>
        <w:t>（</w:t>
      </w:r>
      <w:r>
        <w:rPr>
          <w:rFonts w:hint="eastAsia"/>
          <w:lang w:val="en-US" w:eastAsia="zh-CN"/>
        </w:rPr>
        <w:t>10</w:t>
      </w:r>
      <w:r>
        <w:rPr>
          <w:rFonts w:hint="eastAsia"/>
          <w:lang w:eastAsia="zh-CN"/>
        </w:rPr>
        <w:t>）</w:t>
      </w:r>
      <w:r>
        <w:rPr>
          <w:rFonts w:hint="eastAsia"/>
        </w:rPr>
        <w:t>《畜禽养殖产地环境评价规范》（HJ 568-2010）；</w:t>
      </w:r>
    </w:p>
    <w:p>
      <w:pPr>
        <w:pStyle w:val="8"/>
        <w:rPr>
          <w:rFonts w:hint="eastAsia"/>
        </w:rPr>
      </w:pPr>
      <w:r>
        <w:rPr>
          <w:rFonts w:hint="eastAsia"/>
        </w:rPr>
        <w:t>（11）《畜禽产地检疫规范》（GB16549-1996）；</w:t>
      </w:r>
    </w:p>
    <w:p>
      <w:pPr>
        <w:pStyle w:val="8"/>
        <w:rPr>
          <w:rFonts w:hint="eastAsia"/>
        </w:rPr>
      </w:pPr>
      <w:r>
        <w:rPr>
          <w:rFonts w:hint="eastAsia"/>
          <w:lang w:eastAsia="zh-CN"/>
        </w:rPr>
        <w:t>（</w:t>
      </w:r>
      <w:r>
        <w:rPr>
          <w:rFonts w:hint="eastAsia"/>
          <w:lang w:val="en-US" w:eastAsia="zh-CN"/>
        </w:rPr>
        <w:t>12</w:t>
      </w:r>
      <w:r>
        <w:rPr>
          <w:rFonts w:hint="eastAsia"/>
          <w:lang w:eastAsia="zh-CN"/>
        </w:rPr>
        <w:t>）</w:t>
      </w:r>
      <w:r>
        <w:rPr>
          <w:rFonts w:hint="eastAsia"/>
        </w:rPr>
        <w:t>《畜禽病害肉尸及其产品无害化处理规程》（GB16548-1996）；</w:t>
      </w:r>
    </w:p>
    <w:p>
      <w:pPr>
        <w:pStyle w:val="8"/>
        <w:rPr>
          <w:rFonts w:hint="eastAsia"/>
        </w:rPr>
      </w:pPr>
      <w:r>
        <w:rPr>
          <w:rFonts w:hint="eastAsia"/>
          <w:lang w:eastAsia="zh-CN"/>
        </w:rPr>
        <w:t>（</w:t>
      </w:r>
      <w:r>
        <w:rPr>
          <w:rFonts w:hint="eastAsia"/>
          <w:lang w:val="en-US" w:eastAsia="zh-CN"/>
        </w:rPr>
        <w:t>13</w:t>
      </w:r>
      <w:r>
        <w:rPr>
          <w:rFonts w:hint="eastAsia"/>
          <w:lang w:eastAsia="zh-CN"/>
        </w:rPr>
        <w:t>）</w:t>
      </w:r>
      <w:r>
        <w:rPr>
          <w:rFonts w:hint="eastAsia"/>
        </w:rPr>
        <w:t>《畜禽场环境质量评价标准》（GB/T19525.2-2004）；</w:t>
      </w:r>
    </w:p>
    <w:p>
      <w:pPr>
        <w:pStyle w:val="8"/>
        <w:rPr>
          <w:rFonts w:hint="eastAsia"/>
        </w:rPr>
      </w:pPr>
      <w:r>
        <w:rPr>
          <w:rFonts w:hint="eastAsia"/>
          <w:lang w:eastAsia="zh-CN"/>
        </w:rPr>
        <w:t>（</w:t>
      </w:r>
      <w:r>
        <w:rPr>
          <w:rFonts w:hint="eastAsia"/>
          <w:lang w:val="en-US" w:eastAsia="zh-CN"/>
        </w:rPr>
        <w:t>14</w:t>
      </w:r>
      <w:r>
        <w:rPr>
          <w:rFonts w:hint="eastAsia"/>
          <w:lang w:eastAsia="zh-CN"/>
        </w:rPr>
        <w:t>）</w:t>
      </w:r>
      <w:r>
        <w:rPr>
          <w:rFonts w:hint="eastAsia"/>
        </w:rPr>
        <w:t>《一般工业固体废物贮存、处置场污染控制标准》（GB18599-2001）及其2013年修改单；</w:t>
      </w:r>
    </w:p>
    <w:p>
      <w:pPr>
        <w:pStyle w:val="8"/>
        <w:rPr>
          <w:rFonts w:hint="eastAsia"/>
        </w:rPr>
      </w:pPr>
      <w:r>
        <w:rPr>
          <w:rFonts w:hint="eastAsia"/>
        </w:rPr>
        <w:t>（15）《商品猪场建设标准》（DB37/T303-2002）；</w:t>
      </w:r>
    </w:p>
    <w:p>
      <w:pPr>
        <w:pStyle w:val="8"/>
        <w:rPr>
          <w:rFonts w:hint="eastAsia"/>
        </w:rPr>
      </w:pPr>
      <w:r>
        <w:rPr>
          <w:rFonts w:hint="eastAsia"/>
          <w:lang w:eastAsia="zh-CN"/>
        </w:rPr>
        <w:t>（</w:t>
      </w:r>
      <w:r>
        <w:rPr>
          <w:rFonts w:hint="eastAsia"/>
          <w:lang w:val="en-US" w:eastAsia="zh-CN"/>
        </w:rPr>
        <w:t>16</w:t>
      </w:r>
      <w:r>
        <w:rPr>
          <w:rFonts w:hint="eastAsia"/>
          <w:lang w:eastAsia="zh-CN"/>
        </w:rPr>
        <w:t>）</w:t>
      </w:r>
      <w:r>
        <w:rPr>
          <w:rFonts w:hint="eastAsia"/>
        </w:rPr>
        <w:t>《畜禽养殖业污染防治技术规范》（HJ/T 81-2001）；</w:t>
      </w:r>
    </w:p>
    <w:p>
      <w:pPr>
        <w:pStyle w:val="8"/>
        <w:rPr>
          <w:rFonts w:hint="eastAsia"/>
        </w:rPr>
      </w:pPr>
      <w:r>
        <w:rPr>
          <w:rFonts w:hint="eastAsia"/>
          <w:lang w:eastAsia="zh-CN"/>
        </w:rPr>
        <w:t>（</w:t>
      </w:r>
      <w:r>
        <w:rPr>
          <w:rFonts w:hint="eastAsia"/>
          <w:lang w:val="en-US" w:eastAsia="zh-CN"/>
        </w:rPr>
        <w:t>17</w:t>
      </w:r>
      <w:r>
        <w:rPr>
          <w:rFonts w:hint="eastAsia"/>
          <w:lang w:eastAsia="zh-CN"/>
        </w:rPr>
        <w:t>）</w:t>
      </w:r>
      <w:r>
        <w:rPr>
          <w:rFonts w:hint="eastAsia"/>
        </w:rPr>
        <w:t>《畜禽养殖业污染防治办法》，2001年3月20日施行；</w:t>
      </w:r>
    </w:p>
    <w:p>
      <w:pPr>
        <w:pStyle w:val="8"/>
        <w:rPr>
          <w:rFonts w:hint="eastAsia"/>
        </w:rPr>
      </w:pPr>
      <w:r>
        <w:rPr>
          <w:rFonts w:hint="eastAsia"/>
          <w:lang w:eastAsia="zh-CN"/>
        </w:rPr>
        <w:t>（</w:t>
      </w:r>
      <w:r>
        <w:rPr>
          <w:rFonts w:hint="eastAsia"/>
          <w:lang w:val="en-US" w:eastAsia="zh-CN"/>
        </w:rPr>
        <w:t>18</w:t>
      </w:r>
      <w:r>
        <w:rPr>
          <w:rFonts w:hint="eastAsia"/>
          <w:lang w:eastAsia="zh-CN"/>
        </w:rPr>
        <w:t>）</w:t>
      </w:r>
      <w:r>
        <w:rPr>
          <w:rFonts w:hint="eastAsia"/>
        </w:rPr>
        <w:t>《养殖业污染治理工程技术规范》（HJ 497-2009）；</w:t>
      </w:r>
    </w:p>
    <w:p>
      <w:pPr>
        <w:pStyle w:val="8"/>
        <w:rPr>
          <w:rFonts w:hint="eastAsia" w:eastAsia="宋体"/>
          <w:lang w:eastAsia="zh-CN"/>
        </w:rPr>
      </w:pPr>
      <w:r>
        <w:rPr>
          <w:rFonts w:hint="eastAsia"/>
          <w:lang w:eastAsia="zh-CN"/>
        </w:rPr>
        <w:t>（</w:t>
      </w:r>
      <w:r>
        <w:rPr>
          <w:rFonts w:hint="eastAsia"/>
          <w:lang w:val="en-US" w:eastAsia="zh-CN"/>
        </w:rPr>
        <w:t>19</w:t>
      </w:r>
      <w:r>
        <w:rPr>
          <w:rFonts w:hint="eastAsia"/>
          <w:lang w:eastAsia="zh-CN"/>
        </w:rPr>
        <w:t>）</w:t>
      </w:r>
      <w:r>
        <w:rPr>
          <w:rFonts w:hint="eastAsia"/>
        </w:rPr>
        <w:t>《小型集约化养猪场环境参数及环境管理》（GB/T 17824.4-1999）</w:t>
      </w:r>
      <w:r>
        <w:rPr>
          <w:rFonts w:hint="eastAsia"/>
          <w:lang w:eastAsia="zh-CN"/>
        </w:rPr>
        <w:t>；</w:t>
      </w:r>
    </w:p>
    <w:p>
      <w:pPr>
        <w:pStyle w:val="8"/>
        <w:rPr>
          <w:rFonts w:hint="eastAsia"/>
        </w:rPr>
      </w:pPr>
      <w:r>
        <w:rPr>
          <w:rFonts w:hint="eastAsia"/>
          <w:lang w:eastAsia="zh-CN"/>
        </w:rPr>
        <w:t>（</w:t>
      </w:r>
      <w:r>
        <w:rPr>
          <w:rFonts w:hint="eastAsia"/>
          <w:lang w:val="en-US" w:eastAsia="zh-CN"/>
        </w:rPr>
        <w:t>20</w:t>
      </w:r>
      <w:r>
        <w:rPr>
          <w:rFonts w:hint="eastAsia"/>
          <w:lang w:eastAsia="zh-CN"/>
        </w:rPr>
        <w:t>）</w:t>
      </w:r>
      <w:r>
        <w:rPr>
          <w:rFonts w:hint="eastAsia"/>
        </w:rPr>
        <w:t>《病害动物和病害动物产品生物案例处理规程》（GB 16548-2006）；</w:t>
      </w:r>
    </w:p>
    <w:p>
      <w:pPr>
        <w:pStyle w:val="8"/>
        <w:rPr>
          <w:rFonts w:hint="eastAsia"/>
        </w:rPr>
      </w:pPr>
      <w:r>
        <w:rPr>
          <w:rFonts w:hint="eastAsia"/>
          <w:lang w:eastAsia="zh-CN"/>
        </w:rPr>
        <w:t>（</w:t>
      </w:r>
      <w:r>
        <w:rPr>
          <w:rFonts w:hint="eastAsia"/>
          <w:lang w:val="en-US" w:eastAsia="zh-CN"/>
        </w:rPr>
        <w:t>21</w:t>
      </w:r>
      <w:r>
        <w:rPr>
          <w:rFonts w:hint="eastAsia"/>
          <w:lang w:eastAsia="zh-CN"/>
        </w:rPr>
        <w:t>）</w:t>
      </w:r>
      <w:r>
        <w:rPr>
          <w:rFonts w:hint="eastAsia"/>
        </w:rPr>
        <w:t>《病死动物无害化处理技术规范》（农医发[2013]34号）；</w:t>
      </w:r>
    </w:p>
    <w:p>
      <w:pPr>
        <w:pStyle w:val="8"/>
        <w:rPr>
          <w:rFonts w:hint="eastAsia"/>
        </w:rPr>
      </w:pPr>
      <w:r>
        <w:rPr>
          <w:rFonts w:hint="eastAsia"/>
          <w:lang w:eastAsia="zh-CN"/>
        </w:rPr>
        <w:t>（</w:t>
      </w:r>
      <w:r>
        <w:rPr>
          <w:rFonts w:hint="eastAsia"/>
          <w:lang w:val="en-US" w:eastAsia="zh-CN"/>
        </w:rPr>
        <w:t>22</w:t>
      </w:r>
      <w:r>
        <w:rPr>
          <w:rFonts w:hint="eastAsia"/>
          <w:lang w:eastAsia="zh-CN"/>
        </w:rPr>
        <w:t>）</w:t>
      </w:r>
      <w:r>
        <w:rPr>
          <w:rFonts w:hint="eastAsia"/>
        </w:rPr>
        <w:t>《建设项目危险废物环境影响评价指南》（2017年10月1日起施行）；</w:t>
      </w:r>
    </w:p>
    <w:p>
      <w:pPr>
        <w:pStyle w:val="8"/>
        <w:rPr>
          <w:rFonts w:hint="eastAsia"/>
        </w:rPr>
      </w:pPr>
      <w:r>
        <w:rPr>
          <w:rFonts w:hint="eastAsia"/>
          <w:lang w:eastAsia="zh-CN"/>
        </w:rPr>
        <w:t>（</w:t>
      </w:r>
      <w:r>
        <w:rPr>
          <w:rFonts w:hint="eastAsia"/>
          <w:lang w:val="en-US" w:eastAsia="zh-CN"/>
        </w:rPr>
        <w:t>23</w:t>
      </w:r>
      <w:r>
        <w:rPr>
          <w:rFonts w:hint="eastAsia"/>
          <w:lang w:eastAsia="zh-CN"/>
        </w:rPr>
        <w:t>）</w:t>
      </w:r>
      <w:r>
        <w:rPr>
          <w:rFonts w:hint="eastAsia"/>
        </w:rPr>
        <w:t>《危险废物鉴别标准 通则》（GB 5085.7-2019）；</w:t>
      </w:r>
    </w:p>
    <w:p>
      <w:pPr>
        <w:pStyle w:val="8"/>
        <w:rPr>
          <w:rFonts w:hint="eastAsia"/>
        </w:rPr>
      </w:pPr>
      <w:r>
        <w:rPr>
          <w:rFonts w:hint="eastAsia"/>
          <w:lang w:eastAsia="zh-CN"/>
        </w:rPr>
        <w:t>（</w:t>
      </w:r>
      <w:r>
        <w:rPr>
          <w:rFonts w:hint="eastAsia"/>
          <w:lang w:val="en-US" w:eastAsia="zh-CN"/>
        </w:rPr>
        <w:t>24</w:t>
      </w:r>
      <w:r>
        <w:rPr>
          <w:rFonts w:hint="eastAsia"/>
          <w:lang w:eastAsia="zh-CN"/>
        </w:rPr>
        <w:t>）</w:t>
      </w:r>
      <w:r>
        <w:rPr>
          <w:rFonts w:hint="eastAsia"/>
        </w:rPr>
        <w:t>《危险废物鉴别技术规范》(HJ 298－2019）；</w:t>
      </w:r>
    </w:p>
    <w:p>
      <w:pPr>
        <w:pStyle w:val="8"/>
        <w:rPr>
          <w:rFonts w:hint="eastAsia"/>
        </w:rPr>
      </w:pPr>
      <w:r>
        <w:rPr>
          <w:rFonts w:hint="eastAsia"/>
          <w:lang w:eastAsia="zh-CN"/>
        </w:rPr>
        <w:t>（</w:t>
      </w:r>
      <w:r>
        <w:rPr>
          <w:rFonts w:hint="eastAsia"/>
          <w:lang w:val="en-US" w:eastAsia="zh-CN"/>
        </w:rPr>
        <w:t>25</w:t>
      </w:r>
      <w:r>
        <w:rPr>
          <w:rFonts w:hint="eastAsia"/>
          <w:lang w:eastAsia="zh-CN"/>
        </w:rPr>
        <w:t>）</w:t>
      </w:r>
      <w:r>
        <w:rPr>
          <w:rFonts w:hint="eastAsia"/>
        </w:rPr>
        <w:t>《畜禽规模养殖场粪污资源化利用设施建设规范（试行）》（农办牧〔2018〕2号）。</w:t>
      </w:r>
    </w:p>
    <w:p>
      <w:pPr>
        <w:pStyle w:val="5"/>
        <w:ind w:firstLine="562"/>
      </w:pPr>
      <w:r>
        <w:t>建设单位提供的其他文件</w:t>
      </w:r>
    </w:p>
    <w:p>
      <w:pPr>
        <w:pStyle w:val="8"/>
        <w:widowControl w:val="0"/>
        <w:numPr>
          <w:ilvl w:val="0"/>
          <w:numId w:val="0"/>
        </w:numPr>
        <w:autoSpaceDE w:val="0"/>
        <w:autoSpaceDN w:val="0"/>
        <w:spacing w:line="360" w:lineRule="auto"/>
        <w:ind w:left="420" w:leftChars="0"/>
        <w:jc w:val="both"/>
        <w:rPr>
          <w:rFonts w:hint="eastAsia"/>
          <w:lang w:eastAsia="zh-CN"/>
        </w:rPr>
      </w:pPr>
      <w:r>
        <w:rPr>
          <w:rFonts w:hint="eastAsia"/>
          <w:lang w:eastAsia="zh-CN"/>
        </w:rPr>
        <w:t>（</w:t>
      </w:r>
      <w:r>
        <w:rPr>
          <w:rFonts w:hint="eastAsia"/>
          <w:lang w:val="en-US" w:eastAsia="zh-CN"/>
        </w:rPr>
        <w:t>1</w:t>
      </w:r>
      <w:r>
        <w:rPr>
          <w:rFonts w:hint="eastAsia"/>
          <w:lang w:eastAsia="zh-CN"/>
        </w:rPr>
        <w:t>）环境影响评价委托书；</w:t>
      </w:r>
    </w:p>
    <w:p>
      <w:pPr>
        <w:pStyle w:val="8"/>
        <w:widowControl w:val="0"/>
        <w:numPr>
          <w:ilvl w:val="0"/>
          <w:numId w:val="0"/>
        </w:numPr>
        <w:autoSpaceDE w:val="0"/>
        <w:autoSpaceDN w:val="0"/>
        <w:spacing w:line="360" w:lineRule="auto"/>
        <w:ind w:left="420" w:leftChars="0"/>
        <w:jc w:val="both"/>
        <w:rPr>
          <w:rFonts w:hint="eastAsia"/>
          <w:lang w:eastAsia="zh-CN"/>
        </w:rPr>
      </w:pPr>
      <w:r>
        <w:rPr>
          <w:rFonts w:hint="eastAsia"/>
          <w:lang w:eastAsia="zh-CN"/>
        </w:rPr>
        <w:t>（</w:t>
      </w:r>
      <w:r>
        <w:rPr>
          <w:rFonts w:hint="eastAsia"/>
          <w:lang w:val="en-US" w:eastAsia="zh-CN"/>
        </w:rPr>
        <w:t>2</w:t>
      </w:r>
      <w:r>
        <w:rPr>
          <w:rFonts w:hint="eastAsia"/>
          <w:lang w:eastAsia="zh-CN"/>
        </w:rPr>
        <w:t>）建设单位提供的其他相关基础资料。</w:t>
      </w:r>
    </w:p>
    <w:p>
      <w:pPr>
        <w:pStyle w:val="4"/>
      </w:pPr>
      <w:bookmarkStart w:id="18" w:name="_Toc26254"/>
      <w:bookmarkStart w:id="19" w:name="_Toc346282442"/>
      <w:r>
        <w:t>相关规划及环境功能区划</w:t>
      </w:r>
      <w:bookmarkEnd w:id="18"/>
    </w:p>
    <w:p>
      <w:pPr>
        <w:pStyle w:val="5"/>
        <w:ind w:firstLine="562"/>
      </w:pPr>
      <w:r>
        <w:t>地表水环境功能区划</w:t>
      </w:r>
    </w:p>
    <w:p>
      <w:pPr>
        <w:pStyle w:val="9"/>
        <w:rPr>
          <w:rFonts w:hint="eastAsia"/>
          <w:highlight w:val="none"/>
        </w:rPr>
      </w:pPr>
      <w:r>
        <w:rPr>
          <w:rFonts w:hint="eastAsia"/>
        </w:rPr>
        <w:t>本项目位于韶关市</w:t>
      </w:r>
      <w:r>
        <w:rPr>
          <w:rFonts w:hint="eastAsia"/>
          <w:lang w:val="en-US" w:eastAsia="zh-CN"/>
        </w:rPr>
        <w:t>仁化县丹霞街道高联村寨下组</w:t>
      </w:r>
      <w:r>
        <w:rPr>
          <w:rFonts w:hint="eastAsia"/>
        </w:rPr>
        <w:t>，所在地</w:t>
      </w:r>
      <w:r>
        <w:rPr>
          <w:rFonts w:hint="eastAsia"/>
          <w:lang w:eastAsia="zh-CN"/>
        </w:rPr>
        <w:t>水系属北江水系，</w:t>
      </w:r>
      <w:r>
        <w:rPr>
          <w:rFonts w:hint="eastAsia"/>
        </w:rPr>
        <w:t>所在地附近地表水体为</w:t>
      </w:r>
      <w:r>
        <w:rPr>
          <w:rFonts w:hint="eastAsia"/>
          <w:lang w:eastAsia="zh-CN"/>
        </w:rPr>
        <w:t>锦江</w:t>
      </w:r>
      <w:r>
        <w:rPr>
          <w:rFonts w:hint="eastAsia"/>
        </w:rPr>
        <w:t>，根据《广东省地表水环境功能区划》（粤府函</w:t>
      </w:r>
      <w:r>
        <w:rPr>
          <w:rFonts w:hint="eastAsia" w:ascii="宋体" w:hAnsi="宋体" w:eastAsia="宋体" w:cs="宋体"/>
        </w:rPr>
        <w:t>〔</w:t>
      </w:r>
      <w:r>
        <w:rPr>
          <w:rFonts w:hint="eastAsia"/>
        </w:rPr>
        <w:t>2011</w:t>
      </w:r>
      <w:r>
        <w:rPr>
          <w:rFonts w:hint="eastAsia" w:ascii="宋体" w:hAnsi="宋体" w:eastAsia="宋体" w:cs="宋体"/>
        </w:rPr>
        <w:t>〕</w:t>
      </w:r>
      <w:r>
        <w:rPr>
          <w:rFonts w:hint="eastAsia"/>
        </w:rPr>
        <w:t>14号文件），</w:t>
      </w:r>
      <w:r>
        <w:rPr>
          <w:rFonts w:hint="eastAsia"/>
          <w:lang w:eastAsia="zh-CN"/>
        </w:rPr>
        <w:t>锦江</w:t>
      </w:r>
      <w:r>
        <w:rPr>
          <w:rFonts w:hint="eastAsia"/>
        </w:rPr>
        <w:t>水质目标为</w:t>
      </w:r>
      <w:r>
        <w:rPr>
          <w:rFonts w:hint="eastAsia"/>
          <w:lang w:eastAsia="zh-CN"/>
        </w:rPr>
        <w:t>Ⅲ</w:t>
      </w:r>
      <w:r>
        <w:rPr>
          <w:rFonts w:hint="eastAsia"/>
        </w:rPr>
        <w:t>类水，功能现状为综合用水，水环境质量执行《地表水环境质量标准》（GB3838-2002）中的</w:t>
      </w:r>
      <w:r>
        <w:rPr>
          <w:rFonts w:hint="eastAsia"/>
          <w:lang w:eastAsia="zh-CN"/>
        </w:rPr>
        <w:t>Ⅲ</w:t>
      </w:r>
      <w:r>
        <w:rPr>
          <w:rFonts w:hint="eastAsia"/>
        </w:rPr>
        <w:t>类标</w:t>
      </w:r>
      <w:r>
        <w:rPr>
          <w:rFonts w:hint="eastAsia"/>
          <w:highlight w:val="none"/>
        </w:rPr>
        <w:t>准，水系图见图2.3-1。</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textAlignment w:val="auto"/>
        <w:rPr>
          <w:rFonts w:hint="eastAsia"/>
          <w:highlight w:val="yellow"/>
        </w:rPr>
      </w:pPr>
      <w:r>
        <w:rPr>
          <w:sz w:val="21"/>
          <w:szCs w:val="21"/>
        </w:rPr>
        <w:drawing>
          <wp:inline distT="0" distB="0" distL="114300" distR="114300">
            <wp:extent cx="5153025" cy="3401060"/>
            <wp:effectExtent l="19050" t="19050" r="28575" b="27940"/>
            <wp:docPr id="4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1"/>
                    <pic:cNvPicPr>
                      <a:picLocks noChangeAspect="1"/>
                    </pic:cNvPicPr>
                  </pic:nvPicPr>
                  <pic:blipFill>
                    <a:blip r:embed="rId17"/>
                    <a:stretch>
                      <a:fillRect/>
                    </a:stretch>
                  </pic:blipFill>
                  <pic:spPr>
                    <a:xfrm>
                      <a:off x="0" y="0"/>
                      <a:ext cx="5153025" cy="3401060"/>
                    </a:xfrm>
                    <a:prstGeom prst="rect">
                      <a:avLst/>
                    </a:prstGeom>
                    <a:noFill/>
                    <a:ln w="19050">
                      <a:solidFill>
                        <a:schemeClr val="tx1"/>
                      </a:solidFill>
                    </a:ln>
                  </pic:spPr>
                </pic:pic>
              </a:graphicData>
            </a:graphic>
          </wp:inline>
        </w:drawing>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highlight w:val="none"/>
          <w:lang w:val="en-US" w:eastAsia="zh-CN"/>
        </w:rPr>
      </w:pPr>
      <w:r>
        <w:rPr>
          <w:rFonts w:hint="default" w:ascii="Times New Roman" w:hAnsi="Times New Roman" w:eastAsia="宋体" w:cs="Times New Roman"/>
          <w:b/>
          <w:bCs/>
          <w:sz w:val="21"/>
          <w:szCs w:val="21"/>
          <w:highlight w:val="none"/>
          <w:lang w:eastAsia="zh-CN"/>
        </w:rPr>
        <w:t>图</w:t>
      </w:r>
      <w:r>
        <w:rPr>
          <w:rFonts w:hint="default" w:ascii="Times New Roman" w:hAnsi="Times New Roman" w:eastAsia="宋体" w:cs="Times New Roman"/>
          <w:b/>
          <w:bCs/>
          <w:sz w:val="21"/>
          <w:szCs w:val="21"/>
          <w:highlight w:val="none"/>
          <w:lang w:val="en-US" w:eastAsia="zh-CN"/>
        </w:rPr>
        <w:t>2.3-1   项目所在地水系示意图</w:t>
      </w:r>
    </w:p>
    <w:p>
      <w:pPr>
        <w:pStyle w:val="9"/>
        <w:rPr>
          <w:rFonts w:hint="eastAsia"/>
          <w:highlight w:val="yellow"/>
        </w:rPr>
      </w:pPr>
      <w:r>
        <w:rPr>
          <w:rFonts w:hint="eastAsia"/>
        </w:rPr>
        <w:t>根据《韶关市部分饮用水水源保护区调整方案》，项目所在地附近饮用水水源保护区主</w:t>
      </w:r>
      <w:r>
        <w:rPr>
          <w:rFonts w:hint="eastAsia"/>
          <w:color w:val="auto"/>
          <w:highlight w:val="none"/>
        </w:rPr>
        <w:t>要为</w:t>
      </w:r>
      <w:r>
        <w:rPr>
          <w:rFonts w:hint="eastAsia"/>
          <w:color w:val="auto"/>
          <w:highlight w:val="none"/>
          <w:lang w:eastAsia="zh-CN"/>
        </w:rPr>
        <w:t>仁化县高坪水库水源保护区</w:t>
      </w:r>
      <w:r>
        <w:rPr>
          <w:rFonts w:hint="eastAsia"/>
          <w:color w:val="auto"/>
          <w:highlight w:val="none"/>
        </w:rPr>
        <w:t>，距项目约</w:t>
      </w:r>
      <w:r>
        <w:rPr>
          <w:rFonts w:hint="eastAsia"/>
          <w:color w:val="auto"/>
          <w:highlight w:val="none"/>
          <w:lang w:val="en-US" w:eastAsia="zh-CN"/>
        </w:rPr>
        <w:t>4.9</w:t>
      </w:r>
      <w:r>
        <w:rPr>
          <w:rFonts w:hint="eastAsia"/>
          <w:color w:val="auto"/>
          <w:highlight w:val="none"/>
        </w:rPr>
        <w:t>km，项目所在区域不属于饮用水源保护区划分范围内，项目与饮用水源保护区位置关系见图2.3-2。</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textAlignment w:val="auto"/>
        <w:rPr>
          <w:rFonts w:hint="eastAsia"/>
          <w:highlight w:val="yellow"/>
        </w:rPr>
      </w:pPr>
      <w:r>
        <w:rPr>
          <w:sz w:val="21"/>
          <w:szCs w:val="21"/>
        </w:rPr>
        <w:drawing>
          <wp:inline distT="0" distB="0" distL="114300" distR="114300">
            <wp:extent cx="5229225" cy="3477260"/>
            <wp:effectExtent l="19050" t="19050" r="28575" b="27940"/>
            <wp:docPr id="5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3"/>
                    <pic:cNvPicPr>
                      <a:picLocks noChangeAspect="1"/>
                    </pic:cNvPicPr>
                  </pic:nvPicPr>
                  <pic:blipFill>
                    <a:blip r:embed="rId18"/>
                    <a:stretch>
                      <a:fillRect/>
                    </a:stretch>
                  </pic:blipFill>
                  <pic:spPr>
                    <a:xfrm>
                      <a:off x="0" y="0"/>
                      <a:ext cx="5229225" cy="3477260"/>
                    </a:xfrm>
                    <a:prstGeom prst="rect">
                      <a:avLst/>
                    </a:prstGeom>
                    <a:noFill/>
                    <a:ln w="19050">
                      <a:solidFill>
                        <a:schemeClr val="tx1"/>
                      </a:solidFill>
                    </a:ln>
                  </pic:spPr>
                </pic:pic>
              </a:graphicData>
            </a:graphic>
          </wp:inline>
        </w:drawing>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highlight w:val="yellow"/>
        </w:rPr>
      </w:pPr>
      <w:r>
        <w:rPr>
          <w:rFonts w:hint="default" w:ascii="Times New Roman" w:hAnsi="Times New Roman" w:eastAsia="宋体" w:cs="Times New Roman"/>
          <w:b/>
          <w:bCs/>
          <w:color w:val="000000"/>
          <w:sz w:val="21"/>
          <w:szCs w:val="21"/>
        </w:rPr>
        <w:t xml:space="preserve">图2.3-2 </w:t>
      </w:r>
      <w:r>
        <w:rPr>
          <w:rFonts w:hint="eastAsia" w:ascii="Times New Roman" w:hAnsi="Times New Roman" w:cs="Times New Roman"/>
          <w:b/>
          <w:bCs/>
          <w:color w:val="000000"/>
          <w:sz w:val="21"/>
          <w:szCs w:val="21"/>
          <w:lang w:val="en-US" w:eastAsia="zh-CN"/>
        </w:rPr>
        <w:t xml:space="preserve">  </w:t>
      </w:r>
      <w:r>
        <w:rPr>
          <w:rFonts w:hint="default" w:ascii="Times New Roman" w:hAnsi="Times New Roman" w:eastAsia="宋体" w:cs="Times New Roman"/>
          <w:b/>
          <w:bCs/>
          <w:color w:val="000000"/>
          <w:sz w:val="21"/>
          <w:szCs w:val="21"/>
        </w:rPr>
        <w:t>项目所在地饮用水源保护区划图</w:t>
      </w:r>
    </w:p>
    <w:p>
      <w:pPr>
        <w:pStyle w:val="5"/>
        <w:ind w:firstLine="562"/>
      </w:pPr>
      <w:r>
        <w:t>地</w:t>
      </w:r>
      <w:r>
        <w:rPr>
          <w:rFonts w:hint="eastAsia"/>
          <w:lang w:eastAsia="zh-CN"/>
        </w:rPr>
        <w:t>下</w:t>
      </w:r>
      <w:r>
        <w:t>水环境功能区划</w:t>
      </w:r>
    </w:p>
    <w:p>
      <w:pPr>
        <w:pStyle w:val="9"/>
        <w:rPr>
          <w:rFonts w:hint="eastAsia"/>
          <w:highlight w:val="none"/>
        </w:rPr>
      </w:pPr>
      <w:r>
        <w:rPr>
          <w:rFonts w:hint="eastAsia"/>
        </w:rPr>
        <w:t>根据《广东省地下水功能区划》，粤办函</w:t>
      </w:r>
      <w:r>
        <w:rPr>
          <w:rFonts w:hint="eastAsia" w:ascii="宋体" w:hAnsi="宋体" w:eastAsia="宋体" w:cs="宋体"/>
        </w:rPr>
        <w:t>〔</w:t>
      </w:r>
      <w:r>
        <w:rPr>
          <w:rFonts w:hint="eastAsia"/>
        </w:rPr>
        <w:t>2009</w:t>
      </w:r>
      <w:r>
        <w:rPr>
          <w:rFonts w:hint="eastAsia" w:ascii="宋体" w:hAnsi="宋体" w:eastAsia="宋体" w:cs="宋体"/>
        </w:rPr>
        <w:t>〕</w:t>
      </w:r>
      <w:r>
        <w:rPr>
          <w:rFonts w:hint="eastAsia"/>
        </w:rPr>
        <w:t>459号（2009年8月），项目位于韶关市</w:t>
      </w:r>
      <w:r>
        <w:rPr>
          <w:rFonts w:hint="eastAsia"/>
          <w:lang w:val="en-US" w:eastAsia="zh-CN"/>
        </w:rPr>
        <w:t>仁化县</w:t>
      </w:r>
      <w:r>
        <w:rPr>
          <w:rFonts w:hint="eastAsia"/>
        </w:rPr>
        <w:t>，</w:t>
      </w:r>
      <w:r>
        <w:rPr>
          <w:rFonts w:hint="eastAsia"/>
          <w:highlight w:val="none"/>
        </w:rPr>
        <w:t>为“北江韶关</w:t>
      </w:r>
      <w:r>
        <w:rPr>
          <w:rFonts w:hint="eastAsia"/>
          <w:highlight w:val="none"/>
          <w:lang w:eastAsia="zh-CN"/>
        </w:rPr>
        <w:t>仁化地下水水源涵养</w:t>
      </w:r>
      <w:r>
        <w:rPr>
          <w:rFonts w:hint="eastAsia"/>
          <w:highlight w:val="none"/>
        </w:rPr>
        <w:t>区”（H05440200</w:t>
      </w:r>
      <w:r>
        <w:rPr>
          <w:rFonts w:hint="eastAsia"/>
          <w:highlight w:val="none"/>
          <w:lang w:val="en-US" w:eastAsia="zh-CN"/>
        </w:rPr>
        <w:t>2T</w:t>
      </w:r>
      <w:r>
        <w:rPr>
          <w:rFonts w:hint="eastAsia"/>
          <w:highlight w:val="none"/>
        </w:rPr>
        <w:t>0</w:t>
      </w:r>
      <w:r>
        <w:rPr>
          <w:rFonts w:hint="eastAsia"/>
          <w:highlight w:val="none"/>
          <w:lang w:val="en-US" w:eastAsia="zh-CN"/>
        </w:rPr>
        <w:t>3</w:t>
      </w:r>
      <w:r>
        <w:rPr>
          <w:rFonts w:hint="eastAsia"/>
          <w:highlight w:val="none"/>
        </w:rPr>
        <w:t>），</w:t>
      </w:r>
      <w:r>
        <w:rPr>
          <w:rFonts w:hint="eastAsia"/>
        </w:rPr>
        <w:t>地下</w:t>
      </w:r>
      <w:r>
        <w:rPr>
          <w:rFonts w:hint="eastAsia"/>
          <w:highlight w:val="none"/>
        </w:rPr>
        <w:t>水类型为</w:t>
      </w:r>
      <w:r>
        <w:rPr>
          <w:rFonts w:hint="eastAsia"/>
          <w:highlight w:val="none"/>
          <w:lang w:eastAsia="zh-CN"/>
        </w:rPr>
        <w:t>裂隙水</w:t>
      </w:r>
      <w:r>
        <w:rPr>
          <w:rFonts w:hint="eastAsia"/>
          <w:highlight w:val="none"/>
        </w:rPr>
        <w:t>，开采水位</w:t>
      </w:r>
      <w:r>
        <w:rPr>
          <w:rFonts w:hint="eastAsia"/>
          <w:highlight w:val="none"/>
          <w:lang w:eastAsia="zh-CN"/>
        </w:rPr>
        <w:t>维持着较高的地下水水位</w:t>
      </w:r>
      <w:r>
        <w:rPr>
          <w:rFonts w:hint="eastAsia"/>
          <w:highlight w:val="none"/>
        </w:rPr>
        <w:t>。地下水质类别为Ⅲ类。地下水环境功能区划见图2.3-3。</w:t>
      </w:r>
    </w:p>
    <w:p>
      <w:pPr>
        <w:pStyle w:val="9"/>
        <w:ind w:left="0" w:leftChars="0" w:firstLine="0" w:firstLineChars="0"/>
        <w:rPr>
          <w:rFonts w:hint="eastAsia"/>
          <w:highlight w:val="yellow"/>
        </w:rPr>
      </w:pPr>
      <w:r>
        <w:drawing>
          <wp:inline distT="0" distB="0" distL="114300" distR="114300">
            <wp:extent cx="5219700" cy="3077845"/>
            <wp:effectExtent l="19050" t="19050" r="19050" b="27305"/>
            <wp:docPr id="5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4"/>
                    <pic:cNvPicPr>
                      <a:picLocks noChangeAspect="1"/>
                    </pic:cNvPicPr>
                  </pic:nvPicPr>
                  <pic:blipFill>
                    <a:blip r:embed="rId19"/>
                    <a:stretch>
                      <a:fillRect/>
                    </a:stretch>
                  </pic:blipFill>
                  <pic:spPr>
                    <a:xfrm>
                      <a:off x="0" y="0"/>
                      <a:ext cx="5219700" cy="3077845"/>
                    </a:xfrm>
                    <a:prstGeom prst="rect">
                      <a:avLst/>
                    </a:prstGeom>
                    <a:noFill/>
                    <a:ln w="19050">
                      <a:solidFill>
                        <a:schemeClr val="tx1"/>
                      </a:solidFill>
                    </a:ln>
                  </pic:spPr>
                </pic:pic>
              </a:graphicData>
            </a:graphic>
          </wp:inline>
        </w:drawing>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highlight w:val="none"/>
        </w:rPr>
      </w:pPr>
      <w:r>
        <w:rPr>
          <w:rFonts w:hint="default" w:ascii="Times New Roman" w:hAnsi="Times New Roman" w:eastAsia="宋体" w:cs="Times New Roman"/>
          <w:b/>
          <w:bCs/>
          <w:sz w:val="21"/>
          <w:szCs w:val="21"/>
          <w:highlight w:val="none"/>
        </w:rPr>
        <w:t xml:space="preserve">图2.3-3 </w:t>
      </w:r>
      <w:r>
        <w:rPr>
          <w:rFonts w:hint="default" w:ascii="Times New Roman" w:hAnsi="Times New Roman" w:eastAsia="宋体" w:cs="Times New Roman"/>
          <w:b/>
          <w:bCs/>
          <w:sz w:val="21"/>
          <w:szCs w:val="21"/>
          <w:highlight w:val="none"/>
          <w:lang w:val="en-US" w:eastAsia="zh-CN"/>
        </w:rPr>
        <w:t xml:space="preserve">  </w:t>
      </w:r>
      <w:r>
        <w:rPr>
          <w:rFonts w:hint="default" w:ascii="Times New Roman" w:hAnsi="Times New Roman" w:eastAsia="宋体" w:cs="Times New Roman"/>
          <w:b/>
          <w:bCs/>
          <w:sz w:val="21"/>
          <w:szCs w:val="21"/>
          <w:highlight w:val="none"/>
        </w:rPr>
        <w:t>项目所在地地下水环境功能区划图</w:t>
      </w:r>
    </w:p>
    <w:p>
      <w:pPr>
        <w:pStyle w:val="5"/>
        <w:ind w:firstLine="562"/>
      </w:pPr>
      <w:r>
        <w:t>环境</w:t>
      </w:r>
      <w:r>
        <w:rPr>
          <w:rFonts w:hint="eastAsia"/>
          <w:lang w:eastAsia="zh-CN"/>
        </w:rPr>
        <w:t>空气</w:t>
      </w:r>
      <w:r>
        <w:t>功能区划</w:t>
      </w:r>
    </w:p>
    <w:p>
      <w:pPr>
        <w:pStyle w:val="9"/>
        <w:rPr>
          <w:rFonts w:hint="eastAsia"/>
        </w:rPr>
      </w:pPr>
      <w:r>
        <w:rPr>
          <w:rFonts w:hint="eastAsia"/>
        </w:rPr>
        <w:t>根据《韶关市环境保护规划纲要》（2006~2020年）指出，按照《环境空气质量标准》（GB3095-2012及2018年修改单）的有关规定，本项目位于</w:t>
      </w:r>
      <w:r>
        <w:rPr>
          <w:rFonts w:hint="eastAsia"/>
          <w:lang w:val="en-US" w:eastAsia="zh-CN"/>
        </w:rPr>
        <w:t>韶关市仁化县丹霞街道高联村</w:t>
      </w:r>
      <w:r>
        <w:rPr>
          <w:rFonts w:hint="eastAsia"/>
          <w:lang w:eastAsia="zh-CN"/>
        </w:rPr>
        <w:t>。</w:t>
      </w:r>
      <w:r>
        <w:rPr>
          <w:rFonts w:hint="eastAsia"/>
        </w:rPr>
        <w:t>根据《韶关市环境保护规划纲要》（2006~2020年）（韶府办</w:t>
      </w:r>
      <w:r>
        <w:rPr>
          <w:rFonts w:hint="eastAsia" w:ascii="宋体" w:hAnsi="宋体" w:eastAsia="宋体" w:cs="宋体"/>
        </w:rPr>
        <w:t>〔</w:t>
      </w:r>
      <w:r>
        <w:rPr>
          <w:rFonts w:hint="eastAsia"/>
        </w:rPr>
        <w:t>2008</w:t>
      </w:r>
      <w:r>
        <w:rPr>
          <w:rFonts w:hint="eastAsia" w:ascii="宋体" w:hAnsi="宋体" w:eastAsia="宋体" w:cs="宋体"/>
        </w:rPr>
        <w:t>〕</w:t>
      </w:r>
      <w:r>
        <w:rPr>
          <w:rFonts w:hint="eastAsia"/>
        </w:rPr>
        <w:t>210号），项目区域大气环境质量功能区划属二类区， 执行《环境空气质量标准》（GB3095-2012）及2018年修改单二级标准。</w:t>
      </w:r>
    </w:p>
    <w:p>
      <w:pPr>
        <w:pStyle w:val="9"/>
        <w:ind w:left="0" w:leftChars="0" w:firstLine="0" w:firstLineChars="0"/>
      </w:pPr>
      <w:r>
        <w:drawing>
          <wp:inline distT="0" distB="0" distL="114300" distR="114300">
            <wp:extent cx="5269865" cy="4403090"/>
            <wp:effectExtent l="0" t="0" r="6985" b="16510"/>
            <wp:docPr id="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6"/>
                    <pic:cNvPicPr>
                      <a:picLocks noChangeAspect="1"/>
                    </pic:cNvPicPr>
                  </pic:nvPicPr>
                  <pic:blipFill>
                    <a:blip r:embed="rId20"/>
                    <a:stretch>
                      <a:fillRect/>
                    </a:stretch>
                  </pic:blipFill>
                  <pic:spPr>
                    <a:xfrm>
                      <a:off x="0" y="0"/>
                      <a:ext cx="5269865" cy="4403090"/>
                    </a:xfrm>
                    <a:prstGeom prst="rect">
                      <a:avLst/>
                    </a:prstGeom>
                    <a:noFill/>
                    <a:ln>
                      <a:noFill/>
                    </a:ln>
                  </pic:spPr>
                </pic:pic>
              </a:graphicData>
            </a:graphic>
          </wp:inline>
        </w:drawing>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highlight w:val="none"/>
        </w:rPr>
      </w:pPr>
      <w:r>
        <w:rPr>
          <w:rFonts w:hint="default" w:ascii="Times New Roman" w:hAnsi="Times New Roman" w:eastAsia="宋体" w:cs="Times New Roman"/>
          <w:b/>
          <w:bCs/>
          <w:sz w:val="21"/>
          <w:szCs w:val="21"/>
          <w:highlight w:val="none"/>
        </w:rPr>
        <w:t>图2.3-</w:t>
      </w:r>
      <w:r>
        <w:rPr>
          <w:rFonts w:hint="eastAsia" w:cs="Times New Roman"/>
          <w:b/>
          <w:bCs/>
          <w:sz w:val="21"/>
          <w:szCs w:val="21"/>
          <w:highlight w:val="none"/>
          <w:lang w:val="en-US" w:eastAsia="zh-CN"/>
        </w:rPr>
        <w:t>4</w:t>
      </w:r>
      <w:r>
        <w:rPr>
          <w:rFonts w:hint="default" w:ascii="Times New Roman" w:hAnsi="Times New Roman" w:eastAsia="宋体" w:cs="Times New Roman"/>
          <w:b/>
          <w:bCs/>
          <w:sz w:val="21"/>
          <w:szCs w:val="21"/>
          <w:highlight w:val="none"/>
        </w:rPr>
        <w:t xml:space="preserve"> </w:t>
      </w:r>
      <w:r>
        <w:rPr>
          <w:rFonts w:hint="default" w:ascii="Times New Roman" w:hAnsi="Times New Roman" w:eastAsia="宋体" w:cs="Times New Roman"/>
          <w:b/>
          <w:bCs/>
          <w:sz w:val="21"/>
          <w:szCs w:val="21"/>
          <w:highlight w:val="none"/>
          <w:lang w:val="en-US" w:eastAsia="zh-CN"/>
        </w:rPr>
        <w:t xml:space="preserve">  </w:t>
      </w:r>
      <w:r>
        <w:rPr>
          <w:rFonts w:hint="default" w:ascii="Times New Roman" w:hAnsi="Times New Roman" w:eastAsia="宋体" w:cs="Times New Roman"/>
          <w:b/>
          <w:bCs/>
          <w:sz w:val="21"/>
          <w:szCs w:val="21"/>
          <w:highlight w:val="none"/>
        </w:rPr>
        <w:t>项目所在地</w:t>
      </w:r>
      <w:r>
        <w:rPr>
          <w:rFonts w:hint="eastAsia" w:cs="Times New Roman"/>
          <w:b/>
          <w:bCs/>
          <w:sz w:val="21"/>
          <w:szCs w:val="21"/>
          <w:highlight w:val="none"/>
          <w:lang w:eastAsia="zh-CN"/>
        </w:rPr>
        <w:t>环境空气</w:t>
      </w:r>
      <w:r>
        <w:rPr>
          <w:rFonts w:hint="default" w:ascii="Times New Roman" w:hAnsi="Times New Roman" w:eastAsia="宋体" w:cs="Times New Roman"/>
          <w:b/>
          <w:bCs/>
          <w:sz w:val="21"/>
          <w:szCs w:val="21"/>
          <w:highlight w:val="none"/>
        </w:rPr>
        <w:t>功能区划图</w:t>
      </w:r>
    </w:p>
    <w:p>
      <w:pPr>
        <w:pStyle w:val="5"/>
        <w:ind w:firstLine="562"/>
      </w:pPr>
      <w:r>
        <w:t>声环境功能区划</w:t>
      </w:r>
    </w:p>
    <w:p>
      <w:pPr>
        <w:pStyle w:val="9"/>
        <w:rPr>
          <w:rFonts w:hint="eastAsia"/>
        </w:rPr>
      </w:pPr>
      <w:r>
        <w:rPr>
          <w:rFonts w:hint="eastAsia"/>
        </w:rPr>
        <w:t>本项目位于韶关市</w:t>
      </w:r>
      <w:r>
        <w:rPr>
          <w:rFonts w:hint="eastAsia"/>
          <w:lang w:val="en-US" w:eastAsia="zh-CN"/>
        </w:rPr>
        <w:t>仁化县丹霞街道高联村寨下组</w:t>
      </w:r>
      <w:r>
        <w:rPr>
          <w:rFonts w:hint="eastAsia"/>
        </w:rPr>
        <w:t>，周边没有工业企业，属于典型的农村地区， 声环境执行《声环境质量标准》（GB 3096-2008）所规定的1类区标准，即昼间≤55dB（A），夜间≤45dB（A）。</w:t>
      </w:r>
    </w:p>
    <w:p>
      <w:pPr>
        <w:pStyle w:val="5"/>
        <w:ind w:firstLine="562"/>
      </w:pPr>
      <w:r>
        <w:rPr>
          <w:rFonts w:hint="eastAsia"/>
          <w:lang w:eastAsia="zh-CN"/>
        </w:rPr>
        <w:t>生态</w:t>
      </w:r>
      <w:r>
        <w:t>环境功能区划</w:t>
      </w:r>
    </w:p>
    <w:p>
      <w:pPr>
        <w:pStyle w:val="9"/>
        <w:rPr>
          <w:rFonts w:hint="eastAsia"/>
          <w:highlight w:val="none"/>
        </w:rPr>
      </w:pPr>
      <w:r>
        <w:rPr>
          <w:rFonts w:hint="eastAsia"/>
        </w:rPr>
        <w:t>根据《广东省环境保护规划纲要（2006-2020）》中的广东省生态功能区划，</w:t>
      </w:r>
      <w:r>
        <w:rPr>
          <w:rFonts w:hint="eastAsia"/>
          <w:highlight w:val="none"/>
        </w:rPr>
        <w:t>本项目所在地属于集约利用区，如图2.3-</w:t>
      </w:r>
      <w:r>
        <w:rPr>
          <w:rFonts w:hint="eastAsia"/>
          <w:highlight w:val="none"/>
          <w:lang w:val="en-US" w:eastAsia="zh-CN"/>
        </w:rPr>
        <w:t>5</w:t>
      </w:r>
      <w:r>
        <w:rPr>
          <w:rFonts w:hint="eastAsia"/>
          <w:highlight w:val="none"/>
        </w:rPr>
        <w:t>所示。</w:t>
      </w:r>
    </w:p>
    <w:p>
      <w:pPr>
        <w:pStyle w:val="9"/>
        <w:ind w:left="0" w:leftChars="0" w:firstLine="0" w:firstLineChars="0"/>
        <w:rPr>
          <w:rFonts w:hint="eastAsia"/>
        </w:rPr>
      </w:pPr>
      <w:r>
        <w:drawing>
          <wp:inline distT="0" distB="0" distL="114300" distR="114300">
            <wp:extent cx="5210175" cy="3029585"/>
            <wp:effectExtent l="19050" t="19050" r="28575" b="37465"/>
            <wp:docPr id="5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5"/>
                    <pic:cNvPicPr>
                      <a:picLocks noChangeAspect="1"/>
                    </pic:cNvPicPr>
                  </pic:nvPicPr>
                  <pic:blipFill>
                    <a:blip r:embed="rId21"/>
                    <a:stretch>
                      <a:fillRect/>
                    </a:stretch>
                  </pic:blipFill>
                  <pic:spPr>
                    <a:xfrm>
                      <a:off x="0" y="0"/>
                      <a:ext cx="5210175" cy="3029585"/>
                    </a:xfrm>
                    <a:prstGeom prst="rect">
                      <a:avLst/>
                    </a:prstGeom>
                    <a:noFill/>
                    <a:ln w="19050">
                      <a:solidFill>
                        <a:schemeClr val="tx1"/>
                      </a:solidFill>
                    </a:ln>
                  </pic:spPr>
                </pic:pic>
              </a:graphicData>
            </a:graphic>
          </wp:inline>
        </w:drawing>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rPr>
      </w:pPr>
      <w:r>
        <w:rPr>
          <w:rFonts w:hint="eastAsia" w:ascii="宋体" w:hAnsi="宋体" w:eastAsia="宋体"/>
          <w:b/>
          <w:bCs/>
          <w:color w:val="000000"/>
          <w:sz w:val="21"/>
          <w:szCs w:val="21"/>
        </w:rPr>
        <w:t>图</w:t>
      </w:r>
      <w:r>
        <w:rPr>
          <w:rFonts w:hint="eastAsia" w:ascii="Times New Roman" w:hAnsi="Times New Roman" w:eastAsia="Times New Roman"/>
          <w:b/>
          <w:bCs/>
          <w:color w:val="000000"/>
          <w:sz w:val="21"/>
          <w:szCs w:val="21"/>
        </w:rPr>
        <w:t>2.3-</w:t>
      </w:r>
      <w:r>
        <w:rPr>
          <w:rFonts w:hint="eastAsia" w:eastAsia="宋体"/>
          <w:b/>
          <w:bCs/>
          <w:color w:val="000000"/>
          <w:sz w:val="21"/>
          <w:szCs w:val="21"/>
          <w:lang w:val="en-US" w:eastAsia="zh-CN"/>
        </w:rPr>
        <w:t>5</w:t>
      </w:r>
      <w:r>
        <w:rPr>
          <w:rFonts w:hint="eastAsia" w:ascii="Times New Roman" w:hAnsi="Times New Roman" w:eastAsia="Times New Roman"/>
          <w:b/>
          <w:bCs/>
          <w:color w:val="000000"/>
          <w:sz w:val="21"/>
          <w:szCs w:val="21"/>
        </w:rPr>
        <w:t xml:space="preserve"> </w:t>
      </w:r>
      <w:r>
        <w:rPr>
          <w:rFonts w:hint="eastAsia"/>
          <w:b/>
          <w:bCs/>
          <w:color w:val="000000"/>
          <w:sz w:val="21"/>
          <w:szCs w:val="21"/>
          <w:lang w:val="en-US" w:eastAsia="zh-CN"/>
        </w:rPr>
        <w:t xml:space="preserve"> </w:t>
      </w:r>
      <w:r>
        <w:rPr>
          <w:rFonts w:hint="eastAsia" w:ascii="宋体" w:hAnsi="宋体" w:eastAsia="宋体"/>
          <w:b/>
          <w:bCs/>
          <w:color w:val="000000"/>
          <w:sz w:val="21"/>
          <w:szCs w:val="21"/>
        </w:rPr>
        <w:t>项目所在地生态环境功能区划图</w:t>
      </w:r>
    </w:p>
    <w:p>
      <w:pPr>
        <w:pStyle w:val="4"/>
      </w:pPr>
      <w:bookmarkStart w:id="20" w:name="_Toc642"/>
      <w:r>
        <w:t>环境影响识别与评价因子筛选</w:t>
      </w:r>
      <w:bookmarkEnd w:id="20"/>
    </w:p>
    <w:p>
      <w:pPr>
        <w:pStyle w:val="5"/>
        <w:ind w:firstLine="562"/>
      </w:pPr>
      <w:r>
        <w:t>主要环境影响识别</w:t>
      </w:r>
    </w:p>
    <w:p>
      <w:pPr>
        <w:pStyle w:val="8"/>
        <w:rPr>
          <w:rFonts w:hint="eastAsia"/>
          <w:szCs w:val="21"/>
        </w:rPr>
      </w:pPr>
      <w:r>
        <w:rPr>
          <w:rFonts w:hint="eastAsia"/>
          <w:szCs w:val="21"/>
        </w:rPr>
        <w:t>根据本项目的工程特点，通过分析识别环境因素，见表2.4-1，并依据污染物排放量的大小等，筛选本次评价的各项评价因子。</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 xml:space="preserve">表2.4-1 </w:t>
      </w:r>
      <w:r>
        <w:rPr>
          <w:rFonts w:hint="eastAsia" w:ascii="Times New Roman" w:hAnsi="Times New Roman" w:cs="Times New Roman"/>
          <w:b/>
          <w:bCs/>
          <w:sz w:val="21"/>
          <w:szCs w:val="21"/>
          <w:lang w:val="en-US" w:eastAsia="zh-CN"/>
        </w:rPr>
        <w:t xml:space="preserve">  </w:t>
      </w:r>
      <w:r>
        <w:rPr>
          <w:rFonts w:hint="default" w:ascii="Times New Roman" w:hAnsi="Times New Roman" w:eastAsia="宋体" w:cs="Times New Roman"/>
          <w:b/>
          <w:bCs/>
          <w:sz w:val="21"/>
          <w:szCs w:val="21"/>
        </w:rPr>
        <w:t xml:space="preserve"> 环境影响因子识别表</w:t>
      </w:r>
    </w:p>
    <w:tbl>
      <w:tblPr>
        <w:tblStyle w:val="63"/>
        <w:tblW w:w="4998"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Layout w:type="autofit"/>
        <w:tblCellMar>
          <w:top w:w="0" w:type="dxa"/>
          <w:left w:w="0" w:type="dxa"/>
          <w:bottom w:w="0" w:type="dxa"/>
          <w:right w:w="0" w:type="dxa"/>
        </w:tblCellMar>
      </w:tblPr>
      <w:tblGrid>
        <w:gridCol w:w="1137"/>
        <w:gridCol w:w="673"/>
        <w:gridCol w:w="492"/>
        <w:gridCol w:w="553"/>
        <w:gridCol w:w="518"/>
        <w:gridCol w:w="492"/>
        <w:gridCol w:w="570"/>
        <w:gridCol w:w="537"/>
        <w:gridCol w:w="583"/>
        <w:gridCol w:w="603"/>
        <w:gridCol w:w="522"/>
        <w:gridCol w:w="522"/>
        <w:gridCol w:w="568"/>
        <w:gridCol w:w="533"/>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41" w:hRule="atLeast"/>
          <w:jc w:val="center"/>
        </w:trPr>
        <w:tc>
          <w:tcPr>
            <w:tcW w:w="684" w:type="pct"/>
            <w:vMerge w:val="restart"/>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工程行为</w:t>
            </w:r>
          </w:p>
        </w:tc>
        <w:tc>
          <w:tcPr>
            <w:tcW w:w="1346" w:type="pct"/>
            <w:gridSpan w:val="4"/>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自然环境</w:t>
            </w:r>
          </w:p>
        </w:tc>
        <w:tc>
          <w:tcPr>
            <w:tcW w:w="296" w:type="pct"/>
            <w:vMerge w:val="restart"/>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农作物</w:t>
            </w:r>
          </w:p>
        </w:tc>
        <w:tc>
          <w:tcPr>
            <w:tcW w:w="1380" w:type="pct"/>
            <w:gridSpan w:val="4"/>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社会经济</w:t>
            </w:r>
          </w:p>
        </w:tc>
        <w:tc>
          <w:tcPr>
            <w:tcW w:w="1291" w:type="pct"/>
            <w:gridSpan w:val="4"/>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人文资源</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590" w:hRule="atLeast"/>
          <w:jc w:val="center"/>
        </w:trPr>
        <w:tc>
          <w:tcPr>
            <w:tcW w:w="684" w:type="pct"/>
            <w:vMerge w:val="continue"/>
            <w:tcBorders>
              <w:bottom w:val="single" w:color="000000" w:sz="12"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p>
        </w:tc>
        <w:tc>
          <w:tcPr>
            <w:tcW w:w="405"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大气</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环境</w:t>
            </w:r>
          </w:p>
        </w:tc>
        <w:tc>
          <w:tcPr>
            <w:tcW w:w="296"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水环</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w w:val="100"/>
                <w:sz w:val="18"/>
                <w:szCs w:val="18"/>
              </w:rPr>
              <w:t>境</w:t>
            </w:r>
          </w:p>
        </w:tc>
        <w:tc>
          <w:tcPr>
            <w:tcW w:w="333"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土壤环境</w:t>
            </w:r>
          </w:p>
        </w:tc>
        <w:tc>
          <w:tcPr>
            <w:tcW w:w="311"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声环境</w:t>
            </w:r>
          </w:p>
        </w:tc>
        <w:tc>
          <w:tcPr>
            <w:tcW w:w="296" w:type="pct"/>
            <w:vMerge w:val="continue"/>
            <w:tcBorders>
              <w:bottom w:val="single" w:color="000000" w:sz="12"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p>
        </w:tc>
        <w:tc>
          <w:tcPr>
            <w:tcW w:w="343"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土地</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利用</w:t>
            </w:r>
          </w:p>
        </w:tc>
        <w:tc>
          <w:tcPr>
            <w:tcW w:w="323"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工业发展</w:t>
            </w:r>
          </w:p>
        </w:tc>
        <w:tc>
          <w:tcPr>
            <w:tcW w:w="351"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农业</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发展</w:t>
            </w:r>
          </w:p>
        </w:tc>
        <w:tc>
          <w:tcPr>
            <w:tcW w:w="363"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基础</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设施</w:t>
            </w:r>
          </w:p>
        </w:tc>
        <w:tc>
          <w:tcPr>
            <w:tcW w:w="314"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自然风景</w:t>
            </w:r>
          </w:p>
        </w:tc>
        <w:tc>
          <w:tcPr>
            <w:tcW w:w="314"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环境美学</w:t>
            </w:r>
          </w:p>
        </w:tc>
        <w:tc>
          <w:tcPr>
            <w:tcW w:w="342"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公众</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健康</w:t>
            </w:r>
          </w:p>
        </w:tc>
        <w:tc>
          <w:tcPr>
            <w:tcW w:w="320"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18"/>
                <w:szCs w:val="18"/>
              </w:rPr>
            </w:pPr>
            <w:r>
              <w:rPr>
                <w:rFonts w:hint="default" w:ascii="Times New Roman" w:hAnsi="Times New Roman" w:eastAsia="宋体" w:cs="Times New Roman"/>
                <w:b w:val="0"/>
                <w:bCs/>
                <w:sz w:val="18"/>
                <w:szCs w:val="18"/>
              </w:rPr>
              <w:t>生活水平</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77" w:hRule="atLeast"/>
          <w:jc w:val="center"/>
        </w:trPr>
        <w:tc>
          <w:tcPr>
            <w:tcW w:w="684"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大气污染物</w:t>
            </w:r>
          </w:p>
        </w:tc>
        <w:tc>
          <w:tcPr>
            <w:tcW w:w="405"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-2L↑</w:t>
            </w:r>
          </w:p>
        </w:tc>
        <w:tc>
          <w:tcPr>
            <w:tcW w:w="296"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33"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1"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296"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-1L↓</w:t>
            </w:r>
          </w:p>
        </w:tc>
        <w:tc>
          <w:tcPr>
            <w:tcW w:w="343"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23"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-1L↑</w:t>
            </w:r>
          </w:p>
        </w:tc>
        <w:tc>
          <w:tcPr>
            <w:tcW w:w="351"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-1L↑</w:t>
            </w:r>
          </w:p>
        </w:tc>
        <w:tc>
          <w:tcPr>
            <w:tcW w:w="363"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-1L↓</w:t>
            </w:r>
          </w:p>
        </w:tc>
        <w:tc>
          <w:tcPr>
            <w:tcW w:w="314"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-1L↓</w:t>
            </w:r>
          </w:p>
        </w:tc>
        <w:tc>
          <w:tcPr>
            <w:tcW w:w="314"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-1L↓</w:t>
            </w:r>
          </w:p>
        </w:tc>
        <w:tc>
          <w:tcPr>
            <w:tcW w:w="342"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-1L↑</w:t>
            </w:r>
          </w:p>
        </w:tc>
        <w:tc>
          <w:tcPr>
            <w:tcW w:w="320"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298" w:hRule="atLeast"/>
          <w:jc w:val="center"/>
        </w:trPr>
        <w:tc>
          <w:tcPr>
            <w:tcW w:w="68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水污染</w:t>
            </w:r>
            <w:r>
              <w:rPr>
                <w:rFonts w:hint="default" w:ascii="Times New Roman" w:hAnsi="Times New Roman" w:eastAsia="宋体" w:cs="Times New Roman"/>
                <w:w w:val="100"/>
                <w:sz w:val="18"/>
                <w:szCs w:val="18"/>
              </w:rPr>
              <w:t>物</w:t>
            </w:r>
          </w:p>
        </w:tc>
        <w:tc>
          <w:tcPr>
            <w:tcW w:w="405"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296"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-1S↑</w:t>
            </w:r>
          </w:p>
        </w:tc>
        <w:tc>
          <w:tcPr>
            <w:tcW w:w="33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-2L↑</w:t>
            </w:r>
          </w:p>
        </w:tc>
        <w:tc>
          <w:tcPr>
            <w:tcW w:w="31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296"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-1S↑</w:t>
            </w:r>
          </w:p>
        </w:tc>
        <w:tc>
          <w:tcPr>
            <w:tcW w:w="34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-1S↑</w:t>
            </w:r>
          </w:p>
        </w:tc>
        <w:tc>
          <w:tcPr>
            <w:tcW w:w="32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5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-1S↑</w:t>
            </w:r>
          </w:p>
        </w:tc>
        <w:tc>
          <w:tcPr>
            <w:tcW w:w="36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42"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-1S↑</w:t>
            </w:r>
          </w:p>
        </w:tc>
        <w:tc>
          <w:tcPr>
            <w:tcW w:w="320"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79" w:hRule="atLeast"/>
          <w:jc w:val="center"/>
        </w:trPr>
        <w:tc>
          <w:tcPr>
            <w:tcW w:w="68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固体废</w:t>
            </w:r>
            <w:r>
              <w:rPr>
                <w:rFonts w:hint="default" w:ascii="Times New Roman" w:hAnsi="Times New Roman" w:eastAsia="宋体" w:cs="Times New Roman"/>
                <w:w w:val="100"/>
                <w:sz w:val="18"/>
                <w:szCs w:val="18"/>
              </w:rPr>
              <w:t>物</w:t>
            </w:r>
          </w:p>
        </w:tc>
        <w:tc>
          <w:tcPr>
            <w:tcW w:w="405"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296"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3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-1S↑</w:t>
            </w:r>
          </w:p>
        </w:tc>
        <w:tc>
          <w:tcPr>
            <w:tcW w:w="31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296"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4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-1S↑</w:t>
            </w:r>
          </w:p>
        </w:tc>
        <w:tc>
          <w:tcPr>
            <w:tcW w:w="32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5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6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-1S↑</w:t>
            </w:r>
          </w:p>
        </w:tc>
        <w:tc>
          <w:tcPr>
            <w:tcW w:w="31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42"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20"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254" w:hRule="atLeast"/>
          <w:jc w:val="center"/>
        </w:trPr>
        <w:tc>
          <w:tcPr>
            <w:tcW w:w="68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w w:val="100"/>
                <w:sz w:val="18"/>
                <w:szCs w:val="18"/>
              </w:rPr>
              <w:t>噪声</w:t>
            </w:r>
          </w:p>
        </w:tc>
        <w:tc>
          <w:tcPr>
            <w:tcW w:w="405"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296"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3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-2L↑</w:t>
            </w:r>
          </w:p>
        </w:tc>
        <w:tc>
          <w:tcPr>
            <w:tcW w:w="296"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4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2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5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6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42"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-1L↓</w:t>
            </w:r>
          </w:p>
        </w:tc>
        <w:tc>
          <w:tcPr>
            <w:tcW w:w="320"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31" w:hRule="atLeast"/>
          <w:jc w:val="center"/>
        </w:trPr>
        <w:tc>
          <w:tcPr>
            <w:tcW w:w="68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资源利</w:t>
            </w:r>
            <w:r>
              <w:rPr>
                <w:rFonts w:hint="default" w:ascii="Times New Roman" w:hAnsi="Times New Roman" w:eastAsia="宋体" w:cs="Times New Roman"/>
                <w:w w:val="100"/>
                <w:sz w:val="18"/>
                <w:szCs w:val="18"/>
              </w:rPr>
              <w:t>用</w:t>
            </w:r>
          </w:p>
        </w:tc>
        <w:tc>
          <w:tcPr>
            <w:tcW w:w="405"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296"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3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296"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4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2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+2L↑</w:t>
            </w:r>
          </w:p>
        </w:tc>
        <w:tc>
          <w:tcPr>
            <w:tcW w:w="35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+1L↑</w:t>
            </w:r>
          </w:p>
        </w:tc>
        <w:tc>
          <w:tcPr>
            <w:tcW w:w="36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42"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20"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299" w:hRule="atLeast"/>
          <w:jc w:val="center"/>
        </w:trPr>
        <w:tc>
          <w:tcPr>
            <w:tcW w:w="68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产品销</w:t>
            </w:r>
            <w:r>
              <w:rPr>
                <w:rFonts w:hint="default" w:ascii="Times New Roman" w:hAnsi="Times New Roman" w:eastAsia="宋体" w:cs="Times New Roman"/>
                <w:w w:val="100"/>
                <w:sz w:val="18"/>
                <w:szCs w:val="18"/>
              </w:rPr>
              <w:t>售</w:t>
            </w:r>
          </w:p>
        </w:tc>
        <w:tc>
          <w:tcPr>
            <w:tcW w:w="405"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296"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3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296"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4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2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+3L↓</w:t>
            </w:r>
          </w:p>
        </w:tc>
        <w:tc>
          <w:tcPr>
            <w:tcW w:w="35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6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42"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20"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+2L↓</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11" w:hRule="atLeast"/>
          <w:jc w:val="center"/>
        </w:trPr>
        <w:tc>
          <w:tcPr>
            <w:tcW w:w="68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施工活</w:t>
            </w:r>
            <w:r>
              <w:rPr>
                <w:rFonts w:hint="default" w:ascii="Times New Roman" w:hAnsi="Times New Roman" w:eastAsia="宋体" w:cs="Times New Roman"/>
                <w:w w:val="100"/>
                <w:sz w:val="18"/>
                <w:szCs w:val="18"/>
              </w:rPr>
              <w:t>动</w:t>
            </w:r>
          </w:p>
        </w:tc>
        <w:tc>
          <w:tcPr>
            <w:tcW w:w="405"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-1S</w:t>
            </w:r>
          </w:p>
        </w:tc>
        <w:tc>
          <w:tcPr>
            <w:tcW w:w="296"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3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-1S</w:t>
            </w:r>
          </w:p>
        </w:tc>
        <w:tc>
          <w:tcPr>
            <w:tcW w:w="296"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-1S</w:t>
            </w:r>
          </w:p>
        </w:tc>
        <w:tc>
          <w:tcPr>
            <w:tcW w:w="34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-1L↓</w:t>
            </w:r>
          </w:p>
        </w:tc>
        <w:tc>
          <w:tcPr>
            <w:tcW w:w="32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5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63"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+2L</w:t>
            </w:r>
          </w:p>
        </w:tc>
        <w:tc>
          <w:tcPr>
            <w:tcW w:w="31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1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-1S↑</w:t>
            </w:r>
          </w:p>
        </w:tc>
        <w:tc>
          <w:tcPr>
            <w:tcW w:w="342"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c>
          <w:tcPr>
            <w:tcW w:w="320"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18"/>
                <w:szCs w:val="18"/>
              </w:rPr>
            </w:pPr>
          </w:p>
        </w:tc>
      </w:tr>
    </w:tbl>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textAlignment w:val="auto"/>
        <w:rPr>
          <w:rFonts w:hint="default" w:ascii="Times New Roman" w:hAnsi="Times New Roman" w:eastAsia="宋体" w:cs="Times New Roman"/>
          <w:b/>
          <w:bCs/>
          <w:sz w:val="18"/>
          <w:szCs w:val="18"/>
        </w:rPr>
      </w:pPr>
      <w:r>
        <w:rPr>
          <w:rFonts w:hint="default" w:ascii="Times New Roman" w:hAnsi="Times New Roman" w:eastAsia="宋体" w:cs="Times New Roman"/>
          <w:b/>
          <w:bCs/>
          <w:sz w:val="18"/>
          <w:szCs w:val="18"/>
        </w:rPr>
        <w:t>注：“+”有利影响，“-”不利影响；“L”长期影响，“S”短期影响；“↑”可逆影响，“↓”不可逆影响；“1” 轻微</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542" w:firstLineChars="300"/>
        <w:textAlignment w:val="auto"/>
        <w:rPr>
          <w:rFonts w:hint="default" w:ascii="Times New Roman" w:hAnsi="Times New Roman" w:eastAsia="宋体" w:cs="Times New Roman"/>
          <w:b/>
          <w:bCs/>
          <w:sz w:val="18"/>
          <w:szCs w:val="18"/>
        </w:rPr>
      </w:pPr>
      <w:r>
        <w:rPr>
          <w:rFonts w:hint="default" w:ascii="Times New Roman" w:hAnsi="Times New Roman" w:eastAsia="宋体" w:cs="Times New Roman"/>
          <w:b/>
          <w:bCs/>
          <w:sz w:val="18"/>
          <w:szCs w:val="18"/>
        </w:rPr>
        <w:t>影响，“2”中度影响，“3”严重影响。</w:t>
      </w:r>
    </w:p>
    <w:p>
      <w:pPr>
        <w:pStyle w:val="5"/>
        <w:ind w:firstLine="562"/>
      </w:pPr>
      <w:r>
        <w:t>主要评价因子</w:t>
      </w:r>
    </w:p>
    <w:p>
      <w:pPr>
        <w:pStyle w:val="8"/>
        <w:rPr>
          <w:rFonts w:hint="eastAsia"/>
          <w:szCs w:val="21"/>
        </w:rPr>
      </w:pPr>
      <w:r>
        <w:rPr>
          <w:rFonts w:hint="eastAsia"/>
          <w:szCs w:val="21"/>
        </w:rPr>
        <w:t>本项目评价因子见下表。</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b/>
          <w:bCs/>
          <w:sz w:val="21"/>
          <w:szCs w:val="21"/>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b/>
          <w:bCs/>
          <w:sz w:val="21"/>
          <w:szCs w:val="21"/>
        </w:rPr>
      </w:pPr>
      <w:r>
        <w:rPr>
          <w:rFonts w:hint="eastAsia"/>
          <w:b/>
          <w:bCs/>
          <w:sz w:val="21"/>
          <w:szCs w:val="21"/>
        </w:rPr>
        <w:t>表2.4-2  环境评价因子</w:t>
      </w:r>
    </w:p>
    <w:tbl>
      <w:tblPr>
        <w:tblStyle w:val="63"/>
        <w:tblW w:w="4998"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0" w:type="dxa"/>
          <w:bottom w:w="0" w:type="dxa"/>
          <w:right w:w="0" w:type="dxa"/>
        </w:tblCellMar>
      </w:tblPr>
      <w:tblGrid>
        <w:gridCol w:w="610"/>
        <w:gridCol w:w="809"/>
        <w:gridCol w:w="3419"/>
        <w:gridCol w:w="2533"/>
        <w:gridCol w:w="932"/>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1" w:hRule="atLeast"/>
          <w:jc w:val="center"/>
        </w:trPr>
        <w:tc>
          <w:tcPr>
            <w:tcW w:w="367"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时段</w:t>
            </w:r>
          </w:p>
        </w:tc>
        <w:tc>
          <w:tcPr>
            <w:tcW w:w="487"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项目</w:t>
            </w:r>
          </w:p>
        </w:tc>
        <w:tc>
          <w:tcPr>
            <w:tcW w:w="2058"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现状评价因子</w:t>
            </w:r>
          </w:p>
        </w:tc>
        <w:tc>
          <w:tcPr>
            <w:tcW w:w="1524"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影响评价（分析）因子</w:t>
            </w:r>
          </w:p>
        </w:tc>
        <w:tc>
          <w:tcPr>
            <w:tcW w:w="561" w:type="pct"/>
            <w:tcBorders>
              <w:bottom w:val="single" w:color="000000"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总量控制因子</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27" w:hRule="atLeast"/>
          <w:jc w:val="center"/>
        </w:trPr>
        <w:tc>
          <w:tcPr>
            <w:tcW w:w="367" w:type="pct"/>
            <w:vMerge w:val="restar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施工期</w:t>
            </w:r>
          </w:p>
        </w:tc>
        <w:tc>
          <w:tcPr>
            <w:tcW w:w="487"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废气</w:t>
            </w:r>
          </w:p>
        </w:tc>
        <w:tc>
          <w:tcPr>
            <w:tcW w:w="2058"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c>
          <w:tcPr>
            <w:tcW w:w="1524"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position w:val="2"/>
                <w:sz w:val="21"/>
                <w:szCs w:val="21"/>
              </w:rPr>
              <w:t>CO、NO</w:t>
            </w:r>
            <w:r>
              <w:rPr>
                <w:rFonts w:hint="default" w:ascii="Times New Roman" w:hAnsi="Times New Roman" w:eastAsia="宋体" w:cs="Times New Roman"/>
                <w:b w:val="0"/>
                <w:bCs/>
                <w:sz w:val="21"/>
                <w:szCs w:val="21"/>
              </w:rPr>
              <w:t>x</w:t>
            </w:r>
            <w:r>
              <w:rPr>
                <w:rFonts w:hint="default" w:ascii="Times New Roman" w:hAnsi="Times New Roman" w:eastAsia="宋体" w:cs="Times New Roman"/>
                <w:b w:val="0"/>
                <w:bCs/>
                <w:position w:val="2"/>
                <w:sz w:val="21"/>
                <w:szCs w:val="21"/>
              </w:rPr>
              <w:t>、TSP</w:t>
            </w:r>
          </w:p>
        </w:tc>
        <w:tc>
          <w:tcPr>
            <w:tcW w:w="561" w:type="pct"/>
            <w:tcBorders>
              <w:top w:val="single" w:color="000000" w:sz="12" w:space="0"/>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17" w:hRule="atLeast"/>
          <w:jc w:val="center"/>
        </w:trPr>
        <w:tc>
          <w:tcPr>
            <w:tcW w:w="367"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tc>
        <w:tc>
          <w:tcPr>
            <w:tcW w:w="48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废水</w:t>
            </w:r>
          </w:p>
        </w:tc>
        <w:tc>
          <w:tcPr>
            <w:tcW w:w="2058"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c>
          <w:tcPr>
            <w:tcW w:w="152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position w:val="2"/>
                <w:sz w:val="21"/>
                <w:szCs w:val="21"/>
              </w:rPr>
              <w:t>COD、BOD</w:t>
            </w:r>
            <w:r>
              <w:rPr>
                <w:rFonts w:hint="default" w:ascii="Times New Roman" w:hAnsi="Times New Roman" w:eastAsia="宋体" w:cs="Times New Roman"/>
                <w:b w:val="0"/>
                <w:bCs/>
                <w:sz w:val="21"/>
                <w:szCs w:val="21"/>
                <w:vertAlign w:val="subscript"/>
              </w:rPr>
              <w:t>5</w:t>
            </w:r>
            <w:r>
              <w:rPr>
                <w:rFonts w:hint="default" w:ascii="Times New Roman" w:hAnsi="Times New Roman" w:eastAsia="宋体" w:cs="Times New Roman"/>
                <w:b w:val="0"/>
                <w:bCs/>
                <w:position w:val="2"/>
                <w:sz w:val="21"/>
                <w:szCs w:val="21"/>
              </w:rPr>
              <w:t>、NH</w:t>
            </w:r>
            <w:r>
              <w:rPr>
                <w:rFonts w:hint="default" w:ascii="Times New Roman" w:hAnsi="Times New Roman" w:eastAsia="宋体" w:cs="Times New Roman"/>
                <w:b w:val="0"/>
                <w:bCs/>
                <w:sz w:val="21"/>
                <w:szCs w:val="21"/>
                <w:vertAlign w:val="subscript"/>
              </w:rPr>
              <w:t>3</w:t>
            </w:r>
            <w:r>
              <w:rPr>
                <w:rFonts w:hint="default" w:ascii="Times New Roman" w:hAnsi="Times New Roman" w:eastAsia="宋体" w:cs="Times New Roman"/>
                <w:b w:val="0"/>
                <w:bCs/>
                <w:position w:val="2"/>
                <w:sz w:val="21"/>
                <w:szCs w:val="21"/>
              </w:rPr>
              <w:t>-N、</w:t>
            </w:r>
            <w:r>
              <w:rPr>
                <w:rFonts w:hint="default" w:ascii="Times New Roman" w:hAnsi="Times New Roman" w:eastAsia="宋体" w:cs="Times New Roman"/>
                <w:b w:val="0"/>
                <w:bCs/>
                <w:sz w:val="21"/>
                <w:szCs w:val="21"/>
              </w:rPr>
              <w:t>SS</w:t>
            </w:r>
          </w:p>
        </w:tc>
        <w:tc>
          <w:tcPr>
            <w:tcW w:w="56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40" w:hRule="atLeast"/>
          <w:jc w:val="center"/>
        </w:trPr>
        <w:tc>
          <w:tcPr>
            <w:tcW w:w="367"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tc>
        <w:tc>
          <w:tcPr>
            <w:tcW w:w="48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噪声</w:t>
            </w:r>
          </w:p>
        </w:tc>
        <w:tc>
          <w:tcPr>
            <w:tcW w:w="2058"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c>
          <w:tcPr>
            <w:tcW w:w="152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等效声级Leq</w:t>
            </w:r>
          </w:p>
        </w:tc>
        <w:tc>
          <w:tcPr>
            <w:tcW w:w="56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367"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tc>
        <w:tc>
          <w:tcPr>
            <w:tcW w:w="48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固废</w:t>
            </w:r>
          </w:p>
        </w:tc>
        <w:tc>
          <w:tcPr>
            <w:tcW w:w="2058"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c>
          <w:tcPr>
            <w:tcW w:w="152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建筑垃圾、生活垃圾</w:t>
            </w:r>
          </w:p>
        </w:tc>
        <w:tc>
          <w:tcPr>
            <w:tcW w:w="56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64" w:hRule="atLeast"/>
          <w:jc w:val="center"/>
        </w:trPr>
        <w:tc>
          <w:tcPr>
            <w:tcW w:w="367"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tc>
        <w:tc>
          <w:tcPr>
            <w:tcW w:w="48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生态</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环境</w:t>
            </w:r>
          </w:p>
        </w:tc>
        <w:tc>
          <w:tcPr>
            <w:tcW w:w="2058"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c>
          <w:tcPr>
            <w:tcW w:w="152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植被</w:t>
            </w:r>
          </w:p>
        </w:tc>
        <w:tc>
          <w:tcPr>
            <w:tcW w:w="56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09" w:hRule="atLeast"/>
          <w:jc w:val="center"/>
        </w:trPr>
        <w:tc>
          <w:tcPr>
            <w:tcW w:w="367" w:type="pct"/>
            <w:vMerge w:val="restar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运营期</w:t>
            </w:r>
          </w:p>
        </w:tc>
        <w:tc>
          <w:tcPr>
            <w:tcW w:w="48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大气</w:t>
            </w:r>
          </w:p>
        </w:tc>
        <w:tc>
          <w:tcPr>
            <w:tcW w:w="2058"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position w:val="2"/>
                <w:sz w:val="21"/>
                <w:szCs w:val="21"/>
              </w:rPr>
              <w:t>O</w:t>
            </w:r>
            <w:r>
              <w:rPr>
                <w:rFonts w:hint="eastAsia" w:ascii="Times New Roman" w:hAnsi="Times New Roman" w:cs="Times New Roman"/>
                <w:b w:val="0"/>
                <w:bCs/>
                <w:position w:val="2"/>
                <w:sz w:val="21"/>
                <w:szCs w:val="21"/>
                <w:vertAlign w:val="subscript"/>
                <w:lang w:val="en-US" w:eastAsia="zh-CN"/>
              </w:rPr>
              <w:t>3</w:t>
            </w:r>
            <w:r>
              <w:rPr>
                <w:rFonts w:hint="default" w:ascii="Times New Roman" w:hAnsi="Times New Roman" w:eastAsia="宋体" w:cs="Times New Roman"/>
                <w:b w:val="0"/>
                <w:bCs/>
                <w:spacing w:val="-24"/>
                <w:position w:val="2"/>
                <w:sz w:val="21"/>
                <w:szCs w:val="21"/>
              </w:rPr>
              <w:t>、</w:t>
            </w:r>
            <w:r>
              <w:rPr>
                <w:rFonts w:hint="default" w:ascii="Times New Roman" w:hAnsi="Times New Roman" w:eastAsia="宋体" w:cs="Times New Roman"/>
                <w:b w:val="0"/>
                <w:bCs/>
                <w:position w:val="2"/>
                <w:sz w:val="21"/>
                <w:szCs w:val="21"/>
              </w:rPr>
              <w:t>SO</w:t>
            </w:r>
            <w:r>
              <w:rPr>
                <w:rFonts w:hint="eastAsia" w:ascii="Times New Roman" w:hAnsi="Times New Roman" w:cs="Times New Roman"/>
                <w:b w:val="0"/>
                <w:bCs/>
                <w:position w:val="2"/>
                <w:sz w:val="21"/>
                <w:szCs w:val="21"/>
                <w:vertAlign w:val="subscript"/>
                <w:lang w:val="en-US" w:eastAsia="zh-CN"/>
              </w:rPr>
              <w:t>2</w:t>
            </w:r>
            <w:r>
              <w:rPr>
                <w:rFonts w:hint="default" w:ascii="Times New Roman" w:hAnsi="Times New Roman" w:eastAsia="宋体" w:cs="Times New Roman"/>
                <w:b w:val="0"/>
                <w:bCs/>
                <w:spacing w:val="-24"/>
                <w:position w:val="2"/>
                <w:sz w:val="21"/>
                <w:szCs w:val="21"/>
              </w:rPr>
              <w:t>、</w:t>
            </w:r>
            <w:r>
              <w:rPr>
                <w:rFonts w:hint="default" w:ascii="Times New Roman" w:hAnsi="Times New Roman" w:eastAsia="宋体" w:cs="Times New Roman"/>
                <w:b w:val="0"/>
                <w:bCs/>
                <w:position w:val="2"/>
                <w:sz w:val="21"/>
                <w:szCs w:val="21"/>
              </w:rPr>
              <w:t>NO</w:t>
            </w:r>
            <w:r>
              <w:rPr>
                <w:rFonts w:hint="eastAsia" w:ascii="Times New Roman" w:hAnsi="Times New Roman" w:cs="Times New Roman"/>
                <w:b w:val="0"/>
                <w:bCs/>
                <w:position w:val="2"/>
                <w:sz w:val="21"/>
                <w:szCs w:val="21"/>
                <w:vertAlign w:val="subscript"/>
                <w:lang w:val="en-US" w:eastAsia="zh-CN"/>
              </w:rPr>
              <w:t>2</w:t>
            </w:r>
            <w:r>
              <w:rPr>
                <w:rFonts w:hint="default" w:ascii="Times New Roman" w:hAnsi="Times New Roman" w:eastAsia="宋体" w:cs="Times New Roman"/>
                <w:b w:val="0"/>
                <w:bCs/>
                <w:spacing w:val="-22"/>
                <w:position w:val="2"/>
                <w:sz w:val="21"/>
                <w:szCs w:val="21"/>
              </w:rPr>
              <w:t>、</w:t>
            </w:r>
            <w:r>
              <w:rPr>
                <w:rFonts w:hint="default" w:ascii="Times New Roman" w:hAnsi="Times New Roman" w:eastAsia="宋体" w:cs="Times New Roman"/>
                <w:b w:val="0"/>
                <w:bCs/>
                <w:position w:val="2"/>
                <w:sz w:val="21"/>
                <w:szCs w:val="21"/>
              </w:rPr>
              <w:t>CO</w:t>
            </w:r>
            <w:r>
              <w:rPr>
                <w:rFonts w:hint="default" w:ascii="Times New Roman" w:hAnsi="Times New Roman" w:eastAsia="宋体" w:cs="Times New Roman"/>
                <w:b w:val="0"/>
                <w:bCs/>
                <w:spacing w:val="-22"/>
                <w:position w:val="2"/>
                <w:sz w:val="21"/>
                <w:szCs w:val="21"/>
              </w:rPr>
              <w:t>、</w:t>
            </w:r>
            <w:r>
              <w:rPr>
                <w:rFonts w:hint="default" w:ascii="Times New Roman" w:hAnsi="Times New Roman" w:eastAsia="宋体" w:cs="Times New Roman"/>
                <w:b w:val="0"/>
                <w:bCs/>
                <w:position w:val="2"/>
                <w:sz w:val="21"/>
                <w:szCs w:val="21"/>
              </w:rPr>
              <w:t>PM</w:t>
            </w:r>
            <w:r>
              <w:rPr>
                <w:rFonts w:hint="eastAsia" w:ascii="Times New Roman" w:hAnsi="Times New Roman" w:cs="Times New Roman"/>
                <w:b w:val="0"/>
                <w:bCs/>
                <w:position w:val="2"/>
                <w:sz w:val="21"/>
                <w:szCs w:val="21"/>
                <w:vertAlign w:val="subscript"/>
                <w:lang w:val="en-US" w:eastAsia="zh-CN"/>
              </w:rPr>
              <w:t>10</w:t>
            </w:r>
            <w:r>
              <w:rPr>
                <w:rFonts w:hint="default" w:ascii="Times New Roman" w:hAnsi="Times New Roman" w:eastAsia="宋体" w:cs="Times New Roman"/>
                <w:b w:val="0"/>
                <w:bCs/>
                <w:spacing w:val="-22"/>
                <w:position w:val="2"/>
                <w:sz w:val="21"/>
                <w:szCs w:val="21"/>
              </w:rPr>
              <w:t>、</w:t>
            </w:r>
            <w:r>
              <w:rPr>
                <w:rFonts w:hint="default" w:ascii="Times New Roman" w:hAnsi="Times New Roman" w:eastAsia="宋体" w:cs="Times New Roman"/>
                <w:b w:val="0"/>
                <w:bCs/>
                <w:position w:val="2"/>
                <w:sz w:val="21"/>
                <w:szCs w:val="21"/>
              </w:rPr>
              <w:t>PM</w:t>
            </w:r>
            <w:r>
              <w:rPr>
                <w:rFonts w:hint="eastAsia" w:ascii="Times New Roman" w:hAnsi="Times New Roman" w:cs="Times New Roman"/>
                <w:b w:val="0"/>
                <w:bCs/>
                <w:position w:val="2"/>
                <w:sz w:val="21"/>
                <w:szCs w:val="21"/>
                <w:vertAlign w:val="subscript"/>
                <w:lang w:val="en-US" w:eastAsia="zh-CN"/>
              </w:rPr>
              <w:t>2.5</w:t>
            </w:r>
            <w:r>
              <w:rPr>
                <w:rFonts w:hint="default" w:ascii="Times New Roman" w:hAnsi="Times New Roman" w:eastAsia="宋体" w:cs="Times New Roman"/>
                <w:b w:val="0"/>
                <w:bCs/>
                <w:spacing w:val="-24"/>
                <w:position w:val="2"/>
                <w:sz w:val="21"/>
                <w:szCs w:val="21"/>
              </w:rPr>
              <w:t>、</w:t>
            </w:r>
            <w:r>
              <w:rPr>
                <w:rFonts w:hint="default" w:ascii="Times New Roman" w:hAnsi="Times New Roman" w:eastAsia="宋体" w:cs="Times New Roman"/>
                <w:b w:val="0"/>
                <w:bCs/>
                <w:position w:val="2"/>
                <w:sz w:val="21"/>
                <w:szCs w:val="21"/>
              </w:rPr>
              <w:t>H</w:t>
            </w:r>
            <w:r>
              <w:rPr>
                <w:rFonts w:hint="eastAsia" w:ascii="Times New Roman" w:hAnsi="Times New Roman" w:cs="Times New Roman"/>
                <w:b w:val="0"/>
                <w:bCs/>
                <w:position w:val="2"/>
                <w:sz w:val="21"/>
                <w:szCs w:val="21"/>
                <w:vertAlign w:val="subscript"/>
                <w:lang w:val="en-US" w:eastAsia="zh-CN"/>
              </w:rPr>
              <w:t>2</w:t>
            </w:r>
            <w:r>
              <w:rPr>
                <w:rFonts w:hint="default" w:ascii="Times New Roman" w:hAnsi="Times New Roman" w:eastAsia="宋体" w:cs="Times New Roman"/>
                <w:b w:val="0"/>
                <w:bCs/>
                <w:position w:val="2"/>
                <w:sz w:val="21"/>
                <w:szCs w:val="21"/>
              </w:rPr>
              <w:t>S、NH</w:t>
            </w:r>
            <w:r>
              <w:rPr>
                <w:rFonts w:hint="eastAsia" w:ascii="Times New Roman" w:hAnsi="Times New Roman" w:cs="Times New Roman"/>
                <w:b w:val="0"/>
                <w:bCs/>
                <w:position w:val="2"/>
                <w:sz w:val="21"/>
                <w:szCs w:val="21"/>
                <w:vertAlign w:val="subscript"/>
                <w:lang w:val="en-US" w:eastAsia="zh-CN"/>
              </w:rPr>
              <w:t>3</w:t>
            </w:r>
            <w:r>
              <w:rPr>
                <w:rFonts w:hint="default" w:ascii="Times New Roman" w:hAnsi="Times New Roman" w:eastAsia="宋体" w:cs="Times New Roman"/>
                <w:b w:val="0"/>
                <w:bCs/>
                <w:position w:val="2"/>
                <w:sz w:val="21"/>
                <w:szCs w:val="21"/>
              </w:rPr>
              <w:t>、臭气浓度</w:t>
            </w:r>
          </w:p>
        </w:tc>
        <w:tc>
          <w:tcPr>
            <w:tcW w:w="152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氨气、硫化氢</w:t>
            </w:r>
          </w:p>
        </w:tc>
        <w:tc>
          <w:tcPr>
            <w:tcW w:w="56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Times New Roman" w:hAnsi="Times New Roman" w:eastAsia="宋体" w:cs="Times New Roman"/>
                <w:b w:val="0"/>
                <w:bCs/>
                <w:sz w:val="21"/>
                <w:szCs w:val="21"/>
                <w:lang w:eastAsia="zh-CN"/>
              </w:rPr>
            </w:pPr>
            <w:r>
              <w:rPr>
                <w:rFonts w:hint="eastAsia" w:ascii="Times New Roman" w:hAnsi="Times New Roman" w:cs="Times New Roman"/>
                <w:b w:val="0"/>
                <w:bCs/>
                <w:position w:val="2"/>
                <w:sz w:val="21"/>
                <w:szCs w:val="21"/>
                <w:lang w:val="en-US" w:eastAsia="zh-CN"/>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78" w:hRule="atLeast"/>
          <w:jc w:val="center"/>
        </w:trPr>
        <w:tc>
          <w:tcPr>
            <w:tcW w:w="367"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tc>
        <w:tc>
          <w:tcPr>
            <w:tcW w:w="48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地表水</w:t>
            </w:r>
          </w:p>
        </w:tc>
        <w:tc>
          <w:tcPr>
            <w:tcW w:w="2058"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position w:val="2"/>
                <w:sz w:val="21"/>
                <w:szCs w:val="21"/>
              </w:rPr>
              <w:t>pH</w:t>
            </w:r>
            <w:r>
              <w:rPr>
                <w:rFonts w:hint="default" w:ascii="Times New Roman" w:hAnsi="Times New Roman" w:eastAsia="宋体" w:cs="Times New Roman"/>
                <w:b w:val="0"/>
                <w:bCs/>
                <w:spacing w:val="-3"/>
                <w:position w:val="2"/>
                <w:sz w:val="21"/>
                <w:szCs w:val="21"/>
              </w:rPr>
              <w:t>、</w:t>
            </w:r>
            <w:r>
              <w:rPr>
                <w:rFonts w:hint="default" w:ascii="Times New Roman" w:hAnsi="Times New Roman" w:eastAsia="宋体" w:cs="Times New Roman"/>
                <w:b w:val="0"/>
                <w:bCs/>
                <w:position w:val="2"/>
                <w:sz w:val="21"/>
                <w:szCs w:val="21"/>
              </w:rPr>
              <w:t>DO</w:t>
            </w:r>
            <w:r>
              <w:rPr>
                <w:rFonts w:hint="default" w:ascii="Times New Roman" w:hAnsi="Times New Roman" w:eastAsia="宋体" w:cs="Times New Roman"/>
                <w:b w:val="0"/>
                <w:bCs/>
                <w:spacing w:val="-3"/>
                <w:position w:val="2"/>
                <w:sz w:val="21"/>
                <w:szCs w:val="21"/>
              </w:rPr>
              <w:t>、高锰酸盐指数、</w:t>
            </w:r>
            <w:r>
              <w:rPr>
                <w:rFonts w:hint="default" w:ascii="Times New Roman" w:hAnsi="Times New Roman" w:eastAsia="宋体" w:cs="Times New Roman"/>
                <w:b w:val="0"/>
                <w:bCs/>
                <w:position w:val="2"/>
                <w:sz w:val="21"/>
                <w:szCs w:val="21"/>
              </w:rPr>
              <w:t>COD</w:t>
            </w:r>
            <w:r>
              <w:rPr>
                <w:rFonts w:hint="default" w:ascii="Times New Roman" w:hAnsi="Times New Roman" w:eastAsia="宋体" w:cs="Times New Roman"/>
                <w:b w:val="0"/>
                <w:bCs/>
                <w:spacing w:val="-3"/>
                <w:position w:val="2"/>
                <w:sz w:val="21"/>
                <w:szCs w:val="21"/>
              </w:rPr>
              <w:t>、</w:t>
            </w:r>
            <w:r>
              <w:rPr>
                <w:rFonts w:hint="default" w:ascii="Times New Roman" w:hAnsi="Times New Roman" w:eastAsia="宋体" w:cs="Times New Roman"/>
                <w:b w:val="0"/>
                <w:bCs/>
                <w:position w:val="2"/>
                <w:sz w:val="21"/>
                <w:szCs w:val="21"/>
              </w:rPr>
              <w:t>BOD</w:t>
            </w:r>
            <w:r>
              <w:rPr>
                <w:rFonts w:hint="default" w:ascii="Times New Roman" w:hAnsi="Times New Roman" w:eastAsia="宋体" w:cs="Times New Roman"/>
                <w:b w:val="0"/>
                <w:bCs/>
                <w:sz w:val="21"/>
                <w:szCs w:val="21"/>
              </w:rPr>
              <w:t>5</w:t>
            </w:r>
            <w:r>
              <w:rPr>
                <w:rFonts w:hint="default" w:ascii="Times New Roman" w:hAnsi="Times New Roman" w:eastAsia="宋体" w:cs="Times New Roman"/>
                <w:b w:val="0"/>
                <w:bCs/>
                <w:position w:val="2"/>
                <w:sz w:val="21"/>
                <w:szCs w:val="21"/>
              </w:rPr>
              <w:t>、</w:t>
            </w:r>
            <w:r>
              <w:rPr>
                <w:rFonts w:hint="default" w:ascii="Times New Roman" w:hAnsi="Times New Roman" w:eastAsia="宋体" w:cs="Times New Roman"/>
                <w:b w:val="0"/>
                <w:bCs/>
                <w:spacing w:val="-7"/>
                <w:sz w:val="21"/>
                <w:szCs w:val="21"/>
              </w:rPr>
              <w:t>氨氮、总磷、</w:t>
            </w:r>
            <w:r>
              <w:rPr>
                <w:rFonts w:hint="default" w:ascii="Times New Roman" w:hAnsi="Times New Roman" w:eastAsia="宋体" w:cs="Times New Roman"/>
                <w:b w:val="0"/>
                <w:bCs/>
                <w:sz w:val="21"/>
                <w:szCs w:val="21"/>
              </w:rPr>
              <w:t>SS</w:t>
            </w:r>
            <w:r>
              <w:rPr>
                <w:rFonts w:hint="default" w:ascii="Times New Roman" w:hAnsi="Times New Roman" w:eastAsia="宋体" w:cs="Times New Roman"/>
                <w:b w:val="0"/>
                <w:bCs/>
                <w:spacing w:val="-8"/>
                <w:sz w:val="21"/>
                <w:szCs w:val="21"/>
              </w:rPr>
              <w:t>、石油类、</w:t>
            </w:r>
            <w:r>
              <w:rPr>
                <w:rFonts w:hint="default" w:ascii="Times New Roman" w:hAnsi="Times New Roman" w:eastAsia="宋体" w:cs="Times New Roman"/>
                <w:b w:val="0"/>
                <w:bCs/>
                <w:sz w:val="21"/>
                <w:szCs w:val="21"/>
              </w:rPr>
              <w:t>LAS</w:t>
            </w:r>
            <w:r>
              <w:rPr>
                <w:rFonts w:hint="default" w:ascii="Times New Roman" w:hAnsi="Times New Roman" w:eastAsia="宋体" w:cs="Times New Roman"/>
                <w:b w:val="0"/>
                <w:bCs/>
                <w:spacing w:val="-5"/>
                <w:sz w:val="21"/>
                <w:szCs w:val="21"/>
              </w:rPr>
              <w:t>、粪大肠</w:t>
            </w:r>
            <w:r>
              <w:rPr>
                <w:rFonts w:hint="default" w:ascii="Times New Roman" w:hAnsi="Times New Roman" w:eastAsia="宋体" w:cs="Times New Roman"/>
                <w:b w:val="0"/>
                <w:bCs/>
                <w:sz w:val="21"/>
                <w:szCs w:val="21"/>
              </w:rPr>
              <w:t>菌群数</w:t>
            </w:r>
          </w:p>
        </w:tc>
        <w:tc>
          <w:tcPr>
            <w:tcW w:w="152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position w:val="2"/>
                <w:sz w:val="21"/>
                <w:szCs w:val="21"/>
              </w:rPr>
              <w:t>COD、NH</w:t>
            </w:r>
            <w:r>
              <w:rPr>
                <w:rFonts w:hint="default" w:ascii="Times New Roman" w:hAnsi="Times New Roman" w:eastAsia="宋体" w:cs="Times New Roman"/>
                <w:b w:val="0"/>
                <w:bCs/>
                <w:sz w:val="21"/>
                <w:szCs w:val="21"/>
              </w:rPr>
              <w:t>3</w:t>
            </w:r>
            <w:r>
              <w:rPr>
                <w:rFonts w:hint="default" w:ascii="Times New Roman" w:hAnsi="Times New Roman" w:eastAsia="宋体" w:cs="Times New Roman"/>
                <w:b w:val="0"/>
                <w:bCs/>
                <w:position w:val="2"/>
                <w:sz w:val="21"/>
                <w:szCs w:val="21"/>
              </w:rPr>
              <w:t>-N</w:t>
            </w:r>
          </w:p>
        </w:tc>
        <w:tc>
          <w:tcPr>
            <w:tcW w:w="56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167" w:hRule="atLeast"/>
          <w:jc w:val="center"/>
        </w:trPr>
        <w:tc>
          <w:tcPr>
            <w:tcW w:w="367"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tc>
        <w:tc>
          <w:tcPr>
            <w:tcW w:w="48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土壤</w:t>
            </w:r>
          </w:p>
        </w:tc>
        <w:tc>
          <w:tcPr>
            <w:tcW w:w="2058"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pH、铜、锌、铅、镉、砷、汞、铬、镍</w:t>
            </w:r>
          </w:p>
        </w:tc>
        <w:tc>
          <w:tcPr>
            <w:tcW w:w="152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c>
          <w:tcPr>
            <w:tcW w:w="56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1217" w:hRule="atLeast"/>
          <w:jc w:val="center"/>
        </w:trPr>
        <w:tc>
          <w:tcPr>
            <w:tcW w:w="367"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tc>
        <w:tc>
          <w:tcPr>
            <w:tcW w:w="48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地下水</w:t>
            </w:r>
          </w:p>
        </w:tc>
        <w:tc>
          <w:tcPr>
            <w:tcW w:w="2058"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pacing w:val="-1"/>
                <w:sz w:val="21"/>
                <w:szCs w:val="21"/>
              </w:rPr>
              <w:t>pH</w:t>
            </w:r>
            <w:r>
              <w:rPr>
                <w:rFonts w:hint="default" w:ascii="Times New Roman" w:hAnsi="Times New Roman" w:eastAsia="宋体" w:cs="Times New Roman"/>
                <w:b w:val="0"/>
                <w:bCs/>
                <w:spacing w:val="-3"/>
                <w:sz w:val="21"/>
                <w:szCs w:val="21"/>
              </w:rPr>
              <w:t>、总硬度、溶解性总固体、氨氮、耗</w:t>
            </w:r>
            <w:r>
              <w:rPr>
                <w:rFonts w:hint="default" w:ascii="Times New Roman" w:hAnsi="Times New Roman" w:eastAsia="宋体" w:cs="Times New Roman"/>
                <w:b w:val="0"/>
                <w:bCs/>
                <w:spacing w:val="-9"/>
                <w:sz w:val="21"/>
                <w:szCs w:val="21"/>
              </w:rPr>
              <w:t>氧量、硝酸盐、亚硝酸盐、硫酸盐、氟化</w:t>
            </w:r>
            <w:r>
              <w:rPr>
                <w:rFonts w:hint="default" w:ascii="Times New Roman" w:hAnsi="Times New Roman" w:eastAsia="宋体" w:cs="Times New Roman"/>
                <w:b w:val="0"/>
                <w:bCs/>
                <w:spacing w:val="-6"/>
                <w:sz w:val="21"/>
                <w:szCs w:val="21"/>
              </w:rPr>
              <w:t>物、氯化物、铁、锰、硫化物、氰化物、</w:t>
            </w:r>
            <w:r>
              <w:rPr>
                <w:rFonts w:hint="default" w:ascii="Times New Roman" w:hAnsi="Times New Roman" w:eastAsia="宋体" w:cs="Times New Roman"/>
                <w:b w:val="0"/>
                <w:bCs/>
                <w:sz w:val="21"/>
                <w:szCs w:val="21"/>
              </w:rPr>
              <w:t>As</w:t>
            </w:r>
            <w:r>
              <w:rPr>
                <w:rFonts w:hint="default" w:ascii="Times New Roman" w:hAnsi="Times New Roman" w:eastAsia="宋体" w:cs="Times New Roman"/>
                <w:b w:val="0"/>
                <w:bCs/>
                <w:spacing w:val="-3"/>
                <w:sz w:val="21"/>
                <w:szCs w:val="21"/>
              </w:rPr>
              <w:t>、</w:t>
            </w:r>
            <w:r>
              <w:rPr>
                <w:rFonts w:hint="default" w:ascii="Times New Roman" w:hAnsi="Times New Roman" w:eastAsia="宋体" w:cs="Times New Roman"/>
                <w:b w:val="0"/>
                <w:bCs/>
                <w:sz w:val="21"/>
                <w:szCs w:val="21"/>
              </w:rPr>
              <w:t>Pb</w:t>
            </w:r>
            <w:r>
              <w:rPr>
                <w:rFonts w:hint="default" w:ascii="Times New Roman" w:hAnsi="Times New Roman" w:eastAsia="宋体" w:cs="Times New Roman"/>
                <w:b w:val="0"/>
                <w:bCs/>
                <w:spacing w:val="-3"/>
                <w:sz w:val="21"/>
                <w:szCs w:val="21"/>
              </w:rPr>
              <w:t>、</w:t>
            </w:r>
            <w:r>
              <w:rPr>
                <w:rFonts w:hint="default" w:ascii="Times New Roman" w:hAnsi="Times New Roman" w:eastAsia="宋体" w:cs="Times New Roman"/>
                <w:b w:val="0"/>
                <w:bCs/>
                <w:sz w:val="21"/>
                <w:szCs w:val="21"/>
              </w:rPr>
              <w:t>Hg、Cd</w:t>
            </w:r>
            <w:r>
              <w:rPr>
                <w:rFonts w:hint="default" w:ascii="Times New Roman" w:hAnsi="Times New Roman" w:eastAsia="宋体" w:cs="Times New Roman"/>
                <w:b w:val="0"/>
                <w:bCs/>
                <w:spacing w:val="-3"/>
                <w:sz w:val="21"/>
                <w:szCs w:val="21"/>
              </w:rPr>
              <w:t>、六价铬、挥发酚、总</w:t>
            </w:r>
            <w:r>
              <w:rPr>
                <w:rFonts w:hint="default" w:ascii="Times New Roman" w:hAnsi="Times New Roman" w:eastAsia="宋体" w:cs="Times New Roman"/>
                <w:b w:val="0"/>
                <w:bCs/>
                <w:sz w:val="21"/>
                <w:szCs w:val="21"/>
              </w:rPr>
              <w:t>大肠菌群、细菌总数</w:t>
            </w:r>
          </w:p>
        </w:tc>
        <w:tc>
          <w:tcPr>
            <w:tcW w:w="152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预测分析</w:t>
            </w:r>
          </w:p>
        </w:tc>
        <w:tc>
          <w:tcPr>
            <w:tcW w:w="56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64" w:hRule="atLeast"/>
          <w:jc w:val="center"/>
        </w:trPr>
        <w:tc>
          <w:tcPr>
            <w:tcW w:w="367"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tc>
        <w:tc>
          <w:tcPr>
            <w:tcW w:w="48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声环</w:t>
            </w:r>
            <w:r>
              <w:rPr>
                <w:rFonts w:hint="default" w:ascii="Times New Roman" w:hAnsi="Times New Roman" w:eastAsia="宋体" w:cs="Times New Roman"/>
                <w:b w:val="0"/>
                <w:bCs/>
                <w:w w:val="100"/>
                <w:sz w:val="21"/>
                <w:szCs w:val="21"/>
              </w:rPr>
              <w:t>境</w:t>
            </w:r>
          </w:p>
        </w:tc>
        <w:tc>
          <w:tcPr>
            <w:tcW w:w="3583" w:type="pct"/>
            <w:gridSpan w:val="2"/>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等效声级Leq</w:t>
            </w:r>
          </w:p>
        </w:tc>
        <w:tc>
          <w:tcPr>
            <w:tcW w:w="56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14" w:hRule="atLeast"/>
          <w:jc w:val="center"/>
        </w:trPr>
        <w:tc>
          <w:tcPr>
            <w:tcW w:w="367"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tc>
        <w:tc>
          <w:tcPr>
            <w:tcW w:w="48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固体</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废物</w:t>
            </w:r>
          </w:p>
        </w:tc>
        <w:tc>
          <w:tcPr>
            <w:tcW w:w="3583" w:type="pct"/>
            <w:gridSpan w:val="2"/>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固体废物的产生量、利用量、处置量</w:t>
            </w:r>
          </w:p>
        </w:tc>
        <w:tc>
          <w:tcPr>
            <w:tcW w:w="56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464" w:hRule="atLeast"/>
          <w:jc w:val="center"/>
        </w:trPr>
        <w:tc>
          <w:tcPr>
            <w:tcW w:w="367"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tc>
        <w:tc>
          <w:tcPr>
            <w:tcW w:w="48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生态</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环境</w:t>
            </w:r>
          </w:p>
        </w:tc>
        <w:tc>
          <w:tcPr>
            <w:tcW w:w="3583" w:type="pct"/>
            <w:gridSpan w:val="2"/>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生物量、生长量</w:t>
            </w:r>
          </w:p>
        </w:tc>
        <w:tc>
          <w:tcPr>
            <w:tcW w:w="56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531" w:hRule="atLeast"/>
          <w:jc w:val="center"/>
        </w:trPr>
        <w:tc>
          <w:tcPr>
            <w:tcW w:w="367"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tc>
        <w:tc>
          <w:tcPr>
            <w:tcW w:w="487"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环境</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风险</w:t>
            </w:r>
          </w:p>
        </w:tc>
        <w:tc>
          <w:tcPr>
            <w:tcW w:w="2058"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c>
          <w:tcPr>
            <w:tcW w:w="1524"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Times New Roman" w:hAnsi="Times New Roman" w:eastAsia="宋体" w:cs="Times New Roman"/>
                <w:b w:val="0"/>
                <w:bCs/>
                <w:sz w:val="21"/>
                <w:szCs w:val="21"/>
                <w:lang w:eastAsia="zh-CN"/>
              </w:rPr>
            </w:pPr>
            <w:r>
              <w:rPr>
                <w:rFonts w:hint="eastAsia" w:ascii="Times New Roman" w:hAnsi="Times New Roman" w:cs="Times New Roman"/>
                <w:b w:val="0"/>
                <w:bCs/>
                <w:sz w:val="21"/>
                <w:szCs w:val="21"/>
                <w:lang w:val="en-US" w:eastAsia="zh-CN"/>
              </w:rPr>
              <w:t>/</w:t>
            </w:r>
          </w:p>
        </w:tc>
        <w:tc>
          <w:tcPr>
            <w:tcW w:w="561" w:type="pct"/>
            <w:tcBorders>
              <w:tl2br w:val="nil"/>
              <w:tr2bl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w:t>
            </w:r>
          </w:p>
        </w:tc>
      </w:tr>
    </w:tbl>
    <w:p>
      <w:pPr>
        <w:pStyle w:val="4"/>
      </w:pPr>
      <w:bookmarkStart w:id="21" w:name="_Toc7360"/>
      <w:r>
        <w:t>环境影响评价工作等级</w:t>
      </w:r>
      <w:bookmarkEnd w:id="21"/>
    </w:p>
    <w:p>
      <w:pPr>
        <w:pStyle w:val="5"/>
        <w:ind w:firstLine="562"/>
      </w:pPr>
      <w:r>
        <w:t>地表水环境影响评价工作等级</w:t>
      </w:r>
    </w:p>
    <w:p>
      <w:pPr>
        <w:pStyle w:val="8"/>
        <w:rPr>
          <w:rFonts w:hint="eastAsia"/>
          <w:color w:val="auto"/>
          <w:szCs w:val="21"/>
        </w:rPr>
      </w:pPr>
      <w:r>
        <w:rPr>
          <w:rFonts w:hint="eastAsia"/>
          <w:color w:val="auto"/>
          <w:szCs w:val="21"/>
        </w:rPr>
        <w:t>根据工程分析，本项目运营期主要废水为猪粪尿污水、猪舍冲洗废水</w:t>
      </w:r>
      <w:r>
        <w:rPr>
          <w:rFonts w:hint="eastAsia"/>
          <w:color w:val="auto"/>
          <w:szCs w:val="21"/>
          <w:lang w:eastAsia="zh-CN"/>
        </w:rPr>
        <w:t>等进入异位发酵床制成有机肥外售；</w:t>
      </w:r>
      <w:r>
        <w:rPr>
          <w:rFonts w:hint="eastAsia"/>
          <w:color w:val="auto"/>
          <w:szCs w:val="21"/>
        </w:rPr>
        <w:t>员工生活污水</w:t>
      </w:r>
      <w:r>
        <w:rPr>
          <w:rFonts w:hint="eastAsia"/>
          <w:color w:val="auto"/>
          <w:szCs w:val="21"/>
          <w:lang w:eastAsia="zh-CN"/>
        </w:rPr>
        <w:t>经地埋式一体化污水处理设施处理</w:t>
      </w:r>
      <w:r>
        <w:rPr>
          <w:rFonts w:hint="eastAsia"/>
          <w:color w:val="auto"/>
          <w:szCs w:val="21"/>
        </w:rPr>
        <w:t>达到</w:t>
      </w:r>
      <w:r>
        <w:rPr>
          <w:rFonts w:hint="eastAsia"/>
          <w:color w:val="auto"/>
          <w:szCs w:val="21"/>
          <w:lang w:val="en-US" w:eastAsia="zh-CN"/>
        </w:rPr>
        <w:t>《畜禽养殖业污染物排放标准》（DB44/613-2009）中集约化畜禽养殖业水污染物最高允许日排放浓度和《农田灌溉水质标准》（GB5084-2005）旱作水质标准严者后全部回用附近农田及林场等，不外排</w:t>
      </w:r>
      <w:r>
        <w:rPr>
          <w:rFonts w:hint="eastAsia"/>
          <w:color w:val="auto"/>
          <w:szCs w:val="21"/>
        </w:rPr>
        <w:t>。评价等级原则见下表所示。</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 xml:space="preserve">表2.5-1 </w:t>
      </w:r>
      <w:r>
        <w:rPr>
          <w:rFonts w:hint="eastAsia" w:ascii="Times New Roman" w:hAnsi="Times New Roman" w:cs="Times New Roman"/>
          <w:b/>
          <w:bCs/>
          <w:sz w:val="21"/>
          <w:szCs w:val="21"/>
          <w:lang w:val="en-US" w:eastAsia="zh-CN"/>
        </w:rPr>
        <w:t xml:space="preserve">  </w:t>
      </w:r>
      <w:r>
        <w:rPr>
          <w:rFonts w:hint="default" w:ascii="Times New Roman" w:hAnsi="Times New Roman" w:eastAsia="宋体" w:cs="Times New Roman"/>
          <w:b/>
          <w:bCs/>
          <w:sz w:val="21"/>
          <w:szCs w:val="21"/>
        </w:rPr>
        <w:t>水污染影响型建设项目评价等级判定表</w:t>
      </w:r>
    </w:p>
    <w:tbl>
      <w:tblPr>
        <w:tblStyle w:val="63"/>
        <w:tblW w:w="4998" w:type="pct"/>
        <w:jc w:val="center"/>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Layout w:type="autofit"/>
        <w:tblCellMar>
          <w:top w:w="0" w:type="dxa"/>
          <w:left w:w="0" w:type="dxa"/>
          <w:bottom w:w="0" w:type="dxa"/>
          <w:right w:w="0" w:type="dxa"/>
        </w:tblCellMar>
      </w:tblPr>
      <w:tblGrid>
        <w:gridCol w:w="1283"/>
        <w:gridCol w:w="1606"/>
        <w:gridCol w:w="5414"/>
      </w:tblGrid>
      <w:tr>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247" w:hRule="atLeast"/>
          <w:jc w:val="center"/>
        </w:trPr>
        <w:tc>
          <w:tcPr>
            <w:tcW w:w="773" w:type="pct"/>
            <w:vMerge w:val="restart"/>
            <w:tcBorders>
              <w:top w:val="single" w:color="000000" w:sz="12" w:space="0"/>
              <w:left w:val="nil"/>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评价等级</w:t>
            </w:r>
          </w:p>
        </w:tc>
        <w:tc>
          <w:tcPr>
            <w:tcW w:w="4226" w:type="pct"/>
            <w:gridSpan w:val="2"/>
            <w:tcBorders>
              <w:top w:val="single" w:color="000000" w:sz="12" w:space="0"/>
              <w:left w:val="single" w:color="000000" w:sz="6"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判定依据</w:t>
            </w:r>
          </w:p>
        </w:tc>
      </w:tr>
      <w:tr>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241" w:hRule="atLeast"/>
          <w:jc w:val="center"/>
        </w:trPr>
        <w:tc>
          <w:tcPr>
            <w:tcW w:w="773" w:type="pct"/>
            <w:vMerge w:val="continue"/>
            <w:tcBorders>
              <w:top w:val="single" w:color="000000" w:sz="4" w:space="0"/>
              <w:left w:val="nil"/>
              <w:bottom w:val="single" w:color="000000" w:sz="12" w:space="0"/>
              <w:right w:val="single" w:color="000000" w:sz="6" w:space="0"/>
            </w:tcBorders>
            <w:vAlign w:val="center"/>
          </w:tcPr>
          <w:p>
            <w:pPr>
              <w:keepNext w:val="0"/>
              <w:keepLines w:val="0"/>
              <w:pageBreakBefore w:val="0"/>
              <w:widowControl w:val="0"/>
              <w:kinsoku/>
              <w:wordWrap/>
              <w:overflowPunct/>
              <w:topLinePunct w:val="0"/>
              <w:autoSpaceDE/>
              <w:autoSpaceDN/>
              <w:bidi w:val="0"/>
              <w:adjustRightInd/>
              <w:snapToGrid/>
              <w:spacing w:line="240" w:lineRule="atLeast"/>
              <w:ind w:left="0" w:right="0" w:firstLine="0"/>
              <w:jc w:val="center"/>
              <w:textAlignment w:val="auto"/>
              <w:rPr>
                <w:rFonts w:hint="default" w:ascii="Times New Roman" w:hAnsi="Times New Roman" w:eastAsia="宋体" w:cs="Times New Roman"/>
                <w:b w:val="0"/>
                <w:bCs/>
                <w:sz w:val="21"/>
                <w:szCs w:val="21"/>
              </w:rPr>
            </w:pPr>
          </w:p>
        </w:tc>
        <w:tc>
          <w:tcPr>
            <w:tcW w:w="967" w:type="pct"/>
            <w:tcBorders>
              <w:top w:val="single" w:color="000000" w:sz="4" w:space="0"/>
              <w:left w:val="single" w:color="000000" w:sz="6" w:space="0"/>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排放方式</w:t>
            </w:r>
          </w:p>
        </w:tc>
        <w:tc>
          <w:tcPr>
            <w:tcW w:w="3259" w:type="pct"/>
            <w:tcBorders>
              <w:top w:val="single" w:color="000000" w:sz="4" w:space="0"/>
              <w:left w:val="single" w:color="000000" w:sz="6" w:space="0"/>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pacing w:val="-5"/>
                <w:sz w:val="21"/>
                <w:szCs w:val="21"/>
              </w:rPr>
              <w:t xml:space="preserve">废水排放量 </w:t>
            </w:r>
            <w:r>
              <w:rPr>
                <w:rFonts w:hint="default" w:ascii="Times New Roman" w:hAnsi="Times New Roman" w:eastAsia="宋体" w:cs="Times New Roman"/>
                <w:b w:val="0"/>
                <w:bCs/>
                <w:sz w:val="21"/>
                <w:szCs w:val="21"/>
              </w:rPr>
              <w:t>Q/（m</w:t>
            </w:r>
            <w:r>
              <w:rPr>
                <w:rFonts w:hint="eastAsia" w:ascii="Times New Roman" w:hAnsi="Times New Roman" w:cs="Times New Roman"/>
                <w:b w:val="0"/>
                <w:bCs/>
                <w:sz w:val="21"/>
                <w:szCs w:val="21"/>
                <w:vertAlign w:val="superscript"/>
                <w:lang w:val="en-US" w:eastAsia="zh-CN"/>
              </w:rPr>
              <w:t>3</w:t>
            </w:r>
            <w:r>
              <w:rPr>
                <w:rFonts w:hint="default" w:ascii="Times New Roman" w:hAnsi="Times New Roman" w:eastAsia="宋体" w:cs="Times New Roman"/>
                <w:b w:val="0"/>
                <w:bCs/>
                <w:sz w:val="21"/>
                <w:szCs w:val="21"/>
              </w:rPr>
              <w:t xml:space="preserve">/d）； </w:t>
            </w:r>
            <w:r>
              <w:rPr>
                <w:rFonts w:hint="default" w:ascii="Times New Roman" w:hAnsi="Times New Roman" w:eastAsia="宋体" w:cs="Times New Roman"/>
                <w:b w:val="0"/>
                <w:bCs/>
                <w:spacing w:val="-7"/>
                <w:sz w:val="21"/>
                <w:szCs w:val="21"/>
              </w:rPr>
              <w:t xml:space="preserve">水污染物当量数 </w:t>
            </w:r>
            <w:r>
              <w:rPr>
                <w:rFonts w:hint="default" w:ascii="Times New Roman" w:hAnsi="Times New Roman" w:eastAsia="宋体" w:cs="Times New Roman"/>
                <w:b w:val="0"/>
                <w:bCs/>
                <w:sz w:val="21"/>
                <w:szCs w:val="21"/>
              </w:rPr>
              <w:t>W/（</w:t>
            </w:r>
            <w:r>
              <w:rPr>
                <w:rFonts w:hint="default" w:ascii="Times New Roman" w:hAnsi="Times New Roman" w:eastAsia="宋体" w:cs="Times New Roman"/>
                <w:b w:val="0"/>
                <w:bCs/>
                <w:spacing w:val="-2"/>
                <w:sz w:val="21"/>
                <w:szCs w:val="21"/>
              </w:rPr>
              <w:t>无量纲</w:t>
            </w:r>
            <w:r>
              <w:rPr>
                <w:rFonts w:hint="default" w:ascii="Times New Roman" w:hAnsi="Times New Roman" w:eastAsia="宋体" w:cs="Times New Roman"/>
                <w:b w:val="0"/>
                <w:bCs/>
                <w:spacing w:val="-16"/>
                <w:sz w:val="21"/>
                <w:szCs w:val="21"/>
              </w:rPr>
              <w:t>）</w:t>
            </w:r>
          </w:p>
        </w:tc>
      </w:tr>
      <w:tr>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229" w:hRule="atLeast"/>
          <w:jc w:val="center"/>
        </w:trPr>
        <w:tc>
          <w:tcPr>
            <w:tcW w:w="773" w:type="pct"/>
            <w:tcBorders>
              <w:top w:val="single" w:color="000000" w:sz="12"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一级</w:t>
            </w:r>
          </w:p>
        </w:tc>
        <w:tc>
          <w:tcPr>
            <w:tcW w:w="967" w:type="pct"/>
            <w:tcBorders>
              <w:top w:val="single" w:color="000000" w:sz="12"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直接排放</w:t>
            </w:r>
          </w:p>
        </w:tc>
        <w:tc>
          <w:tcPr>
            <w:tcW w:w="3259" w:type="pct"/>
            <w:tcBorders>
              <w:top w:val="single" w:color="000000" w:sz="12"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Q≥20000 或 W≥600000</w:t>
            </w:r>
          </w:p>
        </w:tc>
      </w:tr>
      <w:tr>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202" w:hRule="atLeast"/>
          <w:jc w:val="center"/>
        </w:trPr>
        <w:tc>
          <w:tcPr>
            <w:tcW w:w="773" w:type="pct"/>
            <w:tcBorders>
              <w:top w:val="single" w:color="000000" w:sz="6"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leftChars="0" w:right="0" w:rightChars="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二级</w:t>
            </w:r>
          </w:p>
        </w:tc>
        <w:tc>
          <w:tcPr>
            <w:tcW w:w="967"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leftChars="0" w:right="0" w:rightChars="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直接排放</w:t>
            </w:r>
          </w:p>
        </w:tc>
        <w:tc>
          <w:tcPr>
            <w:tcW w:w="3259"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leftChars="0" w:right="0" w:rightChars="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其他</w:t>
            </w:r>
          </w:p>
        </w:tc>
      </w:tr>
      <w:tr>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188" w:hRule="atLeast"/>
          <w:jc w:val="center"/>
        </w:trPr>
        <w:tc>
          <w:tcPr>
            <w:tcW w:w="773" w:type="pct"/>
            <w:tcBorders>
              <w:top w:val="single" w:color="000000" w:sz="6"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leftChars="0" w:right="0" w:rightChars="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三级A</w:t>
            </w:r>
          </w:p>
        </w:tc>
        <w:tc>
          <w:tcPr>
            <w:tcW w:w="967"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leftChars="0" w:right="0" w:rightChars="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直接排放</w:t>
            </w:r>
          </w:p>
        </w:tc>
        <w:tc>
          <w:tcPr>
            <w:tcW w:w="3259"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leftChars="0" w:right="0" w:rightChars="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Q＜200 且 W＜6000</w:t>
            </w:r>
          </w:p>
        </w:tc>
      </w:tr>
      <w:tr>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229" w:hRule="atLeast"/>
          <w:jc w:val="center"/>
        </w:trPr>
        <w:tc>
          <w:tcPr>
            <w:tcW w:w="773" w:type="pct"/>
            <w:tcBorders>
              <w:top w:val="single" w:color="000000" w:sz="6" w:space="0"/>
              <w:left w:val="nil"/>
              <w:bottom w:val="single" w:color="000000" w:sz="6" w:space="0"/>
              <w:right w:val="single" w:color="000000" w:sz="6" w:space="0"/>
            </w:tcBorders>
            <w:shd w:val="clear" w:color="auto" w:fill="BEBEBE" w:themeFill="background1" w:themeFillShade="BF"/>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leftChars="0" w:right="0" w:rightChars="0" w:firstLine="0"/>
              <w:jc w:val="center"/>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sz w:val="21"/>
                <w:szCs w:val="21"/>
                <w:highlight w:val="none"/>
              </w:rPr>
              <w:t>三级B</w:t>
            </w:r>
          </w:p>
        </w:tc>
        <w:tc>
          <w:tcPr>
            <w:tcW w:w="967" w:type="pct"/>
            <w:tcBorders>
              <w:top w:val="single" w:color="000000" w:sz="6" w:space="0"/>
              <w:left w:val="single" w:color="000000" w:sz="6" w:space="0"/>
              <w:bottom w:val="single" w:color="000000" w:sz="6" w:space="0"/>
              <w:right w:val="single" w:color="000000" w:sz="6" w:space="0"/>
            </w:tcBorders>
            <w:shd w:val="clear" w:color="auto" w:fill="BEBEBE" w:themeFill="background1" w:themeFillShade="BF"/>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leftChars="0" w:right="0" w:rightChars="0" w:firstLine="0"/>
              <w:jc w:val="center"/>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sz w:val="21"/>
                <w:szCs w:val="21"/>
                <w:highlight w:val="none"/>
              </w:rPr>
              <w:t>间接排放</w:t>
            </w:r>
          </w:p>
        </w:tc>
        <w:tc>
          <w:tcPr>
            <w:tcW w:w="3259" w:type="pct"/>
            <w:tcBorders>
              <w:top w:val="single" w:color="000000" w:sz="6" w:space="0"/>
              <w:left w:val="single" w:color="000000" w:sz="6" w:space="0"/>
              <w:bottom w:val="single" w:color="000000" w:sz="6" w:space="0"/>
              <w:right w:val="nil"/>
            </w:tcBorders>
            <w:shd w:val="clear" w:color="auto" w:fill="BEBEBE" w:themeFill="background1" w:themeFillShade="BF"/>
            <w:vAlign w:val="center"/>
          </w:tcPr>
          <w:p>
            <w:pPr>
              <w:pStyle w:val="866"/>
              <w:keepNext w:val="0"/>
              <w:keepLines w:val="0"/>
              <w:pageBreakBefore w:val="0"/>
              <w:widowControl w:val="0"/>
              <w:kinsoku/>
              <w:wordWrap/>
              <w:overflowPunct/>
              <w:topLinePunct w:val="0"/>
              <w:autoSpaceDE/>
              <w:autoSpaceDN/>
              <w:bidi w:val="0"/>
              <w:adjustRightInd/>
              <w:snapToGrid/>
              <w:spacing w:line="240" w:lineRule="atLeast"/>
              <w:ind w:left="0" w:leftChars="0" w:right="0" w:rightChars="0" w:firstLine="0"/>
              <w:jc w:val="center"/>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sz w:val="21"/>
                <w:szCs w:val="21"/>
                <w:highlight w:val="none"/>
              </w:rPr>
              <w:t>--</w:t>
            </w:r>
          </w:p>
        </w:tc>
      </w:tr>
      <w:tr>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340" w:hRule="atLeast"/>
          <w:jc w:val="center"/>
        </w:trPr>
        <w:tc>
          <w:tcPr>
            <w:tcW w:w="5000" w:type="pct"/>
            <w:gridSpan w:val="3"/>
            <w:tcBorders>
              <w:top w:val="single" w:color="000000" w:sz="6" w:space="0"/>
              <w:left w:val="nil"/>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jc w:val="left"/>
              <w:textAlignment w:val="auto"/>
              <w:rPr>
                <w:rFonts w:hint="default" w:ascii="Times New Roman" w:hAnsi="Times New Roman" w:eastAsia="宋体" w:cs="Times New Roman"/>
                <w:sz w:val="18"/>
                <w:szCs w:val="18"/>
              </w:rPr>
            </w:pPr>
            <w:r>
              <w:rPr>
                <w:rFonts w:hint="default" w:ascii="Times New Roman" w:hAnsi="Times New Roman" w:eastAsia="宋体" w:cs="Times New Roman"/>
                <w:b/>
                <w:bCs/>
                <w:sz w:val="18"/>
                <w:szCs w:val="18"/>
              </w:rPr>
              <w:t>注1：</w:t>
            </w:r>
            <w:r>
              <w:rPr>
                <w:rFonts w:hint="default" w:ascii="Times New Roman" w:hAnsi="Times New Roman" w:eastAsia="宋体" w:cs="Times New Roman"/>
                <w:sz w:val="18"/>
                <w:szCs w:val="18"/>
              </w:rPr>
              <w:t>水污染物当量数等于该污染物的年排放量除以该污染物的污染当量值（见附录A），计算排放污染</w:t>
            </w:r>
          </w:p>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物的污染物当量数，应区分第一类水污染物和其他类水污染物，统计第一类污染物当量数总和，然后与其他类污染物按照污染物当量数从大到小排序，取最大当量数作为建设项目评价等级确定的依据。</w:t>
            </w:r>
          </w:p>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jc w:val="left"/>
              <w:textAlignment w:val="auto"/>
              <w:rPr>
                <w:rFonts w:hint="default" w:ascii="Times New Roman" w:hAnsi="Times New Roman" w:eastAsia="宋体" w:cs="Times New Roman"/>
                <w:sz w:val="18"/>
                <w:szCs w:val="18"/>
              </w:rPr>
            </w:pPr>
            <w:r>
              <w:rPr>
                <w:rFonts w:hint="default" w:ascii="Times New Roman" w:hAnsi="Times New Roman" w:eastAsia="宋体" w:cs="Times New Roman"/>
                <w:b/>
                <w:bCs/>
                <w:sz w:val="18"/>
                <w:szCs w:val="18"/>
              </w:rPr>
              <w:t>注2：</w:t>
            </w:r>
            <w:r>
              <w:rPr>
                <w:rFonts w:hint="default" w:ascii="Times New Roman" w:hAnsi="Times New Roman" w:eastAsia="宋体" w:cs="Times New Roman"/>
                <w:sz w:val="18"/>
                <w:szCs w:val="18"/>
              </w:rPr>
              <w:t>废水排放量按行业排放标准中规定的废水种类统计，没有相关行业排放标准要求的通过工程分析合理确定，可不统计间接冷却水、循环水以及其他含污染物极少的清净下水的排放量。</w:t>
            </w:r>
          </w:p>
          <w:p>
            <w:pPr>
              <w:pStyle w:val="866"/>
              <w:keepNext w:val="0"/>
              <w:keepLines w:val="0"/>
              <w:pageBreakBefore w:val="0"/>
              <w:widowControl w:val="0"/>
              <w:kinsoku/>
              <w:wordWrap/>
              <w:overflowPunct/>
              <w:topLinePunct w:val="0"/>
              <w:autoSpaceDE/>
              <w:autoSpaceDN/>
              <w:bidi w:val="0"/>
              <w:adjustRightInd/>
              <w:snapToGrid/>
              <w:spacing w:line="240" w:lineRule="atLeast"/>
              <w:ind w:left="0" w:leftChars="0" w:right="0" w:rightChars="0" w:firstLine="0"/>
              <w:jc w:val="left"/>
              <w:textAlignment w:val="auto"/>
              <w:rPr>
                <w:rFonts w:hint="default" w:ascii="Times New Roman" w:hAnsi="Times New Roman" w:eastAsia="宋体" w:cs="Times New Roman"/>
                <w:sz w:val="18"/>
                <w:szCs w:val="18"/>
              </w:rPr>
            </w:pPr>
            <w:r>
              <w:rPr>
                <w:rFonts w:hint="default" w:ascii="Times New Roman" w:hAnsi="Times New Roman" w:eastAsia="宋体" w:cs="Times New Roman"/>
                <w:b/>
                <w:bCs/>
                <w:sz w:val="18"/>
                <w:szCs w:val="18"/>
              </w:rPr>
              <w:t>注3</w:t>
            </w:r>
            <w:r>
              <w:rPr>
                <w:rFonts w:hint="default" w:ascii="Times New Roman" w:hAnsi="Times New Roman" w:eastAsia="宋体" w:cs="Times New Roman"/>
                <w:sz w:val="18"/>
                <w:szCs w:val="18"/>
              </w:rPr>
              <w:t>：厂区存在堆积物（露天堆放的原料、燃料、废渣等以及垃圾堆放场）、降尘污染的，应将初期雨污水纳入废水排放量，相应的主要污染物纳入水污染当量计算。</w:t>
            </w:r>
          </w:p>
          <w:p>
            <w:pPr>
              <w:pStyle w:val="866"/>
              <w:keepNext w:val="0"/>
              <w:keepLines w:val="0"/>
              <w:pageBreakBefore w:val="0"/>
              <w:widowControl w:val="0"/>
              <w:kinsoku/>
              <w:wordWrap/>
              <w:overflowPunct/>
              <w:topLinePunct w:val="0"/>
              <w:autoSpaceDE/>
              <w:autoSpaceDN/>
              <w:bidi w:val="0"/>
              <w:adjustRightInd/>
              <w:snapToGrid/>
              <w:spacing w:line="240" w:lineRule="atLeast"/>
              <w:ind w:left="0" w:leftChars="0" w:right="0" w:rightChars="0" w:firstLine="0"/>
              <w:jc w:val="left"/>
              <w:textAlignment w:val="auto"/>
              <w:rPr>
                <w:rFonts w:hint="default" w:ascii="Times New Roman" w:hAnsi="Times New Roman" w:eastAsia="宋体" w:cs="Times New Roman"/>
                <w:sz w:val="18"/>
                <w:szCs w:val="18"/>
              </w:rPr>
            </w:pPr>
            <w:r>
              <w:rPr>
                <w:rFonts w:hint="default" w:ascii="Times New Roman" w:hAnsi="Times New Roman" w:eastAsia="宋体" w:cs="Times New Roman"/>
                <w:b/>
                <w:bCs/>
                <w:sz w:val="18"/>
                <w:szCs w:val="18"/>
              </w:rPr>
              <w:t>注4：</w:t>
            </w:r>
            <w:r>
              <w:rPr>
                <w:rFonts w:hint="default" w:ascii="Times New Roman" w:hAnsi="Times New Roman" w:eastAsia="宋体" w:cs="Times New Roman"/>
                <w:sz w:val="18"/>
                <w:szCs w:val="18"/>
              </w:rPr>
              <w:t>建设项目直接排放第一类污染物的，其评价等级为一级；建设项目直接排放的污染物为受纳水体超标因子的，评价等级不低于二级。</w:t>
            </w:r>
          </w:p>
          <w:p>
            <w:pPr>
              <w:pStyle w:val="866"/>
              <w:keepNext w:val="0"/>
              <w:keepLines w:val="0"/>
              <w:pageBreakBefore w:val="0"/>
              <w:widowControl w:val="0"/>
              <w:kinsoku/>
              <w:wordWrap/>
              <w:overflowPunct/>
              <w:topLinePunct w:val="0"/>
              <w:autoSpaceDE/>
              <w:autoSpaceDN/>
              <w:bidi w:val="0"/>
              <w:adjustRightInd/>
              <w:snapToGrid/>
              <w:spacing w:line="240" w:lineRule="atLeast"/>
              <w:ind w:left="0" w:leftChars="0" w:right="0" w:rightChars="0" w:firstLine="0"/>
              <w:jc w:val="left"/>
              <w:textAlignment w:val="auto"/>
              <w:rPr>
                <w:rFonts w:hint="default" w:ascii="Times New Roman" w:hAnsi="Times New Roman" w:eastAsia="宋体" w:cs="Times New Roman"/>
                <w:sz w:val="18"/>
                <w:szCs w:val="18"/>
              </w:rPr>
            </w:pPr>
            <w:r>
              <w:rPr>
                <w:rFonts w:hint="default" w:ascii="Times New Roman" w:hAnsi="Times New Roman" w:eastAsia="宋体" w:cs="Times New Roman"/>
                <w:b/>
                <w:bCs/>
                <w:sz w:val="18"/>
                <w:szCs w:val="18"/>
              </w:rPr>
              <w:t>注5：</w:t>
            </w:r>
            <w:r>
              <w:rPr>
                <w:rFonts w:hint="default" w:ascii="Times New Roman" w:hAnsi="Times New Roman" w:eastAsia="宋体" w:cs="Times New Roman"/>
                <w:sz w:val="18"/>
                <w:szCs w:val="18"/>
              </w:rPr>
              <w:t>直接排放受纳水体影响范围涉及饮用水水源保护区、饮用水取水口、重点保护与珍稀水生生物的栖息地、重要水生生物的自然产卵场等保护目标时，评价等级不低于二级。</w:t>
            </w:r>
          </w:p>
          <w:p>
            <w:pPr>
              <w:pStyle w:val="866"/>
              <w:keepNext w:val="0"/>
              <w:keepLines w:val="0"/>
              <w:pageBreakBefore w:val="0"/>
              <w:widowControl w:val="0"/>
              <w:kinsoku/>
              <w:wordWrap/>
              <w:overflowPunct/>
              <w:topLinePunct w:val="0"/>
              <w:autoSpaceDE/>
              <w:autoSpaceDN/>
              <w:bidi w:val="0"/>
              <w:adjustRightInd/>
              <w:snapToGrid/>
              <w:spacing w:line="240" w:lineRule="atLeast"/>
              <w:ind w:left="0" w:leftChars="0" w:right="0" w:rightChars="0" w:firstLine="0"/>
              <w:jc w:val="left"/>
              <w:textAlignment w:val="auto"/>
              <w:rPr>
                <w:rFonts w:hint="default" w:ascii="Times New Roman" w:hAnsi="Times New Roman" w:eastAsia="宋体" w:cs="Times New Roman"/>
                <w:sz w:val="18"/>
                <w:szCs w:val="18"/>
              </w:rPr>
            </w:pPr>
            <w:r>
              <w:rPr>
                <w:rFonts w:hint="default" w:ascii="Times New Roman" w:hAnsi="Times New Roman" w:eastAsia="宋体" w:cs="Times New Roman"/>
                <w:b/>
                <w:bCs/>
                <w:sz w:val="18"/>
                <w:szCs w:val="18"/>
              </w:rPr>
              <w:t>注6：</w:t>
            </w:r>
            <w:r>
              <w:rPr>
                <w:rFonts w:hint="default" w:ascii="Times New Roman" w:hAnsi="Times New Roman" w:eastAsia="宋体" w:cs="Times New Roman"/>
                <w:sz w:val="18"/>
                <w:szCs w:val="18"/>
              </w:rPr>
              <w:t>建设项目向河流、湖库排放温排水引起受纳水体水温变化超过水环境质量标准要求，且评价范围有水温敏感目标时，评价等级为一级。</w:t>
            </w:r>
          </w:p>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jc w:val="left"/>
              <w:textAlignment w:val="auto"/>
              <w:rPr>
                <w:rFonts w:hint="default" w:ascii="Times New Roman" w:hAnsi="Times New Roman" w:eastAsia="宋体" w:cs="Times New Roman"/>
                <w:sz w:val="18"/>
                <w:szCs w:val="18"/>
              </w:rPr>
            </w:pPr>
            <w:r>
              <w:rPr>
                <w:rFonts w:hint="default" w:ascii="Times New Roman" w:hAnsi="Times New Roman" w:eastAsia="宋体" w:cs="Times New Roman"/>
                <w:b/>
                <w:bCs/>
                <w:sz w:val="18"/>
                <w:szCs w:val="18"/>
              </w:rPr>
              <w:t>注7：</w:t>
            </w:r>
            <w:r>
              <w:rPr>
                <w:rFonts w:hint="default" w:ascii="Times New Roman" w:hAnsi="Times New Roman" w:eastAsia="宋体" w:cs="Times New Roman"/>
                <w:sz w:val="18"/>
                <w:szCs w:val="18"/>
              </w:rPr>
              <w:t>建设项目利用海水作为调节温度介质，排水量≥500万m</w:t>
            </w:r>
            <w:r>
              <w:rPr>
                <w:rFonts w:hint="default" w:ascii="Times New Roman" w:hAnsi="Times New Roman" w:eastAsia="宋体" w:cs="Times New Roman"/>
                <w:sz w:val="18"/>
                <w:szCs w:val="18"/>
                <w:vertAlign w:val="superscript"/>
              </w:rPr>
              <w:t>3</w:t>
            </w:r>
            <w:r>
              <w:rPr>
                <w:rFonts w:hint="default" w:ascii="Times New Roman" w:hAnsi="Times New Roman" w:eastAsia="宋体" w:cs="Times New Roman"/>
                <w:sz w:val="18"/>
                <w:szCs w:val="18"/>
              </w:rPr>
              <w:t>/d，评价等级为一级；排水量＜500万m</w:t>
            </w:r>
            <w:r>
              <w:rPr>
                <w:rFonts w:hint="default" w:ascii="Times New Roman" w:hAnsi="Times New Roman" w:eastAsia="宋体" w:cs="Times New Roman"/>
                <w:sz w:val="18"/>
                <w:szCs w:val="18"/>
                <w:vertAlign w:val="superscript"/>
              </w:rPr>
              <w:t>3</w:t>
            </w:r>
            <w:r>
              <w:rPr>
                <w:rFonts w:hint="default" w:ascii="Times New Roman" w:hAnsi="Times New Roman" w:eastAsia="宋体" w:cs="Times New Roman"/>
                <w:sz w:val="18"/>
                <w:szCs w:val="18"/>
              </w:rPr>
              <w:t>/d，评价等级为二级。</w:t>
            </w:r>
          </w:p>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jc w:val="left"/>
              <w:textAlignment w:val="auto"/>
              <w:rPr>
                <w:rFonts w:hint="default" w:ascii="Times New Roman" w:hAnsi="Times New Roman" w:eastAsia="宋体" w:cs="Times New Roman"/>
                <w:sz w:val="18"/>
                <w:szCs w:val="18"/>
              </w:rPr>
            </w:pPr>
            <w:r>
              <w:rPr>
                <w:rFonts w:hint="default" w:ascii="Times New Roman" w:hAnsi="Times New Roman" w:eastAsia="宋体" w:cs="Times New Roman"/>
                <w:b/>
                <w:bCs/>
                <w:sz w:val="18"/>
                <w:szCs w:val="18"/>
              </w:rPr>
              <w:t>注8：</w:t>
            </w:r>
            <w:r>
              <w:rPr>
                <w:rFonts w:hint="default" w:ascii="Times New Roman" w:hAnsi="Times New Roman" w:eastAsia="宋体" w:cs="Times New Roman"/>
                <w:sz w:val="18"/>
                <w:szCs w:val="18"/>
              </w:rPr>
              <w:t>仅涉及清净下水排放的，如其排放水质满足受纳水体水环境质量标准要求的，评价等级为三级 A。</w:t>
            </w:r>
          </w:p>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jc w:val="left"/>
              <w:textAlignment w:val="auto"/>
              <w:rPr>
                <w:rFonts w:hint="default" w:ascii="Times New Roman" w:hAnsi="Times New Roman" w:eastAsia="宋体" w:cs="Times New Roman"/>
                <w:sz w:val="18"/>
                <w:szCs w:val="18"/>
              </w:rPr>
            </w:pPr>
            <w:r>
              <w:rPr>
                <w:rFonts w:hint="default" w:ascii="Times New Roman" w:hAnsi="Times New Roman" w:eastAsia="宋体" w:cs="Times New Roman"/>
                <w:b/>
                <w:bCs/>
                <w:sz w:val="18"/>
                <w:szCs w:val="18"/>
              </w:rPr>
              <w:t>注9：</w:t>
            </w:r>
            <w:r>
              <w:rPr>
                <w:rFonts w:hint="default" w:ascii="Times New Roman" w:hAnsi="Times New Roman" w:eastAsia="宋体" w:cs="Times New Roman"/>
                <w:sz w:val="18"/>
                <w:szCs w:val="18"/>
              </w:rPr>
              <w:t>依托现有排放口，且对外环境未新增排放污染物的直接排放建设项目，评价等级参照间接排放，定为三级B。</w:t>
            </w:r>
          </w:p>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jc w:val="left"/>
              <w:textAlignment w:val="auto"/>
              <w:rPr>
                <w:rFonts w:hint="eastAsia" w:ascii="Times New Roman" w:hAnsi="Times New Roman" w:eastAsia="宋体" w:cs="Times New Roman"/>
                <w:sz w:val="21"/>
                <w:szCs w:val="21"/>
                <w:lang w:eastAsia="zh-CN"/>
              </w:rPr>
            </w:pPr>
            <w:r>
              <w:rPr>
                <w:rFonts w:hint="default" w:ascii="Times New Roman" w:hAnsi="Times New Roman" w:eastAsia="宋体" w:cs="Times New Roman"/>
                <w:b/>
                <w:bCs/>
                <w:sz w:val="18"/>
                <w:szCs w:val="18"/>
              </w:rPr>
              <w:t>注10：</w:t>
            </w:r>
            <w:r>
              <w:rPr>
                <w:rFonts w:hint="default" w:ascii="Times New Roman" w:hAnsi="Times New Roman" w:eastAsia="宋体" w:cs="Times New Roman"/>
                <w:sz w:val="18"/>
                <w:szCs w:val="18"/>
              </w:rPr>
              <w:t>建设项目生产工艺中有废水产生，但作为回水利用，不排放到外环境的，按三级B评价</w:t>
            </w:r>
            <w:r>
              <w:rPr>
                <w:rFonts w:hint="eastAsia" w:ascii="Times New Roman" w:hAnsi="Times New Roman" w:cs="Times New Roman"/>
                <w:sz w:val="18"/>
                <w:szCs w:val="18"/>
                <w:lang w:eastAsia="zh-CN"/>
              </w:rPr>
              <w:t>。</w:t>
            </w:r>
          </w:p>
        </w:tc>
      </w:tr>
    </w:tbl>
    <w:p>
      <w:pPr>
        <w:pStyle w:val="5"/>
        <w:ind w:firstLine="562"/>
      </w:pPr>
      <w:r>
        <w:t>地</w:t>
      </w:r>
      <w:r>
        <w:rPr>
          <w:rFonts w:hint="eastAsia"/>
          <w:lang w:eastAsia="zh-CN"/>
        </w:rPr>
        <w:t>下</w:t>
      </w:r>
      <w:r>
        <w:t>水环境影响评价工作等级</w:t>
      </w:r>
    </w:p>
    <w:p>
      <w:pPr>
        <w:pStyle w:val="8"/>
        <w:rPr>
          <w:rFonts w:hint="eastAsia"/>
          <w:szCs w:val="21"/>
        </w:rPr>
      </w:pPr>
      <w:r>
        <w:rPr>
          <w:rFonts w:hint="eastAsia"/>
          <w:szCs w:val="21"/>
        </w:rPr>
        <w:t>根据《环境影响评价技术导则 地下水环境》(HJ 610-2016)附表 A，本项目为“14、畜禽养殖场、养殖小区-年出栏生猪5000头及以上”，属于Ⅲ类项目，项目所在地为“北江韶关</w:t>
      </w:r>
      <w:r>
        <w:rPr>
          <w:rFonts w:hint="eastAsia"/>
          <w:szCs w:val="21"/>
          <w:lang w:eastAsia="zh-CN"/>
        </w:rPr>
        <w:t>仁化地下水水源涵养</w:t>
      </w:r>
      <w:r>
        <w:rPr>
          <w:rFonts w:hint="eastAsia"/>
          <w:szCs w:val="21"/>
        </w:rPr>
        <w:t>区”，属于不敏感地区。</w:t>
      </w:r>
    </w:p>
    <w:p>
      <w:pPr>
        <w:pStyle w:val="865"/>
        <w:adjustRightInd w:val="0"/>
        <w:snapToGrid w:val="0"/>
        <w:rPr>
          <w:rFonts w:hint="eastAsia" w:ascii="Times New Roman" w:hAnsi="Times New Roman" w:cs="Times New Roman"/>
          <w:b/>
          <w:kern w:val="2"/>
          <w:sz w:val="21"/>
          <w:szCs w:val="21"/>
          <w:lang w:bidi="th-TH"/>
        </w:rPr>
      </w:pPr>
      <w:r>
        <w:rPr>
          <w:rFonts w:hint="eastAsia" w:ascii="Times New Roman" w:hAnsi="Times New Roman" w:cs="Times New Roman"/>
          <w:b/>
          <w:kern w:val="2"/>
          <w:sz w:val="21"/>
          <w:szCs w:val="21"/>
          <w:lang w:bidi="th-TH"/>
        </w:rPr>
        <w:t>表</w:t>
      </w:r>
      <w:r>
        <w:rPr>
          <w:rFonts w:hint="eastAsia" w:ascii="Times New Roman" w:hAnsi="Times New Roman" w:cs="Times New Roman"/>
          <w:b/>
          <w:kern w:val="2"/>
          <w:sz w:val="21"/>
          <w:szCs w:val="21"/>
          <w:lang w:val="en-US" w:eastAsia="zh-CN" w:bidi="th-TH"/>
        </w:rPr>
        <w:t>2.5-2</w:t>
      </w:r>
      <w:r>
        <w:rPr>
          <w:rFonts w:ascii="Times New Roman" w:hAnsi="Times New Roman" w:cs="Times New Roman"/>
          <w:b/>
          <w:kern w:val="2"/>
          <w:sz w:val="21"/>
          <w:szCs w:val="21"/>
          <w:lang w:bidi="th-TH"/>
        </w:rPr>
        <w:t xml:space="preserve"> </w:t>
      </w:r>
      <w:r>
        <w:rPr>
          <w:rFonts w:hint="eastAsia" w:ascii="Times New Roman" w:hAnsi="Times New Roman" w:cs="Times New Roman"/>
          <w:b/>
          <w:kern w:val="2"/>
          <w:sz w:val="21"/>
          <w:szCs w:val="21"/>
          <w:lang w:bidi="th-TH"/>
        </w:rPr>
        <w:t>地下水</w:t>
      </w:r>
      <w:r>
        <w:rPr>
          <w:rFonts w:hint="eastAsia" w:ascii="Times New Roman" w:hAnsi="Times New Roman" w:cs="Times New Roman"/>
          <w:b/>
          <w:kern w:val="2"/>
          <w:sz w:val="21"/>
          <w:szCs w:val="21"/>
          <w:lang w:eastAsia="zh-CN" w:bidi="th-TH"/>
        </w:rPr>
        <w:t>敏感程度</w:t>
      </w:r>
      <w:r>
        <w:rPr>
          <w:rFonts w:hint="eastAsia" w:ascii="Times New Roman" w:hAnsi="Times New Roman" w:cs="Times New Roman"/>
          <w:b/>
          <w:kern w:val="2"/>
          <w:sz w:val="21"/>
          <w:szCs w:val="21"/>
          <w:lang w:bidi="th-TH"/>
        </w:rPr>
        <w:t>分级表</w:t>
      </w:r>
    </w:p>
    <w:tbl>
      <w:tblPr>
        <w:tblStyle w:val="63"/>
        <w:tblW w:w="499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96"/>
        <w:gridCol w:w="742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43" w:type="pct"/>
            <w:tcBorders>
              <w:bottom w:val="single" w:color="auto" w:sz="12" w:space="0"/>
            </w:tcBorders>
            <w:noWrap w:val="0"/>
            <w:vAlign w:val="center"/>
          </w:tcPr>
          <w:p>
            <w:pPr>
              <w:adjustRightInd w:val="0"/>
              <w:snapToGrid w:val="0"/>
              <w:spacing w:line="240" w:lineRule="auto"/>
              <w:ind w:firstLine="0" w:firstLineChars="0"/>
              <w:jc w:val="center"/>
              <w:rPr>
                <w:rFonts w:hint="eastAsia" w:eastAsia="宋体"/>
              </w:rPr>
            </w:pPr>
            <w:r>
              <w:rPr>
                <w:rFonts w:hint="eastAsia" w:ascii="宋体" w:hAnsi="Calibri" w:eastAsia="宋体" w:cs="宋体"/>
                <w:kern w:val="0"/>
                <w:sz w:val="21"/>
                <w:szCs w:val="21"/>
              </w:rPr>
              <w:t>敏感程度</w:t>
            </w:r>
          </w:p>
        </w:tc>
        <w:tc>
          <w:tcPr>
            <w:tcW w:w="4356" w:type="pct"/>
            <w:tcBorders>
              <w:bottom w:val="single" w:color="auto" w:sz="12" w:space="0"/>
            </w:tcBorders>
            <w:noWrap w:val="0"/>
            <w:vAlign w:val="center"/>
          </w:tcPr>
          <w:p>
            <w:pPr>
              <w:adjustRightInd w:val="0"/>
              <w:snapToGrid w:val="0"/>
              <w:spacing w:line="240" w:lineRule="auto"/>
              <w:ind w:firstLine="0" w:firstLineChars="0"/>
              <w:jc w:val="center"/>
              <w:rPr>
                <w:rFonts w:hint="eastAsia" w:eastAsia="宋体"/>
              </w:rPr>
            </w:pPr>
            <w:r>
              <w:rPr>
                <w:rFonts w:hint="eastAsia" w:ascii="宋体" w:hAnsi="Calibri" w:eastAsia="宋体" w:cs="宋体"/>
                <w:kern w:val="0"/>
                <w:sz w:val="21"/>
                <w:szCs w:val="21"/>
              </w:rPr>
              <w:t>地下水环境敏感特征</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71" w:hRule="atLeast"/>
        </w:trPr>
        <w:tc>
          <w:tcPr>
            <w:tcW w:w="643" w:type="pct"/>
            <w:tcBorders>
              <w:top w:val="single" w:color="auto" w:sz="12" w:space="0"/>
            </w:tcBorders>
            <w:noWrap w:val="0"/>
            <w:vAlign w:val="center"/>
          </w:tcPr>
          <w:p>
            <w:pPr>
              <w:keepNext w:val="0"/>
              <w:keepLines w:val="0"/>
              <w:pageBreakBefore w:val="0"/>
              <w:widowControl w:val="0"/>
              <w:kinsoku/>
              <w:wordWrap/>
              <w:overflowPunct/>
              <w:topLinePunct w:val="0"/>
              <w:bidi w:val="0"/>
              <w:adjustRightInd w:val="0"/>
              <w:snapToGrid w:val="0"/>
              <w:spacing w:line="240" w:lineRule="atLeast"/>
              <w:ind w:firstLine="0" w:firstLineChars="0"/>
              <w:jc w:val="center"/>
              <w:textAlignment w:val="auto"/>
              <w:rPr>
                <w:rFonts w:hint="eastAsia" w:eastAsia="宋体"/>
              </w:rPr>
            </w:pPr>
            <w:r>
              <w:rPr>
                <w:rFonts w:hint="eastAsia" w:ascii="宋体" w:hAnsi="Calibri" w:eastAsia="宋体" w:cs="宋体"/>
                <w:kern w:val="0"/>
                <w:sz w:val="21"/>
                <w:szCs w:val="21"/>
              </w:rPr>
              <w:t>敏感</w:t>
            </w:r>
          </w:p>
        </w:tc>
        <w:tc>
          <w:tcPr>
            <w:tcW w:w="4356" w:type="pct"/>
            <w:tcBorders>
              <w:top w:val="single" w:color="auto" w:sz="12" w:space="0"/>
            </w:tcBorders>
            <w:noWrap w:val="0"/>
            <w:vAlign w:val="center"/>
          </w:tcPr>
          <w:p>
            <w:pPr>
              <w:keepNext w:val="0"/>
              <w:keepLines w:val="0"/>
              <w:pageBreakBefore w:val="0"/>
              <w:widowControl w:val="0"/>
              <w:kinsoku/>
              <w:wordWrap/>
              <w:overflowPunct/>
              <w:topLinePunct w:val="0"/>
              <w:autoSpaceDE w:val="0"/>
              <w:autoSpaceDN w:val="0"/>
              <w:bidi w:val="0"/>
              <w:adjustRightInd w:val="0"/>
              <w:spacing w:line="240" w:lineRule="atLeast"/>
              <w:ind w:firstLine="0" w:firstLineChars="0"/>
              <w:jc w:val="center"/>
              <w:textAlignment w:val="auto"/>
              <w:rPr>
                <w:rFonts w:hint="eastAsia" w:eastAsia="宋体"/>
              </w:rPr>
            </w:pPr>
            <w:r>
              <w:rPr>
                <w:rFonts w:hint="eastAsia" w:ascii="宋体" w:hAnsi="Calibri" w:eastAsia="宋体" w:cs="宋体"/>
                <w:kern w:val="0"/>
                <w:sz w:val="21"/>
                <w:szCs w:val="21"/>
              </w:rPr>
              <w:t>集中式饮用水水源（包括已建成的在用、备用、应急水源，在建和规划的饮用水水源）准保护区；除集中式饮用水水源以外的国家或地方政府设定的与地下水环境相关的其它保护区，如热水、矿泉水、温泉等特殊地下水资源保护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83" w:hRule="atLeast"/>
        </w:trPr>
        <w:tc>
          <w:tcPr>
            <w:tcW w:w="643" w:type="pct"/>
            <w:noWrap w:val="0"/>
            <w:vAlign w:val="center"/>
          </w:tcPr>
          <w:p>
            <w:pPr>
              <w:keepNext w:val="0"/>
              <w:keepLines w:val="0"/>
              <w:pageBreakBefore w:val="0"/>
              <w:widowControl w:val="0"/>
              <w:kinsoku/>
              <w:wordWrap/>
              <w:overflowPunct/>
              <w:topLinePunct w:val="0"/>
              <w:bidi w:val="0"/>
              <w:adjustRightInd w:val="0"/>
              <w:snapToGrid w:val="0"/>
              <w:spacing w:line="240" w:lineRule="atLeast"/>
              <w:ind w:firstLine="0" w:firstLineChars="0"/>
              <w:jc w:val="center"/>
              <w:textAlignment w:val="auto"/>
              <w:rPr>
                <w:rFonts w:hint="eastAsia" w:eastAsia="宋体"/>
              </w:rPr>
            </w:pPr>
            <w:r>
              <w:rPr>
                <w:rFonts w:hint="eastAsia" w:ascii="宋体" w:hAnsi="Calibri" w:eastAsia="宋体" w:cs="宋体"/>
                <w:kern w:val="0"/>
                <w:sz w:val="21"/>
                <w:szCs w:val="21"/>
              </w:rPr>
              <w:t>较敏感</w:t>
            </w:r>
          </w:p>
        </w:tc>
        <w:tc>
          <w:tcPr>
            <w:tcW w:w="4356" w:type="pct"/>
            <w:noWrap w:val="0"/>
            <w:vAlign w:val="center"/>
          </w:tcPr>
          <w:p>
            <w:pPr>
              <w:keepNext w:val="0"/>
              <w:keepLines w:val="0"/>
              <w:pageBreakBefore w:val="0"/>
              <w:widowControl w:val="0"/>
              <w:kinsoku/>
              <w:wordWrap/>
              <w:overflowPunct/>
              <w:topLinePunct w:val="0"/>
              <w:autoSpaceDE w:val="0"/>
              <w:autoSpaceDN w:val="0"/>
              <w:bidi w:val="0"/>
              <w:adjustRightInd w:val="0"/>
              <w:spacing w:line="240" w:lineRule="atLeast"/>
              <w:ind w:firstLine="0" w:firstLineChars="0"/>
              <w:jc w:val="center"/>
              <w:textAlignment w:val="auto"/>
              <w:rPr>
                <w:rFonts w:hint="eastAsia" w:eastAsia="宋体"/>
              </w:rPr>
            </w:pPr>
            <w:r>
              <w:rPr>
                <w:rFonts w:hint="eastAsia" w:ascii="宋体" w:hAnsi="Calibri" w:eastAsia="宋体" w:cs="宋体"/>
                <w:kern w:val="0"/>
                <w:sz w:val="21"/>
                <w:szCs w:val="21"/>
              </w:rPr>
              <w:t>集中式饮用水水源（包括已建成的在用、备用、应急水源，在建和规划的饮用水水源）准保护区以外的补给径流区；未划定准保护区的集中水式饮用水水源，其保护区以外的补给径流区；分散式饮用水水源地；特殊地下水资源（如矿泉水、温泉等）保护区以外的分布区等其他未列入上述敏感分级的环境敏感区</w:t>
            </w:r>
            <w:r>
              <w:rPr>
                <w:rFonts w:eastAsia="宋体"/>
                <w:kern w:val="0"/>
                <w:sz w:val="21"/>
                <w:szCs w:val="21"/>
              </w:rPr>
              <w:t>a</w:t>
            </w:r>
            <w:r>
              <w:rPr>
                <w:rFonts w:hint="eastAsia" w:ascii="宋体" w:hAnsi="Calibri" w:eastAsia="宋体" w:cs="宋体"/>
                <w:kern w:val="0"/>
                <w:sz w:val="21"/>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43" w:type="pct"/>
            <w:noWrap w:val="0"/>
            <w:vAlign w:val="center"/>
          </w:tcPr>
          <w:p>
            <w:pPr>
              <w:adjustRightInd w:val="0"/>
              <w:snapToGrid w:val="0"/>
              <w:spacing w:line="240" w:lineRule="auto"/>
              <w:ind w:firstLine="0" w:firstLineChars="0"/>
              <w:jc w:val="center"/>
              <w:rPr>
                <w:rFonts w:hint="eastAsia" w:eastAsia="宋体"/>
              </w:rPr>
            </w:pPr>
            <w:r>
              <w:rPr>
                <w:rFonts w:hint="eastAsia" w:ascii="宋体" w:hAnsi="Calibri" w:eastAsia="宋体" w:cs="宋体"/>
                <w:kern w:val="0"/>
                <w:sz w:val="21"/>
                <w:szCs w:val="21"/>
              </w:rPr>
              <w:t>不敏感</w:t>
            </w:r>
          </w:p>
        </w:tc>
        <w:tc>
          <w:tcPr>
            <w:tcW w:w="4356" w:type="pct"/>
            <w:noWrap w:val="0"/>
            <w:vAlign w:val="center"/>
          </w:tcPr>
          <w:p>
            <w:pPr>
              <w:adjustRightInd w:val="0"/>
              <w:snapToGrid w:val="0"/>
              <w:spacing w:line="240" w:lineRule="auto"/>
              <w:ind w:firstLine="0" w:firstLineChars="0"/>
              <w:jc w:val="center"/>
              <w:rPr>
                <w:rFonts w:hint="eastAsia" w:eastAsia="宋体"/>
              </w:rPr>
            </w:pPr>
            <w:r>
              <w:rPr>
                <w:rFonts w:hint="eastAsia" w:ascii="宋体" w:hAnsi="Calibri" w:eastAsia="宋体" w:cs="宋体"/>
                <w:kern w:val="0"/>
                <w:sz w:val="21"/>
                <w:szCs w:val="21"/>
              </w:rPr>
              <w:t>上述地区之外的其它地区。</w:t>
            </w:r>
          </w:p>
        </w:tc>
      </w:tr>
    </w:tbl>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textAlignment w:val="auto"/>
        <w:rPr>
          <w:rFonts w:hint="eastAsia"/>
          <w:sz w:val="15"/>
          <w:szCs w:val="15"/>
        </w:rPr>
      </w:pPr>
      <w:r>
        <w:rPr>
          <w:rFonts w:hint="eastAsia" w:ascii="宋体" w:hAnsi="Calibri" w:eastAsia="宋体" w:cs="宋体"/>
          <w:b/>
          <w:bCs/>
          <w:kern w:val="0"/>
          <w:sz w:val="15"/>
          <w:szCs w:val="15"/>
        </w:rPr>
        <w:t>注：</w:t>
      </w:r>
      <w:r>
        <w:rPr>
          <w:rFonts w:eastAsia="宋体"/>
          <w:b/>
          <w:bCs/>
          <w:kern w:val="0"/>
          <w:sz w:val="15"/>
          <w:szCs w:val="15"/>
        </w:rPr>
        <w:t>a</w:t>
      </w:r>
      <w:r>
        <w:rPr>
          <w:rFonts w:hint="eastAsia" w:ascii="宋体" w:hAnsi="Calibri" w:eastAsia="宋体" w:cs="宋体"/>
          <w:b/>
          <w:bCs/>
          <w:kern w:val="0"/>
          <w:sz w:val="15"/>
          <w:szCs w:val="15"/>
        </w:rPr>
        <w:t>“环境敏感区”是指《建设项目环境影响评价分类管理名录》中所界定的涉及地下水的环境敏感区</w:t>
      </w:r>
      <w:r>
        <w:rPr>
          <w:rFonts w:hint="eastAsia" w:ascii="宋体" w:hAnsi="Calibri" w:eastAsia="宋体" w:cs="宋体"/>
          <w:kern w:val="0"/>
          <w:sz w:val="15"/>
          <w:szCs w:val="15"/>
        </w:rPr>
        <w:t>。</w:t>
      </w:r>
    </w:p>
    <w:p>
      <w:pPr>
        <w:pStyle w:val="865"/>
        <w:adjustRightInd w:val="0"/>
        <w:snapToGrid w:val="0"/>
        <w:rPr>
          <w:rFonts w:hint="eastAsia" w:ascii="Times New Roman" w:hAnsi="Times New Roman" w:cs="Times New Roman"/>
          <w:b/>
          <w:kern w:val="2"/>
          <w:sz w:val="21"/>
          <w:szCs w:val="21"/>
          <w:lang w:bidi="th-TH"/>
        </w:rPr>
      </w:pPr>
      <w:r>
        <w:rPr>
          <w:rFonts w:hint="eastAsia" w:ascii="Times New Roman" w:hAnsi="Times New Roman" w:cs="Times New Roman"/>
          <w:b/>
          <w:kern w:val="2"/>
          <w:sz w:val="21"/>
          <w:szCs w:val="21"/>
          <w:lang w:bidi="th-TH"/>
        </w:rPr>
        <w:t>表</w:t>
      </w:r>
      <w:r>
        <w:rPr>
          <w:rFonts w:hint="eastAsia" w:ascii="Times New Roman" w:hAnsi="Times New Roman" w:cs="Times New Roman"/>
          <w:b/>
          <w:kern w:val="2"/>
          <w:sz w:val="21"/>
          <w:szCs w:val="21"/>
          <w:lang w:val="en-US" w:eastAsia="zh-CN" w:bidi="th-TH"/>
        </w:rPr>
        <w:t>2.5-3</w:t>
      </w:r>
      <w:r>
        <w:rPr>
          <w:rFonts w:ascii="Times New Roman" w:hAnsi="Times New Roman" w:cs="Times New Roman"/>
          <w:b/>
          <w:kern w:val="2"/>
          <w:sz w:val="21"/>
          <w:szCs w:val="21"/>
          <w:lang w:bidi="th-TH"/>
        </w:rPr>
        <w:t xml:space="preserve"> </w:t>
      </w:r>
      <w:r>
        <w:rPr>
          <w:rFonts w:hint="eastAsia" w:ascii="Times New Roman" w:hAnsi="Times New Roman" w:cs="Times New Roman"/>
          <w:b/>
          <w:kern w:val="2"/>
          <w:sz w:val="21"/>
          <w:szCs w:val="21"/>
          <w:lang w:bidi="th-TH"/>
        </w:rPr>
        <w:t>地下水评价工作等级分级表</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Borders>
              <w:top w:val="single" w:color="auto" w:sz="12" w:space="0"/>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val="en-US" w:eastAsia="zh-CN"/>
              </w:rPr>
              <w:t xml:space="preserve">       </w:t>
            </w:r>
            <w:r>
              <w:rPr>
                <w:rFonts w:hint="eastAsia"/>
                <w:sz w:val="21"/>
                <w:szCs w:val="21"/>
                <w:vertAlign w:val="baseline"/>
                <w:lang w:eastAsia="zh-CN"/>
              </w:rPr>
              <w:t>项目类型</w:t>
            </w:r>
          </w:p>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both"/>
              <w:textAlignment w:val="auto"/>
              <w:rPr>
                <w:rFonts w:hint="eastAsia"/>
                <w:sz w:val="21"/>
                <w:szCs w:val="21"/>
                <w:vertAlign w:val="baseline"/>
              </w:rPr>
            </w:pPr>
            <w:r>
              <w:rPr>
                <w:sz w:val="21"/>
                <w:szCs w:val="21"/>
              </w:rPr>
              <mc:AlternateContent>
                <mc:Choice Requires="wps">
                  <w:drawing>
                    <wp:anchor distT="0" distB="0" distL="114300" distR="114300" simplePos="0" relativeHeight="251955200" behindDoc="0" locked="0" layoutInCell="1" allowOverlap="1">
                      <wp:simplePos x="0" y="0"/>
                      <wp:positionH relativeFrom="column">
                        <wp:posOffset>-39370</wp:posOffset>
                      </wp:positionH>
                      <wp:positionV relativeFrom="paragraph">
                        <wp:posOffset>-174625</wp:posOffset>
                      </wp:positionV>
                      <wp:extent cx="1352550" cy="350520"/>
                      <wp:effectExtent l="1270" t="4445" r="17780" b="6985"/>
                      <wp:wrapNone/>
                      <wp:docPr id="55" name="直接连接符 55"/>
                      <wp:cNvGraphicFramePr/>
                      <a:graphic xmlns:a="http://schemas.openxmlformats.org/drawingml/2006/main">
                        <a:graphicData uri="http://schemas.microsoft.com/office/word/2010/wordprocessingShape">
                          <wps:wsp>
                            <wps:cNvCnPr/>
                            <wps:spPr>
                              <a:xfrm>
                                <a:off x="1132205" y="3689985"/>
                                <a:ext cx="1352550" cy="35052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3.1pt;margin-top:-13.75pt;height:27.6pt;width:106.5pt;z-index:251955200;mso-width-relative:page;mso-height-relative:page;" filled="f" stroked="t" coordsize="21600,21600" o:gfxdata="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WAAAAZHJzL1BLAQIUABQAAAAIAIdO&#10;4kCRKv0y1wAAAAkBAAAPAAAAAAAAAAEAIAAAADgAAABkcnMvZG93bnJldi54bWxQSwECFAAUAAAA&#10;CACHTuJA/ittq9kBAAB2AwAADgAAAAAAAAABACAAAAA8AQAAZHJzL2Uyb0RvYy54bWxQSwUGAAAA&#10;AAYABgBZAQAAhwUAAAAA&#10;">
                      <v:fill on="f" focussize="0,0"/>
                      <v:stroke weight="0.5pt" color="#000000 [3213]" miterlimit="8" joinstyle="miter"/>
                      <v:imagedata o:title=""/>
                      <o:lock v:ext="edit" aspectratio="f"/>
                    </v:line>
                  </w:pict>
                </mc:Fallback>
              </mc:AlternateContent>
            </w:r>
            <w:r>
              <w:rPr>
                <w:rFonts w:hint="eastAsia"/>
                <w:sz w:val="21"/>
                <w:szCs w:val="21"/>
                <w:vertAlign w:val="baseline"/>
                <w:lang w:eastAsia="zh-CN"/>
              </w:rPr>
              <w:t>环境敏感程度</w:t>
            </w:r>
          </w:p>
        </w:tc>
        <w:tc>
          <w:tcPr>
            <w:tcW w:w="2130" w:type="dxa"/>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Ⅰ类项目</w:t>
            </w:r>
          </w:p>
        </w:tc>
        <w:tc>
          <w:tcPr>
            <w:tcW w:w="2131" w:type="dxa"/>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Ⅱ类项目</w:t>
            </w:r>
          </w:p>
        </w:tc>
        <w:tc>
          <w:tcPr>
            <w:tcW w:w="2131" w:type="dxa"/>
            <w:tcBorders>
              <w:top w:val="single" w:color="auto" w:sz="12" w:space="0"/>
              <w:bottom w:val="single" w:color="auto" w:sz="12" w:space="0"/>
              <w:right w:val="nil"/>
            </w:tcBorders>
            <w:shd w:val="clear" w:color="auto" w:fill="BEBEBE" w:themeFill="background1" w:themeFillShade="BF"/>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Ⅲ类项目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Borders>
              <w:top w:val="single" w:color="auto" w:sz="12" w:space="0"/>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敏感</w:t>
            </w:r>
          </w:p>
        </w:tc>
        <w:tc>
          <w:tcPr>
            <w:tcW w:w="2130" w:type="dxa"/>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一</w:t>
            </w:r>
          </w:p>
        </w:tc>
        <w:tc>
          <w:tcPr>
            <w:tcW w:w="2131" w:type="dxa"/>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一</w:t>
            </w:r>
          </w:p>
        </w:tc>
        <w:tc>
          <w:tcPr>
            <w:tcW w:w="2131" w:type="dxa"/>
            <w:tcBorders>
              <w:top w:val="single" w:color="auto" w:sz="12" w:space="0"/>
              <w:right w:val="nil"/>
            </w:tcBorders>
            <w:shd w:val="clear" w:color="auto" w:fill="BEBEBE" w:themeFill="background1" w:themeFillShade="BF"/>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较敏感</w:t>
            </w:r>
          </w:p>
        </w:tc>
        <w:tc>
          <w:tcPr>
            <w:tcW w:w="2130"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一</w:t>
            </w:r>
          </w:p>
        </w:tc>
        <w:tc>
          <w:tcPr>
            <w:tcW w:w="2131"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二</w:t>
            </w:r>
          </w:p>
        </w:tc>
        <w:tc>
          <w:tcPr>
            <w:tcW w:w="2131" w:type="dxa"/>
            <w:tcBorders>
              <w:right w:val="nil"/>
            </w:tcBorders>
            <w:shd w:val="clear" w:color="auto" w:fill="BEBEBE" w:themeFill="background1" w:themeFillShade="BF"/>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130" w:type="dxa"/>
            <w:tcBorders>
              <w:left w:val="nil"/>
              <w:bottom w:val="single" w:color="auto" w:sz="12" w:space="0"/>
            </w:tcBorders>
            <w:shd w:val="clear" w:color="auto" w:fill="BEBEBE" w:themeFill="background1" w:themeFillShade="BF"/>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不敏感</w:t>
            </w:r>
          </w:p>
        </w:tc>
        <w:tc>
          <w:tcPr>
            <w:tcW w:w="2130" w:type="dxa"/>
            <w:tcBorders>
              <w:bottom w:val="single" w:color="auto" w:sz="12" w:space="0"/>
            </w:tcBorders>
            <w:shd w:val="clear" w:color="auto" w:fill="BEBEBE" w:themeFill="background1" w:themeFillShade="BF"/>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二</w:t>
            </w:r>
          </w:p>
        </w:tc>
        <w:tc>
          <w:tcPr>
            <w:tcW w:w="2131" w:type="dxa"/>
            <w:tcBorders>
              <w:bottom w:val="single" w:color="auto" w:sz="12" w:space="0"/>
            </w:tcBorders>
            <w:shd w:val="clear" w:color="auto" w:fill="BEBEBE" w:themeFill="background1" w:themeFillShade="BF"/>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三</w:t>
            </w:r>
          </w:p>
        </w:tc>
        <w:tc>
          <w:tcPr>
            <w:tcW w:w="2131" w:type="dxa"/>
            <w:tcBorders>
              <w:bottom w:val="single" w:color="auto" w:sz="12" w:space="0"/>
              <w:right w:val="nil"/>
            </w:tcBorders>
            <w:shd w:val="clear" w:color="auto" w:fill="BEBEBE" w:themeFill="background1" w:themeFillShade="BF"/>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三</w:t>
            </w:r>
          </w:p>
        </w:tc>
      </w:tr>
    </w:tbl>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szCs w:val="21"/>
        </w:rPr>
      </w:pPr>
      <w:r>
        <w:rPr>
          <w:rFonts w:hint="eastAsia"/>
          <w:szCs w:val="21"/>
          <w:lang w:eastAsia="zh-CN"/>
        </w:rPr>
        <w:t>因此，</w:t>
      </w:r>
      <w:r>
        <w:rPr>
          <w:rFonts w:hint="eastAsia"/>
          <w:szCs w:val="21"/>
        </w:rPr>
        <w:t>对照表</w:t>
      </w:r>
      <w:r>
        <w:rPr>
          <w:rFonts w:hint="eastAsia"/>
          <w:szCs w:val="21"/>
          <w:lang w:val="en-US" w:eastAsia="zh-CN"/>
        </w:rPr>
        <w:t>2.5-3</w:t>
      </w:r>
      <w:r>
        <w:rPr>
          <w:rFonts w:hint="eastAsia"/>
          <w:szCs w:val="21"/>
        </w:rPr>
        <w:t>判别，项目的地下水环境敏感程度为不敏感，因此确定本项目地下水环境影响评价等级为三级。</w:t>
      </w:r>
    </w:p>
    <w:p>
      <w:pPr>
        <w:pStyle w:val="5"/>
        <w:ind w:firstLine="562"/>
      </w:pPr>
      <w:r>
        <w:t>环境</w:t>
      </w:r>
      <w:r>
        <w:rPr>
          <w:rFonts w:hint="eastAsia"/>
          <w:lang w:eastAsia="zh-CN"/>
        </w:rPr>
        <w:t>空气</w:t>
      </w:r>
      <w:r>
        <w:t>影响评价工作等级</w:t>
      </w:r>
    </w:p>
    <w:p>
      <w:pPr>
        <w:pStyle w:val="26"/>
        <w:keepNext w:val="0"/>
        <w:keepLines w:val="0"/>
        <w:pageBreakBefore w:val="0"/>
        <w:widowControl w:val="0"/>
        <w:kinsoku/>
        <w:wordWrap/>
        <w:overflowPunct/>
        <w:topLinePunct w:val="0"/>
        <w:autoSpaceDE/>
        <w:autoSpaceDN/>
        <w:bidi w:val="0"/>
        <w:adjustRightInd/>
        <w:snapToGrid/>
        <w:spacing w:after="0" w:line="360" w:lineRule="auto"/>
        <w:ind w:left="0" w:right="0" w:firstLine="480" w:firstLineChars="200"/>
        <w:jc w:val="both"/>
        <w:textAlignment w:val="auto"/>
        <w:rPr>
          <w:sz w:val="24"/>
          <w:szCs w:val="24"/>
        </w:rPr>
      </w:pPr>
      <w:r>
        <w:rPr>
          <w:sz w:val="24"/>
          <w:szCs w:val="24"/>
        </w:rPr>
        <w:t>根据《环境影响评价技术导则 大气环境》（</w:t>
      </w:r>
      <w:r>
        <w:rPr>
          <w:rFonts w:ascii="Times New Roman" w:eastAsia="Times New Roman"/>
          <w:sz w:val="24"/>
          <w:szCs w:val="24"/>
        </w:rPr>
        <w:t>HJ2.2-2018</w:t>
      </w:r>
      <w:r>
        <w:rPr>
          <w:sz w:val="24"/>
          <w:szCs w:val="24"/>
        </w:rPr>
        <w:t>）中评价等级判定确定方</w:t>
      </w:r>
      <w:r>
        <w:rPr>
          <w:spacing w:val="-7"/>
          <w:sz w:val="24"/>
          <w:szCs w:val="24"/>
        </w:rPr>
        <w:t>法，结合项目工程分析结果，选择正常排放的主要污染物及排放参数，采用《环境影响</w:t>
      </w:r>
      <w:r>
        <w:rPr>
          <w:spacing w:val="-6"/>
          <w:sz w:val="24"/>
          <w:szCs w:val="24"/>
        </w:rPr>
        <w:t xml:space="preserve">评价技术导则 </w:t>
      </w:r>
      <w:r>
        <w:rPr>
          <w:rFonts w:hint="eastAsia"/>
          <w:spacing w:val="-6"/>
          <w:sz w:val="24"/>
          <w:szCs w:val="24"/>
          <w:lang w:val="en-US" w:eastAsia="zh-CN"/>
        </w:rPr>
        <w:t xml:space="preserve"> </w:t>
      </w:r>
      <w:r>
        <w:rPr>
          <w:spacing w:val="-6"/>
          <w:sz w:val="24"/>
          <w:szCs w:val="24"/>
        </w:rPr>
        <w:t>大气环境》</w:t>
      </w:r>
      <w:r>
        <w:rPr>
          <w:spacing w:val="-4"/>
          <w:sz w:val="24"/>
          <w:szCs w:val="24"/>
        </w:rPr>
        <w:t>（</w:t>
      </w:r>
      <w:r>
        <w:rPr>
          <w:rFonts w:ascii="Times New Roman" w:eastAsia="Times New Roman"/>
          <w:spacing w:val="-4"/>
          <w:sz w:val="24"/>
          <w:szCs w:val="24"/>
        </w:rPr>
        <w:t>HJ2.2-2018</w:t>
      </w:r>
      <w:r>
        <w:rPr>
          <w:spacing w:val="-4"/>
          <w:sz w:val="24"/>
          <w:szCs w:val="24"/>
        </w:rPr>
        <w:t>）</w:t>
      </w:r>
      <w:r>
        <w:rPr>
          <w:spacing w:val="-20"/>
          <w:sz w:val="24"/>
          <w:szCs w:val="24"/>
        </w:rPr>
        <w:t xml:space="preserve">附录 </w:t>
      </w:r>
      <w:r>
        <w:rPr>
          <w:rFonts w:ascii="Times New Roman" w:eastAsia="Times New Roman"/>
          <w:sz w:val="24"/>
          <w:szCs w:val="24"/>
        </w:rPr>
        <w:t>A</w:t>
      </w:r>
      <w:r>
        <w:rPr>
          <w:spacing w:val="-9"/>
          <w:sz w:val="24"/>
          <w:szCs w:val="24"/>
        </w:rPr>
        <w:t>推荐模型中的</w:t>
      </w:r>
      <w:r>
        <w:rPr>
          <w:rFonts w:ascii="Times New Roman" w:eastAsia="Times New Roman"/>
          <w:sz w:val="24"/>
          <w:szCs w:val="24"/>
        </w:rPr>
        <w:t xml:space="preserve">AERSCREEN </w:t>
      </w:r>
      <w:r>
        <w:rPr>
          <w:sz w:val="24"/>
          <w:szCs w:val="24"/>
        </w:rPr>
        <w:t>模式分别</w:t>
      </w:r>
      <w:r>
        <w:rPr>
          <w:spacing w:val="1"/>
          <w:sz w:val="24"/>
          <w:szCs w:val="24"/>
        </w:rPr>
        <w:t>计算项目排放主要污染物的最大地面空气质量浓度占标率</w:t>
      </w:r>
      <w:r>
        <w:rPr>
          <w:rFonts w:ascii="Times New Roman" w:eastAsia="Times New Roman"/>
          <w:sz w:val="24"/>
          <w:szCs w:val="24"/>
        </w:rPr>
        <w:t>P</w:t>
      </w:r>
      <w:r>
        <w:rPr>
          <w:rFonts w:ascii="Times New Roman" w:eastAsia="Times New Roman"/>
          <w:sz w:val="24"/>
          <w:szCs w:val="24"/>
          <w:vertAlign w:val="subscript"/>
        </w:rPr>
        <w:t>i</w:t>
      </w:r>
      <w:r>
        <w:rPr>
          <w:spacing w:val="20"/>
          <w:sz w:val="24"/>
          <w:szCs w:val="24"/>
        </w:rPr>
        <w:t>和第</w:t>
      </w:r>
      <w:r>
        <w:rPr>
          <w:rFonts w:ascii="Times New Roman" w:eastAsia="Times New Roman"/>
          <w:sz w:val="24"/>
          <w:szCs w:val="24"/>
        </w:rPr>
        <w:t>i</w:t>
      </w:r>
      <w:r>
        <w:rPr>
          <w:sz w:val="24"/>
          <w:szCs w:val="24"/>
        </w:rPr>
        <w:t>个污染物的地面空气</w:t>
      </w:r>
      <w:r>
        <w:rPr>
          <w:spacing w:val="-6"/>
          <w:sz w:val="24"/>
          <w:szCs w:val="24"/>
        </w:rPr>
        <w:t>质量浓度达到标准值的</w:t>
      </w:r>
      <w:r>
        <w:rPr>
          <w:rFonts w:ascii="Times New Roman" w:eastAsia="Times New Roman"/>
          <w:sz w:val="24"/>
          <w:szCs w:val="24"/>
        </w:rPr>
        <w:t>10%</w:t>
      </w:r>
      <w:r>
        <w:rPr>
          <w:spacing w:val="-6"/>
          <w:sz w:val="24"/>
          <w:szCs w:val="24"/>
        </w:rPr>
        <w:t>时所对应的最远距离</w:t>
      </w:r>
      <w:r>
        <w:rPr>
          <w:rFonts w:ascii="Times New Roman" w:eastAsia="Times New Roman"/>
          <w:sz w:val="24"/>
          <w:szCs w:val="24"/>
        </w:rPr>
        <w:t>D10%</w:t>
      </w:r>
      <w:r>
        <w:rPr>
          <w:sz w:val="24"/>
          <w:szCs w:val="24"/>
        </w:rPr>
        <w:t>。其中，</w:t>
      </w:r>
      <w:r>
        <w:rPr>
          <w:rFonts w:ascii="Times New Roman" w:eastAsia="Times New Roman"/>
          <w:sz w:val="24"/>
          <w:szCs w:val="24"/>
        </w:rPr>
        <w:t>P</w:t>
      </w:r>
      <w:r>
        <w:rPr>
          <w:rFonts w:ascii="Times New Roman" w:eastAsia="Times New Roman"/>
          <w:sz w:val="24"/>
          <w:szCs w:val="24"/>
          <w:vertAlign w:val="subscript"/>
        </w:rPr>
        <w:t>i</w:t>
      </w:r>
      <w:r>
        <w:rPr>
          <w:sz w:val="24"/>
          <w:szCs w:val="24"/>
        </w:rPr>
        <w:t>定义如下：</w:t>
      </w:r>
    </w:p>
    <w:p>
      <w:pPr>
        <w:pStyle w:val="8"/>
        <w:ind w:left="0" w:leftChars="0" w:firstLine="0" w:firstLineChars="0"/>
        <w:jc w:val="center"/>
        <w:rPr>
          <w:rFonts w:hint="eastAsia" w:eastAsia="宋体"/>
          <w:szCs w:val="21"/>
          <w:lang w:eastAsia="zh-CN"/>
        </w:rPr>
      </w:pPr>
      <w:r>
        <w:rPr>
          <w:rFonts w:hint="eastAsia" w:eastAsia="宋体"/>
          <w:position w:val="-30"/>
          <w:szCs w:val="21"/>
          <w:lang w:eastAsia="zh-CN"/>
        </w:rPr>
        <w:object>
          <v:shape id="_x0000_i1025" o:spt="75" type="#_x0000_t75" style="height:34pt;width:78pt;" o:ole="t" filled="f" o:preferrelative="t" stroked="f" coordsize="21600,21600">
            <v:path/>
            <v:fill on="f" focussize="0,0"/>
            <v:stroke on="f"/>
            <v:imagedata r:id="rId23" o:title=""/>
            <o:lock v:ext="edit" aspectratio="t"/>
            <w10:wrap type="none"/>
            <w10:anchorlock/>
          </v:shape>
          <o:OLEObject Type="Embed" ProgID="Equation.KSEE3" ShapeID="_x0000_i1025" DrawAspect="Content" ObjectID="_1468075725" r:id="rId22">
            <o:LockedField>false</o:LockedField>
          </o:OLEObject>
        </w:object>
      </w:r>
    </w:p>
    <w:p>
      <w:pPr>
        <w:pStyle w:val="8"/>
        <w:rPr>
          <w:rFonts w:hint="eastAsia"/>
          <w:szCs w:val="21"/>
        </w:rPr>
      </w:pPr>
      <w:r>
        <w:rPr>
          <w:rFonts w:hint="eastAsia" w:eastAsia="宋体"/>
          <w:position w:val="-12"/>
          <w:szCs w:val="21"/>
          <w:lang w:eastAsia="zh-CN"/>
        </w:rPr>
        <w:object>
          <v:shape id="_x0000_i1026" o:spt="75" type="#_x0000_t75" style="height:18pt;width:12pt;" o:ole="t" filled="f" o:preferrelative="t" stroked="f" coordsize="21600,21600">
            <v:path/>
            <v:fill on="f" focussize="0,0"/>
            <v:stroke on="f"/>
            <v:imagedata r:id="rId25" o:title=""/>
            <o:lock v:ext="edit" aspectratio="t"/>
            <w10:wrap type="none"/>
            <w10:anchorlock/>
          </v:shape>
          <o:OLEObject Type="Embed" ProgID="Equation.KSEE3" ShapeID="_x0000_i1026" DrawAspect="Content" ObjectID="_1468075726" r:id="rId24">
            <o:LockedField>false</o:LockedField>
          </o:OLEObject>
        </w:object>
      </w:r>
      <w:r>
        <w:rPr>
          <w:rFonts w:hint="eastAsia"/>
          <w:szCs w:val="21"/>
        </w:rPr>
        <w:t>——第i个污染物的最大地面空气质量浓度占标率，%；</w:t>
      </w:r>
    </w:p>
    <w:p>
      <w:pPr>
        <w:pStyle w:val="8"/>
        <w:rPr>
          <w:rFonts w:hint="eastAsia"/>
          <w:szCs w:val="21"/>
        </w:rPr>
      </w:pPr>
      <w:r>
        <w:rPr>
          <w:rFonts w:hint="eastAsia" w:eastAsia="宋体"/>
          <w:position w:val="-12"/>
          <w:szCs w:val="21"/>
          <w:lang w:eastAsia="zh-CN"/>
        </w:rPr>
        <w:object>
          <v:shape id="_x0000_i1027" o:spt="75" type="#_x0000_t75" style="height:18pt;width:13.95pt;" o:ole="t" filled="f" o:preferrelative="t" stroked="f" coordsize="21600,21600">
            <v:path/>
            <v:fill on="f" focussize="0,0"/>
            <v:stroke on="f"/>
            <v:imagedata r:id="rId27" o:title=""/>
            <o:lock v:ext="edit" aspectratio="t"/>
            <w10:wrap type="none"/>
            <w10:anchorlock/>
          </v:shape>
          <o:OLEObject Type="Embed" ProgID="Equation.KSEE3" ShapeID="_x0000_i1027" DrawAspect="Content" ObjectID="_1468075727" r:id="rId26">
            <o:LockedField>false</o:LockedField>
          </o:OLEObject>
        </w:object>
      </w:r>
      <w:r>
        <w:rPr>
          <w:rFonts w:hint="eastAsia"/>
          <w:szCs w:val="21"/>
        </w:rPr>
        <w:t>——采用估算模型计算出的第 i个污染物的最大1h地面空气质量浓度，</w:t>
      </w:r>
    </w:p>
    <w:p>
      <w:pPr>
        <w:pStyle w:val="8"/>
        <w:ind w:left="0" w:leftChars="0" w:firstLine="0" w:firstLineChars="0"/>
        <w:rPr>
          <w:rFonts w:hint="eastAsia"/>
          <w:szCs w:val="21"/>
        </w:rPr>
      </w:pPr>
      <w:r>
        <w:rPr>
          <w:rFonts w:hint="eastAsia"/>
          <w:szCs w:val="21"/>
        </w:rPr>
        <w:t>μg/m</w:t>
      </w:r>
      <w:r>
        <w:rPr>
          <w:rFonts w:hint="eastAsia"/>
          <w:szCs w:val="21"/>
          <w:vertAlign w:val="superscript"/>
        </w:rPr>
        <w:t>3</w:t>
      </w:r>
      <w:r>
        <w:rPr>
          <w:rFonts w:hint="eastAsia"/>
          <w:szCs w:val="21"/>
        </w:rPr>
        <w:t>；</w:t>
      </w:r>
    </w:p>
    <w:p>
      <w:pPr>
        <w:pStyle w:val="8"/>
        <w:rPr>
          <w:rFonts w:hint="eastAsia"/>
          <w:szCs w:val="21"/>
        </w:rPr>
      </w:pPr>
      <w:r>
        <w:rPr>
          <w:rFonts w:hint="eastAsia" w:eastAsia="宋体"/>
          <w:position w:val="-12"/>
          <w:szCs w:val="21"/>
          <w:lang w:eastAsia="zh-CN"/>
        </w:rPr>
        <w:object>
          <v:shape id="_x0000_i1028" o:spt="75" type="#_x0000_t75" style="height:18pt;width:17pt;" o:ole="t" filled="f" o:preferrelative="t" stroked="f" coordsize="21600,21600">
            <v:path/>
            <v:fill on="f" focussize="0,0"/>
            <v:stroke on="f"/>
            <v:imagedata r:id="rId29" o:title=""/>
            <o:lock v:ext="edit" aspectratio="t"/>
            <w10:wrap type="none"/>
            <w10:anchorlock/>
          </v:shape>
          <o:OLEObject Type="Embed" ProgID="Equation.KSEE3" ShapeID="_x0000_i1028" DrawAspect="Content" ObjectID="_1468075728" r:id="rId28">
            <o:LockedField>false</o:LockedField>
          </o:OLEObject>
        </w:object>
      </w:r>
      <w:r>
        <w:rPr>
          <w:rFonts w:hint="eastAsia"/>
          <w:szCs w:val="21"/>
        </w:rPr>
        <w:t>——第i个污染物的环境空气质量浓度标准，μg/m</w:t>
      </w:r>
      <w:r>
        <w:rPr>
          <w:rFonts w:hint="eastAsia"/>
          <w:szCs w:val="21"/>
          <w:vertAlign w:val="superscript"/>
          <w:lang w:val="en-US" w:eastAsia="zh-CN"/>
        </w:rPr>
        <w:t>3</w:t>
      </w:r>
      <w:r>
        <w:rPr>
          <w:rFonts w:hint="eastAsia"/>
          <w:szCs w:val="21"/>
        </w:rPr>
        <w:t>。</w:t>
      </w:r>
    </w:p>
    <w:p>
      <w:pPr>
        <w:pStyle w:val="8"/>
        <w:rPr>
          <w:rFonts w:hint="eastAsia"/>
          <w:szCs w:val="21"/>
        </w:rPr>
      </w:pPr>
      <w:r>
        <w:rPr>
          <w:rFonts w:hint="eastAsia"/>
          <w:szCs w:val="21"/>
        </w:rPr>
        <w:t>根据《环境影响评价技术导则 大气环境》（HJ2.2-2018），大气环境评价等级判别见下表。</w:t>
      </w:r>
    </w:p>
    <w:p>
      <w:pPr>
        <w:keepNext w:val="0"/>
        <w:keepLines w:val="0"/>
        <w:pageBreakBefore w:val="0"/>
        <w:widowControl w:val="0"/>
        <w:numPr>
          <w:ilvl w:val="0"/>
          <w:numId w:val="0"/>
        </w:numPr>
        <w:tabs>
          <w:tab w:val="left" w:pos="1044"/>
        </w:tabs>
        <w:kinsoku/>
        <w:wordWrap/>
        <w:overflowPunct/>
        <w:topLinePunct w:val="0"/>
        <w:autoSpaceDE/>
        <w:autoSpaceDN/>
        <w:bidi w:val="0"/>
        <w:adjustRightInd w:val="0"/>
        <w:snapToGrid/>
        <w:spacing w:before="0" w:after="0" w:line="240" w:lineRule="auto"/>
        <w:jc w:val="center"/>
        <w:textAlignment w:val="baseline"/>
        <w:outlineLvl w:val="9"/>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表</w:t>
      </w:r>
      <w:r>
        <w:rPr>
          <w:rFonts w:hint="default" w:ascii="Times New Roman" w:hAnsi="Times New Roman" w:eastAsia="宋体" w:cs="Times New Roman"/>
          <w:b/>
          <w:bCs/>
          <w:spacing w:val="-60"/>
          <w:sz w:val="21"/>
          <w:szCs w:val="21"/>
        </w:rPr>
        <w:t xml:space="preserve"> </w:t>
      </w:r>
      <w:r>
        <w:rPr>
          <w:rFonts w:hint="default" w:ascii="Times New Roman" w:hAnsi="Times New Roman" w:eastAsia="宋体" w:cs="Times New Roman"/>
          <w:b/>
          <w:bCs/>
          <w:sz w:val="21"/>
          <w:szCs w:val="21"/>
        </w:rPr>
        <w:t>2.5-</w:t>
      </w:r>
      <w:r>
        <w:rPr>
          <w:rFonts w:hint="eastAsia" w:ascii="Times New Roman" w:hAnsi="Times New Roman" w:cs="Times New Roman"/>
          <w:b/>
          <w:bCs/>
          <w:sz w:val="21"/>
          <w:szCs w:val="21"/>
          <w:lang w:val="en-US" w:eastAsia="zh-CN"/>
        </w:rPr>
        <w:t>4</w:t>
      </w:r>
      <w:r>
        <w:rPr>
          <w:rFonts w:hint="default" w:ascii="Times New Roman" w:hAnsi="Times New Roman" w:eastAsia="宋体" w:cs="Times New Roman"/>
          <w:b/>
          <w:bCs/>
          <w:sz w:val="21"/>
          <w:szCs w:val="21"/>
        </w:rPr>
        <w:tab/>
      </w:r>
      <w:r>
        <w:rPr>
          <w:rFonts w:hint="default" w:ascii="Times New Roman" w:hAnsi="Times New Roman" w:eastAsia="宋体" w:cs="Times New Roman"/>
          <w:b/>
          <w:bCs/>
          <w:sz w:val="21"/>
          <w:szCs w:val="21"/>
        </w:rPr>
        <w:t>大气环评评价等级判别表</w:t>
      </w:r>
    </w:p>
    <w:tbl>
      <w:tblPr>
        <w:tblStyle w:val="63"/>
        <w:tblW w:w="4999" w:type="pct"/>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4158"/>
        <w:gridCol w:w="4146"/>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2" w:hRule="atLeast"/>
        </w:trPr>
        <w:tc>
          <w:tcPr>
            <w:tcW w:w="2503" w:type="pct"/>
            <w:tcBorders>
              <w:left w:val="nil"/>
              <w:bottom w:val="single" w:color="000000" w:sz="12"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评价工作等级</w:t>
            </w:r>
          </w:p>
        </w:tc>
        <w:tc>
          <w:tcPr>
            <w:tcW w:w="2496" w:type="pct"/>
            <w:tcBorders>
              <w:left w:val="single" w:color="000000" w:sz="4" w:space="0"/>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评价工作分级判据</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37" w:hRule="atLeast"/>
        </w:trPr>
        <w:tc>
          <w:tcPr>
            <w:tcW w:w="2503" w:type="pct"/>
            <w:tcBorders>
              <w:top w:val="single" w:color="000000" w:sz="12" w:space="0"/>
              <w:left w:val="nil"/>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一级评价</w:t>
            </w:r>
          </w:p>
        </w:tc>
        <w:tc>
          <w:tcPr>
            <w:tcW w:w="2496" w:type="pct"/>
            <w:tcBorders>
              <w:top w:val="single" w:color="000000" w:sz="12" w:space="0"/>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position w:val="2"/>
                <w:sz w:val="21"/>
                <w:szCs w:val="21"/>
              </w:rPr>
              <w:t>P</w:t>
            </w:r>
            <w:r>
              <w:rPr>
                <w:rFonts w:hint="default" w:ascii="Times New Roman" w:hAnsi="Times New Roman" w:eastAsia="宋体" w:cs="Times New Roman"/>
                <w:b w:val="0"/>
                <w:bCs/>
                <w:sz w:val="21"/>
                <w:szCs w:val="21"/>
              </w:rPr>
              <w:t>max</w:t>
            </w:r>
            <w:r>
              <w:rPr>
                <w:rFonts w:hint="default" w:ascii="Times New Roman" w:hAnsi="Times New Roman" w:eastAsia="宋体" w:cs="Times New Roman"/>
                <w:b w:val="0"/>
                <w:bCs/>
                <w:position w:val="2"/>
                <w:sz w:val="21"/>
                <w:szCs w:val="21"/>
              </w:rPr>
              <w:t>≥10%</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2503" w:type="pct"/>
            <w:tcBorders>
              <w:top w:val="single" w:color="000000" w:sz="4" w:space="0"/>
              <w:left w:val="nil"/>
              <w:bottom w:val="single" w:color="000000" w:sz="4" w:space="0"/>
              <w:right w:val="single" w:color="000000" w:sz="4" w:space="0"/>
            </w:tcBorders>
            <w:shd w:val="clear" w:color="auto" w:fill="BEBEBE" w:themeFill="background1" w:themeFillShade="BF"/>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二级评价</w:t>
            </w:r>
          </w:p>
        </w:tc>
        <w:tc>
          <w:tcPr>
            <w:tcW w:w="2496" w:type="pct"/>
            <w:tcBorders>
              <w:top w:val="single" w:color="000000" w:sz="4" w:space="0"/>
              <w:left w:val="single" w:color="000000" w:sz="4" w:space="0"/>
              <w:bottom w:val="single" w:color="000000" w:sz="4" w:space="0"/>
              <w:right w:val="nil"/>
            </w:tcBorders>
            <w:shd w:val="clear" w:color="auto" w:fill="BEBEBE" w:themeFill="background1" w:themeFillShade="BF"/>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position w:val="2"/>
                <w:sz w:val="21"/>
                <w:szCs w:val="21"/>
              </w:rPr>
              <w:t>1%≤P</w:t>
            </w:r>
            <w:r>
              <w:rPr>
                <w:rFonts w:hint="default" w:ascii="Times New Roman" w:hAnsi="Times New Roman" w:eastAsia="宋体" w:cs="Times New Roman"/>
                <w:b w:val="0"/>
                <w:bCs/>
                <w:sz w:val="21"/>
                <w:szCs w:val="21"/>
              </w:rPr>
              <w:t>max</w:t>
            </w:r>
            <w:r>
              <w:rPr>
                <w:rFonts w:hint="default" w:ascii="Times New Roman" w:hAnsi="Times New Roman" w:eastAsia="宋体" w:cs="Times New Roman"/>
                <w:b w:val="0"/>
                <w:bCs/>
                <w:position w:val="2"/>
                <w:sz w:val="21"/>
                <w:szCs w:val="21"/>
              </w:rPr>
              <w:t>＜10%</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2" w:hRule="atLeast"/>
        </w:trPr>
        <w:tc>
          <w:tcPr>
            <w:tcW w:w="2503" w:type="pct"/>
            <w:tcBorders>
              <w:top w:val="single" w:color="000000" w:sz="4" w:space="0"/>
              <w:left w:val="nil"/>
              <w:right w:val="single" w:color="000000" w:sz="4" w:space="0"/>
            </w:tcBorders>
            <w:shd w:val="clear" w:color="auto" w:fill="auto"/>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三级评价</w:t>
            </w:r>
          </w:p>
        </w:tc>
        <w:tc>
          <w:tcPr>
            <w:tcW w:w="2496" w:type="pct"/>
            <w:tcBorders>
              <w:top w:val="single" w:color="000000" w:sz="4" w:space="0"/>
              <w:left w:val="single" w:color="000000" w:sz="4" w:space="0"/>
              <w:right w:val="nil"/>
            </w:tcBorders>
            <w:shd w:val="clear" w:color="auto" w:fill="auto"/>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position w:val="2"/>
                <w:sz w:val="21"/>
                <w:szCs w:val="21"/>
              </w:rPr>
              <w:t>P</w:t>
            </w:r>
            <w:r>
              <w:rPr>
                <w:rFonts w:hint="default" w:ascii="Times New Roman" w:hAnsi="Times New Roman" w:eastAsia="宋体" w:cs="Times New Roman"/>
                <w:b w:val="0"/>
                <w:bCs/>
                <w:sz w:val="21"/>
                <w:szCs w:val="21"/>
              </w:rPr>
              <w:t>max</w:t>
            </w:r>
            <w:r>
              <w:rPr>
                <w:rFonts w:hint="default" w:ascii="Times New Roman" w:hAnsi="Times New Roman" w:eastAsia="宋体" w:cs="Times New Roman"/>
                <w:b w:val="0"/>
                <w:bCs/>
                <w:position w:val="2"/>
                <w:sz w:val="21"/>
                <w:szCs w:val="21"/>
              </w:rPr>
              <w:t>＜1%</w:t>
            </w:r>
          </w:p>
        </w:tc>
      </w:tr>
    </w:tbl>
    <w:p>
      <w:pPr>
        <w:pStyle w:val="8"/>
        <w:rPr>
          <w:rFonts w:hint="eastAsia"/>
          <w:szCs w:val="21"/>
        </w:rPr>
      </w:pPr>
      <w:r>
        <w:rPr>
          <w:rFonts w:hint="eastAsia"/>
          <w:szCs w:val="21"/>
        </w:rPr>
        <w:t>根据项目工程分析结果，本项目运营期排放的大气污染物主要为猪舍、</w:t>
      </w:r>
      <w:r>
        <w:rPr>
          <w:rFonts w:hint="eastAsia"/>
          <w:szCs w:val="21"/>
          <w:lang w:eastAsia="zh-CN"/>
        </w:rPr>
        <w:t>异位发酵床</w:t>
      </w:r>
      <w:r>
        <w:rPr>
          <w:rFonts w:hint="eastAsia"/>
          <w:szCs w:val="21"/>
        </w:rPr>
        <w:t>和污水处理设施等无组织排放的恶臭气体H</w:t>
      </w:r>
      <w:r>
        <w:rPr>
          <w:rFonts w:hint="eastAsia"/>
          <w:szCs w:val="21"/>
          <w:vertAlign w:val="subscript"/>
        </w:rPr>
        <w:t>2</w:t>
      </w:r>
      <w:r>
        <w:rPr>
          <w:rFonts w:hint="eastAsia"/>
          <w:szCs w:val="21"/>
        </w:rPr>
        <w:t>S、NH</w:t>
      </w:r>
      <w:r>
        <w:rPr>
          <w:rFonts w:hint="eastAsia"/>
          <w:szCs w:val="21"/>
          <w:vertAlign w:val="subscript"/>
        </w:rPr>
        <w:t>3</w:t>
      </w:r>
      <w:r>
        <w:rPr>
          <w:rFonts w:hint="eastAsia"/>
          <w:szCs w:val="21"/>
        </w:rPr>
        <w:t>，以及员工食堂产生的油烟，各污染物评价标准如下。</w:t>
      </w:r>
    </w:p>
    <w:p>
      <w:pPr>
        <w:keepNext w:val="0"/>
        <w:keepLines w:val="0"/>
        <w:pageBreakBefore w:val="0"/>
        <w:widowControl w:val="0"/>
        <w:numPr>
          <w:ilvl w:val="0"/>
          <w:numId w:val="0"/>
        </w:numPr>
        <w:tabs>
          <w:tab w:val="left" w:pos="1044"/>
        </w:tabs>
        <w:kinsoku/>
        <w:wordWrap/>
        <w:overflowPunct/>
        <w:topLinePunct w:val="0"/>
        <w:autoSpaceDE/>
        <w:autoSpaceDN/>
        <w:bidi w:val="0"/>
        <w:adjustRightInd w:val="0"/>
        <w:snapToGrid/>
        <w:spacing w:before="0" w:after="0" w:line="240" w:lineRule="auto"/>
        <w:jc w:val="center"/>
        <w:textAlignment w:val="baseline"/>
        <w:outlineLvl w:val="9"/>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表 2.5-</w:t>
      </w:r>
      <w:r>
        <w:rPr>
          <w:rFonts w:hint="eastAsia" w:cs="Times New Roman"/>
          <w:b/>
          <w:bCs/>
          <w:sz w:val="21"/>
          <w:szCs w:val="21"/>
          <w:lang w:val="en-US" w:eastAsia="zh-CN"/>
        </w:rPr>
        <w:t>5</w:t>
      </w:r>
      <w:r>
        <w:rPr>
          <w:rFonts w:hint="default" w:ascii="Times New Roman" w:hAnsi="Times New Roman" w:eastAsia="宋体" w:cs="Times New Roman"/>
          <w:b/>
          <w:bCs/>
          <w:sz w:val="21"/>
          <w:szCs w:val="21"/>
        </w:rPr>
        <w:t xml:space="preserve">  评价因子和评价标准表</w:t>
      </w:r>
    </w:p>
    <w:tbl>
      <w:tblPr>
        <w:tblStyle w:val="63"/>
        <w:tblW w:w="4998" w:type="pct"/>
        <w:jc w:val="center"/>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1626"/>
        <w:gridCol w:w="1392"/>
        <w:gridCol w:w="1897"/>
        <w:gridCol w:w="3388"/>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272" w:hRule="atLeast"/>
          <w:jc w:val="center"/>
        </w:trPr>
        <w:tc>
          <w:tcPr>
            <w:tcW w:w="979" w:type="pct"/>
            <w:tcBorders>
              <w:left w:val="nil"/>
              <w:bottom w:val="single" w:color="000000" w:sz="12"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评价因子</w:t>
            </w:r>
          </w:p>
        </w:tc>
        <w:tc>
          <w:tcPr>
            <w:tcW w:w="838" w:type="pct"/>
            <w:tcBorders>
              <w:left w:val="single" w:color="000000" w:sz="4" w:space="0"/>
              <w:bottom w:val="single" w:color="000000" w:sz="12"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平均时段</w:t>
            </w:r>
          </w:p>
        </w:tc>
        <w:tc>
          <w:tcPr>
            <w:tcW w:w="1142" w:type="pct"/>
            <w:tcBorders>
              <w:left w:val="single" w:color="000000" w:sz="4" w:space="0"/>
              <w:bottom w:val="single" w:color="000000" w:sz="12"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标准值/（μg/m</w:t>
            </w:r>
            <w:r>
              <w:rPr>
                <w:rFonts w:hint="eastAsia" w:ascii="Times New Roman" w:hAnsi="Times New Roman" w:cs="Times New Roman"/>
                <w:b w:val="0"/>
                <w:bCs/>
                <w:sz w:val="21"/>
                <w:szCs w:val="21"/>
                <w:vertAlign w:val="superscript"/>
                <w:lang w:val="en-US" w:eastAsia="zh-CN"/>
              </w:rPr>
              <w:t>3</w:t>
            </w:r>
            <w:r>
              <w:rPr>
                <w:rFonts w:hint="default" w:ascii="Times New Roman" w:hAnsi="Times New Roman" w:eastAsia="宋体" w:cs="Times New Roman"/>
                <w:b w:val="0"/>
                <w:bCs/>
                <w:sz w:val="21"/>
                <w:szCs w:val="21"/>
              </w:rPr>
              <w:t>）</w:t>
            </w:r>
          </w:p>
        </w:tc>
        <w:tc>
          <w:tcPr>
            <w:tcW w:w="2040" w:type="pct"/>
            <w:tcBorders>
              <w:left w:val="single" w:color="000000" w:sz="4" w:space="0"/>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标准来源</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293" w:hRule="atLeast"/>
          <w:jc w:val="center"/>
        </w:trPr>
        <w:tc>
          <w:tcPr>
            <w:tcW w:w="979" w:type="pct"/>
            <w:tcBorders>
              <w:top w:val="single" w:color="000000" w:sz="4" w:space="0"/>
              <w:left w:val="nil"/>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eastAsia"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position w:val="2"/>
                <w:sz w:val="21"/>
                <w:szCs w:val="21"/>
              </w:rPr>
              <w:t>NH</w:t>
            </w:r>
            <w:r>
              <w:rPr>
                <w:rFonts w:hint="eastAsia" w:ascii="Times New Roman" w:hAnsi="Times New Roman" w:cs="Times New Roman"/>
                <w:b w:val="0"/>
                <w:bCs/>
                <w:position w:val="2"/>
                <w:sz w:val="21"/>
                <w:szCs w:val="21"/>
                <w:vertAlign w:val="subscript"/>
                <w:lang w:val="en-US" w:eastAsia="zh-CN"/>
              </w:rPr>
              <w:t>3</w:t>
            </w:r>
          </w:p>
        </w:tc>
        <w:tc>
          <w:tcPr>
            <w:tcW w:w="838" w:type="pct"/>
            <w:tcBorders>
              <w:top w:val="single" w:color="000000" w:sz="4" w:space="0"/>
              <w:left w:val="single" w:color="000000" w:sz="4" w:space="0"/>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 小时平均</w:t>
            </w:r>
          </w:p>
        </w:tc>
        <w:tc>
          <w:tcPr>
            <w:tcW w:w="1142" w:type="pct"/>
            <w:tcBorders>
              <w:top w:val="single" w:color="000000" w:sz="4" w:space="0"/>
              <w:left w:val="single" w:color="000000" w:sz="4" w:space="0"/>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200</w:t>
            </w:r>
          </w:p>
        </w:tc>
        <w:tc>
          <w:tcPr>
            <w:tcW w:w="2040" w:type="pct"/>
            <w:vMerge w:val="restart"/>
            <w:tcBorders>
              <w:top w:val="single" w:color="000000" w:sz="4" w:space="0"/>
              <w:left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《环境影响评价技术导则-大气环境》</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（HJ2.2-2018）附录 D相关限值</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263" w:hRule="atLeast"/>
          <w:jc w:val="center"/>
        </w:trPr>
        <w:tc>
          <w:tcPr>
            <w:tcW w:w="979" w:type="pct"/>
            <w:tcBorders>
              <w:top w:val="single" w:color="000000" w:sz="4" w:space="0"/>
              <w:left w:val="nil"/>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position w:val="2"/>
                <w:sz w:val="21"/>
                <w:szCs w:val="21"/>
              </w:rPr>
              <w:t>H</w:t>
            </w:r>
            <w:r>
              <w:rPr>
                <w:rFonts w:hint="eastAsia" w:ascii="Times New Roman" w:hAnsi="Times New Roman" w:cs="Times New Roman"/>
                <w:b w:val="0"/>
                <w:bCs/>
                <w:position w:val="2"/>
                <w:sz w:val="21"/>
                <w:szCs w:val="21"/>
                <w:vertAlign w:val="subscript"/>
                <w:lang w:val="en-US" w:eastAsia="zh-CN"/>
              </w:rPr>
              <w:t>2</w:t>
            </w:r>
            <w:r>
              <w:rPr>
                <w:rFonts w:hint="default" w:ascii="Times New Roman" w:hAnsi="Times New Roman" w:eastAsia="宋体" w:cs="Times New Roman"/>
                <w:b w:val="0"/>
                <w:bCs/>
                <w:position w:val="2"/>
                <w:sz w:val="21"/>
                <w:szCs w:val="21"/>
              </w:rPr>
              <w:t>S</w:t>
            </w:r>
          </w:p>
        </w:tc>
        <w:tc>
          <w:tcPr>
            <w:tcW w:w="838" w:type="pct"/>
            <w:tcBorders>
              <w:top w:val="single" w:color="000000" w:sz="4" w:space="0"/>
              <w:left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 小时平均</w:t>
            </w:r>
          </w:p>
        </w:tc>
        <w:tc>
          <w:tcPr>
            <w:tcW w:w="1142" w:type="pct"/>
            <w:tcBorders>
              <w:top w:val="single" w:color="000000" w:sz="4" w:space="0"/>
              <w:left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10</w:t>
            </w:r>
          </w:p>
        </w:tc>
        <w:tc>
          <w:tcPr>
            <w:tcW w:w="2040" w:type="pct"/>
            <w:vMerge w:val="continue"/>
            <w:tcBorders>
              <w:top w:val="nil"/>
              <w:left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p>
        </w:tc>
      </w:tr>
    </w:tbl>
    <w:p>
      <w:pPr>
        <w:tabs>
          <w:tab w:val="left" w:pos="1042"/>
        </w:tabs>
        <w:spacing w:before="2"/>
        <w:ind w:left="1" w:right="0" w:firstLine="0"/>
        <w:jc w:val="center"/>
        <w:rPr>
          <w:b/>
          <w:sz w:val="21"/>
          <w:szCs w:val="21"/>
        </w:rPr>
      </w:pPr>
      <w:r>
        <w:rPr>
          <w:b/>
          <w:sz w:val="21"/>
          <w:szCs w:val="21"/>
        </w:rPr>
        <w:t>表</w:t>
      </w:r>
      <w:r>
        <w:rPr>
          <w:b/>
          <w:spacing w:val="-60"/>
          <w:sz w:val="21"/>
          <w:szCs w:val="21"/>
        </w:rPr>
        <w:t xml:space="preserve"> </w:t>
      </w:r>
      <w:r>
        <w:rPr>
          <w:rFonts w:ascii="Times New Roman" w:eastAsia="Times New Roman"/>
          <w:b/>
          <w:sz w:val="21"/>
          <w:szCs w:val="21"/>
        </w:rPr>
        <w:t>2.5-</w:t>
      </w:r>
      <w:r>
        <w:rPr>
          <w:rFonts w:hint="eastAsia" w:ascii="Times New Roman"/>
          <w:b/>
          <w:sz w:val="21"/>
          <w:szCs w:val="21"/>
          <w:lang w:val="en-US" w:eastAsia="zh-CN"/>
        </w:rPr>
        <w:t>6</w:t>
      </w:r>
      <w:r>
        <w:rPr>
          <w:rFonts w:ascii="Times New Roman" w:eastAsia="Times New Roman"/>
          <w:b/>
          <w:sz w:val="21"/>
          <w:szCs w:val="21"/>
        </w:rPr>
        <w:tab/>
      </w:r>
      <w:r>
        <w:rPr>
          <w:b/>
          <w:sz w:val="21"/>
          <w:szCs w:val="21"/>
        </w:rPr>
        <w:t>估算模型参数表</w:t>
      </w:r>
    </w:p>
    <w:tbl>
      <w:tblPr>
        <w:tblStyle w:val="63"/>
        <w:tblW w:w="4999" w:type="pct"/>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2774"/>
        <w:gridCol w:w="2764"/>
        <w:gridCol w:w="2766"/>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4" w:hRule="atLeast"/>
        </w:trPr>
        <w:tc>
          <w:tcPr>
            <w:tcW w:w="3334" w:type="pct"/>
            <w:gridSpan w:val="2"/>
            <w:tcBorders>
              <w:left w:val="nil"/>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参数</w:t>
            </w:r>
          </w:p>
        </w:tc>
        <w:tc>
          <w:tcPr>
            <w:tcW w:w="1665" w:type="pct"/>
            <w:tcBorders>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取值</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1670" w:type="pct"/>
            <w:vMerge w:val="restart"/>
            <w:tcBorders>
              <w:top w:val="single" w:color="000000" w:sz="4" w:space="0"/>
              <w:left w:val="nil"/>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城市农村/选项</w:t>
            </w:r>
          </w:p>
        </w:tc>
        <w:tc>
          <w:tcPr>
            <w:tcW w:w="1664" w:type="pct"/>
            <w:tcBorders>
              <w:top w:val="single" w:color="000000" w:sz="4" w:space="0"/>
              <w:left w:val="single" w:color="000000" w:sz="4" w:space="0"/>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城市/农村</w:t>
            </w:r>
          </w:p>
        </w:tc>
        <w:tc>
          <w:tcPr>
            <w:tcW w:w="1665" w:type="pct"/>
            <w:tcBorders>
              <w:top w:val="single" w:color="000000" w:sz="4" w:space="0"/>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农村</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1670" w:type="pct"/>
            <w:vMerge w:val="continue"/>
            <w:tcBorders>
              <w:top w:val="nil"/>
              <w:left w:val="nil"/>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p>
        </w:tc>
        <w:tc>
          <w:tcPr>
            <w:tcW w:w="1664" w:type="pct"/>
            <w:tcBorders>
              <w:top w:val="single" w:color="000000" w:sz="4" w:space="0"/>
              <w:left w:val="single" w:color="000000" w:sz="4" w:space="0"/>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人口数</w:t>
            </w:r>
          </w:p>
        </w:tc>
        <w:tc>
          <w:tcPr>
            <w:tcW w:w="1665" w:type="pct"/>
            <w:tcBorders>
              <w:top w:val="single" w:color="000000" w:sz="4" w:space="0"/>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w w:val="100"/>
                <w:sz w:val="21"/>
                <w:szCs w:val="21"/>
              </w:rPr>
              <w:t>/</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3334" w:type="pct"/>
            <w:gridSpan w:val="2"/>
            <w:tcBorders>
              <w:top w:val="single" w:color="000000" w:sz="4" w:space="0"/>
              <w:left w:val="nil"/>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最高环境温度</w:t>
            </w:r>
          </w:p>
        </w:tc>
        <w:tc>
          <w:tcPr>
            <w:tcW w:w="1665" w:type="pct"/>
            <w:tcBorders>
              <w:top w:val="single" w:color="000000" w:sz="4" w:space="0"/>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40.</w:t>
            </w:r>
            <w:r>
              <w:rPr>
                <w:rFonts w:hint="eastAsia" w:ascii="Times New Roman" w:hAnsi="Times New Roman" w:cs="Times New Roman"/>
                <w:color w:val="auto"/>
                <w:sz w:val="21"/>
                <w:szCs w:val="21"/>
                <w:lang w:val="en-US" w:eastAsia="zh-CN"/>
              </w:rPr>
              <w:t>9</w:t>
            </w:r>
            <w:r>
              <w:rPr>
                <w:rFonts w:hint="default" w:ascii="Times New Roman" w:hAnsi="Times New Roman" w:eastAsia="宋体" w:cs="Times New Roman"/>
                <w:color w:val="auto"/>
                <w:sz w:val="21"/>
                <w:szCs w:val="21"/>
              </w:rPr>
              <w:t>°C</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37" w:hRule="atLeast"/>
        </w:trPr>
        <w:tc>
          <w:tcPr>
            <w:tcW w:w="3334" w:type="pct"/>
            <w:gridSpan w:val="2"/>
            <w:tcBorders>
              <w:top w:val="single" w:color="000000" w:sz="4" w:space="0"/>
              <w:left w:val="nil"/>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最低环境温度</w:t>
            </w:r>
          </w:p>
        </w:tc>
        <w:tc>
          <w:tcPr>
            <w:tcW w:w="1665" w:type="pct"/>
            <w:tcBorders>
              <w:top w:val="single" w:color="000000" w:sz="4" w:space="0"/>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w:t>
            </w:r>
            <w:r>
              <w:rPr>
                <w:rFonts w:hint="eastAsia" w:ascii="Times New Roman" w:hAnsi="Times New Roman" w:cs="Times New Roman"/>
                <w:color w:val="auto"/>
                <w:sz w:val="21"/>
                <w:szCs w:val="21"/>
                <w:lang w:val="en-US" w:eastAsia="zh-CN"/>
              </w:rPr>
              <w:t>8</w:t>
            </w:r>
            <w:r>
              <w:rPr>
                <w:rFonts w:hint="default" w:ascii="Times New Roman" w:hAnsi="Times New Roman" w:eastAsia="宋体" w:cs="Times New Roman"/>
                <w:color w:val="auto"/>
                <w:sz w:val="21"/>
                <w:szCs w:val="21"/>
              </w:rPr>
              <w:t>°C</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3334" w:type="pct"/>
            <w:gridSpan w:val="2"/>
            <w:tcBorders>
              <w:top w:val="single" w:color="000000" w:sz="4" w:space="0"/>
              <w:left w:val="nil"/>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土地利用类型</w:t>
            </w:r>
          </w:p>
        </w:tc>
        <w:tc>
          <w:tcPr>
            <w:tcW w:w="1665" w:type="pct"/>
            <w:tcBorders>
              <w:top w:val="single" w:color="000000" w:sz="4" w:space="0"/>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eastAsia" w:ascii="Times New Roman" w:hAnsi="Times New Roman" w:eastAsia="宋体" w:cs="Times New Roman"/>
                <w:color w:val="auto"/>
                <w:sz w:val="21"/>
                <w:szCs w:val="21"/>
                <w:lang w:eastAsia="zh-CN"/>
              </w:rPr>
            </w:pPr>
            <w:r>
              <w:rPr>
                <w:rFonts w:hint="eastAsia" w:ascii="Times New Roman" w:hAnsi="Times New Roman" w:cs="Times New Roman"/>
                <w:color w:val="auto"/>
                <w:sz w:val="21"/>
                <w:szCs w:val="21"/>
                <w:lang w:eastAsia="zh-CN"/>
              </w:rPr>
              <w:t>农</w:t>
            </w:r>
            <w:r>
              <w:rPr>
                <w:rFonts w:hint="eastAsia" w:ascii="Times New Roman" w:hAnsi="Times New Roman" w:cs="Times New Roman"/>
                <w:color w:val="auto"/>
                <w:sz w:val="21"/>
                <w:szCs w:val="21"/>
                <w:lang w:val="en-US" w:eastAsia="zh-CN"/>
              </w:rPr>
              <w:t>田</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3334" w:type="pct"/>
            <w:gridSpan w:val="2"/>
            <w:tcBorders>
              <w:top w:val="single" w:color="000000" w:sz="4" w:space="0"/>
              <w:left w:val="nil"/>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区域湿度条件</w:t>
            </w:r>
          </w:p>
        </w:tc>
        <w:tc>
          <w:tcPr>
            <w:tcW w:w="1665" w:type="pct"/>
            <w:tcBorders>
              <w:top w:val="single" w:color="000000" w:sz="4" w:space="0"/>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潮湿气候</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1670" w:type="pct"/>
            <w:vMerge w:val="restart"/>
            <w:tcBorders>
              <w:top w:val="single" w:color="000000" w:sz="4" w:space="0"/>
              <w:left w:val="nil"/>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是否考虑地形</w:t>
            </w:r>
          </w:p>
        </w:tc>
        <w:tc>
          <w:tcPr>
            <w:tcW w:w="1664" w:type="pct"/>
            <w:tcBorders>
              <w:top w:val="single" w:color="000000" w:sz="4" w:space="0"/>
              <w:left w:val="single" w:color="000000" w:sz="4" w:space="0"/>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考虑地形</w:t>
            </w:r>
          </w:p>
        </w:tc>
        <w:tc>
          <w:tcPr>
            <w:tcW w:w="1665" w:type="pct"/>
            <w:tcBorders>
              <w:top w:val="single" w:color="000000" w:sz="4" w:space="0"/>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color w:val="000000"/>
                <w:spacing w:val="0"/>
                <w:w w:val="100"/>
                <w:position w:val="0"/>
              </w:rPr>
              <w:t>■</w:t>
            </w:r>
            <w:r>
              <w:rPr>
                <w:rFonts w:hint="eastAsia" w:ascii="Times New Roman" w:hAnsi="Times New Roman" w:cs="Times New Roman"/>
                <w:color w:val="auto"/>
                <w:w w:val="100"/>
                <w:sz w:val="21"/>
                <w:szCs w:val="21"/>
                <w:lang w:eastAsia="zh-CN"/>
              </w:rPr>
              <w:t>是</w:t>
            </w:r>
            <w:r>
              <w:rPr>
                <w:rFonts w:hint="eastAsia" w:ascii="Times New Roman" w:hAnsi="Times New Roman" w:cs="Times New Roman"/>
                <w:color w:val="auto"/>
                <w:w w:val="100"/>
                <w:sz w:val="21"/>
                <w:szCs w:val="21"/>
                <w:lang w:eastAsia="zh-CN"/>
              </w:rPr>
              <w:sym w:font="Wingdings 2" w:char="00A3"/>
            </w:r>
            <w:r>
              <w:rPr>
                <w:rFonts w:hint="default" w:ascii="Times New Roman" w:hAnsi="Times New Roman" w:eastAsia="宋体" w:cs="Times New Roman"/>
                <w:color w:val="auto"/>
                <w:w w:val="100"/>
                <w:sz w:val="21"/>
                <w:szCs w:val="21"/>
              </w:rPr>
              <w:t>否</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1" w:hRule="atLeast"/>
        </w:trPr>
        <w:tc>
          <w:tcPr>
            <w:tcW w:w="1670" w:type="pct"/>
            <w:vMerge w:val="continue"/>
            <w:tcBorders>
              <w:top w:val="nil"/>
              <w:left w:val="nil"/>
              <w:bottom w:val="single" w:color="000000" w:sz="4"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p>
        </w:tc>
        <w:tc>
          <w:tcPr>
            <w:tcW w:w="1664" w:type="pct"/>
            <w:tcBorders>
              <w:top w:val="single" w:color="000000" w:sz="4" w:space="0"/>
              <w:left w:val="single" w:color="000000" w:sz="4" w:space="0"/>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地形数据分辨率(m)</w:t>
            </w:r>
          </w:p>
        </w:tc>
        <w:tc>
          <w:tcPr>
            <w:tcW w:w="1665" w:type="pct"/>
            <w:tcBorders>
              <w:top w:val="single" w:color="000000" w:sz="4" w:space="0"/>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w w:val="100"/>
                <w:sz w:val="21"/>
                <w:szCs w:val="21"/>
                <w:lang w:val="en-US" w:eastAsia="zh-CN"/>
              </w:rPr>
              <w:t>90</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30" w:hRule="atLeast"/>
        </w:trPr>
        <w:tc>
          <w:tcPr>
            <w:tcW w:w="1670" w:type="pct"/>
            <w:vMerge w:val="restart"/>
            <w:tcBorders>
              <w:top w:val="single" w:color="000000" w:sz="4" w:space="0"/>
              <w:left w:val="nil"/>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color w:val="auto"/>
                <w:sz w:val="21"/>
                <w:szCs w:val="21"/>
              </w:rPr>
            </w:pPr>
          </w:p>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是否考虑岸线熏烟</w:t>
            </w:r>
          </w:p>
        </w:tc>
        <w:tc>
          <w:tcPr>
            <w:tcW w:w="1664" w:type="pct"/>
            <w:tcBorders>
              <w:top w:val="single" w:color="000000" w:sz="4" w:space="0"/>
              <w:left w:val="single" w:color="000000" w:sz="4" w:space="0"/>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考虑岸线熏烟</w:t>
            </w:r>
          </w:p>
        </w:tc>
        <w:tc>
          <w:tcPr>
            <w:tcW w:w="1665" w:type="pct"/>
            <w:tcBorders>
              <w:top w:val="single" w:color="000000" w:sz="4" w:space="0"/>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eastAsia" w:ascii="Times New Roman" w:hAnsi="Times New Roman" w:cs="Times New Roman"/>
                <w:color w:val="auto"/>
                <w:w w:val="100"/>
                <w:sz w:val="21"/>
                <w:szCs w:val="21"/>
                <w:lang w:eastAsia="zh-CN"/>
              </w:rPr>
              <w:sym w:font="Wingdings 2" w:char="00A3"/>
            </w:r>
            <w:r>
              <w:rPr>
                <w:rFonts w:hint="eastAsia" w:ascii="Times New Roman" w:hAnsi="Times New Roman" w:cs="Times New Roman"/>
                <w:color w:val="auto"/>
                <w:w w:val="100"/>
                <w:sz w:val="21"/>
                <w:szCs w:val="21"/>
                <w:lang w:eastAsia="zh-CN"/>
              </w:rPr>
              <w:t>是</w:t>
            </w:r>
            <w:r>
              <w:rPr>
                <w:color w:val="000000"/>
                <w:spacing w:val="0"/>
                <w:w w:val="100"/>
                <w:position w:val="0"/>
              </w:rPr>
              <w:t>■</w:t>
            </w:r>
            <w:r>
              <w:rPr>
                <w:rFonts w:hint="default" w:ascii="Times New Roman" w:hAnsi="Times New Roman" w:eastAsia="宋体" w:cs="Times New Roman"/>
                <w:color w:val="auto"/>
                <w:w w:val="100"/>
                <w:sz w:val="21"/>
                <w:szCs w:val="21"/>
              </w:rPr>
              <w:t>否</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39" w:hRule="atLeast"/>
        </w:trPr>
        <w:tc>
          <w:tcPr>
            <w:tcW w:w="1670" w:type="pct"/>
            <w:vMerge w:val="continue"/>
            <w:tcBorders>
              <w:top w:val="nil"/>
              <w:left w:val="nil"/>
              <w:righ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p>
        </w:tc>
        <w:tc>
          <w:tcPr>
            <w:tcW w:w="1664" w:type="pct"/>
            <w:tcBorders>
              <w:top w:val="single" w:color="000000" w:sz="4" w:space="0"/>
              <w:left w:val="single" w:color="000000" w:sz="4" w:space="0"/>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岸线距离/km</w:t>
            </w:r>
          </w:p>
        </w:tc>
        <w:tc>
          <w:tcPr>
            <w:tcW w:w="1665" w:type="pct"/>
            <w:tcBorders>
              <w:top w:val="single" w:color="000000" w:sz="4" w:space="0"/>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w w:val="100"/>
                <w:sz w:val="21"/>
                <w:szCs w:val="21"/>
              </w:rPr>
              <w:t>/</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9" w:hRule="atLeast"/>
        </w:trPr>
        <w:tc>
          <w:tcPr>
            <w:tcW w:w="1670" w:type="pct"/>
            <w:vMerge w:val="continue"/>
            <w:tcBorders>
              <w:top w:val="nil"/>
              <w:left w:val="nil"/>
              <w:righ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p>
        </w:tc>
        <w:tc>
          <w:tcPr>
            <w:tcW w:w="1664" w:type="pct"/>
            <w:tcBorders>
              <w:top w:val="single" w:color="000000" w:sz="4" w:space="0"/>
              <w:left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岸线方向/o</w:t>
            </w:r>
          </w:p>
        </w:tc>
        <w:tc>
          <w:tcPr>
            <w:tcW w:w="1665" w:type="pct"/>
            <w:tcBorders>
              <w:top w:val="single" w:color="000000" w:sz="4" w:space="0"/>
              <w:left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w w:val="100"/>
                <w:sz w:val="21"/>
                <w:szCs w:val="21"/>
              </w:rPr>
              <w:t>/</w:t>
            </w:r>
          </w:p>
        </w:tc>
      </w:tr>
    </w:tbl>
    <w:p>
      <w:pPr>
        <w:keepNext w:val="0"/>
        <w:keepLines w:val="0"/>
        <w:pageBreakBefore w:val="0"/>
        <w:widowControl w:val="0"/>
        <w:tabs>
          <w:tab w:val="left" w:pos="1522"/>
        </w:tabs>
        <w:kinsoku/>
        <w:wordWrap/>
        <w:overflowPunct/>
        <w:topLinePunct w:val="0"/>
        <w:autoSpaceDE/>
        <w:autoSpaceDN/>
        <w:bidi w:val="0"/>
        <w:adjustRightInd/>
        <w:snapToGrid/>
        <w:ind w:left="0" w:right="0" w:firstLine="0"/>
        <w:jc w:val="center"/>
        <w:textAlignment w:val="auto"/>
        <w:rPr>
          <w:b/>
          <w:sz w:val="21"/>
          <w:szCs w:val="21"/>
        </w:rPr>
      </w:pPr>
      <w:r>
        <w:rPr>
          <w:b/>
          <w:sz w:val="21"/>
          <w:szCs w:val="21"/>
        </w:rPr>
        <w:t>表</w:t>
      </w:r>
      <w:r>
        <w:rPr>
          <w:b/>
          <w:spacing w:val="-60"/>
          <w:sz w:val="21"/>
          <w:szCs w:val="21"/>
        </w:rPr>
        <w:t xml:space="preserve"> </w:t>
      </w:r>
      <w:r>
        <w:rPr>
          <w:rFonts w:ascii="Times New Roman" w:eastAsia="Times New Roman"/>
          <w:b/>
          <w:sz w:val="21"/>
          <w:szCs w:val="21"/>
        </w:rPr>
        <w:t>2.5-</w:t>
      </w:r>
      <w:r>
        <w:rPr>
          <w:rFonts w:hint="eastAsia"/>
          <w:b/>
          <w:sz w:val="21"/>
          <w:szCs w:val="21"/>
          <w:lang w:val="en-US" w:eastAsia="zh-CN"/>
        </w:rPr>
        <w:t>7</w:t>
      </w:r>
      <w:r>
        <w:rPr>
          <w:rFonts w:hint="eastAsia" w:ascii="Times New Roman"/>
          <w:b/>
          <w:sz w:val="21"/>
          <w:szCs w:val="21"/>
          <w:lang w:val="en-US" w:eastAsia="zh-CN"/>
        </w:rPr>
        <w:t xml:space="preserve">   </w:t>
      </w:r>
      <w:r>
        <w:rPr>
          <w:b/>
          <w:sz w:val="21"/>
          <w:szCs w:val="21"/>
        </w:rPr>
        <w:t>面源参数表</w:t>
      </w:r>
      <w:r>
        <w:rPr>
          <w:rFonts w:hint="eastAsia"/>
          <w:b/>
          <w:sz w:val="21"/>
          <w:szCs w:val="21"/>
          <w:lang w:eastAsia="zh-CN"/>
        </w:rPr>
        <w:t>及估算结果</w:t>
      </w:r>
    </w:p>
    <w:tbl>
      <w:tblPr>
        <w:tblStyle w:val="64"/>
        <w:tblW w:w="4937" w:type="pct"/>
        <w:tblInd w:w="10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2"/>
        <w:gridCol w:w="882"/>
        <w:gridCol w:w="936"/>
        <w:gridCol w:w="936"/>
        <w:gridCol w:w="936"/>
        <w:gridCol w:w="941"/>
        <w:gridCol w:w="899"/>
        <w:gridCol w:w="1192"/>
        <w:gridCol w:w="8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5" w:type="pct"/>
            <w:vMerge w:val="restart"/>
            <w:tcBorders>
              <w:top w:val="single" w:color="auto" w:sz="12" w:space="0"/>
              <w:left w:val="nil"/>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排放源</w:t>
            </w:r>
          </w:p>
        </w:tc>
        <w:tc>
          <w:tcPr>
            <w:tcW w:w="525" w:type="pct"/>
            <w:vMerge w:val="restart"/>
            <w:tcBorders>
              <w:top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污染源</w:t>
            </w:r>
          </w:p>
        </w:tc>
        <w:tc>
          <w:tcPr>
            <w:tcW w:w="557" w:type="pct"/>
            <w:vMerge w:val="restart"/>
            <w:tcBorders>
              <w:top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排放量</w:t>
            </w:r>
          </w:p>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t/a</w:t>
            </w:r>
          </w:p>
        </w:tc>
        <w:tc>
          <w:tcPr>
            <w:tcW w:w="1674" w:type="pct"/>
            <w:gridSpan w:val="3"/>
            <w:tcBorders>
              <w:top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eastAsia="zh-CN"/>
              </w:rPr>
              <w:t>释放面源参数</w:t>
            </w:r>
            <w:r>
              <w:rPr>
                <w:rFonts w:hint="default" w:ascii="Times New Roman" w:hAnsi="Times New Roman" w:eastAsia="宋体" w:cs="Times New Roman"/>
                <w:b w:val="0"/>
                <w:bCs/>
                <w:sz w:val="21"/>
                <w:szCs w:val="21"/>
                <w:vertAlign w:val="baseline"/>
                <w:lang w:val="en-US" w:eastAsia="zh-CN"/>
              </w:rPr>
              <w:t>m</w:t>
            </w:r>
          </w:p>
        </w:tc>
        <w:tc>
          <w:tcPr>
            <w:tcW w:w="524" w:type="pct"/>
            <w:vMerge w:val="restart"/>
            <w:tcBorders>
              <w:top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subscript"/>
                <w:lang w:val="en-US" w:eastAsia="zh-CN"/>
              </w:rPr>
            </w:pPr>
            <w:r>
              <w:rPr>
                <w:rFonts w:hint="default" w:ascii="Times New Roman" w:hAnsi="Times New Roman" w:eastAsia="宋体" w:cs="Times New Roman"/>
                <w:b w:val="0"/>
                <w:bCs/>
                <w:sz w:val="21"/>
                <w:szCs w:val="21"/>
                <w:vertAlign w:val="baseline"/>
                <w:lang w:val="en-US" w:eastAsia="zh-CN"/>
              </w:rPr>
              <w:t>C</w:t>
            </w:r>
            <w:r>
              <w:rPr>
                <w:rFonts w:hint="default" w:ascii="Times New Roman" w:hAnsi="Times New Roman" w:eastAsia="宋体" w:cs="Times New Roman"/>
                <w:b w:val="0"/>
                <w:bCs/>
                <w:sz w:val="21"/>
                <w:szCs w:val="21"/>
                <w:vertAlign w:val="subscript"/>
                <w:lang w:val="en-US" w:eastAsia="zh-CN"/>
              </w:rPr>
              <w:t>max</w:t>
            </w:r>
          </w:p>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rPr>
              <w:t>μg</w:t>
            </w:r>
            <w:r>
              <w:rPr>
                <w:rFonts w:hint="default" w:ascii="Times New Roman" w:hAnsi="Times New Roman" w:eastAsia="宋体" w:cs="Times New Roman"/>
                <w:b w:val="0"/>
                <w:bCs/>
                <w:sz w:val="21"/>
                <w:szCs w:val="21"/>
                <w:vertAlign w:val="baseline"/>
                <w:lang w:val="en-US" w:eastAsia="zh-CN"/>
              </w:rPr>
              <w:t>/m</w:t>
            </w:r>
            <w:r>
              <w:rPr>
                <w:rFonts w:hint="default" w:ascii="Times New Roman" w:hAnsi="Times New Roman" w:eastAsia="宋体" w:cs="Times New Roman"/>
                <w:b w:val="0"/>
                <w:bCs/>
                <w:sz w:val="21"/>
                <w:szCs w:val="21"/>
                <w:vertAlign w:val="superscript"/>
                <w:lang w:val="en-US" w:eastAsia="zh-CN"/>
              </w:rPr>
              <w:t>3</w:t>
            </w:r>
          </w:p>
        </w:tc>
        <w:tc>
          <w:tcPr>
            <w:tcW w:w="709" w:type="pct"/>
            <w:vMerge w:val="restart"/>
            <w:tcBorders>
              <w:top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Pmax对应的D（m）</w:t>
            </w:r>
          </w:p>
        </w:tc>
        <w:tc>
          <w:tcPr>
            <w:tcW w:w="483" w:type="pct"/>
            <w:vMerge w:val="restart"/>
            <w:tcBorders>
              <w:top w:val="single" w:color="auto" w:sz="12" w:space="0"/>
              <w:right w:val="nil"/>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Pmax（%）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5" w:type="pct"/>
            <w:vMerge w:val="continue"/>
            <w:tcBorders>
              <w:left w:val="nil"/>
              <w:bottom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525" w:type="pct"/>
            <w:vMerge w:val="continue"/>
            <w:tcBorders>
              <w:bottom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557" w:type="pct"/>
            <w:vMerge w:val="continue"/>
            <w:tcBorders>
              <w:bottom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557" w:type="pct"/>
            <w:tcBorders>
              <w:bottom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长度</w:t>
            </w:r>
          </w:p>
        </w:tc>
        <w:tc>
          <w:tcPr>
            <w:tcW w:w="557" w:type="pct"/>
            <w:tcBorders>
              <w:bottom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宽度</w:t>
            </w:r>
          </w:p>
        </w:tc>
        <w:tc>
          <w:tcPr>
            <w:tcW w:w="560" w:type="pct"/>
            <w:tcBorders>
              <w:bottom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高度</w:t>
            </w:r>
          </w:p>
        </w:tc>
        <w:tc>
          <w:tcPr>
            <w:tcW w:w="524" w:type="pct"/>
            <w:vMerge w:val="continue"/>
            <w:tcBorders>
              <w:bottom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709" w:type="pct"/>
            <w:vMerge w:val="continue"/>
            <w:tcBorders>
              <w:bottom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483" w:type="pct"/>
            <w:vMerge w:val="continue"/>
            <w:tcBorders>
              <w:bottom w:val="single" w:color="auto" w:sz="12" w:space="0"/>
              <w:right w:val="nil"/>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5" w:type="pct"/>
            <w:vMerge w:val="restart"/>
            <w:tcBorders>
              <w:top w:val="single" w:color="auto" w:sz="12" w:space="0"/>
              <w:left w:val="nil"/>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猪舍</w:t>
            </w:r>
          </w:p>
        </w:tc>
        <w:tc>
          <w:tcPr>
            <w:tcW w:w="525" w:type="pct"/>
            <w:tcBorders>
              <w:top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NH</w:t>
            </w:r>
            <w:r>
              <w:rPr>
                <w:rFonts w:hint="default" w:ascii="Times New Roman" w:hAnsi="Times New Roman" w:eastAsia="宋体" w:cs="Times New Roman"/>
                <w:b w:val="0"/>
                <w:bCs/>
                <w:sz w:val="21"/>
                <w:szCs w:val="21"/>
                <w:vertAlign w:val="subscript"/>
                <w:lang w:val="en-US" w:eastAsia="zh-CN"/>
              </w:rPr>
              <w:t>3</w:t>
            </w:r>
          </w:p>
        </w:tc>
        <w:tc>
          <w:tcPr>
            <w:tcW w:w="938" w:type="dxa"/>
            <w:tcBorders>
              <w:top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kern w:val="0"/>
                <w:sz w:val="21"/>
                <w:szCs w:val="21"/>
                <w:lang w:val="en-US" w:eastAsia="zh-CN" w:bidi="ar-SA"/>
              </w:rPr>
              <w:t>0.044</w:t>
            </w:r>
          </w:p>
        </w:tc>
        <w:tc>
          <w:tcPr>
            <w:tcW w:w="557" w:type="pct"/>
            <w:vMerge w:val="restart"/>
            <w:tcBorders>
              <w:top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180.8</w:t>
            </w:r>
          </w:p>
        </w:tc>
        <w:tc>
          <w:tcPr>
            <w:tcW w:w="557" w:type="pct"/>
            <w:vMerge w:val="restart"/>
            <w:tcBorders>
              <w:top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61.5</w:t>
            </w:r>
          </w:p>
        </w:tc>
        <w:tc>
          <w:tcPr>
            <w:tcW w:w="560" w:type="pct"/>
            <w:vMerge w:val="restart"/>
            <w:tcBorders>
              <w:top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4</w:t>
            </w:r>
          </w:p>
        </w:tc>
        <w:tc>
          <w:tcPr>
            <w:tcW w:w="882" w:type="dxa"/>
            <w:tcBorders>
              <w:top w:val="single" w:color="auto" w:sz="12" w:space="0"/>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8.7906</w:t>
            </w:r>
          </w:p>
        </w:tc>
        <w:tc>
          <w:tcPr>
            <w:tcW w:w="1194" w:type="dxa"/>
            <w:tcBorders>
              <w:top w:val="single" w:color="auto" w:sz="12" w:space="0"/>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lang w:val="en-US" w:eastAsia="zh-CN"/>
              </w:rPr>
              <w:t>/</w:t>
            </w:r>
          </w:p>
        </w:tc>
        <w:tc>
          <w:tcPr>
            <w:tcW w:w="814" w:type="dxa"/>
            <w:tcBorders>
              <w:top w:val="single" w:color="auto" w:sz="12" w:space="0"/>
              <w:right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rPr>
              <w:t>4.3953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25" w:type="pct"/>
            <w:vMerge w:val="continue"/>
            <w:tcBorders>
              <w:left w:val="nil"/>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525" w:type="pct"/>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H</w:t>
            </w:r>
            <w:r>
              <w:rPr>
                <w:rFonts w:hint="default" w:ascii="Times New Roman" w:hAnsi="Times New Roman" w:eastAsia="宋体" w:cs="Times New Roman"/>
                <w:b w:val="0"/>
                <w:bCs/>
                <w:sz w:val="21"/>
                <w:szCs w:val="21"/>
                <w:vertAlign w:val="subscript"/>
                <w:lang w:val="en-US" w:eastAsia="zh-CN"/>
              </w:rPr>
              <w:t>2</w:t>
            </w:r>
            <w:r>
              <w:rPr>
                <w:rFonts w:hint="default" w:ascii="Times New Roman" w:hAnsi="Times New Roman" w:eastAsia="宋体" w:cs="Times New Roman"/>
                <w:b w:val="0"/>
                <w:bCs/>
                <w:sz w:val="21"/>
                <w:szCs w:val="21"/>
                <w:vertAlign w:val="baseline"/>
                <w:lang w:val="en-US" w:eastAsia="zh-CN"/>
              </w:rPr>
              <w:t>S</w:t>
            </w:r>
          </w:p>
        </w:tc>
        <w:tc>
          <w:tcPr>
            <w:tcW w:w="938"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kern w:val="0"/>
                <w:sz w:val="21"/>
                <w:szCs w:val="21"/>
                <w:lang w:val="en-US" w:eastAsia="zh-CN" w:bidi="ar-SA"/>
              </w:rPr>
              <w:t>0.003</w:t>
            </w:r>
          </w:p>
        </w:tc>
        <w:tc>
          <w:tcPr>
            <w:tcW w:w="557" w:type="pct"/>
            <w:vMerge w:val="continue"/>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557" w:type="pct"/>
            <w:vMerge w:val="continue"/>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560" w:type="pct"/>
            <w:vMerge w:val="continue"/>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882" w:type="dxa"/>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0.5274</w:t>
            </w:r>
          </w:p>
        </w:tc>
        <w:tc>
          <w:tcPr>
            <w:tcW w:w="1194" w:type="dxa"/>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lang w:val="en-US" w:eastAsia="zh-CN"/>
              </w:rPr>
              <w:t>/</w:t>
            </w:r>
          </w:p>
        </w:tc>
        <w:tc>
          <w:tcPr>
            <w:tcW w:w="814" w:type="dxa"/>
            <w:tcBorders>
              <w:right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rPr>
              <w:t>5.2744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5" w:type="pct"/>
            <w:vMerge w:val="restart"/>
            <w:tcBorders>
              <w:left w:val="nil"/>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污水处理设施</w:t>
            </w:r>
          </w:p>
        </w:tc>
        <w:tc>
          <w:tcPr>
            <w:tcW w:w="525" w:type="pct"/>
            <w:vAlign w:val="center"/>
          </w:tcPr>
          <w:p>
            <w:pPr>
              <w:keepNext w:val="0"/>
              <w:keepLines w:val="0"/>
              <w:pageBreakBefore w:val="0"/>
              <w:widowControl w:val="0"/>
              <w:tabs>
                <w:tab w:val="left" w:pos="1522"/>
              </w:tabs>
              <w:kinsoku/>
              <w:wordWrap/>
              <w:overflowPunct/>
              <w:topLinePunct w:val="0"/>
              <w:autoSpaceDE/>
              <w:autoSpaceDN/>
              <w:bidi w:val="0"/>
              <w:adjustRightInd/>
              <w:snapToGrid/>
              <w:ind w:right="0" w:right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vertAlign w:val="baseline"/>
                <w:lang w:val="en-US" w:eastAsia="zh-CN"/>
              </w:rPr>
              <w:t>NH</w:t>
            </w:r>
            <w:r>
              <w:rPr>
                <w:rFonts w:hint="default" w:ascii="Times New Roman" w:hAnsi="Times New Roman" w:eastAsia="宋体" w:cs="Times New Roman"/>
                <w:b w:val="0"/>
                <w:bCs/>
                <w:sz w:val="21"/>
                <w:szCs w:val="21"/>
                <w:vertAlign w:val="subscript"/>
                <w:lang w:val="en-US" w:eastAsia="zh-CN"/>
              </w:rPr>
              <w:t>3</w:t>
            </w:r>
          </w:p>
        </w:tc>
        <w:tc>
          <w:tcPr>
            <w:tcW w:w="938"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sz w:val="21"/>
                <w:szCs w:val="21"/>
              </w:rPr>
              <w:t>0.012</w:t>
            </w:r>
          </w:p>
        </w:tc>
        <w:tc>
          <w:tcPr>
            <w:tcW w:w="557" w:type="pct"/>
            <w:vMerge w:val="restart"/>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61.5</w:t>
            </w:r>
          </w:p>
        </w:tc>
        <w:tc>
          <w:tcPr>
            <w:tcW w:w="557" w:type="pct"/>
            <w:vMerge w:val="restart"/>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17.6</w:t>
            </w:r>
          </w:p>
        </w:tc>
        <w:tc>
          <w:tcPr>
            <w:tcW w:w="560" w:type="pct"/>
            <w:vMerge w:val="restart"/>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4</w:t>
            </w:r>
          </w:p>
        </w:tc>
        <w:tc>
          <w:tcPr>
            <w:tcW w:w="882" w:type="dxa"/>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6.7131</w:t>
            </w:r>
          </w:p>
        </w:tc>
        <w:tc>
          <w:tcPr>
            <w:tcW w:w="1194" w:type="dxa"/>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lang w:val="en-US" w:eastAsia="zh-CN"/>
              </w:rPr>
              <w:t>/</w:t>
            </w:r>
          </w:p>
        </w:tc>
        <w:tc>
          <w:tcPr>
            <w:tcW w:w="814" w:type="dxa"/>
            <w:tcBorders>
              <w:right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rPr>
              <w:t>3.3565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5" w:type="pct"/>
            <w:vMerge w:val="continue"/>
            <w:tcBorders>
              <w:left w:val="nil"/>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525" w:type="pct"/>
            <w:vAlign w:val="center"/>
          </w:tcPr>
          <w:p>
            <w:pPr>
              <w:keepNext w:val="0"/>
              <w:keepLines w:val="0"/>
              <w:pageBreakBefore w:val="0"/>
              <w:widowControl w:val="0"/>
              <w:tabs>
                <w:tab w:val="left" w:pos="1522"/>
              </w:tabs>
              <w:kinsoku/>
              <w:wordWrap/>
              <w:overflowPunct/>
              <w:topLinePunct w:val="0"/>
              <w:autoSpaceDE/>
              <w:autoSpaceDN/>
              <w:bidi w:val="0"/>
              <w:adjustRightInd/>
              <w:snapToGrid/>
              <w:ind w:right="0" w:right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vertAlign w:val="baseline"/>
                <w:lang w:val="en-US" w:eastAsia="zh-CN"/>
              </w:rPr>
              <w:t>H</w:t>
            </w:r>
            <w:r>
              <w:rPr>
                <w:rFonts w:hint="default" w:ascii="Times New Roman" w:hAnsi="Times New Roman" w:eastAsia="宋体" w:cs="Times New Roman"/>
                <w:b w:val="0"/>
                <w:bCs/>
                <w:sz w:val="21"/>
                <w:szCs w:val="21"/>
                <w:vertAlign w:val="subscript"/>
                <w:lang w:val="en-US" w:eastAsia="zh-CN"/>
              </w:rPr>
              <w:t>2</w:t>
            </w:r>
            <w:r>
              <w:rPr>
                <w:rFonts w:hint="default" w:ascii="Times New Roman" w:hAnsi="Times New Roman" w:eastAsia="宋体" w:cs="Times New Roman"/>
                <w:b w:val="0"/>
                <w:bCs/>
                <w:sz w:val="21"/>
                <w:szCs w:val="21"/>
                <w:vertAlign w:val="baseline"/>
                <w:lang w:val="en-US" w:eastAsia="zh-CN"/>
              </w:rPr>
              <w:t>S</w:t>
            </w:r>
          </w:p>
        </w:tc>
        <w:tc>
          <w:tcPr>
            <w:tcW w:w="938"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sz w:val="21"/>
                <w:szCs w:val="21"/>
              </w:rPr>
              <w:t>0.0006</w:t>
            </w:r>
          </w:p>
        </w:tc>
        <w:tc>
          <w:tcPr>
            <w:tcW w:w="557" w:type="pct"/>
            <w:vMerge w:val="continue"/>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557" w:type="pct"/>
            <w:vMerge w:val="continue"/>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560" w:type="pct"/>
            <w:vMerge w:val="continue"/>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882" w:type="dxa"/>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0.3615</w:t>
            </w:r>
          </w:p>
        </w:tc>
        <w:tc>
          <w:tcPr>
            <w:tcW w:w="1194" w:type="dxa"/>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lang w:val="en-US" w:eastAsia="zh-CN"/>
              </w:rPr>
              <w:t>/</w:t>
            </w:r>
          </w:p>
        </w:tc>
        <w:tc>
          <w:tcPr>
            <w:tcW w:w="814" w:type="dxa"/>
            <w:tcBorders>
              <w:right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rPr>
              <w:t>3.6147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5" w:type="pct"/>
            <w:vMerge w:val="restart"/>
            <w:tcBorders>
              <w:left w:val="nil"/>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异位发酵床</w:t>
            </w:r>
          </w:p>
        </w:tc>
        <w:tc>
          <w:tcPr>
            <w:tcW w:w="525" w:type="pct"/>
            <w:vAlign w:val="center"/>
          </w:tcPr>
          <w:p>
            <w:pPr>
              <w:keepNext w:val="0"/>
              <w:keepLines w:val="0"/>
              <w:pageBreakBefore w:val="0"/>
              <w:widowControl w:val="0"/>
              <w:tabs>
                <w:tab w:val="left" w:pos="1522"/>
              </w:tabs>
              <w:kinsoku/>
              <w:wordWrap/>
              <w:overflowPunct/>
              <w:topLinePunct w:val="0"/>
              <w:autoSpaceDE/>
              <w:autoSpaceDN/>
              <w:bidi w:val="0"/>
              <w:adjustRightInd/>
              <w:snapToGrid/>
              <w:ind w:right="0" w:right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vertAlign w:val="baseline"/>
                <w:lang w:val="en-US" w:eastAsia="zh-CN"/>
              </w:rPr>
              <w:t>NH</w:t>
            </w:r>
            <w:r>
              <w:rPr>
                <w:rFonts w:hint="default" w:ascii="Times New Roman" w:hAnsi="Times New Roman" w:eastAsia="宋体" w:cs="Times New Roman"/>
                <w:b w:val="0"/>
                <w:bCs/>
                <w:sz w:val="21"/>
                <w:szCs w:val="21"/>
                <w:vertAlign w:val="subscript"/>
                <w:lang w:val="en-US" w:eastAsia="zh-CN"/>
              </w:rPr>
              <w:t>3</w:t>
            </w:r>
          </w:p>
        </w:tc>
        <w:tc>
          <w:tcPr>
            <w:tcW w:w="938"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color w:val="auto"/>
                <w:kern w:val="0"/>
                <w:sz w:val="21"/>
                <w:szCs w:val="21"/>
                <w:lang w:val="en-US" w:eastAsia="zh-CN" w:bidi="ar-SA"/>
              </w:rPr>
              <w:t>0.024</w:t>
            </w:r>
          </w:p>
        </w:tc>
        <w:tc>
          <w:tcPr>
            <w:tcW w:w="557" w:type="pct"/>
            <w:vMerge w:val="restart"/>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50</w:t>
            </w:r>
          </w:p>
        </w:tc>
        <w:tc>
          <w:tcPr>
            <w:tcW w:w="557" w:type="pct"/>
            <w:vMerge w:val="restart"/>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15.6</w:t>
            </w:r>
          </w:p>
        </w:tc>
        <w:tc>
          <w:tcPr>
            <w:tcW w:w="560" w:type="pct"/>
            <w:vMerge w:val="restart"/>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4</w:t>
            </w:r>
          </w:p>
        </w:tc>
        <w:tc>
          <w:tcPr>
            <w:tcW w:w="882" w:type="dxa"/>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16.5040</w:t>
            </w:r>
          </w:p>
        </w:tc>
        <w:tc>
          <w:tcPr>
            <w:tcW w:w="1194" w:type="dxa"/>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lang w:val="en-US" w:eastAsia="zh-CN"/>
              </w:rPr>
              <w:t>/</w:t>
            </w:r>
          </w:p>
        </w:tc>
        <w:tc>
          <w:tcPr>
            <w:tcW w:w="814" w:type="dxa"/>
            <w:tcBorders>
              <w:right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rPr>
              <w:t>8.2520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25" w:type="pct"/>
            <w:vMerge w:val="continue"/>
            <w:tcBorders>
              <w:left w:val="nil"/>
              <w:bottom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525" w:type="pct"/>
            <w:tcBorders>
              <w:bottom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right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vertAlign w:val="baseline"/>
                <w:lang w:val="en-US" w:eastAsia="zh-CN"/>
              </w:rPr>
              <w:t>H</w:t>
            </w:r>
            <w:r>
              <w:rPr>
                <w:rFonts w:hint="default" w:ascii="Times New Roman" w:hAnsi="Times New Roman" w:eastAsia="宋体" w:cs="Times New Roman"/>
                <w:b w:val="0"/>
                <w:bCs/>
                <w:sz w:val="21"/>
                <w:szCs w:val="21"/>
                <w:vertAlign w:val="subscript"/>
                <w:lang w:val="en-US" w:eastAsia="zh-CN"/>
              </w:rPr>
              <w:t>2</w:t>
            </w:r>
            <w:r>
              <w:rPr>
                <w:rFonts w:hint="default" w:ascii="Times New Roman" w:hAnsi="Times New Roman" w:eastAsia="宋体" w:cs="Times New Roman"/>
                <w:b w:val="0"/>
                <w:bCs/>
                <w:sz w:val="21"/>
                <w:szCs w:val="21"/>
                <w:vertAlign w:val="baseline"/>
                <w:lang w:val="en-US" w:eastAsia="zh-CN"/>
              </w:rPr>
              <w:t>S</w:t>
            </w:r>
          </w:p>
        </w:tc>
        <w:tc>
          <w:tcPr>
            <w:tcW w:w="938" w:type="dxa"/>
            <w:tcBorders>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color w:val="auto"/>
                <w:kern w:val="0"/>
                <w:sz w:val="21"/>
                <w:szCs w:val="21"/>
                <w:lang w:val="en-US" w:eastAsia="zh-CN" w:bidi="ar-SA"/>
              </w:rPr>
              <w:t>0.0012</w:t>
            </w:r>
          </w:p>
        </w:tc>
        <w:tc>
          <w:tcPr>
            <w:tcW w:w="557" w:type="pct"/>
            <w:vMerge w:val="continue"/>
            <w:tcBorders>
              <w:bottom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557" w:type="pct"/>
            <w:vMerge w:val="continue"/>
            <w:tcBorders>
              <w:bottom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560" w:type="pct"/>
            <w:vMerge w:val="continue"/>
            <w:tcBorders>
              <w:bottom w:val="single" w:color="auto" w:sz="12" w:space="0"/>
            </w:tcBorders>
            <w:vAlign w:val="center"/>
          </w:tcPr>
          <w:p>
            <w:pPr>
              <w:keepNext w:val="0"/>
              <w:keepLines w:val="0"/>
              <w:pageBreakBefore w:val="0"/>
              <w:widowControl w:val="0"/>
              <w:tabs>
                <w:tab w:val="left" w:pos="1522"/>
              </w:tabs>
              <w:kinsoku/>
              <w:wordWrap/>
              <w:overflowPunct/>
              <w:topLinePunct w:val="0"/>
              <w:autoSpaceDE/>
              <w:autoSpaceDN/>
              <w:bidi w:val="0"/>
              <w:adjustRightInd/>
              <w:snapToGrid/>
              <w:ind w:right="0"/>
              <w:jc w:val="center"/>
              <w:textAlignment w:val="auto"/>
              <w:rPr>
                <w:rFonts w:hint="default" w:ascii="Times New Roman" w:hAnsi="Times New Roman" w:eastAsia="宋体" w:cs="Times New Roman"/>
                <w:b w:val="0"/>
                <w:bCs/>
                <w:sz w:val="21"/>
                <w:szCs w:val="21"/>
                <w:vertAlign w:val="baseline"/>
              </w:rPr>
            </w:pPr>
          </w:p>
        </w:tc>
        <w:tc>
          <w:tcPr>
            <w:tcW w:w="882" w:type="dxa"/>
            <w:tcBorders>
              <w:bottom w:val="single" w:color="auto" w:sz="12" w:space="0"/>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0.8252</w:t>
            </w:r>
          </w:p>
        </w:tc>
        <w:tc>
          <w:tcPr>
            <w:tcW w:w="1194" w:type="dxa"/>
            <w:tcBorders>
              <w:bottom w:val="single" w:color="auto" w:sz="12" w:space="0"/>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lang w:val="en-US" w:eastAsia="zh-CN"/>
              </w:rPr>
              <w:t>/</w:t>
            </w:r>
          </w:p>
        </w:tc>
        <w:tc>
          <w:tcPr>
            <w:tcW w:w="814" w:type="dxa"/>
            <w:tcBorders>
              <w:bottom w:val="single" w:color="auto" w:sz="12" w:space="0"/>
              <w:right w:val="nil"/>
            </w:tcBorders>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rPr>
              <w:t>8.2520</w:t>
            </w:r>
          </w:p>
        </w:tc>
      </w:tr>
    </w:tbl>
    <w:p>
      <w:pPr>
        <w:keepNext w:val="0"/>
        <w:keepLines w:val="0"/>
        <w:pageBreakBefore w:val="0"/>
        <w:widowControl w:val="0"/>
        <w:tabs>
          <w:tab w:val="left" w:pos="1522"/>
        </w:tabs>
        <w:kinsoku/>
        <w:wordWrap/>
        <w:overflowPunct/>
        <w:topLinePunct w:val="0"/>
        <w:autoSpaceDE/>
        <w:autoSpaceDN/>
        <w:bidi w:val="0"/>
        <w:adjustRightInd/>
        <w:snapToGrid/>
        <w:spacing w:line="360" w:lineRule="auto"/>
        <w:ind w:left="0" w:right="0" w:firstLine="480" w:firstLineChars="200"/>
        <w:jc w:val="left"/>
        <w:textAlignment w:val="auto"/>
        <w:rPr>
          <w:rFonts w:hint="default" w:ascii="Times New Roman" w:hAnsi="Times New Roman" w:cs="Times New Roman"/>
          <w:b w:val="0"/>
          <w:bCs/>
          <w:color w:val="FF0000"/>
          <w:sz w:val="24"/>
          <w:szCs w:val="24"/>
        </w:rPr>
      </w:pPr>
      <w:r>
        <w:rPr>
          <w:rFonts w:hint="default" w:ascii="Times New Roman" w:hAnsi="Times New Roman" w:eastAsia="宋体" w:cs="Times New Roman"/>
          <w:b w:val="0"/>
          <w:sz w:val="24"/>
        </w:rPr>
        <w:t>本项目P</w:t>
      </w:r>
      <w:r>
        <w:rPr>
          <w:rFonts w:hint="default" w:ascii="Times New Roman" w:hAnsi="Times New Roman" w:eastAsia="宋体" w:cs="Times New Roman"/>
          <w:b w:val="0"/>
          <w:sz w:val="24"/>
          <w:vertAlign w:val="subscript"/>
        </w:rPr>
        <w:t>max</w:t>
      </w:r>
      <w:r>
        <w:rPr>
          <w:rFonts w:hint="default" w:ascii="Times New Roman" w:hAnsi="Times New Roman" w:eastAsia="宋体" w:cs="Times New Roman"/>
          <w:b w:val="0"/>
          <w:sz w:val="24"/>
        </w:rPr>
        <w:t>最大值出现为异位发酵床排放的NH</w:t>
      </w:r>
      <w:r>
        <w:rPr>
          <w:rFonts w:hint="default" w:ascii="Times New Roman" w:hAnsi="Times New Roman" w:eastAsia="宋体" w:cs="Times New Roman"/>
          <w:b w:val="0"/>
          <w:sz w:val="24"/>
          <w:vertAlign w:val="subscript"/>
        </w:rPr>
        <w:t>3</w:t>
      </w:r>
      <w:r>
        <w:rPr>
          <w:rFonts w:hint="default" w:ascii="Times New Roman" w:hAnsi="Times New Roman" w:eastAsia="宋体" w:cs="Times New Roman"/>
          <w:b w:val="0"/>
          <w:sz w:val="24"/>
        </w:rPr>
        <w:t>P</w:t>
      </w:r>
      <w:r>
        <w:rPr>
          <w:rFonts w:hint="default" w:ascii="Times New Roman" w:hAnsi="Times New Roman" w:eastAsia="宋体" w:cs="Times New Roman"/>
          <w:b w:val="0"/>
          <w:sz w:val="24"/>
          <w:vertAlign w:val="subscript"/>
        </w:rPr>
        <w:t>max</w:t>
      </w:r>
      <w:r>
        <w:rPr>
          <w:rFonts w:hint="default" w:ascii="Times New Roman" w:hAnsi="Times New Roman" w:eastAsia="宋体" w:cs="Times New Roman"/>
          <w:b w:val="0"/>
          <w:sz w:val="24"/>
        </w:rPr>
        <w:t>值为8.252%</w:t>
      </w:r>
      <w:r>
        <w:rPr>
          <w:rFonts w:hint="eastAsia" w:ascii="Times New Roman" w:hAnsi="Times New Roman" w:eastAsia="宋体" w:cs="Times New Roman"/>
          <w:b w:val="0"/>
          <w:sz w:val="24"/>
          <w:lang w:eastAsia="zh-CN"/>
        </w:rPr>
        <w:t>，</w:t>
      </w:r>
      <w:r>
        <w:rPr>
          <w:rFonts w:hint="default" w:ascii="Times New Roman" w:hAnsi="Times New Roman" w:eastAsia="宋体" w:cs="Times New Roman"/>
          <w:b w:val="0"/>
          <w:sz w:val="24"/>
        </w:rPr>
        <w:t>C</w:t>
      </w:r>
      <w:r>
        <w:rPr>
          <w:rFonts w:hint="default" w:ascii="Times New Roman" w:hAnsi="Times New Roman" w:eastAsia="宋体" w:cs="Times New Roman"/>
          <w:b w:val="0"/>
          <w:sz w:val="24"/>
          <w:vertAlign w:val="subscript"/>
        </w:rPr>
        <w:t>max</w:t>
      </w:r>
      <w:r>
        <w:rPr>
          <w:rFonts w:hint="default" w:ascii="Times New Roman" w:hAnsi="Times New Roman" w:eastAsia="宋体" w:cs="Times New Roman"/>
          <w:b w:val="0"/>
          <w:sz w:val="24"/>
        </w:rPr>
        <w:t>为16.504μg/m³，根据《环境影响评价技术导则 大气环境》（HJ2.2-2018）分级判据，确定本项目大气环境影响评价工作等级为二级。</w:t>
      </w:r>
    </w:p>
    <w:bookmarkEnd w:id="19"/>
    <w:p>
      <w:pPr>
        <w:pStyle w:val="5"/>
        <w:ind w:firstLine="562"/>
      </w:pPr>
      <w:r>
        <w:t>环境噪声评价工作等级</w:t>
      </w:r>
    </w:p>
    <w:p>
      <w:pPr>
        <w:pStyle w:val="9"/>
      </w:pPr>
      <w:r>
        <w:rPr>
          <w:rFonts w:hint="eastAsia"/>
        </w:rPr>
        <w:t xml:space="preserve">声环境影响评价等级主要根据项目所在区域的声环境功能类别或项目建设前后所在区域的声环境质量变化程度或受建设项目影响的人口数量来确定的。本项目所在区域声功能区属于GB3096-2008规定的1类区，项目建设前后噪声级增加量控制在3dB(A)以内，受影响人口增加不明显，按《环境影响评价技术导则 声环境》(HJ 2.4-2009)中的有关规定，本项目声环境影响评价工作等级定为二级。 </w:t>
      </w:r>
    </w:p>
    <w:p>
      <w:pPr>
        <w:keepNext w:val="0"/>
        <w:keepLines w:val="0"/>
        <w:pageBreakBefore w:val="0"/>
        <w:widowControl w:val="0"/>
        <w:tabs>
          <w:tab w:val="left" w:pos="1522"/>
        </w:tabs>
        <w:kinsoku/>
        <w:wordWrap/>
        <w:overflowPunct/>
        <w:topLinePunct w:val="0"/>
        <w:autoSpaceDE/>
        <w:autoSpaceDN/>
        <w:bidi w:val="0"/>
        <w:adjustRightInd/>
        <w:snapToGrid/>
        <w:ind w:left="0" w:right="0" w:firstLine="0"/>
        <w:jc w:val="center"/>
        <w:textAlignment w:val="auto"/>
        <w:rPr>
          <w:rFonts w:hint="eastAsia" w:ascii="Times New Roman" w:hAnsi="Times New Roman" w:cs="Times New Roman"/>
          <w:b/>
          <w:sz w:val="21"/>
          <w:szCs w:val="21"/>
          <w:lang w:eastAsia="zh-CN"/>
        </w:rPr>
      </w:pPr>
    </w:p>
    <w:p>
      <w:pPr>
        <w:keepNext w:val="0"/>
        <w:keepLines w:val="0"/>
        <w:pageBreakBefore w:val="0"/>
        <w:widowControl w:val="0"/>
        <w:tabs>
          <w:tab w:val="left" w:pos="1522"/>
        </w:tabs>
        <w:kinsoku/>
        <w:wordWrap/>
        <w:overflowPunct/>
        <w:topLinePunct w:val="0"/>
        <w:autoSpaceDE/>
        <w:autoSpaceDN/>
        <w:bidi w:val="0"/>
        <w:adjustRightInd/>
        <w:snapToGrid/>
        <w:ind w:left="0" w:right="0" w:firstLine="0"/>
        <w:jc w:val="center"/>
        <w:textAlignment w:val="auto"/>
        <w:rPr>
          <w:rFonts w:hint="eastAsia" w:ascii="Times New Roman" w:hAnsi="Times New Roman" w:cs="Times New Roman"/>
          <w:b/>
          <w:sz w:val="21"/>
          <w:szCs w:val="21"/>
          <w:lang w:eastAsia="zh-CN"/>
        </w:rPr>
      </w:pPr>
    </w:p>
    <w:p>
      <w:pPr>
        <w:keepNext w:val="0"/>
        <w:keepLines w:val="0"/>
        <w:pageBreakBefore w:val="0"/>
        <w:widowControl w:val="0"/>
        <w:tabs>
          <w:tab w:val="left" w:pos="1522"/>
        </w:tabs>
        <w:kinsoku/>
        <w:wordWrap/>
        <w:overflowPunct/>
        <w:topLinePunct w:val="0"/>
        <w:autoSpaceDE/>
        <w:autoSpaceDN/>
        <w:bidi w:val="0"/>
        <w:adjustRightInd/>
        <w:snapToGrid/>
        <w:ind w:left="0" w:right="0" w:firstLine="0"/>
        <w:jc w:val="center"/>
        <w:textAlignment w:val="auto"/>
        <w:rPr>
          <w:rFonts w:hint="eastAsia" w:ascii="Times New Roman" w:hAnsi="Times New Roman" w:cs="Times New Roman"/>
          <w:b/>
          <w:sz w:val="21"/>
          <w:szCs w:val="21"/>
          <w:lang w:eastAsia="zh-CN"/>
        </w:rPr>
      </w:pPr>
      <w:r>
        <w:rPr>
          <w:rFonts w:hint="eastAsia" w:ascii="Times New Roman" w:hAnsi="Times New Roman" w:cs="Times New Roman"/>
          <w:b/>
          <w:sz w:val="21"/>
          <w:szCs w:val="21"/>
          <w:lang w:eastAsia="zh-CN"/>
        </w:rPr>
        <w:t>表2.5-</w:t>
      </w:r>
      <w:r>
        <w:rPr>
          <w:rFonts w:hint="eastAsia" w:cs="Times New Roman"/>
          <w:b/>
          <w:sz w:val="21"/>
          <w:szCs w:val="21"/>
          <w:lang w:val="en-US" w:eastAsia="zh-CN"/>
        </w:rPr>
        <w:t>8</w:t>
      </w:r>
      <w:r>
        <w:rPr>
          <w:rFonts w:hint="eastAsia" w:ascii="Times New Roman" w:hAnsi="Times New Roman" w:cs="Times New Roman"/>
          <w:b/>
          <w:sz w:val="21"/>
          <w:szCs w:val="21"/>
          <w:lang w:eastAsia="zh-CN"/>
        </w:rPr>
        <w:t xml:space="preserve">  声环境影响评价工作等级判别情况</w:t>
      </w:r>
    </w:p>
    <w:tbl>
      <w:tblPr>
        <w:tblStyle w:val="63"/>
        <w:tblW w:w="4998" w:type="pct"/>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847"/>
        <w:gridCol w:w="6060"/>
        <w:gridCol w:w="1396"/>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2" w:hRule="atLeast"/>
        </w:trPr>
        <w:tc>
          <w:tcPr>
            <w:tcW w:w="510" w:type="pct"/>
            <w:tcBorders>
              <w:left w:val="nil"/>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rPr>
            </w:pPr>
            <w:r>
              <w:rPr>
                <w:rFonts w:hint="default" w:ascii="Times New Roman" w:hAnsi="Times New Roman" w:eastAsia="宋体" w:cs="Times New Roman"/>
                <w:b w:val="0"/>
                <w:bCs/>
                <w:sz w:val="21"/>
              </w:rPr>
              <w:t>序号</w:t>
            </w:r>
          </w:p>
        </w:tc>
        <w:tc>
          <w:tcPr>
            <w:tcW w:w="3648" w:type="pct"/>
            <w:tcBorders>
              <w:left w:val="single" w:color="000000" w:sz="6" w:space="0"/>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rPr>
            </w:pPr>
            <w:r>
              <w:rPr>
                <w:rFonts w:hint="default" w:ascii="Times New Roman" w:hAnsi="Times New Roman" w:eastAsia="宋体" w:cs="Times New Roman"/>
                <w:b w:val="0"/>
                <w:bCs/>
                <w:sz w:val="21"/>
              </w:rPr>
              <w:t>等级划分依据</w:t>
            </w:r>
          </w:p>
        </w:tc>
        <w:tc>
          <w:tcPr>
            <w:tcW w:w="840" w:type="pct"/>
            <w:tcBorders>
              <w:left w:val="single" w:color="000000" w:sz="6" w:space="0"/>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rPr>
            </w:pPr>
            <w:r>
              <w:rPr>
                <w:rFonts w:hint="default" w:ascii="Times New Roman" w:hAnsi="Times New Roman" w:eastAsia="宋体" w:cs="Times New Roman"/>
                <w:b w:val="0"/>
                <w:bCs/>
                <w:sz w:val="21"/>
              </w:rPr>
              <w:t>指标</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37" w:hRule="atLeast"/>
        </w:trPr>
        <w:tc>
          <w:tcPr>
            <w:tcW w:w="510" w:type="pct"/>
            <w:tcBorders>
              <w:top w:val="single" w:color="000000" w:sz="12"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rPr>
            </w:pPr>
            <w:r>
              <w:rPr>
                <w:rFonts w:hint="default" w:ascii="Times New Roman" w:hAnsi="Times New Roman" w:eastAsia="宋体" w:cs="Times New Roman"/>
                <w:b w:val="0"/>
                <w:bCs/>
                <w:w w:val="100"/>
                <w:sz w:val="21"/>
              </w:rPr>
              <w:t>1</w:t>
            </w:r>
          </w:p>
        </w:tc>
        <w:tc>
          <w:tcPr>
            <w:tcW w:w="3648" w:type="pct"/>
            <w:tcBorders>
              <w:top w:val="single" w:color="000000" w:sz="12"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rPr>
            </w:pPr>
            <w:r>
              <w:rPr>
                <w:rFonts w:hint="default" w:ascii="Times New Roman" w:hAnsi="Times New Roman" w:eastAsia="宋体" w:cs="Times New Roman"/>
                <w:b w:val="0"/>
                <w:bCs/>
                <w:sz w:val="21"/>
              </w:rPr>
              <w:t>项目所在区域的声环境功能区类别</w:t>
            </w:r>
          </w:p>
        </w:tc>
        <w:tc>
          <w:tcPr>
            <w:tcW w:w="840" w:type="pct"/>
            <w:tcBorders>
              <w:top w:val="single" w:color="000000" w:sz="12"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rPr>
            </w:pPr>
            <w:r>
              <w:rPr>
                <w:rFonts w:hint="default" w:ascii="Times New Roman" w:hAnsi="Times New Roman" w:eastAsia="宋体" w:cs="Times New Roman"/>
                <w:b w:val="0"/>
                <w:bCs/>
                <w:sz w:val="21"/>
              </w:rPr>
              <w:t>1 类区</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510" w:type="pct"/>
            <w:tcBorders>
              <w:top w:val="single" w:color="000000" w:sz="6"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rPr>
            </w:pPr>
            <w:r>
              <w:rPr>
                <w:rFonts w:hint="default" w:ascii="Times New Roman" w:hAnsi="Times New Roman" w:eastAsia="宋体" w:cs="Times New Roman"/>
                <w:b w:val="0"/>
                <w:bCs/>
                <w:w w:val="100"/>
                <w:sz w:val="21"/>
              </w:rPr>
              <w:t>2</w:t>
            </w:r>
          </w:p>
        </w:tc>
        <w:tc>
          <w:tcPr>
            <w:tcW w:w="3648"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rPr>
            </w:pPr>
            <w:r>
              <w:rPr>
                <w:rFonts w:hint="default" w:ascii="Times New Roman" w:hAnsi="Times New Roman" w:eastAsia="宋体" w:cs="Times New Roman"/>
                <w:b w:val="0"/>
                <w:bCs/>
                <w:sz w:val="21"/>
              </w:rPr>
              <w:t>项目建设前后评价范围内敏感目标噪声级增加量</w:t>
            </w:r>
          </w:p>
        </w:tc>
        <w:tc>
          <w:tcPr>
            <w:tcW w:w="840"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rPr>
            </w:pPr>
            <w:r>
              <w:rPr>
                <w:rFonts w:hint="default" w:ascii="Times New Roman" w:hAnsi="Times New Roman" w:eastAsia="宋体" w:cs="Times New Roman"/>
                <w:b w:val="0"/>
                <w:bCs/>
                <w:sz w:val="21"/>
              </w:rPr>
              <w:t>＜3dB(A)</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2" w:hRule="atLeast"/>
        </w:trPr>
        <w:tc>
          <w:tcPr>
            <w:tcW w:w="510" w:type="pct"/>
            <w:tcBorders>
              <w:top w:val="single" w:color="000000" w:sz="6" w:space="0"/>
              <w:left w:val="nil"/>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rPr>
            </w:pPr>
            <w:r>
              <w:rPr>
                <w:rFonts w:hint="default" w:ascii="Times New Roman" w:hAnsi="Times New Roman" w:eastAsia="宋体" w:cs="Times New Roman"/>
                <w:b w:val="0"/>
                <w:bCs/>
                <w:w w:val="100"/>
                <w:sz w:val="21"/>
              </w:rPr>
              <w:t>3</w:t>
            </w:r>
          </w:p>
        </w:tc>
        <w:tc>
          <w:tcPr>
            <w:tcW w:w="3648" w:type="pct"/>
            <w:tcBorders>
              <w:top w:val="single" w:color="000000" w:sz="6" w:space="0"/>
              <w:left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rPr>
            </w:pPr>
            <w:r>
              <w:rPr>
                <w:rFonts w:hint="default" w:ascii="Times New Roman" w:hAnsi="Times New Roman" w:eastAsia="宋体" w:cs="Times New Roman"/>
                <w:b w:val="0"/>
                <w:bCs/>
                <w:sz w:val="21"/>
              </w:rPr>
              <w:t>受影响人口数量</w:t>
            </w:r>
          </w:p>
        </w:tc>
        <w:tc>
          <w:tcPr>
            <w:tcW w:w="840" w:type="pct"/>
            <w:tcBorders>
              <w:top w:val="single" w:color="000000" w:sz="6" w:space="0"/>
              <w:left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rPr>
            </w:pPr>
            <w:r>
              <w:rPr>
                <w:rFonts w:hint="default" w:ascii="Times New Roman" w:hAnsi="Times New Roman" w:eastAsia="宋体" w:cs="Times New Roman"/>
                <w:b w:val="0"/>
                <w:bCs/>
                <w:sz w:val="21"/>
              </w:rPr>
              <w:t>变化不大</w:t>
            </w:r>
          </w:p>
        </w:tc>
      </w:tr>
    </w:tbl>
    <w:p>
      <w:pPr>
        <w:pStyle w:val="5"/>
        <w:ind w:firstLine="562"/>
      </w:pPr>
      <w:r>
        <w:rPr>
          <w:rFonts w:hint="eastAsia"/>
          <w:lang w:eastAsia="zh-CN"/>
        </w:rPr>
        <w:t>土壤环境</w:t>
      </w:r>
      <w:r>
        <w:t>评价工作等级</w:t>
      </w:r>
    </w:p>
    <w:p>
      <w:pPr>
        <w:pStyle w:val="9"/>
      </w:pPr>
      <w:r>
        <w:t>本项目属于生猪养殖项目，根据《环境影响评价技术导则</w:t>
      </w:r>
      <w:r>
        <w:tab/>
      </w:r>
      <w:r>
        <w:t>土壤环境（试行）》(HJ964-2018)附录 A，本项目为Ⅲ类项目，根据表2.5-</w:t>
      </w:r>
      <w:r>
        <w:rPr>
          <w:rFonts w:hint="eastAsia"/>
          <w:lang w:val="en-US" w:eastAsia="zh-CN"/>
        </w:rPr>
        <w:t>9</w:t>
      </w:r>
      <w:r>
        <w:t>，项目所在地周边为</w:t>
      </w:r>
      <w:r>
        <w:rPr>
          <w:rFonts w:hint="eastAsia"/>
          <w:lang w:eastAsia="zh-CN"/>
        </w:rPr>
        <w:t>农用</w:t>
      </w:r>
      <w:r>
        <w:t>地，土壤环境敏感程度为敏感，项</w:t>
      </w:r>
      <w:r>
        <w:rPr>
          <w:color w:val="auto"/>
        </w:rPr>
        <w:t>目永久占地面积</w:t>
      </w:r>
      <w:r>
        <w:rPr>
          <w:rFonts w:hint="eastAsia"/>
          <w:color w:val="auto"/>
          <w:lang w:val="en-US" w:eastAsia="zh-CN"/>
        </w:rPr>
        <w:t>7.1h</w:t>
      </w:r>
      <w:r>
        <w:rPr>
          <w:color w:val="auto"/>
        </w:rPr>
        <w:t>m</w:t>
      </w:r>
      <w:r>
        <w:rPr>
          <w:color w:val="auto"/>
          <w:vertAlign w:val="superscript"/>
        </w:rPr>
        <w:t>2</w:t>
      </w:r>
      <w:r>
        <w:rPr>
          <w:color w:val="auto"/>
        </w:rPr>
        <w:t>，</w:t>
      </w:r>
      <w:r>
        <w:t>占地规模为</w:t>
      </w:r>
      <w:r>
        <w:rPr>
          <w:rFonts w:hint="eastAsia"/>
          <w:lang w:eastAsia="zh-CN"/>
        </w:rPr>
        <w:t>中</w:t>
      </w:r>
      <w:r>
        <w:t>型（</w:t>
      </w:r>
      <w:r>
        <w:rPr>
          <w:rFonts w:hint="eastAsia"/>
          <w:color w:val="auto"/>
          <w:lang w:val="en-US" w:eastAsia="zh-CN"/>
        </w:rPr>
        <w:t>5</w:t>
      </w:r>
      <w:r>
        <w:rPr>
          <w:color w:val="auto"/>
        </w:rPr>
        <w:t>hm</w:t>
      </w:r>
      <w:r>
        <w:rPr>
          <w:color w:val="auto"/>
          <w:vertAlign w:val="superscript"/>
        </w:rPr>
        <w:t>2</w:t>
      </w:r>
      <w:r>
        <w:rPr>
          <w:rFonts w:hint="eastAsia"/>
          <w:color w:val="auto"/>
          <w:lang w:eastAsia="zh-CN"/>
        </w:rPr>
        <w:t>≤</w:t>
      </w:r>
      <w:r>
        <w:rPr>
          <w:rFonts w:hint="eastAsia"/>
          <w:color w:val="auto"/>
          <w:lang w:val="en-US" w:eastAsia="zh-CN"/>
        </w:rPr>
        <w:t>7.1h</w:t>
      </w:r>
      <w:r>
        <w:rPr>
          <w:color w:val="auto"/>
        </w:rPr>
        <w:t>m</w:t>
      </w:r>
      <w:r>
        <w:rPr>
          <w:color w:val="auto"/>
          <w:vertAlign w:val="superscript"/>
        </w:rPr>
        <w:t>2</w:t>
      </w:r>
      <w:r>
        <w:rPr>
          <w:rFonts w:hint="eastAsia"/>
          <w:color w:val="auto"/>
          <w:lang w:eastAsia="zh-CN"/>
        </w:rPr>
        <w:t>≤</w:t>
      </w:r>
      <w:r>
        <w:rPr>
          <w:color w:val="auto"/>
        </w:rPr>
        <w:t>5</w:t>
      </w:r>
      <w:r>
        <w:rPr>
          <w:rFonts w:hint="eastAsia"/>
          <w:color w:val="auto"/>
          <w:lang w:val="en-US" w:eastAsia="zh-CN"/>
        </w:rPr>
        <w:t>0</w:t>
      </w:r>
      <w:r>
        <w:rPr>
          <w:color w:val="auto"/>
        </w:rPr>
        <w:t>hm</w:t>
      </w:r>
      <w:r>
        <w:rPr>
          <w:color w:val="auto"/>
          <w:vertAlign w:val="superscript"/>
        </w:rPr>
        <w:t>2</w:t>
      </w:r>
      <w:r>
        <w:rPr>
          <w:color w:val="auto"/>
        </w:rPr>
        <w:t>）</w:t>
      </w:r>
      <w:r>
        <w:t>，根据表2.5-1</w:t>
      </w:r>
      <w:r>
        <w:rPr>
          <w:rFonts w:hint="eastAsia"/>
          <w:lang w:val="en-US" w:eastAsia="zh-CN"/>
        </w:rPr>
        <w:t>0</w:t>
      </w:r>
      <w:r>
        <w:t>，项目土壤环境评价等级为三级。</w:t>
      </w:r>
    </w:p>
    <w:p>
      <w:pPr>
        <w:keepNext w:val="0"/>
        <w:keepLines w:val="0"/>
        <w:pageBreakBefore w:val="0"/>
        <w:widowControl w:val="0"/>
        <w:tabs>
          <w:tab w:val="left" w:pos="1522"/>
        </w:tabs>
        <w:kinsoku/>
        <w:wordWrap/>
        <w:overflowPunct/>
        <w:topLinePunct w:val="0"/>
        <w:autoSpaceDE/>
        <w:autoSpaceDN/>
        <w:bidi w:val="0"/>
        <w:adjustRightInd/>
        <w:snapToGrid/>
        <w:ind w:left="0" w:right="0" w:firstLine="0"/>
        <w:jc w:val="center"/>
        <w:textAlignment w:val="auto"/>
        <w:rPr>
          <w:rFonts w:hint="eastAsia" w:ascii="Times New Roman" w:hAnsi="Times New Roman" w:cs="Times New Roman"/>
          <w:b/>
          <w:sz w:val="21"/>
          <w:szCs w:val="21"/>
          <w:lang w:eastAsia="zh-CN"/>
        </w:rPr>
      </w:pPr>
      <w:r>
        <w:rPr>
          <w:rFonts w:hint="eastAsia" w:ascii="Times New Roman" w:hAnsi="Times New Roman" w:cs="Times New Roman"/>
          <w:b/>
          <w:sz w:val="21"/>
          <w:szCs w:val="21"/>
          <w:lang w:eastAsia="zh-CN"/>
        </w:rPr>
        <w:t>表2.5-</w:t>
      </w:r>
      <w:r>
        <w:rPr>
          <w:rFonts w:hint="eastAsia" w:cs="Times New Roman"/>
          <w:b/>
          <w:sz w:val="21"/>
          <w:szCs w:val="21"/>
          <w:lang w:val="en-US" w:eastAsia="zh-CN"/>
        </w:rPr>
        <w:t>9</w:t>
      </w:r>
      <w:r>
        <w:rPr>
          <w:rFonts w:hint="eastAsia" w:ascii="Times New Roman" w:hAnsi="Times New Roman" w:cs="Times New Roman"/>
          <w:b/>
          <w:sz w:val="21"/>
          <w:szCs w:val="21"/>
          <w:lang w:val="en-US" w:eastAsia="zh-CN"/>
        </w:rPr>
        <w:t xml:space="preserve">   </w:t>
      </w:r>
      <w:r>
        <w:rPr>
          <w:rFonts w:hint="eastAsia" w:ascii="Times New Roman" w:hAnsi="Times New Roman" w:cs="Times New Roman"/>
          <w:b/>
          <w:sz w:val="21"/>
          <w:szCs w:val="21"/>
          <w:lang w:eastAsia="zh-CN"/>
        </w:rPr>
        <w:t>污染影响型敏感程度分级表</w:t>
      </w:r>
    </w:p>
    <w:tbl>
      <w:tblPr>
        <w:tblStyle w:val="63"/>
        <w:tblW w:w="4999" w:type="pct"/>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1501"/>
        <w:gridCol w:w="6803"/>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272" w:hRule="atLeast"/>
        </w:trPr>
        <w:tc>
          <w:tcPr>
            <w:tcW w:w="904" w:type="pct"/>
            <w:tcBorders>
              <w:left w:val="nil"/>
              <w:bottom w:val="single" w:color="000000" w:sz="12"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b w:val="0"/>
                <w:bCs/>
                <w:sz w:val="21"/>
              </w:rPr>
            </w:pPr>
            <w:r>
              <w:rPr>
                <w:b w:val="0"/>
                <w:bCs/>
                <w:sz w:val="21"/>
              </w:rPr>
              <w:t>敏感程度</w:t>
            </w:r>
          </w:p>
        </w:tc>
        <w:tc>
          <w:tcPr>
            <w:tcW w:w="4095" w:type="pct"/>
            <w:tcBorders>
              <w:left w:val="single" w:color="000000" w:sz="4" w:space="0"/>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b w:val="0"/>
                <w:bCs/>
                <w:sz w:val="21"/>
              </w:rPr>
            </w:pPr>
            <w:r>
              <w:rPr>
                <w:b w:val="0"/>
                <w:bCs/>
                <w:sz w:val="21"/>
              </w:rPr>
              <w:t>判别依据</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44" w:hRule="atLeast"/>
        </w:trPr>
        <w:tc>
          <w:tcPr>
            <w:tcW w:w="904" w:type="pct"/>
            <w:tcBorders>
              <w:top w:val="single" w:color="000000" w:sz="12" w:space="0"/>
              <w:left w:val="nil"/>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b w:val="0"/>
                <w:bCs/>
                <w:sz w:val="21"/>
              </w:rPr>
            </w:pPr>
            <w:r>
              <w:rPr>
                <w:b w:val="0"/>
                <w:bCs/>
                <w:sz w:val="21"/>
              </w:rPr>
              <w:t>敏感</w:t>
            </w:r>
          </w:p>
        </w:tc>
        <w:tc>
          <w:tcPr>
            <w:tcW w:w="4095" w:type="pct"/>
            <w:tcBorders>
              <w:top w:val="single" w:color="000000" w:sz="12" w:space="0"/>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b w:val="0"/>
                <w:bCs/>
                <w:sz w:val="21"/>
              </w:rPr>
            </w:pPr>
            <w:r>
              <w:rPr>
                <w:b w:val="0"/>
                <w:bCs/>
                <w:sz w:val="21"/>
              </w:rPr>
              <w:t>建设项目周边存在耕地、园地、牧草地、饮用水源地或居民区、学校、医院、疗养院、养老院等土壤环境敏感目标的</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273" w:hRule="atLeast"/>
        </w:trPr>
        <w:tc>
          <w:tcPr>
            <w:tcW w:w="904" w:type="pct"/>
            <w:tcBorders>
              <w:top w:val="single" w:color="000000" w:sz="4" w:space="0"/>
              <w:left w:val="nil"/>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b w:val="0"/>
                <w:bCs/>
                <w:sz w:val="21"/>
              </w:rPr>
            </w:pPr>
            <w:r>
              <w:rPr>
                <w:b w:val="0"/>
                <w:bCs/>
                <w:sz w:val="21"/>
              </w:rPr>
              <w:t>较敏感</w:t>
            </w:r>
          </w:p>
        </w:tc>
        <w:tc>
          <w:tcPr>
            <w:tcW w:w="4095" w:type="pct"/>
            <w:tcBorders>
              <w:top w:val="single" w:color="000000" w:sz="4" w:space="0"/>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b w:val="0"/>
                <w:bCs/>
                <w:sz w:val="21"/>
              </w:rPr>
            </w:pPr>
            <w:r>
              <w:rPr>
                <w:b w:val="0"/>
                <w:bCs/>
                <w:sz w:val="21"/>
              </w:rPr>
              <w:t>建设项目周边存在其他土壤环境敏感目标的</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272" w:hRule="atLeast"/>
        </w:trPr>
        <w:tc>
          <w:tcPr>
            <w:tcW w:w="904" w:type="pct"/>
            <w:tcBorders>
              <w:top w:val="single" w:color="000000" w:sz="4" w:space="0"/>
              <w:left w:val="nil"/>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b w:val="0"/>
                <w:bCs/>
                <w:sz w:val="21"/>
              </w:rPr>
            </w:pPr>
            <w:r>
              <w:rPr>
                <w:b w:val="0"/>
                <w:bCs/>
                <w:sz w:val="21"/>
              </w:rPr>
              <w:t>不敏感</w:t>
            </w:r>
          </w:p>
        </w:tc>
        <w:tc>
          <w:tcPr>
            <w:tcW w:w="4095" w:type="pct"/>
            <w:tcBorders>
              <w:top w:val="single" w:color="000000" w:sz="4" w:space="0"/>
              <w:left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b w:val="0"/>
                <w:bCs/>
                <w:sz w:val="21"/>
              </w:rPr>
            </w:pPr>
            <w:r>
              <w:rPr>
                <w:b w:val="0"/>
                <w:bCs/>
                <w:sz w:val="21"/>
              </w:rPr>
              <w:t>其他情况</w:t>
            </w:r>
          </w:p>
        </w:tc>
      </w:tr>
    </w:tbl>
    <w:p>
      <w:pPr>
        <w:keepNext w:val="0"/>
        <w:keepLines w:val="0"/>
        <w:pageBreakBefore w:val="0"/>
        <w:widowControl w:val="0"/>
        <w:tabs>
          <w:tab w:val="left" w:pos="1522"/>
        </w:tabs>
        <w:kinsoku/>
        <w:wordWrap/>
        <w:overflowPunct/>
        <w:topLinePunct w:val="0"/>
        <w:autoSpaceDE/>
        <w:autoSpaceDN/>
        <w:bidi w:val="0"/>
        <w:adjustRightInd/>
        <w:snapToGrid/>
        <w:ind w:left="0" w:right="0" w:firstLine="0"/>
        <w:jc w:val="center"/>
        <w:textAlignment w:val="auto"/>
        <w:rPr>
          <w:rFonts w:hint="eastAsia" w:ascii="Times New Roman" w:hAnsi="Times New Roman" w:cs="Times New Roman"/>
          <w:b/>
          <w:sz w:val="21"/>
          <w:szCs w:val="21"/>
          <w:lang w:eastAsia="zh-CN"/>
        </w:rPr>
      </w:pPr>
      <w:r>
        <w:rPr>
          <w:rFonts w:hint="eastAsia" w:ascii="Times New Roman" w:hAnsi="Times New Roman" w:cs="Times New Roman"/>
          <w:b/>
          <w:sz w:val="21"/>
          <w:szCs w:val="21"/>
          <w:lang w:eastAsia="zh-CN"/>
        </w:rPr>
        <w:t>表2.5-1</w:t>
      </w:r>
      <w:r>
        <w:rPr>
          <w:rFonts w:hint="eastAsia" w:cs="Times New Roman"/>
          <w:b/>
          <w:sz w:val="21"/>
          <w:szCs w:val="21"/>
          <w:lang w:val="en-US" w:eastAsia="zh-CN"/>
        </w:rPr>
        <w:t>0</w:t>
      </w:r>
      <w:r>
        <w:rPr>
          <w:rFonts w:hint="eastAsia" w:ascii="Times New Roman" w:hAnsi="Times New Roman" w:cs="Times New Roman"/>
          <w:b/>
          <w:sz w:val="21"/>
          <w:szCs w:val="21"/>
          <w:lang w:val="en-US" w:eastAsia="zh-CN"/>
        </w:rPr>
        <w:t xml:space="preserve">   </w:t>
      </w:r>
      <w:r>
        <w:rPr>
          <w:rFonts w:hint="eastAsia" w:ascii="Times New Roman" w:hAnsi="Times New Roman" w:cs="Times New Roman"/>
          <w:b/>
          <w:sz w:val="21"/>
          <w:szCs w:val="21"/>
          <w:lang w:eastAsia="zh-CN"/>
        </w:rPr>
        <w:t>污染影响型评价工作等级划分表</w:t>
      </w:r>
    </w:p>
    <w:tbl>
      <w:tblPr>
        <w:tblStyle w:val="64"/>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3"/>
        <w:gridCol w:w="758"/>
        <w:gridCol w:w="716"/>
        <w:gridCol w:w="794"/>
        <w:gridCol w:w="774"/>
        <w:gridCol w:w="822"/>
        <w:gridCol w:w="767"/>
        <w:gridCol w:w="711"/>
        <w:gridCol w:w="776"/>
        <w:gridCol w:w="7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976" w:type="pct"/>
            <w:vMerge w:val="restart"/>
            <w:tcBorders>
              <w:top w:val="single" w:color="auto" w:sz="12" w:space="0"/>
              <w:left w:val="nil"/>
            </w:tcBorders>
          </w:tcPr>
          <w:p>
            <w:pPr>
              <w:pStyle w:val="26"/>
              <w:keepNext w:val="0"/>
              <w:keepLines w:val="0"/>
              <w:pageBreakBefore w:val="0"/>
              <w:widowControl w:val="0"/>
              <w:kinsoku/>
              <w:wordWrap/>
              <w:overflowPunct/>
              <w:topLinePunct w:val="0"/>
              <w:autoSpaceDE/>
              <w:autoSpaceDN/>
              <w:bidi w:val="0"/>
              <w:adjustRightInd/>
              <w:snapToGrid/>
              <w:spacing w:after="0"/>
              <w:ind w:firstLine="420"/>
              <w:jc w:val="center"/>
              <w:textAlignment w:val="auto"/>
              <w:rPr>
                <w:rFonts w:hint="eastAsia" w:ascii="Times New Roman" w:hAnsi="Times New Roman" w:cs="Times New Roman"/>
                <w:b/>
                <w:sz w:val="18"/>
                <w:szCs w:val="18"/>
                <w:vertAlign w:val="baseline"/>
                <w:lang w:eastAsia="zh-CN"/>
              </w:rPr>
            </w:pPr>
            <w:r>
              <w:rPr>
                <w:sz w:val="21"/>
              </w:rPr>
              <mc:AlternateContent>
                <mc:Choice Requires="wps">
                  <w:drawing>
                    <wp:anchor distT="0" distB="0" distL="114300" distR="114300" simplePos="0" relativeHeight="252255232" behindDoc="0" locked="0" layoutInCell="1" allowOverlap="1">
                      <wp:simplePos x="0" y="0"/>
                      <wp:positionH relativeFrom="column">
                        <wp:posOffset>-58420</wp:posOffset>
                      </wp:positionH>
                      <wp:positionV relativeFrom="paragraph">
                        <wp:posOffset>12065</wp:posOffset>
                      </wp:positionV>
                      <wp:extent cx="1047750" cy="381000"/>
                      <wp:effectExtent l="1905" t="4445" r="17145" b="14605"/>
                      <wp:wrapNone/>
                      <wp:docPr id="59" name="直接连接符 59"/>
                      <wp:cNvGraphicFramePr/>
                      <a:graphic xmlns:a="http://schemas.openxmlformats.org/drawingml/2006/main">
                        <a:graphicData uri="http://schemas.microsoft.com/office/word/2010/wordprocessingShape">
                          <wps:wsp>
                            <wps:cNvCnPr/>
                            <wps:spPr>
                              <a:xfrm>
                                <a:off x="0" y="0"/>
                                <a:ext cx="1047750" cy="3810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4.6pt;margin-top:0.95pt;height:30pt;width:82.5pt;z-index:252255232;mso-width-relative:page;mso-height-relative:page;" filled="f" stroked="t" coordsize="21600,21600" o:gfxdata="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FgAAAGRycy9QSwECFAAUAAAACACHTuJAk/xc29UAAAAHAQAA&#10;DwAAAAAAAAABACAAAAA4AAAAZHJzL2Rvd25yZXYueG1sUEsBAhQAFAAAAAgAh07iQKSTO2/NAQAA&#10;agMAAA4AAAAAAAAAAQAgAAAAOgEAAGRycy9lMm9Eb2MueG1sUEsFBgAAAAAGAAYAWQEAAHkFAAAA&#10;AA==&#10;">
                      <v:fill on="f" focussize="0,0"/>
                      <v:stroke weight="0.5pt" color="#000000 [3213]" miterlimit="8" joinstyle="miter"/>
                      <v:imagedata o:title=""/>
                      <o:lock v:ext="edit" aspectratio="f"/>
                    </v:line>
                  </w:pict>
                </mc:Fallback>
              </mc:AlternateContent>
            </w:r>
            <w:r>
              <w:rPr>
                <w:rFonts w:hint="eastAsia" w:ascii="Times New Roman" w:hAnsi="Times New Roman" w:cs="Times New Roman"/>
                <w:b/>
                <w:sz w:val="21"/>
                <w:szCs w:val="21"/>
                <w:vertAlign w:val="baseline"/>
                <w:lang w:val="en-US" w:eastAsia="zh-CN"/>
              </w:rPr>
              <w:t xml:space="preserve">  </w:t>
            </w:r>
            <w:r>
              <w:rPr>
                <w:rFonts w:hint="eastAsia" w:ascii="Times New Roman" w:hAnsi="Times New Roman" w:cs="Times New Roman"/>
                <w:b/>
                <w:sz w:val="18"/>
                <w:szCs w:val="18"/>
                <w:vertAlign w:val="baseline"/>
                <w:lang w:eastAsia="zh-CN"/>
              </w:rPr>
              <w:t>占地规模</w:t>
            </w:r>
            <w:r>
              <w:rPr>
                <w:rFonts w:hint="eastAsia" w:ascii="Times New Roman" w:hAnsi="Times New Roman" w:cs="Times New Roman"/>
                <w:b/>
                <w:sz w:val="18"/>
                <w:szCs w:val="18"/>
                <w:vertAlign w:val="baseline"/>
                <w:lang w:val="en-US" w:eastAsia="zh-CN"/>
              </w:rPr>
              <w:t xml:space="preserve">      </w:t>
            </w:r>
          </w:p>
          <w:p>
            <w:pPr>
              <w:pStyle w:val="26"/>
              <w:keepNext w:val="0"/>
              <w:keepLines w:val="0"/>
              <w:pageBreakBefore w:val="0"/>
              <w:widowControl w:val="0"/>
              <w:kinsoku/>
              <w:wordWrap/>
              <w:overflowPunct/>
              <w:topLinePunct w:val="0"/>
              <w:autoSpaceDE/>
              <w:autoSpaceDN/>
              <w:bidi w:val="0"/>
              <w:adjustRightInd/>
              <w:snapToGrid/>
              <w:spacing w:after="0"/>
              <w:ind w:firstLine="542" w:firstLineChars="300"/>
              <w:jc w:val="both"/>
              <w:textAlignment w:val="auto"/>
              <w:rPr>
                <w:rFonts w:hint="eastAsia" w:ascii="Times New Roman" w:hAnsi="Times New Roman" w:cs="Times New Roman"/>
                <w:b/>
                <w:sz w:val="18"/>
                <w:szCs w:val="18"/>
                <w:vertAlign w:val="baseline"/>
                <w:lang w:val="en-US" w:eastAsia="zh-CN"/>
              </w:rPr>
            </w:pPr>
            <w:r>
              <w:rPr>
                <w:rFonts w:hint="eastAsia" w:ascii="Times New Roman" w:hAnsi="Times New Roman" w:cs="Times New Roman"/>
                <w:b/>
                <w:sz w:val="18"/>
                <w:szCs w:val="18"/>
                <w:vertAlign w:val="baseline"/>
                <w:lang w:val="en-US" w:eastAsia="zh-CN"/>
              </w:rPr>
              <w:t>等级</w:t>
            </w:r>
            <w:r>
              <w:rPr>
                <w:sz w:val="21"/>
              </w:rPr>
              <mc:AlternateContent>
                <mc:Choice Requires="wps">
                  <w:drawing>
                    <wp:anchor distT="0" distB="0" distL="114300" distR="114300" simplePos="0" relativeHeight="252853248" behindDoc="0" locked="0" layoutInCell="1" allowOverlap="1">
                      <wp:simplePos x="0" y="0"/>
                      <wp:positionH relativeFrom="column">
                        <wp:posOffset>-48895</wp:posOffset>
                      </wp:positionH>
                      <wp:positionV relativeFrom="paragraph">
                        <wp:posOffset>-186055</wp:posOffset>
                      </wp:positionV>
                      <wp:extent cx="781050" cy="590550"/>
                      <wp:effectExtent l="3175" t="3810" r="15875" b="15240"/>
                      <wp:wrapNone/>
                      <wp:docPr id="74" name="直接连接符 74"/>
                      <wp:cNvGraphicFramePr/>
                      <a:graphic xmlns:a="http://schemas.openxmlformats.org/drawingml/2006/main">
                        <a:graphicData uri="http://schemas.microsoft.com/office/word/2010/wordprocessingShape">
                          <wps:wsp>
                            <wps:cNvCnPr/>
                            <wps:spPr>
                              <a:xfrm>
                                <a:off x="0" y="0"/>
                                <a:ext cx="781050" cy="5905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3.85pt;margin-top:-14.65pt;height:46.5pt;width:61.5pt;z-index:252853248;mso-width-relative:page;mso-height-relative:page;" filled="f" stroked="t" coordsize="21600,21600" o:gfxdata="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FgAAAGRycy9QSwECFAAUAAAACACHTuJAT/m3pNcAAAAJAQAA&#10;DwAAAAAAAAABACAAAAA4AAAAZHJzL2Rvd25yZXYueG1sUEsBAhQAFAAAAAgAh07iQGgxAiHLAQAA&#10;aQMAAA4AAAAAAAAAAQAgAAAAPAEAAGRycy9lMm9Eb2MueG1sUEsFBgAAAAAGAAYAWQEAAHkFAAAA&#10;AA==&#10;">
                      <v:fill on="f" focussize="0,0"/>
                      <v:stroke weight="0.5pt" color="#000000 [3213]" miterlimit="8" joinstyle="miter"/>
                      <v:imagedata o:title=""/>
                      <o:lock v:ext="edit" aspectratio="f"/>
                    </v:line>
                  </w:pict>
                </mc:Fallback>
              </mc:AlternateContent>
            </w:r>
          </w:p>
          <w:p>
            <w:pPr>
              <w:pStyle w:val="26"/>
              <w:keepNext w:val="0"/>
              <w:keepLines w:val="0"/>
              <w:pageBreakBefore w:val="0"/>
              <w:widowControl w:val="0"/>
              <w:kinsoku/>
              <w:wordWrap/>
              <w:overflowPunct/>
              <w:topLinePunct w:val="0"/>
              <w:autoSpaceDE/>
              <w:autoSpaceDN/>
              <w:bidi w:val="0"/>
              <w:adjustRightInd/>
              <w:snapToGrid/>
              <w:spacing w:after="0"/>
              <w:jc w:val="both"/>
              <w:textAlignment w:val="auto"/>
              <w:rPr>
                <w:rFonts w:hint="default" w:ascii="Times New Roman" w:hAnsi="Times New Roman" w:eastAsia="宋体" w:cs="Times New Roman"/>
                <w:b/>
                <w:sz w:val="21"/>
                <w:szCs w:val="21"/>
                <w:vertAlign w:val="baseline"/>
                <w:lang w:val="en-US"/>
              </w:rPr>
            </w:pPr>
            <w:r>
              <w:rPr>
                <w:rFonts w:hint="eastAsia" w:ascii="Times New Roman" w:hAnsi="Times New Roman" w:cs="Times New Roman"/>
                <w:b/>
                <w:sz w:val="18"/>
                <w:szCs w:val="18"/>
                <w:vertAlign w:val="baseline"/>
                <w:lang w:val="en-US" w:eastAsia="zh-CN"/>
              </w:rPr>
              <w:t xml:space="preserve">敏感程度         </w:t>
            </w:r>
          </w:p>
        </w:tc>
        <w:tc>
          <w:tcPr>
            <w:tcW w:w="1331" w:type="pct"/>
            <w:gridSpan w:val="3"/>
            <w:tcBorders>
              <w:top w:val="single" w:color="auto"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b/>
                <w:w w:val="80"/>
                <w:sz w:val="21"/>
                <w:szCs w:val="21"/>
              </w:rPr>
              <w:t>Ⅰ</w:t>
            </w:r>
            <w:r>
              <w:rPr>
                <w:rFonts w:hint="default" w:ascii="Times New Roman" w:hAnsi="Times New Roman" w:eastAsia="宋体" w:cs="Times New Roman"/>
                <w:b/>
                <w:w w:val="90"/>
                <w:sz w:val="21"/>
                <w:szCs w:val="21"/>
              </w:rPr>
              <w:t>类</w:t>
            </w:r>
          </w:p>
        </w:tc>
        <w:tc>
          <w:tcPr>
            <w:tcW w:w="1386" w:type="pct"/>
            <w:gridSpan w:val="3"/>
            <w:tcBorders>
              <w:top w:val="single" w:color="auto"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b/>
                <w:sz w:val="21"/>
                <w:szCs w:val="21"/>
              </w:rPr>
              <w:t>Ⅱ类</w:t>
            </w:r>
          </w:p>
        </w:tc>
        <w:tc>
          <w:tcPr>
            <w:tcW w:w="1305" w:type="pct"/>
            <w:gridSpan w:val="3"/>
            <w:tcBorders>
              <w:top w:val="single" w:color="auto" w:sz="12" w:space="0"/>
              <w:right w:val="nil"/>
            </w:tcBorders>
            <w:shd w:val="clear" w:color="auto" w:fill="BEBEBE" w:themeFill="background1" w:themeFillShade="BF"/>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w w:val="120"/>
                <w:sz w:val="21"/>
                <w:szCs w:val="21"/>
              </w:rPr>
            </w:pPr>
            <w:r>
              <w:rPr>
                <w:rFonts w:hint="default" w:ascii="Times New Roman" w:hAnsi="Times New Roman" w:eastAsia="宋体" w:cs="Times New Roman"/>
                <w:b/>
                <w:w w:val="130"/>
                <w:sz w:val="21"/>
                <w:szCs w:val="21"/>
              </w:rPr>
              <w:t>Ⅲ</w:t>
            </w:r>
            <w:r>
              <w:rPr>
                <w:rFonts w:hint="default" w:ascii="Times New Roman" w:hAnsi="Times New Roman" w:eastAsia="宋体" w:cs="Times New Roman"/>
                <w:b/>
                <w:w w:val="120"/>
                <w:sz w:val="21"/>
                <w:szCs w:val="21"/>
              </w:rPr>
              <w:t>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6" w:type="pct"/>
            <w:vMerge w:val="continue"/>
            <w:tcBorders>
              <w:left w:val="nil"/>
              <w:bottom w:val="single" w:color="auto" w:sz="12" w:space="0"/>
            </w:tcBorders>
          </w:tcPr>
          <w:p>
            <w:pPr>
              <w:pStyle w:val="26"/>
              <w:keepNext w:val="0"/>
              <w:keepLines w:val="0"/>
              <w:pageBreakBefore w:val="0"/>
              <w:widowControl w:val="0"/>
              <w:kinsoku/>
              <w:wordWrap/>
              <w:overflowPunct/>
              <w:topLinePunct w:val="0"/>
              <w:autoSpaceDE/>
              <w:autoSpaceDN/>
              <w:bidi w:val="0"/>
              <w:adjustRightInd/>
              <w:snapToGrid/>
              <w:spacing w:after="0"/>
              <w:jc w:val="center"/>
              <w:textAlignment w:val="auto"/>
              <w:rPr>
                <w:rFonts w:hint="default" w:ascii="Times New Roman" w:hAnsi="Times New Roman" w:eastAsia="宋体" w:cs="Times New Roman"/>
                <w:b/>
                <w:sz w:val="21"/>
                <w:szCs w:val="21"/>
                <w:vertAlign w:val="baseline"/>
              </w:rPr>
            </w:pPr>
          </w:p>
        </w:tc>
        <w:tc>
          <w:tcPr>
            <w:tcW w:w="445" w:type="pct"/>
            <w:tcBorders>
              <w:bottom w:val="single" w:color="auto"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b/>
                <w:w w:val="100"/>
                <w:sz w:val="21"/>
                <w:szCs w:val="21"/>
              </w:rPr>
              <w:t>大</w:t>
            </w:r>
          </w:p>
        </w:tc>
        <w:tc>
          <w:tcPr>
            <w:tcW w:w="420" w:type="pct"/>
            <w:tcBorders>
              <w:bottom w:val="single" w:color="auto"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b/>
                <w:w w:val="100"/>
                <w:sz w:val="21"/>
                <w:szCs w:val="21"/>
              </w:rPr>
              <w:t>中</w:t>
            </w:r>
          </w:p>
        </w:tc>
        <w:tc>
          <w:tcPr>
            <w:tcW w:w="465" w:type="pct"/>
            <w:tcBorders>
              <w:bottom w:val="single" w:color="auto"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b/>
                <w:w w:val="100"/>
                <w:sz w:val="21"/>
                <w:szCs w:val="21"/>
              </w:rPr>
              <w:t>小</w:t>
            </w:r>
          </w:p>
        </w:tc>
        <w:tc>
          <w:tcPr>
            <w:tcW w:w="454" w:type="pct"/>
            <w:tcBorders>
              <w:bottom w:val="single" w:color="auto"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b/>
                <w:w w:val="100"/>
                <w:sz w:val="21"/>
                <w:szCs w:val="21"/>
              </w:rPr>
              <w:t>大</w:t>
            </w:r>
          </w:p>
        </w:tc>
        <w:tc>
          <w:tcPr>
            <w:tcW w:w="482" w:type="pct"/>
            <w:tcBorders>
              <w:bottom w:val="single" w:color="auto"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b/>
                <w:w w:val="100"/>
                <w:sz w:val="21"/>
                <w:szCs w:val="21"/>
              </w:rPr>
              <w:t>中</w:t>
            </w:r>
          </w:p>
        </w:tc>
        <w:tc>
          <w:tcPr>
            <w:tcW w:w="450" w:type="pct"/>
            <w:tcBorders>
              <w:bottom w:val="single" w:color="auto"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b/>
                <w:w w:val="100"/>
                <w:sz w:val="21"/>
                <w:szCs w:val="21"/>
              </w:rPr>
              <w:t>小</w:t>
            </w:r>
          </w:p>
        </w:tc>
        <w:tc>
          <w:tcPr>
            <w:tcW w:w="417" w:type="pct"/>
            <w:tcBorders>
              <w:bottom w:val="single" w:color="auto"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b/>
                <w:w w:val="100"/>
                <w:sz w:val="21"/>
                <w:szCs w:val="21"/>
              </w:rPr>
              <w:t>大</w:t>
            </w:r>
          </w:p>
        </w:tc>
        <w:tc>
          <w:tcPr>
            <w:tcW w:w="455" w:type="pct"/>
            <w:tcBorders>
              <w:bottom w:val="single" w:color="auto" w:sz="12" w:space="0"/>
            </w:tcBorders>
            <w:shd w:val="clear" w:color="auto" w:fill="BEBEBE" w:themeFill="background1" w:themeFillShade="BF"/>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b/>
                <w:w w:val="100"/>
                <w:sz w:val="21"/>
                <w:szCs w:val="21"/>
              </w:rPr>
              <w:t>中</w:t>
            </w:r>
          </w:p>
        </w:tc>
        <w:tc>
          <w:tcPr>
            <w:tcW w:w="432" w:type="pct"/>
            <w:tcBorders>
              <w:bottom w:val="single" w:color="auto" w:sz="12" w:space="0"/>
              <w:right w:val="nil"/>
            </w:tcBorders>
            <w:shd w:val="clear" w:color="auto" w:fill="auto"/>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b/>
                <w:w w:val="100"/>
                <w:sz w:val="21"/>
                <w:szCs w:val="21"/>
              </w:rPr>
              <w:t>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6" w:type="pct"/>
            <w:tcBorders>
              <w:top w:val="single" w:color="auto" w:sz="12" w:space="0"/>
              <w:left w:val="nil"/>
            </w:tcBorders>
            <w:shd w:val="clear" w:color="auto" w:fill="BEBEBE" w:themeFill="background1" w:themeFillShade="BF"/>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b/>
                <w:sz w:val="21"/>
                <w:szCs w:val="21"/>
              </w:rPr>
              <w:t>敏感</w:t>
            </w:r>
          </w:p>
        </w:tc>
        <w:tc>
          <w:tcPr>
            <w:tcW w:w="445" w:type="pct"/>
            <w:tcBorders>
              <w:top w:val="single" w:color="auto" w:sz="12" w:space="0"/>
            </w:tcBorders>
            <w:shd w:val="clear" w:color="auto" w:fill="BEBEBE" w:themeFill="background1" w:themeFillShade="BF"/>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一级</w:t>
            </w:r>
          </w:p>
        </w:tc>
        <w:tc>
          <w:tcPr>
            <w:tcW w:w="420" w:type="pct"/>
            <w:tcBorders>
              <w:top w:val="single" w:color="auto" w:sz="12" w:space="0"/>
            </w:tcBorders>
            <w:shd w:val="clear" w:color="auto" w:fill="BEBEBE" w:themeFill="background1" w:themeFillShade="BF"/>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一级</w:t>
            </w:r>
          </w:p>
        </w:tc>
        <w:tc>
          <w:tcPr>
            <w:tcW w:w="465" w:type="pct"/>
            <w:tcBorders>
              <w:top w:val="single" w:color="auto" w:sz="12" w:space="0"/>
            </w:tcBorders>
            <w:shd w:val="clear" w:color="auto" w:fill="BEBEBE" w:themeFill="background1" w:themeFillShade="BF"/>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一级</w:t>
            </w:r>
          </w:p>
        </w:tc>
        <w:tc>
          <w:tcPr>
            <w:tcW w:w="454" w:type="pct"/>
            <w:tcBorders>
              <w:top w:val="single" w:color="auto" w:sz="12" w:space="0"/>
            </w:tcBorders>
            <w:shd w:val="clear" w:color="auto" w:fill="BEBEBE" w:themeFill="background1" w:themeFillShade="BF"/>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二级</w:t>
            </w:r>
          </w:p>
        </w:tc>
        <w:tc>
          <w:tcPr>
            <w:tcW w:w="482" w:type="pct"/>
            <w:tcBorders>
              <w:top w:val="single" w:color="auto" w:sz="12" w:space="0"/>
            </w:tcBorders>
            <w:shd w:val="clear" w:color="auto" w:fill="BEBEBE" w:themeFill="background1" w:themeFillShade="BF"/>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二级</w:t>
            </w:r>
          </w:p>
        </w:tc>
        <w:tc>
          <w:tcPr>
            <w:tcW w:w="450" w:type="pct"/>
            <w:tcBorders>
              <w:top w:val="single" w:color="auto" w:sz="12" w:space="0"/>
            </w:tcBorders>
            <w:shd w:val="clear" w:color="auto" w:fill="BEBEBE" w:themeFill="background1" w:themeFillShade="BF"/>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二级</w:t>
            </w:r>
          </w:p>
        </w:tc>
        <w:tc>
          <w:tcPr>
            <w:tcW w:w="417" w:type="pct"/>
            <w:tcBorders>
              <w:top w:val="single" w:color="auto" w:sz="12" w:space="0"/>
            </w:tcBorders>
            <w:shd w:val="clear" w:color="auto" w:fill="BEBEBE" w:themeFill="background1" w:themeFillShade="BF"/>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三级</w:t>
            </w:r>
          </w:p>
        </w:tc>
        <w:tc>
          <w:tcPr>
            <w:tcW w:w="455" w:type="pct"/>
            <w:tcBorders>
              <w:top w:val="single" w:color="auto" w:sz="12" w:space="0"/>
            </w:tcBorders>
            <w:shd w:val="clear" w:color="auto" w:fill="BEBEBE" w:themeFill="background1" w:themeFillShade="BF"/>
          </w:tcPr>
          <w:p>
            <w:pPr>
              <w:pStyle w:val="26"/>
              <w:keepNext w:val="0"/>
              <w:keepLines w:val="0"/>
              <w:pageBreakBefore w:val="0"/>
              <w:widowControl w:val="0"/>
              <w:kinsoku/>
              <w:wordWrap/>
              <w:overflowPunct/>
              <w:topLinePunct w:val="0"/>
              <w:autoSpaceDE/>
              <w:autoSpaceDN/>
              <w:bidi w:val="0"/>
              <w:adjustRightInd/>
              <w:snapToGrid/>
              <w:spacing w:after="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三级</w:t>
            </w:r>
          </w:p>
        </w:tc>
        <w:tc>
          <w:tcPr>
            <w:tcW w:w="432" w:type="pct"/>
            <w:tcBorders>
              <w:top w:val="single" w:color="auto" w:sz="12" w:space="0"/>
              <w:right w:val="nil"/>
            </w:tcBorders>
            <w:shd w:val="clear" w:color="auto" w:fill="auto"/>
          </w:tcPr>
          <w:p>
            <w:pPr>
              <w:pStyle w:val="26"/>
              <w:keepNext w:val="0"/>
              <w:keepLines w:val="0"/>
              <w:pageBreakBefore w:val="0"/>
              <w:widowControl w:val="0"/>
              <w:kinsoku/>
              <w:wordWrap/>
              <w:overflowPunct/>
              <w:topLinePunct w:val="0"/>
              <w:autoSpaceDE/>
              <w:autoSpaceDN/>
              <w:bidi w:val="0"/>
              <w:adjustRightInd/>
              <w:snapToGrid/>
              <w:spacing w:after="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三级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6" w:type="pct"/>
            <w:tcBorders>
              <w:left w:val="nil"/>
            </w:tcBorders>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b/>
                <w:sz w:val="21"/>
                <w:szCs w:val="21"/>
              </w:rPr>
              <w:t>较敏感</w:t>
            </w:r>
          </w:p>
        </w:tc>
        <w:tc>
          <w:tcPr>
            <w:tcW w:w="445" w:type="pct"/>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一级</w:t>
            </w:r>
          </w:p>
        </w:tc>
        <w:tc>
          <w:tcPr>
            <w:tcW w:w="420" w:type="pct"/>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一级</w:t>
            </w:r>
          </w:p>
        </w:tc>
        <w:tc>
          <w:tcPr>
            <w:tcW w:w="465" w:type="pct"/>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一级</w:t>
            </w:r>
          </w:p>
        </w:tc>
        <w:tc>
          <w:tcPr>
            <w:tcW w:w="454" w:type="pct"/>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二级</w:t>
            </w:r>
          </w:p>
        </w:tc>
        <w:tc>
          <w:tcPr>
            <w:tcW w:w="482" w:type="pct"/>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二级</w:t>
            </w:r>
          </w:p>
        </w:tc>
        <w:tc>
          <w:tcPr>
            <w:tcW w:w="450" w:type="pct"/>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三级</w:t>
            </w:r>
          </w:p>
        </w:tc>
        <w:tc>
          <w:tcPr>
            <w:tcW w:w="417" w:type="pct"/>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三级</w:t>
            </w:r>
          </w:p>
        </w:tc>
        <w:tc>
          <w:tcPr>
            <w:tcW w:w="455" w:type="pct"/>
          </w:tcPr>
          <w:p>
            <w:pPr>
              <w:pStyle w:val="26"/>
              <w:keepNext w:val="0"/>
              <w:keepLines w:val="0"/>
              <w:pageBreakBefore w:val="0"/>
              <w:widowControl w:val="0"/>
              <w:kinsoku/>
              <w:wordWrap/>
              <w:overflowPunct/>
              <w:topLinePunct w:val="0"/>
              <w:autoSpaceDE/>
              <w:autoSpaceDN/>
              <w:bidi w:val="0"/>
              <w:adjustRightInd/>
              <w:snapToGrid/>
              <w:spacing w:after="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三级</w:t>
            </w:r>
          </w:p>
        </w:tc>
        <w:tc>
          <w:tcPr>
            <w:tcW w:w="432" w:type="pct"/>
            <w:tcBorders>
              <w:right w:val="nil"/>
            </w:tcBorders>
          </w:tcPr>
          <w:p>
            <w:pPr>
              <w:pStyle w:val="26"/>
              <w:keepNext w:val="0"/>
              <w:keepLines w:val="0"/>
              <w:pageBreakBefore w:val="0"/>
              <w:widowControl w:val="0"/>
              <w:kinsoku/>
              <w:wordWrap/>
              <w:overflowPunct/>
              <w:topLinePunct w:val="0"/>
              <w:autoSpaceDE/>
              <w:autoSpaceDN/>
              <w:bidi w:val="0"/>
              <w:adjustRightInd/>
              <w:snapToGrid/>
              <w:spacing w:after="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w w:val="10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6" w:type="pct"/>
            <w:tcBorders>
              <w:left w:val="nil"/>
            </w:tcBorders>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b/>
                <w:sz w:val="21"/>
                <w:szCs w:val="21"/>
              </w:rPr>
              <w:t>不敏感</w:t>
            </w:r>
          </w:p>
        </w:tc>
        <w:tc>
          <w:tcPr>
            <w:tcW w:w="445" w:type="pct"/>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一级</w:t>
            </w:r>
          </w:p>
        </w:tc>
        <w:tc>
          <w:tcPr>
            <w:tcW w:w="420" w:type="pct"/>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一级</w:t>
            </w:r>
          </w:p>
        </w:tc>
        <w:tc>
          <w:tcPr>
            <w:tcW w:w="465" w:type="pct"/>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一级</w:t>
            </w:r>
          </w:p>
        </w:tc>
        <w:tc>
          <w:tcPr>
            <w:tcW w:w="454" w:type="pct"/>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二级</w:t>
            </w:r>
          </w:p>
        </w:tc>
        <w:tc>
          <w:tcPr>
            <w:tcW w:w="482" w:type="pct"/>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三级</w:t>
            </w:r>
          </w:p>
        </w:tc>
        <w:tc>
          <w:tcPr>
            <w:tcW w:w="450" w:type="pct"/>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三级</w:t>
            </w:r>
          </w:p>
        </w:tc>
        <w:tc>
          <w:tcPr>
            <w:tcW w:w="417" w:type="pct"/>
            <w:vAlign w:val="top"/>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sz w:val="21"/>
                <w:szCs w:val="21"/>
              </w:rPr>
              <w:t>三级</w:t>
            </w:r>
          </w:p>
        </w:tc>
        <w:tc>
          <w:tcPr>
            <w:tcW w:w="455" w:type="pct"/>
          </w:tcPr>
          <w:p>
            <w:pPr>
              <w:pStyle w:val="26"/>
              <w:keepNext w:val="0"/>
              <w:keepLines w:val="0"/>
              <w:pageBreakBefore w:val="0"/>
              <w:widowControl w:val="0"/>
              <w:kinsoku/>
              <w:wordWrap/>
              <w:overflowPunct/>
              <w:topLinePunct w:val="0"/>
              <w:autoSpaceDE/>
              <w:autoSpaceDN/>
              <w:bidi w:val="0"/>
              <w:adjustRightInd/>
              <w:snapToGrid/>
              <w:spacing w:after="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w w:val="100"/>
                <w:sz w:val="21"/>
                <w:szCs w:val="21"/>
              </w:rPr>
              <w:t>--</w:t>
            </w:r>
          </w:p>
        </w:tc>
        <w:tc>
          <w:tcPr>
            <w:tcW w:w="432" w:type="pct"/>
            <w:tcBorders>
              <w:right w:val="nil"/>
            </w:tcBorders>
          </w:tcPr>
          <w:p>
            <w:pPr>
              <w:pStyle w:val="26"/>
              <w:keepNext w:val="0"/>
              <w:keepLines w:val="0"/>
              <w:pageBreakBefore w:val="0"/>
              <w:widowControl w:val="0"/>
              <w:kinsoku/>
              <w:wordWrap/>
              <w:overflowPunct/>
              <w:topLinePunct w:val="0"/>
              <w:autoSpaceDE/>
              <w:autoSpaceDN/>
              <w:bidi w:val="0"/>
              <w:adjustRightInd/>
              <w:snapToGrid/>
              <w:spacing w:after="0"/>
              <w:jc w:val="center"/>
              <w:textAlignment w:val="auto"/>
              <w:rPr>
                <w:rFonts w:hint="default" w:ascii="Times New Roman" w:hAnsi="Times New Roman" w:eastAsia="宋体" w:cs="Times New Roman"/>
                <w:b/>
                <w:sz w:val="21"/>
                <w:szCs w:val="21"/>
                <w:vertAlign w:val="baseline"/>
              </w:rPr>
            </w:pPr>
            <w:r>
              <w:rPr>
                <w:rFonts w:hint="default" w:ascii="Times New Roman" w:hAnsi="Times New Roman" w:eastAsia="宋体" w:cs="Times New Roman"/>
                <w:w w:val="10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10"/>
            <w:tcBorders>
              <w:left w:val="nil"/>
              <w:bottom w:val="single" w:color="auto" w:sz="12" w:space="0"/>
              <w:right w:val="nil"/>
            </w:tcBorders>
            <w:vAlign w:val="top"/>
          </w:tcPr>
          <w:p>
            <w:pPr>
              <w:pStyle w:val="26"/>
              <w:keepNext w:val="0"/>
              <w:keepLines w:val="0"/>
              <w:pageBreakBefore w:val="0"/>
              <w:widowControl w:val="0"/>
              <w:kinsoku/>
              <w:wordWrap/>
              <w:overflowPunct/>
              <w:topLinePunct w:val="0"/>
              <w:autoSpaceDE/>
              <w:autoSpaceDN/>
              <w:bidi w:val="0"/>
              <w:adjustRightInd/>
              <w:snapToGrid/>
              <w:spacing w:after="0"/>
              <w:jc w:val="both"/>
              <w:textAlignment w:val="auto"/>
              <w:rPr>
                <w:rFonts w:hint="default" w:ascii="Times New Roman" w:hAnsi="Times New Roman" w:eastAsia="宋体" w:cs="Times New Roman"/>
                <w:w w:val="100"/>
                <w:sz w:val="21"/>
                <w:szCs w:val="21"/>
              </w:rPr>
            </w:pPr>
            <w:r>
              <w:rPr>
                <w:rFonts w:hint="default" w:ascii="Times New Roman" w:hAnsi="Times New Roman" w:eastAsia="宋体" w:cs="Times New Roman"/>
                <w:sz w:val="21"/>
                <w:szCs w:val="21"/>
              </w:rPr>
              <w:t>注：“</w:t>
            </w:r>
            <w:r>
              <w:rPr>
                <w:rFonts w:hint="default" w:ascii="Times New Roman" w:hAnsi="Times New Roman" w:eastAsia="宋体" w:cs="Times New Roman"/>
                <w:w w:val="100"/>
                <w:sz w:val="21"/>
                <w:szCs w:val="21"/>
              </w:rPr>
              <w:t>--</w:t>
            </w:r>
            <w:r>
              <w:rPr>
                <w:rFonts w:hint="default" w:ascii="Times New Roman" w:hAnsi="Times New Roman" w:eastAsia="宋体" w:cs="Times New Roman"/>
                <w:sz w:val="21"/>
                <w:szCs w:val="21"/>
              </w:rPr>
              <w:t>”表示可不开展土壤环境影响评价工作。</w:t>
            </w:r>
          </w:p>
        </w:tc>
      </w:tr>
    </w:tbl>
    <w:p>
      <w:pPr>
        <w:pStyle w:val="5"/>
        <w:ind w:firstLine="562"/>
      </w:pPr>
      <w:r>
        <w:t>生态环境评价工作等级</w:t>
      </w:r>
    </w:p>
    <w:p>
      <w:pPr>
        <w:keepNext w:val="0"/>
        <w:keepLines w:val="0"/>
        <w:pageBreakBefore w:val="0"/>
        <w:widowControl w:val="0"/>
        <w:kinsoku/>
        <w:wordWrap/>
        <w:overflowPunct/>
        <w:topLinePunct w:val="0"/>
        <w:bidi w:val="0"/>
        <w:adjustRightInd/>
        <w:snapToGrid/>
        <w:spacing w:line="360" w:lineRule="auto"/>
        <w:ind w:left="0" w:right="0" w:firstLine="480" w:firstLineChars="200"/>
        <w:jc w:val="left"/>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本项目总占地面积</w:t>
      </w:r>
      <w:r>
        <w:rPr>
          <w:rFonts w:hint="default" w:ascii="Times New Roman" w:hAnsi="Times New Roman" w:eastAsia="宋体" w:cs="Times New Roman"/>
          <w:color w:val="auto"/>
          <w:sz w:val="24"/>
          <w:szCs w:val="24"/>
        </w:rPr>
        <w:t>为</w:t>
      </w:r>
      <w:r>
        <w:rPr>
          <w:rFonts w:hint="eastAsia" w:cs="Times New Roman"/>
          <w:color w:val="auto"/>
          <w:sz w:val="24"/>
          <w:szCs w:val="24"/>
          <w:lang w:val="en-US" w:eastAsia="zh-CN"/>
        </w:rPr>
        <w:t>7.1h</w:t>
      </w:r>
      <w:r>
        <w:rPr>
          <w:rFonts w:hint="default" w:ascii="Times New Roman" w:hAnsi="Times New Roman" w:eastAsia="宋体" w:cs="Times New Roman"/>
          <w:color w:val="auto"/>
          <w:sz w:val="24"/>
          <w:szCs w:val="24"/>
        </w:rPr>
        <w:t>m</w:t>
      </w:r>
      <w:r>
        <w:rPr>
          <w:rFonts w:hint="default" w:ascii="Times New Roman" w:hAnsi="Times New Roman" w:eastAsia="宋体" w:cs="Times New Roman"/>
          <w:color w:val="auto"/>
          <w:sz w:val="24"/>
          <w:szCs w:val="24"/>
          <w:vertAlign w:val="superscript"/>
        </w:rPr>
        <w:t>2</w:t>
      </w:r>
      <w:r>
        <w:rPr>
          <w:rFonts w:hint="default" w:ascii="Times New Roman" w:hAnsi="Times New Roman" w:eastAsia="宋体" w:cs="Times New Roman"/>
          <w:color w:val="auto"/>
          <w:sz w:val="24"/>
          <w:szCs w:val="24"/>
        </w:rPr>
        <w:t>（</w:t>
      </w:r>
      <w:r>
        <w:rPr>
          <w:rFonts w:hint="eastAsia"/>
          <w:color w:val="auto"/>
          <w:sz w:val="24"/>
          <w:szCs w:val="24"/>
          <w:lang w:val="en-US" w:eastAsia="zh-CN"/>
        </w:rPr>
        <w:t>2</w:t>
      </w:r>
      <w:r>
        <w:rPr>
          <w:color w:val="auto"/>
          <w:sz w:val="24"/>
          <w:szCs w:val="24"/>
        </w:rPr>
        <w:t>hm</w:t>
      </w:r>
      <w:r>
        <w:rPr>
          <w:color w:val="auto"/>
          <w:sz w:val="24"/>
          <w:szCs w:val="24"/>
          <w:vertAlign w:val="superscript"/>
        </w:rPr>
        <w:t>2</w:t>
      </w:r>
      <w:r>
        <w:rPr>
          <w:rFonts w:hint="eastAsia"/>
          <w:color w:val="auto"/>
          <w:sz w:val="24"/>
          <w:szCs w:val="24"/>
          <w:lang w:eastAsia="zh-CN"/>
        </w:rPr>
        <w:t>≤</w:t>
      </w:r>
      <w:r>
        <w:rPr>
          <w:rFonts w:hint="eastAsia"/>
          <w:color w:val="auto"/>
          <w:sz w:val="24"/>
          <w:szCs w:val="24"/>
          <w:lang w:val="en-US" w:eastAsia="zh-CN"/>
        </w:rPr>
        <w:t>7.1h</w:t>
      </w:r>
      <w:r>
        <w:rPr>
          <w:color w:val="auto"/>
          <w:sz w:val="24"/>
          <w:szCs w:val="24"/>
        </w:rPr>
        <w:t>m</w:t>
      </w:r>
      <w:r>
        <w:rPr>
          <w:color w:val="auto"/>
          <w:sz w:val="24"/>
          <w:szCs w:val="24"/>
          <w:vertAlign w:val="superscript"/>
        </w:rPr>
        <w:t>2</w:t>
      </w:r>
      <w:r>
        <w:rPr>
          <w:rFonts w:hint="eastAsia"/>
          <w:color w:val="auto"/>
          <w:sz w:val="24"/>
          <w:szCs w:val="24"/>
          <w:lang w:eastAsia="zh-CN"/>
        </w:rPr>
        <w:t>≤</w:t>
      </w:r>
      <w:r>
        <w:rPr>
          <w:rFonts w:hint="eastAsia"/>
          <w:color w:val="auto"/>
          <w:sz w:val="24"/>
          <w:szCs w:val="24"/>
          <w:lang w:val="en-US" w:eastAsia="zh-CN"/>
        </w:rPr>
        <w:t>20</w:t>
      </w:r>
      <w:r>
        <w:rPr>
          <w:color w:val="auto"/>
          <w:sz w:val="24"/>
          <w:szCs w:val="24"/>
        </w:rPr>
        <w:t>hm</w:t>
      </w:r>
      <w:r>
        <w:rPr>
          <w:color w:val="auto"/>
          <w:sz w:val="24"/>
          <w:szCs w:val="24"/>
          <w:vertAlign w:val="superscript"/>
        </w:rPr>
        <w:t>2</w:t>
      </w:r>
      <w:r>
        <w:rPr>
          <w:rFonts w:hint="default" w:ascii="Times New Roman" w:hAnsi="Times New Roman" w:eastAsia="宋体" w:cs="Times New Roman"/>
          <w:color w:val="FF0000"/>
          <w:sz w:val="24"/>
          <w:szCs w:val="24"/>
        </w:rPr>
        <w:t>）</w:t>
      </w:r>
      <w:r>
        <w:rPr>
          <w:rFonts w:hint="default" w:ascii="Times New Roman" w:hAnsi="Times New Roman" w:eastAsia="宋体" w:cs="Times New Roman"/>
          <w:sz w:val="24"/>
          <w:szCs w:val="24"/>
        </w:rPr>
        <w:t xml:space="preserve">，项目所在区域不含自然保护区等敏感区域，为一般区域，根据《环境影响评价技术导则 </w:t>
      </w:r>
      <w:r>
        <w:rPr>
          <w:rFonts w:hint="eastAsia" w:ascii="Times New Roman" w:hAnsi="Times New Roman" w:cs="Times New Roman"/>
          <w:sz w:val="24"/>
          <w:szCs w:val="24"/>
          <w:lang w:val="en-US" w:eastAsia="zh-CN"/>
        </w:rPr>
        <w:t xml:space="preserve">  </w:t>
      </w:r>
      <w:r>
        <w:rPr>
          <w:rFonts w:hint="default" w:ascii="Times New Roman" w:hAnsi="Times New Roman" w:eastAsia="宋体" w:cs="Times New Roman"/>
          <w:sz w:val="24"/>
          <w:szCs w:val="24"/>
        </w:rPr>
        <w:t>生态影响》（HJ19-2011）中等级确定原则，生态环境影响评价工作等级定为三级，判定依据见下表。</w:t>
      </w:r>
    </w:p>
    <w:p>
      <w:pPr>
        <w:keepNext w:val="0"/>
        <w:keepLines w:val="0"/>
        <w:pageBreakBefore w:val="0"/>
        <w:widowControl w:val="0"/>
        <w:tabs>
          <w:tab w:val="left" w:pos="1522"/>
        </w:tabs>
        <w:kinsoku/>
        <w:wordWrap/>
        <w:overflowPunct/>
        <w:topLinePunct w:val="0"/>
        <w:autoSpaceDE/>
        <w:autoSpaceDN/>
        <w:bidi w:val="0"/>
        <w:adjustRightInd/>
        <w:snapToGrid/>
        <w:ind w:left="0" w:right="0" w:firstLine="0"/>
        <w:jc w:val="center"/>
        <w:textAlignment w:val="auto"/>
        <w:rPr>
          <w:rFonts w:hint="eastAsia" w:ascii="Times New Roman" w:hAnsi="Times New Roman" w:cs="Times New Roman"/>
          <w:b/>
          <w:sz w:val="21"/>
          <w:szCs w:val="21"/>
          <w:lang w:eastAsia="zh-CN"/>
        </w:rPr>
      </w:pPr>
      <w:r>
        <w:rPr>
          <w:rFonts w:hint="eastAsia" w:ascii="Times New Roman" w:hAnsi="Times New Roman" w:cs="Times New Roman"/>
          <w:b/>
          <w:sz w:val="21"/>
          <w:szCs w:val="21"/>
          <w:lang w:eastAsia="zh-CN"/>
        </w:rPr>
        <w:t>表2.5-1</w:t>
      </w:r>
      <w:r>
        <w:rPr>
          <w:rFonts w:hint="eastAsia" w:cs="Times New Roman"/>
          <w:b/>
          <w:sz w:val="21"/>
          <w:szCs w:val="21"/>
          <w:lang w:val="en-US" w:eastAsia="zh-CN"/>
        </w:rPr>
        <w:t>1</w:t>
      </w:r>
      <w:r>
        <w:rPr>
          <w:rFonts w:hint="eastAsia" w:ascii="Times New Roman" w:hAnsi="Times New Roman" w:cs="Times New Roman"/>
          <w:b/>
          <w:sz w:val="21"/>
          <w:szCs w:val="21"/>
          <w:lang w:val="en-US" w:eastAsia="zh-CN"/>
        </w:rPr>
        <w:t xml:space="preserve">  </w:t>
      </w:r>
      <w:r>
        <w:rPr>
          <w:rFonts w:hint="eastAsia" w:ascii="Times New Roman" w:hAnsi="Times New Roman" w:cs="Times New Roman"/>
          <w:b/>
          <w:sz w:val="21"/>
          <w:szCs w:val="21"/>
          <w:lang w:eastAsia="zh-CN"/>
        </w:rPr>
        <w:t xml:space="preserve">  生态环境评价等级判定一览表</w:t>
      </w:r>
    </w:p>
    <w:tbl>
      <w:tblPr>
        <w:tblStyle w:val="63"/>
        <w:tblW w:w="4999" w:type="pct"/>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1627"/>
        <w:gridCol w:w="1947"/>
        <w:gridCol w:w="2801"/>
        <w:gridCol w:w="1929"/>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39" w:hRule="atLeast"/>
        </w:trPr>
        <w:tc>
          <w:tcPr>
            <w:tcW w:w="980" w:type="pct"/>
            <w:vMerge w:val="restart"/>
            <w:tcBorders>
              <w:left w:val="nil"/>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影响区域生态敏感性</w:t>
            </w:r>
          </w:p>
        </w:tc>
        <w:tc>
          <w:tcPr>
            <w:tcW w:w="4019" w:type="pct"/>
            <w:gridSpan w:val="3"/>
            <w:tcBorders>
              <w:left w:val="single" w:color="000000" w:sz="6"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工程占地（水域）范围</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13" w:hRule="atLeast"/>
        </w:trPr>
        <w:tc>
          <w:tcPr>
            <w:tcW w:w="980" w:type="pct"/>
            <w:vMerge w:val="continue"/>
            <w:tcBorders>
              <w:top w:val="single" w:color="000000" w:sz="4" w:space="0"/>
              <w:left w:val="nil"/>
              <w:bottom w:val="single" w:color="000000" w:sz="12" w:space="0"/>
              <w:right w:val="single" w:color="000000" w:sz="6"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p>
        </w:tc>
        <w:tc>
          <w:tcPr>
            <w:tcW w:w="1172" w:type="pct"/>
            <w:tcBorders>
              <w:top w:val="single" w:color="000000" w:sz="4" w:space="0"/>
              <w:left w:val="single" w:color="000000" w:sz="6" w:space="0"/>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面积≥20km</w:t>
            </w:r>
            <w:r>
              <w:rPr>
                <w:rFonts w:hint="eastAsia" w:ascii="Times New Roman" w:hAnsi="Times New Roman" w:cs="Times New Roman"/>
                <w:b w:val="0"/>
                <w:bCs/>
                <w:sz w:val="21"/>
                <w:szCs w:val="21"/>
                <w:vertAlign w:val="superscript"/>
                <w:lang w:val="en-US" w:eastAsia="zh-CN"/>
              </w:rPr>
              <w:t>2</w:t>
            </w:r>
            <w:r>
              <w:rPr>
                <w:rFonts w:hint="default" w:ascii="Times New Roman" w:hAnsi="Times New Roman" w:eastAsia="宋体" w:cs="Times New Roman"/>
                <w:b w:val="0"/>
                <w:bCs/>
                <w:sz w:val="21"/>
                <w:szCs w:val="21"/>
              </w:rPr>
              <w:t>或长度</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≤100km</w:t>
            </w:r>
          </w:p>
        </w:tc>
        <w:tc>
          <w:tcPr>
            <w:tcW w:w="1686" w:type="pct"/>
            <w:tcBorders>
              <w:top w:val="single" w:color="000000" w:sz="4" w:space="0"/>
              <w:left w:val="single" w:color="000000" w:sz="6" w:space="0"/>
              <w:bottom w:val="single" w:color="000000" w:sz="12" w:space="0"/>
              <w:right w:val="single" w:color="000000" w:sz="6" w:space="0"/>
            </w:tcBorders>
            <w:shd w:val="clear" w:color="auto" w:fill="BEBEBE" w:themeFill="background1" w:themeFillShade="BF"/>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面积 2km</w:t>
            </w:r>
            <w:r>
              <w:rPr>
                <w:rFonts w:hint="eastAsia" w:ascii="Times New Roman" w:hAnsi="Times New Roman" w:cs="Times New Roman"/>
                <w:b w:val="0"/>
                <w:bCs/>
                <w:sz w:val="21"/>
                <w:szCs w:val="21"/>
                <w:vertAlign w:val="superscript"/>
                <w:lang w:val="en-US" w:eastAsia="zh-CN"/>
              </w:rPr>
              <w:t>2</w:t>
            </w:r>
            <w:r>
              <w:rPr>
                <w:rFonts w:hint="default" w:ascii="Times New Roman" w:hAnsi="Times New Roman" w:eastAsia="宋体" w:cs="Times New Roman"/>
                <w:b w:val="0"/>
                <w:bCs/>
                <w:sz w:val="21"/>
                <w:szCs w:val="21"/>
              </w:rPr>
              <w:t>~20km</w:t>
            </w:r>
            <w:r>
              <w:rPr>
                <w:rFonts w:hint="eastAsia" w:ascii="Times New Roman" w:hAnsi="Times New Roman" w:cs="Times New Roman"/>
                <w:b w:val="0"/>
                <w:bCs/>
                <w:sz w:val="21"/>
                <w:szCs w:val="21"/>
                <w:vertAlign w:val="superscript"/>
                <w:lang w:val="en-US" w:eastAsia="zh-CN"/>
              </w:rPr>
              <w:t>2</w:t>
            </w:r>
            <w:r>
              <w:rPr>
                <w:rFonts w:hint="default" w:ascii="Times New Roman" w:hAnsi="Times New Roman" w:eastAsia="宋体" w:cs="Times New Roman"/>
                <w:b w:val="0"/>
                <w:bCs/>
                <w:position w:val="7"/>
                <w:sz w:val="21"/>
                <w:szCs w:val="21"/>
              </w:rPr>
              <w:t xml:space="preserve"> </w:t>
            </w:r>
            <w:r>
              <w:rPr>
                <w:rFonts w:hint="default" w:ascii="Times New Roman" w:hAnsi="Times New Roman" w:eastAsia="宋体" w:cs="Times New Roman"/>
                <w:b w:val="0"/>
                <w:bCs/>
                <w:sz w:val="21"/>
                <w:szCs w:val="21"/>
              </w:rPr>
              <w:t>或长度</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50km~100km</w:t>
            </w:r>
          </w:p>
        </w:tc>
        <w:tc>
          <w:tcPr>
            <w:tcW w:w="1160" w:type="pct"/>
            <w:tcBorders>
              <w:top w:val="single" w:color="000000" w:sz="4" w:space="0"/>
              <w:left w:val="single" w:color="000000" w:sz="6" w:space="0"/>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面积≤2km</w:t>
            </w:r>
            <w:r>
              <w:rPr>
                <w:rFonts w:hint="eastAsia" w:ascii="Times New Roman" w:hAnsi="Times New Roman" w:cs="Times New Roman"/>
                <w:b w:val="0"/>
                <w:bCs/>
                <w:sz w:val="21"/>
                <w:szCs w:val="21"/>
                <w:vertAlign w:val="superscript"/>
                <w:lang w:val="en-US" w:eastAsia="zh-CN"/>
              </w:rPr>
              <w:t>2</w:t>
            </w:r>
            <w:r>
              <w:rPr>
                <w:rFonts w:hint="default" w:ascii="Times New Roman" w:hAnsi="Times New Roman" w:eastAsia="宋体" w:cs="Times New Roman"/>
                <w:b w:val="0"/>
                <w:bCs/>
                <w:sz w:val="21"/>
                <w:szCs w:val="21"/>
              </w:rPr>
              <w:t>或长度</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≤50km</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980" w:type="pct"/>
            <w:tcBorders>
              <w:top w:val="single" w:color="000000" w:sz="12"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特殊生态敏感区</w:t>
            </w:r>
          </w:p>
        </w:tc>
        <w:tc>
          <w:tcPr>
            <w:tcW w:w="1172" w:type="pct"/>
            <w:tcBorders>
              <w:top w:val="single" w:color="000000" w:sz="12"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一级</w:t>
            </w:r>
          </w:p>
        </w:tc>
        <w:tc>
          <w:tcPr>
            <w:tcW w:w="1686" w:type="pct"/>
            <w:tcBorders>
              <w:top w:val="single" w:color="000000" w:sz="12" w:space="0"/>
              <w:left w:val="single" w:color="000000" w:sz="6" w:space="0"/>
              <w:bottom w:val="single" w:color="000000" w:sz="6" w:space="0"/>
              <w:right w:val="single" w:color="000000" w:sz="6" w:space="0"/>
            </w:tcBorders>
            <w:shd w:val="clear" w:color="auto" w:fill="BEBEBE" w:themeFill="background1" w:themeFillShade="BF"/>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一级</w:t>
            </w:r>
          </w:p>
        </w:tc>
        <w:tc>
          <w:tcPr>
            <w:tcW w:w="1160" w:type="pct"/>
            <w:tcBorders>
              <w:top w:val="single" w:color="000000" w:sz="12"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一级</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980" w:type="pct"/>
            <w:tcBorders>
              <w:top w:val="single" w:color="000000" w:sz="6"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重要生态敏感区</w:t>
            </w:r>
          </w:p>
        </w:tc>
        <w:tc>
          <w:tcPr>
            <w:tcW w:w="1172"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一级</w:t>
            </w:r>
          </w:p>
        </w:tc>
        <w:tc>
          <w:tcPr>
            <w:tcW w:w="1686" w:type="pct"/>
            <w:tcBorders>
              <w:top w:val="single" w:color="000000" w:sz="6" w:space="0"/>
              <w:left w:val="single" w:color="000000" w:sz="6" w:space="0"/>
              <w:bottom w:val="single" w:color="000000" w:sz="6" w:space="0"/>
              <w:right w:val="single" w:color="000000" w:sz="6" w:space="0"/>
            </w:tcBorders>
            <w:shd w:val="clear" w:color="auto" w:fill="BEBEBE" w:themeFill="background1" w:themeFillShade="BF"/>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二级</w:t>
            </w:r>
          </w:p>
        </w:tc>
        <w:tc>
          <w:tcPr>
            <w:tcW w:w="1160"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三级</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39" w:hRule="atLeast"/>
        </w:trPr>
        <w:tc>
          <w:tcPr>
            <w:tcW w:w="980" w:type="pct"/>
            <w:tcBorders>
              <w:top w:val="single" w:color="000000" w:sz="6" w:space="0"/>
              <w:left w:val="nil"/>
              <w:right w:val="single" w:color="000000" w:sz="6" w:space="0"/>
            </w:tcBorders>
            <w:shd w:val="clear" w:color="auto" w:fill="BEBEBE" w:themeFill="background1" w:themeFillShade="BF"/>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一般区域</w:t>
            </w:r>
          </w:p>
        </w:tc>
        <w:tc>
          <w:tcPr>
            <w:tcW w:w="1172" w:type="pct"/>
            <w:tcBorders>
              <w:top w:val="single" w:color="000000" w:sz="6" w:space="0"/>
              <w:left w:val="single" w:color="000000" w:sz="6" w:space="0"/>
              <w:right w:val="single" w:color="000000" w:sz="6" w:space="0"/>
            </w:tcBorders>
            <w:shd w:val="clear" w:color="auto" w:fill="BEBEBE" w:themeFill="background1" w:themeFillShade="BF"/>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二级</w:t>
            </w:r>
          </w:p>
        </w:tc>
        <w:tc>
          <w:tcPr>
            <w:tcW w:w="1686" w:type="pct"/>
            <w:tcBorders>
              <w:top w:val="single" w:color="000000" w:sz="6" w:space="0"/>
              <w:left w:val="single" w:color="000000" w:sz="6" w:space="0"/>
              <w:right w:val="single" w:color="000000" w:sz="6" w:space="0"/>
            </w:tcBorders>
            <w:shd w:val="clear" w:color="auto" w:fill="BEBEBE" w:themeFill="background1" w:themeFillShade="BF"/>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三级</w:t>
            </w:r>
          </w:p>
        </w:tc>
        <w:tc>
          <w:tcPr>
            <w:tcW w:w="1160" w:type="pct"/>
            <w:tcBorders>
              <w:top w:val="single" w:color="000000" w:sz="6" w:space="0"/>
              <w:left w:val="single" w:color="000000" w:sz="6" w:space="0"/>
              <w:right w:val="nil"/>
            </w:tcBorders>
            <w:shd w:val="clear" w:color="auto" w:fill="auto"/>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三级</w:t>
            </w:r>
          </w:p>
        </w:tc>
      </w:tr>
    </w:tbl>
    <w:p>
      <w:pPr>
        <w:pStyle w:val="5"/>
        <w:ind w:firstLine="562"/>
      </w:pPr>
      <w:r>
        <w:t>环境</w:t>
      </w:r>
      <w:r>
        <w:rPr>
          <w:rFonts w:hint="eastAsia"/>
          <w:lang w:eastAsia="zh-CN"/>
        </w:rPr>
        <w:t>风险</w:t>
      </w:r>
      <w:r>
        <w:t>评价工作等级</w:t>
      </w:r>
    </w:p>
    <w:p>
      <w:pPr>
        <w:pStyle w:val="9"/>
        <w:keepNext w:val="0"/>
        <w:keepLines w:val="0"/>
        <w:pageBreakBefore w:val="0"/>
        <w:widowControl w:val="0"/>
        <w:kinsoku/>
        <w:wordWrap/>
        <w:overflowPunct/>
        <w:topLinePunct w:val="0"/>
        <w:bidi w:val="0"/>
        <w:adjustRightInd/>
        <w:snapToGrid/>
        <w:spacing w:line="360" w:lineRule="auto"/>
        <w:ind w:left="0" w:leftChars="0" w:firstLine="481" w:firstLineChars="200"/>
        <w:jc w:val="left"/>
        <w:textAlignment w:val="auto"/>
        <w:rPr>
          <w:rFonts w:hint="default" w:ascii="Times New Roman" w:hAnsi="Times New Roman" w:eastAsia="宋体" w:cs="Times New Roman"/>
          <w:b/>
          <w:bCs/>
          <w:sz w:val="24"/>
          <w:szCs w:val="24"/>
        </w:rPr>
      </w:pPr>
      <w:r>
        <w:rPr>
          <w:rFonts w:hint="default" w:ascii="Times New Roman" w:hAnsi="Times New Roman" w:eastAsia="宋体" w:cs="Times New Roman"/>
          <w:b/>
          <w:bCs/>
          <w:sz w:val="24"/>
          <w:szCs w:val="24"/>
        </w:rPr>
        <w:t>（1）环境风险评价等级确定原则</w:t>
      </w:r>
    </w:p>
    <w:p>
      <w:pPr>
        <w:pStyle w:val="9"/>
        <w:keepNext w:val="0"/>
        <w:keepLines w:val="0"/>
        <w:pageBreakBefore w:val="0"/>
        <w:widowControl w:val="0"/>
        <w:kinsoku/>
        <w:wordWrap/>
        <w:overflowPunct/>
        <w:topLinePunct w:val="0"/>
        <w:bidi w:val="0"/>
        <w:adjustRightInd/>
        <w:snapToGrid/>
        <w:spacing w:line="360" w:lineRule="auto"/>
        <w:ind w:left="0" w:leftChars="0" w:firstLine="480" w:firstLineChars="200"/>
        <w:jc w:val="left"/>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根据《建设项目环境风险评价技术导则》（HJ169-2018）环境风险评价工作等级划分为一级、二级、三级，根据建设项目涉及的物质及工艺系统危险性和所在地的敏感性确定环境风险潜势，按下表确定评价工作等级。</w:t>
      </w:r>
    </w:p>
    <w:p>
      <w:pPr>
        <w:keepNext w:val="0"/>
        <w:keepLines w:val="0"/>
        <w:pageBreakBefore w:val="0"/>
        <w:widowControl w:val="0"/>
        <w:tabs>
          <w:tab w:val="left" w:pos="3926"/>
        </w:tabs>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表2.5-1</w:t>
      </w:r>
      <w:r>
        <w:rPr>
          <w:rFonts w:hint="eastAsia" w:cs="Times New Roman"/>
          <w:b/>
          <w:sz w:val="21"/>
          <w:szCs w:val="21"/>
          <w:lang w:val="en-US" w:eastAsia="zh-CN"/>
        </w:rPr>
        <w:t>2</w:t>
      </w:r>
      <w:r>
        <w:rPr>
          <w:rFonts w:hint="eastAsia" w:ascii="Times New Roman" w:hAnsi="Times New Roman" w:cs="Times New Roman"/>
          <w:b/>
          <w:sz w:val="21"/>
          <w:szCs w:val="21"/>
          <w:lang w:val="en-US" w:eastAsia="zh-CN"/>
        </w:rPr>
        <w:t xml:space="preserve">    </w:t>
      </w:r>
      <w:r>
        <w:rPr>
          <w:rFonts w:hint="default" w:ascii="Times New Roman" w:hAnsi="Times New Roman" w:eastAsia="宋体" w:cs="Times New Roman"/>
          <w:b/>
          <w:sz w:val="21"/>
          <w:szCs w:val="21"/>
        </w:rPr>
        <w:t>评价工作等级划分</w:t>
      </w:r>
    </w:p>
    <w:tbl>
      <w:tblPr>
        <w:tblStyle w:val="6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2"/>
        <w:gridCol w:w="1703"/>
        <w:gridCol w:w="1703"/>
        <w:gridCol w:w="1704"/>
        <w:gridCol w:w="17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9" w:type="pct"/>
            <w:tcBorders>
              <w:top w:val="single" w:color="auto" w:sz="12" w:space="0"/>
              <w:left w:val="nil"/>
            </w:tcBorders>
            <w:vAlign w:val="center"/>
          </w:tcPr>
          <w:p>
            <w:pPr>
              <w:keepNext w:val="0"/>
              <w:keepLines w:val="0"/>
              <w:pageBreakBefore w:val="0"/>
              <w:widowControl w:val="0"/>
              <w:tabs>
                <w:tab w:val="left" w:pos="3926"/>
              </w:tabs>
              <w:kinsoku/>
              <w:wordWrap/>
              <w:overflowPunct/>
              <w:topLinePunct w:val="0"/>
              <w:autoSpaceDE/>
              <w:autoSpaceDN/>
              <w:bidi w:val="0"/>
              <w:adjustRightInd/>
              <w:snapToGrid/>
              <w:spacing w:line="240" w:lineRule="auto"/>
              <w:ind w:right="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rPr>
              <w:t>环境风险潜势</w:t>
            </w:r>
          </w:p>
        </w:tc>
        <w:tc>
          <w:tcPr>
            <w:tcW w:w="999" w:type="pct"/>
            <w:tcBorders>
              <w:top w:val="single" w:color="auto" w:sz="12" w:space="0"/>
            </w:tcBorders>
            <w:vAlign w:val="center"/>
          </w:tcPr>
          <w:p>
            <w:pPr>
              <w:keepNext w:val="0"/>
              <w:keepLines w:val="0"/>
              <w:pageBreakBefore w:val="0"/>
              <w:widowControl w:val="0"/>
              <w:tabs>
                <w:tab w:val="left" w:pos="3926"/>
              </w:tabs>
              <w:kinsoku/>
              <w:wordWrap/>
              <w:overflowPunct/>
              <w:topLinePunct w:val="0"/>
              <w:autoSpaceDE/>
              <w:autoSpaceDN/>
              <w:bidi w:val="0"/>
              <w:adjustRightInd/>
              <w:snapToGrid/>
              <w:spacing w:line="240" w:lineRule="auto"/>
              <w:ind w:right="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vertAlign w:val="baseline"/>
              </w:rPr>
              <w:t>Ⅳ、Ⅳ+</w:t>
            </w:r>
          </w:p>
        </w:tc>
        <w:tc>
          <w:tcPr>
            <w:tcW w:w="999" w:type="pct"/>
            <w:tcBorders>
              <w:top w:val="single" w:color="auto"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w w:val="124"/>
                <w:sz w:val="21"/>
                <w:szCs w:val="21"/>
              </w:rPr>
              <w:t>Ⅲ</w:t>
            </w:r>
          </w:p>
        </w:tc>
        <w:tc>
          <w:tcPr>
            <w:tcW w:w="1000" w:type="pct"/>
            <w:tcBorders>
              <w:top w:val="single" w:color="auto" w:sz="12"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val="0"/>
                <w:bCs/>
                <w:w w:val="124"/>
                <w:sz w:val="21"/>
                <w:szCs w:val="21"/>
              </w:rPr>
            </w:pPr>
            <w:r>
              <w:rPr>
                <w:rFonts w:hint="default" w:ascii="Times New Roman" w:hAnsi="Times New Roman" w:eastAsia="宋体" w:cs="Times New Roman"/>
                <w:b w:val="0"/>
                <w:bCs/>
                <w:w w:val="124"/>
                <w:sz w:val="21"/>
                <w:szCs w:val="21"/>
              </w:rPr>
              <w:t>Ⅱ</w:t>
            </w:r>
          </w:p>
        </w:tc>
        <w:tc>
          <w:tcPr>
            <w:tcW w:w="1000" w:type="pct"/>
            <w:tcBorders>
              <w:top w:val="single" w:color="auto" w:sz="12" w:space="0"/>
              <w:right w:val="nil"/>
            </w:tcBorders>
            <w:shd w:val="clear" w:color="auto" w:fill="BEBEBE" w:themeFill="background1" w:themeFillShade="BF"/>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val="0"/>
                <w:bCs/>
                <w:w w:val="124"/>
                <w:sz w:val="21"/>
                <w:szCs w:val="21"/>
              </w:rPr>
            </w:pPr>
            <w:r>
              <w:rPr>
                <w:rFonts w:hint="default" w:ascii="Times New Roman" w:hAnsi="Times New Roman" w:eastAsia="宋体" w:cs="Times New Roman"/>
                <w:b w:val="0"/>
                <w:bCs/>
                <w:w w:val="124"/>
                <w:sz w:val="21"/>
                <w:szCs w:val="21"/>
              </w:rPr>
              <w:t>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9" w:type="pct"/>
            <w:tcBorders>
              <w:left w:val="nil"/>
            </w:tcBorders>
            <w:vAlign w:val="center"/>
          </w:tcPr>
          <w:p>
            <w:pPr>
              <w:keepNext w:val="0"/>
              <w:keepLines w:val="0"/>
              <w:pageBreakBefore w:val="0"/>
              <w:widowControl w:val="0"/>
              <w:tabs>
                <w:tab w:val="left" w:pos="3926"/>
              </w:tabs>
              <w:kinsoku/>
              <w:wordWrap/>
              <w:overflowPunct/>
              <w:topLinePunct w:val="0"/>
              <w:autoSpaceDE/>
              <w:autoSpaceDN/>
              <w:bidi w:val="0"/>
              <w:adjustRightInd/>
              <w:snapToGrid/>
              <w:spacing w:line="240" w:lineRule="auto"/>
              <w:ind w:right="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rPr>
              <w:t>评价工作等级</w:t>
            </w:r>
          </w:p>
        </w:tc>
        <w:tc>
          <w:tcPr>
            <w:tcW w:w="999" w:type="pct"/>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w w:val="100"/>
                <w:sz w:val="21"/>
                <w:szCs w:val="21"/>
              </w:rPr>
              <w:t>一</w:t>
            </w:r>
          </w:p>
        </w:tc>
        <w:tc>
          <w:tcPr>
            <w:tcW w:w="999" w:type="pct"/>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w w:val="100"/>
                <w:sz w:val="21"/>
                <w:szCs w:val="21"/>
              </w:rPr>
              <w:t>二</w:t>
            </w:r>
          </w:p>
        </w:tc>
        <w:tc>
          <w:tcPr>
            <w:tcW w:w="1000" w:type="pct"/>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w w:val="100"/>
                <w:sz w:val="21"/>
                <w:szCs w:val="21"/>
              </w:rPr>
              <w:t>三</w:t>
            </w:r>
          </w:p>
        </w:tc>
        <w:tc>
          <w:tcPr>
            <w:tcW w:w="1000" w:type="pct"/>
            <w:tcBorders>
              <w:right w:val="nil"/>
            </w:tcBorders>
            <w:shd w:val="clear" w:color="auto" w:fill="BEBEBE" w:themeFill="background1" w:themeFillShade="BF"/>
            <w:vAlign w:val="center"/>
          </w:tcPr>
          <w:p>
            <w:pPr>
              <w:keepNext w:val="0"/>
              <w:keepLines w:val="0"/>
              <w:pageBreakBefore w:val="0"/>
              <w:widowControl w:val="0"/>
              <w:tabs>
                <w:tab w:val="left" w:pos="3926"/>
              </w:tabs>
              <w:kinsoku/>
              <w:wordWrap/>
              <w:overflowPunct/>
              <w:topLinePunct w:val="0"/>
              <w:autoSpaceDE/>
              <w:autoSpaceDN/>
              <w:bidi w:val="0"/>
              <w:adjustRightInd/>
              <w:snapToGrid/>
              <w:spacing w:line="240" w:lineRule="auto"/>
              <w:ind w:right="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vertAlign w:val="baseline"/>
              </w:rPr>
              <w:t>简单分析</w:t>
            </w:r>
            <w:r>
              <w:rPr>
                <w:rFonts w:hint="default" w:ascii="Times New Roman" w:hAnsi="Times New Roman" w:eastAsia="宋体" w:cs="Times New Roman"/>
                <w:b w:val="0"/>
                <w:bCs/>
                <w:sz w:val="21"/>
                <w:szCs w:val="21"/>
                <w:vertAlign w:val="superscript"/>
              </w:rP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5"/>
            <w:tcBorders>
              <w:left w:val="nil"/>
              <w:bottom w:val="single" w:color="auto" w:sz="12" w:space="0"/>
              <w:right w:val="nil"/>
            </w:tcBorders>
            <w:vAlign w:val="center"/>
          </w:tcPr>
          <w:p>
            <w:pPr>
              <w:keepNext w:val="0"/>
              <w:keepLines w:val="0"/>
              <w:pageBreakBefore w:val="0"/>
              <w:widowControl w:val="0"/>
              <w:tabs>
                <w:tab w:val="left" w:pos="3926"/>
              </w:tabs>
              <w:kinsoku/>
              <w:wordWrap/>
              <w:overflowPunct/>
              <w:topLinePunct w:val="0"/>
              <w:autoSpaceDE/>
              <w:autoSpaceDN/>
              <w:bidi w:val="0"/>
              <w:adjustRightInd/>
              <w:snapToGrid/>
              <w:spacing w:line="240" w:lineRule="auto"/>
              <w:ind w:right="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vertAlign w:val="superscript"/>
              </w:rPr>
              <w:t xml:space="preserve">a </w:t>
            </w:r>
            <w:r>
              <w:rPr>
                <w:rFonts w:hint="default" w:ascii="Times New Roman" w:hAnsi="Times New Roman" w:eastAsia="宋体" w:cs="Times New Roman"/>
                <w:b w:val="0"/>
                <w:bCs/>
                <w:sz w:val="21"/>
                <w:szCs w:val="21"/>
                <w:vertAlign w:val="baseline"/>
              </w:rPr>
              <w:t>是相对于详细评价工作内容而言，在描述危险物质、环境影响途径、环境危害后果、风险防范措施等方面给出定性的说明。</w:t>
            </w:r>
          </w:p>
        </w:tc>
      </w:tr>
    </w:tbl>
    <w:p>
      <w:pPr>
        <w:pStyle w:val="9"/>
        <w:keepNext w:val="0"/>
        <w:keepLines w:val="0"/>
        <w:pageBreakBefore w:val="0"/>
        <w:widowControl w:val="0"/>
        <w:kinsoku/>
        <w:wordWrap/>
        <w:overflowPunct/>
        <w:topLinePunct w:val="0"/>
        <w:bidi w:val="0"/>
        <w:adjustRightInd/>
        <w:snapToGrid/>
        <w:spacing w:line="360" w:lineRule="auto"/>
        <w:ind w:left="0" w:leftChars="0" w:firstLine="481" w:firstLineChars="200"/>
        <w:jc w:val="left"/>
        <w:textAlignment w:val="auto"/>
        <w:rPr>
          <w:rFonts w:hint="default" w:ascii="Times New Roman" w:hAnsi="Times New Roman" w:eastAsia="宋体" w:cs="Times New Roman"/>
          <w:b/>
          <w:bCs/>
          <w:sz w:val="24"/>
          <w:szCs w:val="24"/>
        </w:rPr>
      </w:pPr>
      <w:r>
        <w:rPr>
          <w:rFonts w:hint="default" w:ascii="Times New Roman" w:hAnsi="Times New Roman" w:eastAsia="宋体" w:cs="Times New Roman"/>
          <w:b/>
          <w:bCs/>
          <w:sz w:val="24"/>
          <w:szCs w:val="24"/>
        </w:rPr>
        <w:t>（2）建设项目环境风险潜势初判</w:t>
      </w:r>
    </w:p>
    <w:p>
      <w:pPr>
        <w:pStyle w:val="9"/>
        <w:keepNext w:val="0"/>
        <w:keepLines w:val="0"/>
        <w:pageBreakBefore w:val="0"/>
        <w:widowControl w:val="0"/>
        <w:kinsoku/>
        <w:wordWrap/>
        <w:overflowPunct/>
        <w:topLinePunct w:val="0"/>
        <w:bidi w:val="0"/>
        <w:adjustRightInd/>
        <w:snapToGrid/>
        <w:spacing w:line="360" w:lineRule="auto"/>
        <w:ind w:left="0" w:leftChars="0" w:firstLine="480" w:firstLineChars="200"/>
        <w:jc w:val="left"/>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根据《建设项目环境风险评价技术导则》（HJ169-2018）中的规定，建设项目环境风险潜势划分为Ⅰ、Ⅱ、Ⅲ、Ⅳ/Ⅳ+级。根据建设项目涉及的物质和工艺系统的危险性及其所在地的环境敏感程度，结合事故情形下环境影响途径，对建设项目潜在环境危害程度进行概化分析，按照下表确定环境风险潜势。</w:t>
      </w:r>
    </w:p>
    <w:p>
      <w:pPr>
        <w:keepNext w:val="0"/>
        <w:keepLines w:val="0"/>
        <w:pageBreakBefore w:val="0"/>
        <w:widowControl w:val="0"/>
        <w:tabs>
          <w:tab w:val="left" w:pos="3926"/>
        </w:tabs>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表2.5-1</w:t>
      </w:r>
      <w:r>
        <w:rPr>
          <w:rFonts w:hint="eastAsia" w:cs="Times New Roman"/>
          <w:b/>
          <w:sz w:val="21"/>
          <w:szCs w:val="21"/>
          <w:lang w:val="en-US" w:eastAsia="zh-CN"/>
        </w:rPr>
        <w:t>3</w:t>
      </w:r>
      <w:r>
        <w:rPr>
          <w:rFonts w:hint="eastAsia" w:ascii="Times New Roman" w:hAnsi="Times New Roman" w:cs="Times New Roman"/>
          <w:b/>
          <w:sz w:val="21"/>
          <w:szCs w:val="21"/>
          <w:lang w:val="en-US" w:eastAsia="zh-CN"/>
        </w:rPr>
        <w:t xml:space="preserve">    </w:t>
      </w:r>
      <w:r>
        <w:rPr>
          <w:rFonts w:hint="eastAsia" w:ascii="Times New Roman" w:hAnsi="Times New Roman" w:cs="Times New Roman"/>
          <w:b/>
          <w:sz w:val="21"/>
          <w:szCs w:val="21"/>
          <w:lang w:eastAsia="zh-CN"/>
        </w:rPr>
        <w:t>建设项目环境风险潜势划分</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14"/>
        <w:gridCol w:w="1575"/>
        <w:gridCol w:w="1590"/>
        <w:gridCol w:w="1635"/>
        <w:gridCol w:w="15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14" w:type="dxa"/>
            <w:vMerge w:val="restart"/>
            <w:tcBorders>
              <w:top w:val="single" w:color="auto" w:sz="12" w:space="0"/>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环境敏感程度（</w:t>
            </w:r>
            <w:r>
              <w:rPr>
                <w:rFonts w:hint="eastAsia" w:cs="Times New Roman"/>
                <w:sz w:val="21"/>
                <w:szCs w:val="21"/>
                <w:vertAlign w:val="baseline"/>
                <w:lang w:val="en-US" w:eastAsia="zh-CN"/>
              </w:rPr>
              <w:t>E</w:t>
            </w:r>
            <w:r>
              <w:rPr>
                <w:rFonts w:hint="eastAsia" w:cs="Times New Roman"/>
                <w:sz w:val="21"/>
                <w:szCs w:val="21"/>
                <w:vertAlign w:val="baseline"/>
                <w:lang w:eastAsia="zh-CN"/>
              </w:rPr>
              <w:t>）</w:t>
            </w:r>
          </w:p>
        </w:tc>
        <w:tc>
          <w:tcPr>
            <w:tcW w:w="6308" w:type="dxa"/>
            <w:gridSpan w:val="4"/>
            <w:tcBorders>
              <w:top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危险物质及工艺系统危险性（</w:t>
            </w:r>
            <w:r>
              <w:rPr>
                <w:rFonts w:hint="eastAsia" w:cs="Times New Roman"/>
                <w:sz w:val="21"/>
                <w:szCs w:val="21"/>
                <w:vertAlign w:val="baseline"/>
                <w:lang w:val="en-US" w:eastAsia="zh-CN"/>
              </w:rPr>
              <w:t>P</w:t>
            </w:r>
            <w:r>
              <w:rPr>
                <w:rFonts w:hint="eastAsia" w:cs="Times New Roman"/>
                <w:sz w:val="21"/>
                <w:szCs w:val="21"/>
                <w:vertAlign w:val="baseline"/>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14" w:type="dxa"/>
            <w:vMerge w:val="continue"/>
            <w:tcBorders>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c>
          <w:tcPr>
            <w:tcW w:w="1575" w:type="dxa"/>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极高危害（</w:t>
            </w:r>
            <w:r>
              <w:rPr>
                <w:rFonts w:hint="eastAsia" w:cs="Times New Roman"/>
                <w:sz w:val="21"/>
                <w:szCs w:val="21"/>
                <w:vertAlign w:val="baseline"/>
                <w:lang w:val="en-US" w:eastAsia="zh-CN"/>
              </w:rPr>
              <w:t>P1</w:t>
            </w:r>
            <w:r>
              <w:rPr>
                <w:rFonts w:hint="eastAsia" w:cs="Times New Roman"/>
                <w:sz w:val="21"/>
                <w:szCs w:val="21"/>
                <w:vertAlign w:val="baseline"/>
                <w:lang w:eastAsia="zh-CN"/>
              </w:rPr>
              <w:t>）</w:t>
            </w:r>
          </w:p>
        </w:tc>
        <w:tc>
          <w:tcPr>
            <w:tcW w:w="1590" w:type="dxa"/>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高度危害（</w:t>
            </w:r>
            <w:r>
              <w:rPr>
                <w:rFonts w:hint="eastAsia" w:cs="Times New Roman"/>
                <w:sz w:val="21"/>
                <w:szCs w:val="21"/>
                <w:vertAlign w:val="baseline"/>
                <w:lang w:val="en-US" w:eastAsia="zh-CN"/>
              </w:rPr>
              <w:t>P2</w:t>
            </w:r>
            <w:r>
              <w:rPr>
                <w:rFonts w:hint="eastAsia" w:cs="Times New Roman"/>
                <w:sz w:val="21"/>
                <w:szCs w:val="21"/>
                <w:vertAlign w:val="baseline"/>
                <w:lang w:eastAsia="zh-CN"/>
              </w:rPr>
              <w:t>）</w:t>
            </w:r>
          </w:p>
        </w:tc>
        <w:tc>
          <w:tcPr>
            <w:tcW w:w="1635" w:type="dxa"/>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中毒危害（</w:t>
            </w:r>
            <w:r>
              <w:rPr>
                <w:rFonts w:hint="eastAsia" w:cs="Times New Roman"/>
                <w:sz w:val="21"/>
                <w:szCs w:val="21"/>
                <w:vertAlign w:val="baseline"/>
                <w:lang w:val="en-US" w:eastAsia="zh-CN"/>
              </w:rPr>
              <w:t>P3</w:t>
            </w:r>
            <w:r>
              <w:rPr>
                <w:rFonts w:hint="eastAsia" w:cs="Times New Roman"/>
                <w:sz w:val="21"/>
                <w:szCs w:val="21"/>
                <w:vertAlign w:val="baseline"/>
                <w:lang w:eastAsia="zh-CN"/>
              </w:rPr>
              <w:t>）</w:t>
            </w:r>
          </w:p>
        </w:tc>
        <w:tc>
          <w:tcPr>
            <w:tcW w:w="1508" w:type="dxa"/>
            <w:tcBorders>
              <w:bottom w:val="single" w:color="auto" w:sz="12" w:space="0"/>
              <w:right w:val="nil"/>
            </w:tcBorders>
            <w:shd w:val="clear" w:color="auto" w:fill="BEBEBE" w:themeFill="background1" w:themeFillShade="BF"/>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轻度危害（</w:t>
            </w:r>
            <w:r>
              <w:rPr>
                <w:rFonts w:hint="eastAsia" w:cs="Times New Roman"/>
                <w:sz w:val="21"/>
                <w:szCs w:val="21"/>
                <w:vertAlign w:val="baseline"/>
                <w:lang w:val="en-US" w:eastAsia="zh-CN"/>
              </w:rPr>
              <w:t>P4</w:t>
            </w:r>
            <w:r>
              <w:rPr>
                <w:rFonts w:hint="eastAsia" w:cs="Times New Roman"/>
                <w:sz w:val="21"/>
                <w:szCs w:val="21"/>
                <w:vertAlign w:val="baseline"/>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14" w:type="dxa"/>
            <w:tcBorders>
              <w:top w:val="single" w:color="auto" w:sz="12" w:space="0"/>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环境高度敏感区（</w:t>
            </w:r>
            <w:r>
              <w:rPr>
                <w:rFonts w:hint="eastAsia" w:cs="Times New Roman"/>
                <w:sz w:val="21"/>
                <w:szCs w:val="21"/>
                <w:vertAlign w:val="baseline"/>
                <w:lang w:val="en-US" w:eastAsia="zh-CN"/>
              </w:rPr>
              <w:t>E1</w:t>
            </w:r>
            <w:r>
              <w:rPr>
                <w:rFonts w:hint="eastAsia" w:cs="Times New Roman"/>
                <w:sz w:val="21"/>
                <w:szCs w:val="21"/>
                <w:vertAlign w:val="baseline"/>
                <w:lang w:eastAsia="zh-CN"/>
              </w:rPr>
              <w:t>）</w:t>
            </w:r>
          </w:p>
        </w:tc>
        <w:tc>
          <w:tcPr>
            <w:tcW w:w="1575" w:type="dxa"/>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default" w:ascii="Times New Roman" w:hAnsi="Times New Roman" w:eastAsia="宋体" w:cs="Times New Roman"/>
                <w:b w:val="0"/>
                <w:bCs/>
                <w:sz w:val="21"/>
                <w:szCs w:val="21"/>
                <w:vertAlign w:val="baseline"/>
              </w:rPr>
              <w:t>Ⅳ</w:t>
            </w:r>
            <w:r>
              <w:rPr>
                <w:rFonts w:hint="eastAsia" w:ascii="Times New Roman" w:hAnsi="Times New Roman" w:cs="Times New Roman"/>
                <w:b w:val="0"/>
                <w:bCs/>
                <w:sz w:val="21"/>
                <w:szCs w:val="21"/>
                <w:vertAlign w:val="superscript"/>
                <w:lang w:val="en-US" w:eastAsia="zh-CN"/>
              </w:rPr>
              <w:t>+</w:t>
            </w:r>
          </w:p>
        </w:tc>
        <w:tc>
          <w:tcPr>
            <w:tcW w:w="1590" w:type="dxa"/>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b w:val="0"/>
                <w:bCs/>
                <w:sz w:val="21"/>
                <w:szCs w:val="21"/>
                <w:vertAlign w:val="baseline"/>
              </w:rPr>
              <w:t>Ⅳ</w:t>
            </w:r>
          </w:p>
        </w:tc>
        <w:tc>
          <w:tcPr>
            <w:tcW w:w="1635" w:type="dxa"/>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b w:val="0"/>
                <w:bCs/>
                <w:w w:val="124"/>
                <w:sz w:val="21"/>
                <w:szCs w:val="21"/>
              </w:rPr>
              <w:t>Ⅲ</w:t>
            </w:r>
          </w:p>
        </w:tc>
        <w:tc>
          <w:tcPr>
            <w:tcW w:w="1508" w:type="dxa"/>
            <w:tcBorders>
              <w:top w:val="single" w:color="auto" w:sz="12" w:space="0"/>
              <w:right w:val="nil"/>
            </w:tcBorders>
            <w:shd w:val="clear" w:color="auto" w:fill="BEBEBE" w:themeFill="background1" w:themeFillShade="BF"/>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b w:val="0"/>
                <w:bCs/>
                <w:w w:val="124"/>
                <w:sz w:val="21"/>
                <w:szCs w:val="21"/>
              </w:rPr>
              <w:t>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214" w:type="dxa"/>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sz w:val="21"/>
                <w:szCs w:val="21"/>
                <w:vertAlign w:val="baseline"/>
                <w:lang w:eastAsia="zh-CN"/>
              </w:rPr>
              <w:t>环境中度敏感区（</w:t>
            </w:r>
            <w:r>
              <w:rPr>
                <w:rFonts w:hint="eastAsia" w:cs="Times New Roman"/>
                <w:sz w:val="21"/>
                <w:szCs w:val="21"/>
                <w:vertAlign w:val="baseline"/>
                <w:lang w:val="en-US" w:eastAsia="zh-CN"/>
              </w:rPr>
              <w:t>E2</w:t>
            </w:r>
            <w:r>
              <w:rPr>
                <w:rFonts w:hint="eastAsia" w:cs="Times New Roman"/>
                <w:sz w:val="21"/>
                <w:szCs w:val="21"/>
                <w:vertAlign w:val="baseline"/>
                <w:lang w:eastAsia="zh-CN"/>
              </w:rPr>
              <w:t>）</w:t>
            </w:r>
          </w:p>
        </w:tc>
        <w:tc>
          <w:tcPr>
            <w:tcW w:w="1575" w:type="dxa"/>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kern w:val="0"/>
                <w:sz w:val="21"/>
                <w:szCs w:val="21"/>
                <w:vertAlign w:val="baseline"/>
                <w:lang w:val="en-US" w:eastAsia="zh-CN" w:bidi="ar-SA"/>
              </w:rPr>
            </w:pPr>
            <w:r>
              <w:rPr>
                <w:rFonts w:hint="default" w:ascii="Times New Roman" w:hAnsi="Times New Roman" w:eastAsia="宋体" w:cs="Times New Roman"/>
                <w:b w:val="0"/>
                <w:bCs/>
                <w:sz w:val="21"/>
                <w:szCs w:val="21"/>
                <w:vertAlign w:val="baseline"/>
              </w:rPr>
              <w:t>Ⅳ</w:t>
            </w:r>
          </w:p>
        </w:tc>
        <w:tc>
          <w:tcPr>
            <w:tcW w:w="1590" w:type="dxa"/>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b w:val="0"/>
                <w:bCs/>
                <w:w w:val="124"/>
                <w:sz w:val="21"/>
                <w:szCs w:val="21"/>
              </w:rPr>
              <w:t>Ⅲ</w:t>
            </w:r>
          </w:p>
        </w:tc>
        <w:tc>
          <w:tcPr>
            <w:tcW w:w="1635" w:type="dxa"/>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b w:val="0"/>
                <w:bCs/>
                <w:w w:val="124"/>
                <w:sz w:val="21"/>
                <w:szCs w:val="21"/>
              </w:rPr>
              <w:t>Ⅲ</w:t>
            </w:r>
          </w:p>
        </w:tc>
        <w:tc>
          <w:tcPr>
            <w:tcW w:w="1508" w:type="dxa"/>
            <w:tcBorders>
              <w:right w:val="nil"/>
            </w:tcBorders>
            <w:shd w:val="clear" w:color="auto" w:fill="BEBEBE" w:themeFill="background1" w:themeFillShade="BF"/>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b w:val="0"/>
                <w:bCs/>
                <w:w w:val="124"/>
                <w:sz w:val="21"/>
                <w:szCs w:val="21"/>
              </w:rPr>
              <w:t>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14" w:type="dxa"/>
            <w:tcBorders>
              <w:left w:val="nil"/>
            </w:tcBorders>
            <w:shd w:val="clear" w:color="auto" w:fill="BEBEBE" w:themeFill="background1" w:themeFillShade="BF"/>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sz w:val="21"/>
                <w:szCs w:val="21"/>
                <w:vertAlign w:val="baseline"/>
                <w:lang w:eastAsia="zh-CN"/>
              </w:rPr>
              <w:t>环境低度敏感区（</w:t>
            </w:r>
            <w:r>
              <w:rPr>
                <w:rFonts w:hint="eastAsia" w:cs="Times New Roman"/>
                <w:sz w:val="21"/>
                <w:szCs w:val="21"/>
                <w:vertAlign w:val="baseline"/>
                <w:lang w:val="en-US" w:eastAsia="zh-CN"/>
              </w:rPr>
              <w:t>E3</w:t>
            </w:r>
            <w:r>
              <w:rPr>
                <w:rFonts w:hint="eastAsia" w:cs="Times New Roman"/>
                <w:sz w:val="21"/>
                <w:szCs w:val="21"/>
                <w:vertAlign w:val="baseline"/>
                <w:lang w:eastAsia="zh-CN"/>
              </w:rPr>
              <w:t>）</w:t>
            </w:r>
          </w:p>
        </w:tc>
        <w:tc>
          <w:tcPr>
            <w:tcW w:w="1575" w:type="dxa"/>
            <w:shd w:val="clear" w:color="auto" w:fill="BEBEBE" w:themeFill="background1" w:themeFillShade="BF"/>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kern w:val="0"/>
                <w:sz w:val="21"/>
                <w:szCs w:val="21"/>
                <w:vertAlign w:val="baseline"/>
                <w:lang w:val="en-US" w:eastAsia="zh-CN" w:bidi="ar-SA"/>
              </w:rPr>
            </w:pPr>
            <w:r>
              <w:rPr>
                <w:rFonts w:hint="default" w:ascii="Times New Roman" w:hAnsi="Times New Roman" w:eastAsia="宋体" w:cs="Times New Roman"/>
                <w:b w:val="0"/>
                <w:bCs/>
                <w:w w:val="124"/>
                <w:sz w:val="21"/>
                <w:szCs w:val="21"/>
              </w:rPr>
              <w:t>Ⅲ</w:t>
            </w:r>
          </w:p>
        </w:tc>
        <w:tc>
          <w:tcPr>
            <w:tcW w:w="1590" w:type="dxa"/>
            <w:shd w:val="clear" w:color="auto" w:fill="BEBEBE" w:themeFill="background1" w:themeFillShade="BF"/>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b w:val="0"/>
                <w:bCs/>
                <w:w w:val="124"/>
                <w:sz w:val="21"/>
                <w:szCs w:val="21"/>
              </w:rPr>
              <w:t>Ⅲ</w:t>
            </w:r>
          </w:p>
        </w:tc>
        <w:tc>
          <w:tcPr>
            <w:tcW w:w="1635" w:type="dxa"/>
            <w:shd w:val="clear" w:color="auto" w:fill="BEBEBE" w:themeFill="background1" w:themeFillShade="BF"/>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b w:val="0"/>
                <w:bCs/>
                <w:w w:val="124"/>
                <w:sz w:val="21"/>
                <w:szCs w:val="21"/>
              </w:rPr>
              <w:t>Ⅱ</w:t>
            </w:r>
          </w:p>
        </w:tc>
        <w:tc>
          <w:tcPr>
            <w:tcW w:w="1508" w:type="dxa"/>
            <w:tcBorders>
              <w:right w:val="nil"/>
            </w:tcBorders>
            <w:shd w:val="clear" w:color="auto" w:fill="BEBEBE" w:themeFill="background1" w:themeFillShade="BF"/>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b w:val="0"/>
                <w:bCs/>
                <w:w w:val="124"/>
                <w:sz w:val="21"/>
                <w:szCs w:val="21"/>
              </w:rPr>
              <w:t>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5"/>
            <w:tcBorders>
              <w:left w:val="nil"/>
              <w:bottom w:val="single" w:color="auto" w:sz="12" w:space="0"/>
              <w:right w:val="nil"/>
            </w:tcBorders>
            <w:vAlign w:val="top"/>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eastAsia"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注：</w:t>
            </w:r>
            <w:r>
              <w:rPr>
                <w:rFonts w:hint="default" w:ascii="Times New Roman" w:hAnsi="Times New Roman" w:eastAsia="宋体" w:cs="Times New Roman"/>
                <w:b w:val="0"/>
                <w:bCs/>
                <w:sz w:val="21"/>
                <w:szCs w:val="21"/>
                <w:vertAlign w:val="baseline"/>
              </w:rPr>
              <w:t>Ⅳ</w:t>
            </w:r>
            <w:r>
              <w:rPr>
                <w:rFonts w:hint="default" w:ascii="Times New Roman" w:hAnsi="Times New Roman" w:eastAsia="宋体" w:cs="Times New Roman"/>
                <w:b w:val="0"/>
                <w:bCs/>
                <w:sz w:val="21"/>
                <w:szCs w:val="21"/>
                <w:vertAlign w:val="superscript"/>
              </w:rPr>
              <w:t>+</w:t>
            </w:r>
            <w:r>
              <w:rPr>
                <w:rFonts w:hint="eastAsia" w:ascii="Times New Roman" w:hAnsi="Times New Roman" w:cs="Times New Roman"/>
                <w:b w:val="0"/>
                <w:bCs/>
                <w:sz w:val="21"/>
                <w:szCs w:val="21"/>
                <w:vertAlign w:val="baseline"/>
                <w:lang w:eastAsia="zh-CN"/>
              </w:rPr>
              <w:t>为极高环境风险。</w:t>
            </w:r>
          </w:p>
        </w:tc>
      </w:tr>
    </w:tbl>
    <w:p>
      <w:pPr>
        <w:pStyle w:val="9"/>
        <w:keepNext w:val="0"/>
        <w:keepLines w:val="0"/>
        <w:pageBreakBefore w:val="0"/>
        <w:widowControl w:val="0"/>
        <w:kinsoku/>
        <w:wordWrap/>
        <w:overflowPunct/>
        <w:topLinePunct w:val="0"/>
        <w:bidi w:val="0"/>
        <w:adjustRightInd/>
        <w:snapToGrid/>
        <w:spacing w:line="360" w:lineRule="auto"/>
        <w:ind w:left="0" w:leftChars="0" w:firstLine="480" w:firstLineChars="200"/>
        <w:jc w:val="left"/>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本项目分析在生产、使用、储存过程中涉及的有毒有害、易燃易爆物质，参见《建设项目环境风险评价技术导则》（HJ169-2018）中附录B确定危险物质的临界量（Q）和所属行业及生产工艺特点（M），并按附录C对危险物质及工艺系统危险性（P）等级进行判断。</w:t>
      </w:r>
    </w:p>
    <w:p>
      <w:pPr>
        <w:pStyle w:val="9"/>
        <w:keepNext w:val="0"/>
        <w:keepLines w:val="0"/>
        <w:pageBreakBefore w:val="0"/>
        <w:widowControl w:val="0"/>
        <w:kinsoku/>
        <w:wordWrap/>
        <w:overflowPunct/>
        <w:topLinePunct w:val="0"/>
        <w:bidi w:val="0"/>
        <w:adjustRightInd/>
        <w:snapToGrid/>
        <w:spacing w:line="360" w:lineRule="auto"/>
        <w:ind w:left="0" w:leftChars="0" w:firstLine="480" w:firstLineChars="200"/>
        <w:jc w:val="left"/>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本项目原辅材料中无列入《建设项目环境风险评价技术导则》（HJ169-2018）附录B中的物质，因此本项目环境风险潜势为Ⅰ。</w:t>
      </w:r>
    </w:p>
    <w:p>
      <w:pPr>
        <w:pStyle w:val="9"/>
        <w:keepNext w:val="0"/>
        <w:keepLines w:val="0"/>
        <w:pageBreakBefore w:val="0"/>
        <w:widowControl w:val="0"/>
        <w:kinsoku/>
        <w:wordWrap/>
        <w:overflowPunct/>
        <w:topLinePunct w:val="0"/>
        <w:bidi w:val="0"/>
        <w:adjustRightInd/>
        <w:snapToGrid/>
        <w:spacing w:line="360" w:lineRule="auto"/>
        <w:ind w:left="0" w:leftChars="0" w:firstLine="481" w:firstLineChars="200"/>
        <w:jc w:val="left"/>
        <w:textAlignment w:val="auto"/>
        <w:rPr>
          <w:rFonts w:hint="default" w:ascii="Times New Roman" w:hAnsi="Times New Roman" w:eastAsia="宋体" w:cs="Times New Roman"/>
          <w:b/>
          <w:bCs/>
          <w:sz w:val="24"/>
          <w:szCs w:val="24"/>
        </w:rPr>
      </w:pPr>
      <w:r>
        <w:rPr>
          <w:rFonts w:hint="default" w:ascii="Times New Roman" w:hAnsi="Times New Roman" w:eastAsia="宋体" w:cs="Times New Roman"/>
          <w:b/>
          <w:bCs/>
          <w:sz w:val="24"/>
          <w:szCs w:val="24"/>
        </w:rPr>
        <w:t>（3）风险评价等级判定</w:t>
      </w:r>
    </w:p>
    <w:p>
      <w:pPr>
        <w:pStyle w:val="9"/>
        <w:keepNext w:val="0"/>
        <w:keepLines w:val="0"/>
        <w:pageBreakBefore w:val="0"/>
        <w:widowControl w:val="0"/>
        <w:kinsoku/>
        <w:wordWrap/>
        <w:overflowPunct/>
        <w:topLinePunct w:val="0"/>
        <w:bidi w:val="0"/>
        <w:adjustRightInd/>
        <w:snapToGrid/>
        <w:spacing w:line="360" w:lineRule="auto"/>
        <w:ind w:left="0" w:leftChars="0" w:firstLine="480" w:firstLineChars="200"/>
        <w:jc w:val="left"/>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综上所述，本项目环境风险潜势划分为Ⅰ，无评价工作等级划分，进行简单分析即可。</w:t>
      </w:r>
    </w:p>
    <w:p>
      <w:pPr>
        <w:pStyle w:val="4"/>
      </w:pPr>
      <w:bookmarkStart w:id="22" w:name="_Toc346282444"/>
      <w:bookmarkStart w:id="23" w:name="_Toc20203"/>
      <w:bookmarkStart w:id="24" w:name="_Toc346282453"/>
      <w:r>
        <w:rPr>
          <w:rFonts w:hint="eastAsia"/>
        </w:rPr>
        <w:t>环境</w:t>
      </w:r>
      <w:bookmarkEnd w:id="22"/>
      <w:r>
        <w:rPr>
          <w:rFonts w:hint="eastAsia"/>
        </w:rPr>
        <w:t>影响评价范围与评价时段</w:t>
      </w:r>
      <w:bookmarkEnd w:id="23"/>
    </w:p>
    <w:p>
      <w:pPr>
        <w:pStyle w:val="5"/>
        <w:ind w:firstLine="562"/>
      </w:pPr>
      <w:r>
        <w:rPr>
          <w:rFonts w:hint="eastAsia"/>
        </w:rPr>
        <w:t>环境影响评价范围</w:t>
      </w:r>
    </w:p>
    <w:p>
      <w:pPr>
        <w:pStyle w:val="9"/>
        <w:rPr>
          <w:rFonts w:hint="eastAsia"/>
        </w:rPr>
      </w:pPr>
      <w:r>
        <w:rPr>
          <w:rFonts w:hint="eastAsia"/>
        </w:rPr>
        <w:t>根据《建设项目环境影响评价技术导则 总纲》（HJ 2.1-2016）、《环境影响评价技术导则 大气环境》（HJ 2.2-2018）、《环境影响评价技术导则 地表水环境》（HJ 2.3-2018）、《环境影响评价技术导则 地下水环境》</w:t>
      </w:r>
      <w:r>
        <w:rPr>
          <w:rFonts w:hint="eastAsia"/>
          <w:lang w:eastAsia="zh-CN"/>
        </w:rPr>
        <w:t>（</w:t>
      </w:r>
      <w:r>
        <w:rPr>
          <w:rFonts w:hint="eastAsia"/>
        </w:rPr>
        <w:t>HJ 610-2016）、《环境影响评价技术导则 声环境》（HJ 2.4-2009）、《环境影响评价技术导则 土壤环境（试行）》</w:t>
      </w:r>
      <w:r>
        <w:rPr>
          <w:rFonts w:hint="eastAsia"/>
          <w:lang w:eastAsia="zh-CN"/>
        </w:rPr>
        <w:t>（</w:t>
      </w:r>
      <w:r>
        <w:rPr>
          <w:rFonts w:hint="eastAsia"/>
        </w:rPr>
        <w:t>HJ964-2018</w:t>
      </w:r>
      <w:r>
        <w:rPr>
          <w:rFonts w:hint="eastAsia"/>
          <w:lang w:eastAsia="zh-CN"/>
        </w:rPr>
        <w:t>）</w:t>
      </w:r>
      <w:r>
        <w:rPr>
          <w:rFonts w:hint="eastAsia"/>
        </w:rPr>
        <w:t>、《环境影响评价技术导则 生态影响》（HJ 19-2011）、《建设项目环境风险评价技术导则》（HJ169-2018），本工程评价范围确定如下表所示：</w:t>
      </w:r>
    </w:p>
    <w:p>
      <w:pPr>
        <w:keepNext w:val="0"/>
        <w:keepLines w:val="0"/>
        <w:pageBreakBefore w:val="0"/>
        <w:widowControl w:val="0"/>
        <w:tabs>
          <w:tab w:val="left" w:pos="3926"/>
        </w:tabs>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 xml:space="preserve">表2.6-1  </w:t>
      </w:r>
      <w:r>
        <w:rPr>
          <w:rFonts w:hint="eastAsia" w:ascii="Times New Roman" w:hAnsi="Times New Roman" w:cs="Times New Roman"/>
          <w:b/>
          <w:sz w:val="21"/>
          <w:szCs w:val="21"/>
          <w:lang w:val="en-US" w:eastAsia="zh-CN"/>
        </w:rPr>
        <w:t xml:space="preserve"> </w:t>
      </w:r>
      <w:r>
        <w:rPr>
          <w:rFonts w:hint="default" w:ascii="Times New Roman" w:hAnsi="Times New Roman" w:eastAsia="宋体" w:cs="Times New Roman"/>
          <w:b/>
          <w:sz w:val="21"/>
          <w:szCs w:val="21"/>
        </w:rPr>
        <w:t>环境影响评价范围一览表</w:t>
      </w:r>
    </w:p>
    <w:tbl>
      <w:tblPr>
        <w:tblStyle w:val="63"/>
        <w:tblW w:w="4998" w:type="pct"/>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1161"/>
        <w:gridCol w:w="2952"/>
        <w:gridCol w:w="1171"/>
        <w:gridCol w:w="3019"/>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96" w:hRule="atLeast"/>
        </w:trPr>
        <w:tc>
          <w:tcPr>
            <w:tcW w:w="699" w:type="pct"/>
            <w:tcBorders>
              <w:left w:val="nil"/>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专题</w:t>
            </w:r>
          </w:p>
        </w:tc>
        <w:tc>
          <w:tcPr>
            <w:tcW w:w="1777" w:type="pct"/>
            <w:tcBorders>
              <w:left w:val="single" w:color="000000" w:sz="6" w:space="0"/>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等级判据</w:t>
            </w:r>
          </w:p>
        </w:tc>
        <w:tc>
          <w:tcPr>
            <w:tcW w:w="705" w:type="pct"/>
            <w:tcBorders>
              <w:left w:val="single" w:color="000000" w:sz="6" w:space="0"/>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等级的确定</w:t>
            </w:r>
          </w:p>
        </w:tc>
        <w:tc>
          <w:tcPr>
            <w:tcW w:w="1817" w:type="pct"/>
            <w:tcBorders>
              <w:left w:val="single" w:color="000000" w:sz="6" w:space="0"/>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评价范围</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652" w:hRule="atLeast"/>
        </w:trPr>
        <w:tc>
          <w:tcPr>
            <w:tcW w:w="699" w:type="pct"/>
            <w:tcBorders>
              <w:top w:val="single" w:color="000000" w:sz="12"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大气环境</w:t>
            </w:r>
          </w:p>
        </w:tc>
        <w:tc>
          <w:tcPr>
            <w:tcW w:w="1777" w:type="pct"/>
            <w:tcBorders>
              <w:top w:val="single" w:color="000000" w:sz="12"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pacing w:val="-8"/>
                <w:sz w:val="21"/>
                <w:szCs w:val="21"/>
              </w:rPr>
              <w:t xml:space="preserve">《环境影响评价技术导则 </w:t>
            </w:r>
            <w:r>
              <w:rPr>
                <w:rFonts w:hint="eastAsia" w:ascii="Times New Roman" w:hAnsi="Times New Roman" w:cs="Times New Roman"/>
                <w:spacing w:val="-8"/>
                <w:sz w:val="21"/>
                <w:szCs w:val="21"/>
                <w:lang w:val="en-US" w:eastAsia="zh-CN"/>
              </w:rPr>
              <w:t xml:space="preserve"> </w:t>
            </w:r>
            <w:r>
              <w:rPr>
                <w:rFonts w:hint="default" w:ascii="Times New Roman" w:hAnsi="Times New Roman" w:eastAsia="宋体" w:cs="Times New Roman"/>
                <w:spacing w:val="-8"/>
                <w:sz w:val="21"/>
                <w:szCs w:val="21"/>
              </w:rPr>
              <w:t>大气环境》</w:t>
            </w:r>
            <w:r>
              <w:rPr>
                <w:rFonts w:hint="default" w:ascii="Times New Roman" w:hAnsi="Times New Roman" w:eastAsia="宋体" w:cs="Times New Roman"/>
                <w:sz w:val="21"/>
                <w:szCs w:val="21"/>
              </w:rPr>
              <w:t>（HJ</w:t>
            </w:r>
            <w:r>
              <w:rPr>
                <w:rFonts w:hint="default" w:ascii="Times New Roman" w:hAnsi="Times New Roman" w:eastAsia="宋体" w:cs="Times New Roman"/>
                <w:spacing w:val="4"/>
                <w:sz w:val="21"/>
                <w:szCs w:val="21"/>
              </w:rPr>
              <w:t xml:space="preserve"> </w:t>
            </w:r>
            <w:r>
              <w:rPr>
                <w:rFonts w:hint="default" w:ascii="Times New Roman" w:hAnsi="Times New Roman" w:eastAsia="宋体" w:cs="Times New Roman"/>
                <w:sz w:val="21"/>
                <w:szCs w:val="21"/>
              </w:rPr>
              <w:t>2.2-2018）</w:t>
            </w:r>
          </w:p>
        </w:tc>
        <w:tc>
          <w:tcPr>
            <w:tcW w:w="705" w:type="pct"/>
            <w:tcBorders>
              <w:top w:val="single" w:color="000000" w:sz="12"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二级</w:t>
            </w:r>
          </w:p>
        </w:tc>
        <w:tc>
          <w:tcPr>
            <w:tcW w:w="1817" w:type="pct"/>
            <w:tcBorders>
              <w:top w:val="single" w:color="000000" w:sz="12"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以项目场址为中心</w:t>
            </w:r>
            <w:r>
              <w:rPr>
                <w:rFonts w:hint="default" w:ascii="Times New Roman" w:hAnsi="Times New Roman" w:eastAsia="宋体" w:cs="Times New Roman"/>
                <w:spacing w:val="-9"/>
                <w:sz w:val="21"/>
                <w:szCs w:val="21"/>
              </w:rPr>
              <w:t xml:space="preserve">区域，边长为 </w:t>
            </w:r>
            <w:r>
              <w:rPr>
                <w:rFonts w:hint="default" w:ascii="Times New Roman" w:hAnsi="Times New Roman" w:eastAsia="宋体" w:cs="Times New Roman"/>
                <w:spacing w:val="-7"/>
                <w:sz w:val="21"/>
                <w:szCs w:val="21"/>
              </w:rPr>
              <w:t>5km</w:t>
            </w:r>
            <w:r>
              <w:rPr>
                <w:rFonts w:hint="default" w:ascii="Times New Roman" w:hAnsi="Times New Roman" w:eastAsia="宋体" w:cs="Times New Roman"/>
                <w:sz w:val="21"/>
                <w:szCs w:val="21"/>
              </w:rPr>
              <w:t>的矩形区域</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27" w:hRule="atLeast"/>
        </w:trPr>
        <w:tc>
          <w:tcPr>
            <w:tcW w:w="699" w:type="pct"/>
            <w:tcBorders>
              <w:top w:val="single" w:color="000000" w:sz="6"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地表水环境</w:t>
            </w:r>
          </w:p>
        </w:tc>
        <w:tc>
          <w:tcPr>
            <w:tcW w:w="1777"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 xml:space="preserve">《环境影响评价技术导则 </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地表水环境》（HJ 2.3-2018）</w:t>
            </w:r>
          </w:p>
        </w:tc>
        <w:tc>
          <w:tcPr>
            <w:tcW w:w="705"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三级B</w:t>
            </w:r>
          </w:p>
        </w:tc>
        <w:tc>
          <w:tcPr>
            <w:tcW w:w="1817"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Times New Roman" w:hAnsi="Times New Roman" w:eastAsia="宋体" w:cs="Times New Roman"/>
                <w:sz w:val="21"/>
                <w:szCs w:val="21"/>
                <w:lang w:eastAsia="zh-CN"/>
              </w:rPr>
            </w:pPr>
            <w:r>
              <w:rPr>
                <w:rFonts w:hint="eastAsia" w:ascii="Times New Roman" w:hAnsi="Times New Roman" w:cs="Times New Roman"/>
                <w:spacing w:val="-5"/>
                <w:sz w:val="21"/>
                <w:szCs w:val="21"/>
                <w:lang w:val="en-US" w:eastAsia="zh-CN"/>
              </w:rPr>
              <w:t>/</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902" w:hRule="atLeast"/>
        </w:trPr>
        <w:tc>
          <w:tcPr>
            <w:tcW w:w="699" w:type="pct"/>
            <w:tcBorders>
              <w:top w:val="single" w:color="000000" w:sz="6"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地下水环境</w:t>
            </w:r>
          </w:p>
        </w:tc>
        <w:tc>
          <w:tcPr>
            <w:tcW w:w="1777"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tabs>
                <w:tab w:val="left" w:pos="3175"/>
              </w:tabs>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根据</w:t>
            </w:r>
            <w:r>
              <w:rPr>
                <w:rFonts w:hint="default" w:ascii="Times New Roman" w:hAnsi="Times New Roman" w:eastAsia="宋体" w:cs="Times New Roman"/>
                <w:spacing w:val="-3"/>
                <w:sz w:val="21"/>
                <w:szCs w:val="21"/>
              </w:rPr>
              <w:t>《</w:t>
            </w:r>
            <w:r>
              <w:rPr>
                <w:rFonts w:hint="default" w:ascii="Times New Roman" w:hAnsi="Times New Roman" w:eastAsia="宋体" w:cs="Times New Roman"/>
                <w:sz w:val="21"/>
                <w:szCs w:val="21"/>
              </w:rPr>
              <w:t>环</w:t>
            </w:r>
            <w:r>
              <w:rPr>
                <w:rFonts w:hint="default" w:ascii="Times New Roman" w:hAnsi="Times New Roman" w:eastAsia="宋体" w:cs="Times New Roman"/>
                <w:spacing w:val="-3"/>
                <w:sz w:val="21"/>
                <w:szCs w:val="21"/>
              </w:rPr>
              <w:t>境</w:t>
            </w:r>
            <w:r>
              <w:rPr>
                <w:rFonts w:hint="default" w:ascii="Times New Roman" w:hAnsi="Times New Roman" w:eastAsia="宋体" w:cs="Times New Roman"/>
                <w:sz w:val="21"/>
                <w:szCs w:val="21"/>
              </w:rPr>
              <w:t>影</w:t>
            </w:r>
            <w:r>
              <w:rPr>
                <w:rFonts w:hint="default" w:ascii="Times New Roman" w:hAnsi="Times New Roman" w:eastAsia="宋体" w:cs="Times New Roman"/>
                <w:spacing w:val="-3"/>
                <w:sz w:val="21"/>
                <w:szCs w:val="21"/>
              </w:rPr>
              <w:t>响</w:t>
            </w:r>
            <w:r>
              <w:rPr>
                <w:rFonts w:hint="default" w:ascii="Times New Roman" w:hAnsi="Times New Roman" w:eastAsia="宋体" w:cs="Times New Roman"/>
                <w:sz w:val="21"/>
                <w:szCs w:val="21"/>
              </w:rPr>
              <w:t>评</w:t>
            </w:r>
            <w:r>
              <w:rPr>
                <w:rFonts w:hint="default" w:ascii="Times New Roman" w:hAnsi="Times New Roman" w:eastAsia="宋体" w:cs="Times New Roman"/>
                <w:spacing w:val="-3"/>
                <w:sz w:val="21"/>
                <w:szCs w:val="21"/>
              </w:rPr>
              <w:t>价</w:t>
            </w:r>
            <w:r>
              <w:rPr>
                <w:rFonts w:hint="default" w:ascii="Times New Roman" w:hAnsi="Times New Roman" w:eastAsia="宋体" w:cs="Times New Roman"/>
                <w:sz w:val="21"/>
                <w:szCs w:val="21"/>
              </w:rPr>
              <w:t>技</w:t>
            </w:r>
            <w:r>
              <w:rPr>
                <w:rFonts w:hint="default" w:ascii="Times New Roman" w:hAnsi="Times New Roman" w:eastAsia="宋体" w:cs="Times New Roman"/>
                <w:spacing w:val="-3"/>
                <w:sz w:val="21"/>
                <w:szCs w:val="21"/>
              </w:rPr>
              <w:t>术</w:t>
            </w:r>
            <w:r>
              <w:rPr>
                <w:rFonts w:hint="default" w:ascii="Times New Roman" w:hAnsi="Times New Roman" w:eastAsia="宋体" w:cs="Times New Roman"/>
                <w:sz w:val="21"/>
                <w:szCs w:val="21"/>
              </w:rPr>
              <w:t>导则</w:t>
            </w:r>
            <w:r>
              <w:rPr>
                <w:rFonts w:hint="default" w:ascii="Times New Roman" w:hAnsi="Times New Roman" w:eastAsia="宋体" w:cs="Times New Roman"/>
                <w:sz w:val="21"/>
                <w:szCs w:val="21"/>
              </w:rPr>
              <w:tab/>
            </w:r>
          </w:p>
          <w:p>
            <w:pPr>
              <w:pStyle w:val="866"/>
              <w:keepNext w:val="0"/>
              <w:keepLines w:val="0"/>
              <w:pageBreakBefore w:val="0"/>
              <w:widowControl w:val="0"/>
              <w:tabs>
                <w:tab w:val="left" w:pos="3175"/>
              </w:tabs>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地</w:t>
            </w:r>
            <w:r>
              <w:rPr>
                <w:rFonts w:hint="default" w:ascii="Times New Roman" w:hAnsi="Times New Roman" w:eastAsia="宋体" w:cs="Times New Roman"/>
                <w:spacing w:val="-3"/>
                <w:sz w:val="21"/>
                <w:szCs w:val="21"/>
              </w:rPr>
              <w:t>下</w:t>
            </w:r>
            <w:r>
              <w:rPr>
                <w:rFonts w:hint="default" w:ascii="Times New Roman" w:hAnsi="Times New Roman" w:eastAsia="宋体" w:cs="Times New Roman"/>
                <w:sz w:val="21"/>
                <w:szCs w:val="21"/>
              </w:rPr>
              <w:t>水</w:t>
            </w:r>
            <w:r>
              <w:rPr>
                <w:rFonts w:hint="default" w:ascii="Times New Roman" w:hAnsi="Times New Roman" w:eastAsia="宋体" w:cs="Times New Roman"/>
                <w:spacing w:val="-3"/>
                <w:sz w:val="21"/>
                <w:szCs w:val="21"/>
              </w:rPr>
              <w:t>环</w:t>
            </w:r>
            <w:r>
              <w:rPr>
                <w:rFonts w:hint="default" w:ascii="Times New Roman" w:hAnsi="Times New Roman" w:eastAsia="宋体" w:cs="Times New Roman"/>
                <w:sz w:val="21"/>
                <w:szCs w:val="21"/>
              </w:rPr>
              <w:t>境》</w:t>
            </w:r>
            <w:r>
              <w:rPr>
                <w:rFonts w:hint="default" w:ascii="Times New Roman" w:hAnsi="Times New Roman" w:eastAsia="宋体" w:cs="Times New Roman"/>
                <w:spacing w:val="-7"/>
                <w:sz w:val="21"/>
                <w:szCs w:val="21"/>
              </w:rPr>
              <w:t xml:space="preserve">(HJ </w:t>
            </w:r>
            <w:r>
              <w:rPr>
                <w:rFonts w:hint="default" w:ascii="Times New Roman" w:hAnsi="Times New Roman" w:eastAsia="宋体" w:cs="Times New Roman"/>
                <w:sz w:val="21"/>
                <w:szCs w:val="21"/>
              </w:rPr>
              <w:t>610-2016)</w:t>
            </w:r>
          </w:p>
        </w:tc>
        <w:tc>
          <w:tcPr>
            <w:tcW w:w="705"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三级</w:t>
            </w:r>
          </w:p>
        </w:tc>
        <w:tc>
          <w:tcPr>
            <w:tcW w:w="1817"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项目区西北侧、东北侧、西南侧各外扩0.4km，东南侧</w:t>
            </w:r>
            <w:r>
              <w:rPr>
                <w:rFonts w:hint="default" w:ascii="Times New Roman" w:hAnsi="Times New Roman" w:eastAsia="宋体" w:cs="Times New Roman"/>
                <w:color w:val="auto"/>
                <w:spacing w:val="-18"/>
                <w:sz w:val="21"/>
                <w:szCs w:val="21"/>
              </w:rPr>
              <w:t xml:space="preserve">外扩 </w:t>
            </w:r>
            <w:r>
              <w:rPr>
                <w:rFonts w:hint="default" w:ascii="Times New Roman" w:hAnsi="Times New Roman" w:eastAsia="宋体" w:cs="Times New Roman"/>
                <w:color w:val="auto"/>
                <w:sz w:val="21"/>
                <w:szCs w:val="21"/>
              </w:rPr>
              <w:t>0.9km 的区</w:t>
            </w:r>
            <w:r>
              <w:rPr>
                <w:rFonts w:hint="default" w:ascii="Times New Roman" w:hAnsi="Times New Roman" w:eastAsia="宋体" w:cs="Times New Roman"/>
                <w:color w:val="auto"/>
                <w:spacing w:val="-10"/>
                <w:sz w:val="21"/>
                <w:szCs w:val="21"/>
              </w:rPr>
              <w:t xml:space="preserve">域，面积约 </w:t>
            </w:r>
            <w:r>
              <w:rPr>
                <w:rFonts w:hint="default" w:ascii="Times New Roman" w:hAnsi="Times New Roman" w:eastAsia="宋体" w:cs="Times New Roman"/>
                <w:color w:val="auto"/>
                <w:sz w:val="21"/>
                <w:szCs w:val="21"/>
              </w:rPr>
              <w:t>6km</w:t>
            </w:r>
            <w:r>
              <w:rPr>
                <w:rFonts w:hint="eastAsia" w:ascii="Times New Roman" w:hAnsi="Times New Roman" w:cs="Times New Roman"/>
                <w:color w:val="auto"/>
                <w:sz w:val="21"/>
                <w:szCs w:val="21"/>
                <w:vertAlign w:val="superscript"/>
                <w:lang w:val="en-US" w:eastAsia="zh-CN"/>
              </w:rPr>
              <w:t>2</w:t>
            </w:r>
            <w:r>
              <w:rPr>
                <w:rFonts w:hint="default" w:ascii="Times New Roman" w:hAnsi="Times New Roman" w:eastAsia="宋体" w:cs="Times New Roman"/>
                <w:color w:val="auto"/>
                <w:spacing w:val="-14"/>
                <w:sz w:val="21"/>
                <w:szCs w:val="21"/>
              </w:rPr>
              <w:t>。</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00" w:hRule="atLeast"/>
        </w:trPr>
        <w:tc>
          <w:tcPr>
            <w:tcW w:w="699" w:type="pct"/>
            <w:tcBorders>
              <w:top w:val="single" w:color="000000" w:sz="6"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声环境</w:t>
            </w:r>
          </w:p>
        </w:tc>
        <w:tc>
          <w:tcPr>
            <w:tcW w:w="1777"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 xml:space="preserve">《环境影响评价技术导则 </w:t>
            </w:r>
            <w:r>
              <w:rPr>
                <w:rFonts w:hint="eastAsia" w:ascii="Times New Roman" w:hAnsi="Times New Roman" w:cs="Times New Roman"/>
                <w:sz w:val="21"/>
                <w:szCs w:val="21"/>
                <w:lang w:val="en-US" w:eastAsia="zh-CN"/>
              </w:rPr>
              <w:t xml:space="preserve"> </w:t>
            </w:r>
            <w:r>
              <w:rPr>
                <w:rFonts w:hint="default" w:ascii="Times New Roman" w:hAnsi="Times New Roman" w:eastAsia="宋体" w:cs="Times New Roman"/>
                <w:sz w:val="21"/>
                <w:szCs w:val="21"/>
              </w:rPr>
              <w:t>声环境》（HJ 2.4-2009）</w:t>
            </w:r>
          </w:p>
        </w:tc>
        <w:tc>
          <w:tcPr>
            <w:tcW w:w="705"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二级</w:t>
            </w:r>
          </w:p>
        </w:tc>
        <w:tc>
          <w:tcPr>
            <w:tcW w:w="1817"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厂界外200m</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663" w:hRule="atLeast"/>
        </w:trPr>
        <w:tc>
          <w:tcPr>
            <w:tcW w:w="699" w:type="pct"/>
            <w:tcBorders>
              <w:top w:val="single" w:color="000000" w:sz="6"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土壤环境</w:t>
            </w:r>
          </w:p>
        </w:tc>
        <w:tc>
          <w:tcPr>
            <w:tcW w:w="1777"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tabs>
                <w:tab w:val="left" w:pos="2550"/>
              </w:tabs>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《环</w:t>
            </w:r>
            <w:r>
              <w:rPr>
                <w:rFonts w:hint="default" w:ascii="Times New Roman" w:hAnsi="Times New Roman" w:eastAsia="宋体" w:cs="Times New Roman"/>
                <w:spacing w:val="-3"/>
                <w:sz w:val="21"/>
                <w:szCs w:val="21"/>
              </w:rPr>
              <w:t>境</w:t>
            </w:r>
            <w:r>
              <w:rPr>
                <w:rFonts w:hint="default" w:ascii="Times New Roman" w:hAnsi="Times New Roman" w:eastAsia="宋体" w:cs="Times New Roman"/>
                <w:sz w:val="21"/>
                <w:szCs w:val="21"/>
              </w:rPr>
              <w:t>影</w:t>
            </w:r>
            <w:r>
              <w:rPr>
                <w:rFonts w:hint="default" w:ascii="Times New Roman" w:hAnsi="Times New Roman" w:eastAsia="宋体" w:cs="Times New Roman"/>
                <w:spacing w:val="-3"/>
                <w:sz w:val="21"/>
                <w:szCs w:val="21"/>
              </w:rPr>
              <w:t>响</w:t>
            </w:r>
            <w:r>
              <w:rPr>
                <w:rFonts w:hint="default" w:ascii="Times New Roman" w:hAnsi="Times New Roman" w:eastAsia="宋体" w:cs="Times New Roman"/>
                <w:sz w:val="21"/>
                <w:szCs w:val="21"/>
              </w:rPr>
              <w:t>评</w:t>
            </w:r>
            <w:r>
              <w:rPr>
                <w:rFonts w:hint="default" w:ascii="Times New Roman" w:hAnsi="Times New Roman" w:eastAsia="宋体" w:cs="Times New Roman"/>
                <w:spacing w:val="-3"/>
                <w:sz w:val="21"/>
                <w:szCs w:val="21"/>
              </w:rPr>
              <w:t>价</w:t>
            </w:r>
            <w:r>
              <w:rPr>
                <w:rFonts w:hint="default" w:ascii="Times New Roman" w:hAnsi="Times New Roman" w:eastAsia="宋体" w:cs="Times New Roman"/>
                <w:sz w:val="21"/>
                <w:szCs w:val="21"/>
              </w:rPr>
              <w:t>技</w:t>
            </w:r>
            <w:r>
              <w:rPr>
                <w:rFonts w:hint="default" w:ascii="Times New Roman" w:hAnsi="Times New Roman" w:eastAsia="宋体" w:cs="Times New Roman"/>
                <w:spacing w:val="-3"/>
                <w:sz w:val="21"/>
                <w:szCs w:val="21"/>
              </w:rPr>
              <w:t>术</w:t>
            </w:r>
            <w:r>
              <w:rPr>
                <w:rFonts w:hint="default" w:ascii="Times New Roman" w:hAnsi="Times New Roman" w:eastAsia="宋体" w:cs="Times New Roman"/>
                <w:sz w:val="21"/>
                <w:szCs w:val="21"/>
              </w:rPr>
              <w:t>导则</w:t>
            </w:r>
            <w:r>
              <w:rPr>
                <w:rFonts w:hint="default" w:ascii="Times New Roman" w:hAnsi="Times New Roman" w:eastAsia="宋体" w:cs="Times New Roman"/>
                <w:sz w:val="21"/>
                <w:szCs w:val="21"/>
              </w:rPr>
              <w:tab/>
            </w:r>
            <w:r>
              <w:rPr>
                <w:rFonts w:hint="default" w:ascii="Times New Roman" w:hAnsi="Times New Roman" w:eastAsia="宋体" w:cs="Times New Roman"/>
                <w:sz w:val="21"/>
                <w:szCs w:val="21"/>
              </w:rPr>
              <w:t>土</w:t>
            </w:r>
            <w:r>
              <w:rPr>
                <w:rFonts w:hint="default" w:ascii="Times New Roman" w:hAnsi="Times New Roman" w:eastAsia="宋体" w:cs="Times New Roman"/>
                <w:spacing w:val="-3"/>
                <w:sz w:val="21"/>
                <w:szCs w:val="21"/>
              </w:rPr>
              <w:t>壤</w:t>
            </w:r>
            <w:r>
              <w:rPr>
                <w:rFonts w:hint="default" w:ascii="Times New Roman" w:hAnsi="Times New Roman" w:eastAsia="宋体" w:cs="Times New Roman"/>
                <w:sz w:val="21"/>
                <w:szCs w:val="21"/>
              </w:rPr>
              <w:t>环</w:t>
            </w:r>
            <w:r>
              <w:rPr>
                <w:rFonts w:hint="default" w:ascii="Times New Roman" w:hAnsi="Times New Roman" w:eastAsia="宋体" w:cs="Times New Roman"/>
                <w:spacing w:val="-3"/>
                <w:sz w:val="21"/>
                <w:szCs w:val="21"/>
              </w:rPr>
              <w:t>境</w:t>
            </w:r>
            <w:r>
              <w:rPr>
                <w:rFonts w:hint="default" w:ascii="Times New Roman" w:hAnsi="Times New Roman" w:eastAsia="宋体" w:cs="Times New Roman"/>
                <w:sz w:val="21"/>
                <w:szCs w:val="21"/>
              </w:rPr>
              <w:t>（</w:t>
            </w:r>
            <w:r>
              <w:rPr>
                <w:rFonts w:hint="default" w:ascii="Times New Roman" w:hAnsi="Times New Roman" w:eastAsia="宋体" w:cs="Times New Roman"/>
                <w:spacing w:val="-3"/>
                <w:sz w:val="21"/>
                <w:szCs w:val="21"/>
              </w:rPr>
              <w:t>试</w:t>
            </w:r>
            <w:r>
              <w:rPr>
                <w:rFonts w:hint="default" w:ascii="Times New Roman" w:hAnsi="Times New Roman" w:eastAsia="宋体" w:cs="Times New Roman"/>
                <w:sz w:val="21"/>
                <w:szCs w:val="21"/>
              </w:rPr>
              <w:t>行</w:t>
            </w:r>
            <w:r>
              <w:rPr>
                <w:rFonts w:hint="default" w:ascii="Times New Roman" w:hAnsi="Times New Roman" w:eastAsia="宋体" w:cs="Times New Roman"/>
                <w:spacing w:val="-3"/>
                <w:sz w:val="21"/>
                <w:szCs w:val="21"/>
              </w:rPr>
              <w:t>）</w:t>
            </w:r>
            <w:r>
              <w:rPr>
                <w:rFonts w:hint="default" w:ascii="Times New Roman" w:hAnsi="Times New Roman" w:eastAsia="宋体" w:cs="Times New Roman"/>
                <w:sz w:val="21"/>
                <w:szCs w:val="21"/>
              </w:rPr>
              <w:t>》(HJ964-2018)</w:t>
            </w:r>
          </w:p>
        </w:tc>
        <w:tc>
          <w:tcPr>
            <w:tcW w:w="705"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三级</w:t>
            </w:r>
          </w:p>
        </w:tc>
        <w:tc>
          <w:tcPr>
            <w:tcW w:w="1817"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pacing w:val="-5"/>
                <w:sz w:val="21"/>
                <w:szCs w:val="21"/>
              </w:rPr>
              <w:t>项目占地范围及项</w:t>
            </w:r>
            <w:r>
              <w:rPr>
                <w:rFonts w:hint="default" w:ascii="Times New Roman" w:hAnsi="Times New Roman" w:eastAsia="宋体" w:cs="Times New Roman"/>
                <w:spacing w:val="-2"/>
                <w:sz w:val="21"/>
                <w:szCs w:val="21"/>
              </w:rPr>
              <w:t>目占地范围外</w:t>
            </w:r>
            <w:r>
              <w:rPr>
                <w:rFonts w:hint="default" w:ascii="Times New Roman" w:hAnsi="Times New Roman" w:eastAsia="宋体" w:cs="Times New Roman"/>
                <w:sz w:val="21"/>
                <w:szCs w:val="21"/>
              </w:rPr>
              <w:t>0.05km</w:t>
            </w:r>
            <w:r>
              <w:rPr>
                <w:rFonts w:hint="default" w:ascii="Times New Roman" w:hAnsi="Times New Roman" w:eastAsia="宋体" w:cs="Times New Roman"/>
                <w:spacing w:val="-2"/>
                <w:sz w:val="21"/>
                <w:szCs w:val="21"/>
              </w:rPr>
              <w:t>的范围</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44" w:hRule="atLeast"/>
        </w:trPr>
        <w:tc>
          <w:tcPr>
            <w:tcW w:w="699" w:type="pct"/>
            <w:tcBorders>
              <w:top w:val="single" w:color="000000" w:sz="6"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环境风险</w:t>
            </w:r>
          </w:p>
        </w:tc>
        <w:tc>
          <w:tcPr>
            <w:tcW w:w="1777"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《建设项目环境风险评价技术导则》（HJ169-2018）</w:t>
            </w:r>
          </w:p>
        </w:tc>
        <w:tc>
          <w:tcPr>
            <w:tcW w:w="705"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简单分析</w:t>
            </w:r>
          </w:p>
        </w:tc>
        <w:tc>
          <w:tcPr>
            <w:tcW w:w="1817"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46" w:hRule="atLeast"/>
        </w:trPr>
        <w:tc>
          <w:tcPr>
            <w:tcW w:w="699" w:type="pct"/>
            <w:tcBorders>
              <w:top w:val="single" w:color="000000" w:sz="6" w:space="0"/>
              <w:left w:val="nil"/>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生态环境</w:t>
            </w:r>
          </w:p>
        </w:tc>
        <w:tc>
          <w:tcPr>
            <w:tcW w:w="1777" w:type="pct"/>
            <w:tcBorders>
              <w:top w:val="single" w:color="000000" w:sz="6" w:space="0"/>
              <w:left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《环境影响评价技术导则 生态影响》（HJ19-2011）</w:t>
            </w:r>
          </w:p>
        </w:tc>
        <w:tc>
          <w:tcPr>
            <w:tcW w:w="705" w:type="pct"/>
            <w:tcBorders>
              <w:top w:val="single" w:color="000000" w:sz="6" w:space="0"/>
              <w:left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三级</w:t>
            </w:r>
          </w:p>
        </w:tc>
        <w:tc>
          <w:tcPr>
            <w:tcW w:w="1817" w:type="pct"/>
            <w:tcBorders>
              <w:top w:val="single" w:color="000000" w:sz="6" w:space="0"/>
              <w:left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项目厂界外 200m</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范围</w:t>
            </w:r>
          </w:p>
        </w:tc>
      </w:tr>
    </w:tbl>
    <w:p>
      <w:pPr>
        <w:pStyle w:val="5"/>
        <w:ind w:firstLine="562"/>
      </w:pPr>
      <w:r>
        <w:rPr>
          <w:rFonts w:hint="eastAsia"/>
        </w:rPr>
        <w:t>环境影响评价</w:t>
      </w:r>
      <w:r>
        <w:rPr>
          <w:rFonts w:hint="eastAsia"/>
          <w:lang w:eastAsia="zh-CN"/>
        </w:rPr>
        <w:t>时段</w:t>
      </w:r>
    </w:p>
    <w:p>
      <w:pPr>
        <w:pStyle w:val="9"/>
        <w:rPr>
          <w:rFonts w:hint="eastAsia" w:ascii="Times New Roman" w:hAnsi="Times New Roman" w:cs="Times New Roman"/>
          <w:lang w:eastAsia="zh-CN"/>
        </w:rPr>
      </w:pPr>
      <w:r>
        <w:rPr>
          <w:rFonts w:hint="eastAsia" w:ascii="Times New Roman" w:hAnsi="Times New Roman" w:cs="Times New Roman"/>
        </w:rPr>
        <w:t>本项目分为施工期和运营期两个时段进行评价</w:t>
      </w:r>
      <w:r>
        <w:rPr>
          <w:rFonts w:hint="eastAsia" w:ascii="Times New Roman" w:hAnsi="Times New Roman" w:cs="Times New Roman"/>
          <w:lang w:eastAsia="zh-CN"/>
        </w:rPr>
        <w:t>。</w:t>
      </w:r>
    </w:p>
    <w:p>
      <w:pPr>
        <w:pStyle w:val="4"/>
      </w:pPr>
      <w:bookmarkStart w:id="25" w:name="_Toc5162"/>
      <w:r>
        <w:rPr>
          <w:rFonts w:hint="eastAsia"/>
          <w:lang w:eastAsia="zh-CN"/>
        </w:rPr>
        <w:t>主要环境保护目标</w:t>
      </w:r>
      <w:bookmarkEnd w:id="25"/>
    </w:p>
    <w:p>
      <w:pPr>
        <w:pStyle w:val="5"/>
        <w:ind w:firstLine="562"/>
      </w:pPr>
      <w:r>
        <w:rPr>
          <w:rFonts w:hint="eastAsia"/>
          <w:lang w:eastAsia="zh-CN"/>
        </w:rPr>
        <w:t>污染控制目标</w:t>
      </w:r>
    </w:p>
    <w:p>
      <w:pPr>
        <w:pStyle w:val="9"/>
        <w:rPr>
          <w:rFonts w:hint="eastAsia"/>
        </w:rPr>
      </w:pPr>
      <w:r>
        <w:rPr>
          <w:rFonts w:hint="eastAsia"/>
          <w:lang w:eastAsia="zh-CN"/>
        </w:rPr>
        <w:t>（</w:t>
      </w:r>
      <w:r>
        <w:rPr>
          <w:rFonts w:hint="eastAsia"/>
          <w:lang w:val="en-US" w:eastAsia="zh-CN"/>
        </w:rPr>
        <w:t>1</w:t>
      </w:r>
      <w:r>
        <w:rPr>
          <w:rFonts w:hint="eastAsia"/>
          <w:lang w:eastAsia="zh-CN"/>
        </w:rPr>
        <w:t>）</w:t>
      </w:r>
      <w:r>
        <w:rPr>
          <w:rFonts w:hint="eastAsia"/>
        </w:rPr>
        <w:t>水环境保护目标</w:t>
      </w:r>
    </w:p>
    <w:p>
      <w:pPr>
        <w:pStyle w:val="9"/>
        <w:rPr>
          <w:rFonts w:hint="eastAsia"/>
        </w:rPr>
      </w:pPr>
      <w:r>
        <w:rPr>
          <w:rFonts w:hint="eastAsia"/>
        </w:rPr>
        <w:t>控制各类水污染物的排放，保证周边水体水质不因本项目的建设而发生明显变化。</w:t>
      </w:r>
    </w:p>
    <w:p>
      <w:pPr>
        <w:pStyle w:val="9"/>
        <w:rPr>
          <w:rFonts w:hint="eastAsia"/>
        </w:rPr>
      </w:pPr>
      <w:r>
        <w:rPr>
          <w:rFonts w:hint="eastAsia"/>
          <w:lang w:eastAsia="zh-CN"/>
        </w:rPr>
        <w:t>（</w:t>
      </w:r>
      <w:r>
        <w:rPr>
          <w:rFonts w:hint="eastAsia"/>
          <w:lang w:val="en-US" w:eastAsia="zh-CN"/>
        </w:rPr>
        <w:t>2</w:t>
      </w:r>
      <w:r>
        <w:rPr>
          <w:rFonts w:hint="eastAsia"/>
          <w:lang w:eastAsia="zh-CN"/>
        </w:rPr>
        <w:t>）</w:t>
      </w:r>
      <w:r>
        <w:rPr>
          <w:rFonts w:hint="eastAsia"/>
        </w:rPr>
        <w:t>环境空气保护目标</w:t>
      </w:r>
    </w:p>
    <w:p>
      <w:pPr>
        <w:pStyle w:val="9"/>
        <w:rPr>
          <w:rFonts w:hint="eastAsia"/>
        </w:rPr>
      </w:pPr>
      <w:r>
        <w:rPr>
          <w:rFonts w:hint="eastAsia"/>
        </w:rPr>
        <w:t>控制各类大气污染物的排放，以保证本项目周边邻近区域和敏感点的环境空气质量稳定达到《环境空气质量标准》（GB3095-2012及2018年修改单）的二级标准。</w:t>
      </w:r>
    </w:p>
    <w:p>
      <w:pPr>
        <w:pStyle w:val="9"/>
        <w:rPr>
          <w:rFonts w:hint="eastAsia"/>
        </w:rPr>
      </w:pPr>
      <w:r>
        <w:rPr>
          <w:rFonts w:hint="eastAsia"/>
          <w:lang w:eastAsia="zh-CN"/>
        </w:rPr>
        <w:t>（</w:t>
      </w:r>
      <w:r>
        <w:rPr>
          <w:rFonts w:hint="eastAsia"/>
          <w:lang w:val="en-US" w:eastAsia="zh-CN"/>
        </w:rPr>
        <w:t>3</w:t>
      </w:r>
      <w:r>
        <w:rPr>
          <w:rFonts w:hint="eastAsia"/>
          <w:lang w:eastAsia="zh-CN"/>
        </w:rPr>
        <w:t>）</w:t>
      </w:r>
      <w:r>
        <w:rPr>
          <w:rFonts w:hint="eastAsia"/>
        </w:rPr>
        <w:t>声环境保护目标</w:t>
      </w:r>
    </w:p>
    <w:p>
      <w:pPr>
        <w:pStyle w:val="9"/>
        <w:rPr>
          <w:rFonts w:hint="eastAsia"/>
        </w:rPr>
      </w:pPr>
      <w:r>
        <w:rPr>
          <w:rFonts w:hint="eastAsia"/>
        </w:rPr>
        <w:t>控制噪声的产生与传播，保证本项目周边的声环境敏感目标达到要求的质量标准。</w:t>
      </w:r>
    </w:p>
    <w:p>
      <w:pPr>
        <w:pStyle w:val="9"/>
        <w:rPr>
          <w:rFonts w:hint="eastAsia"/>
        </w:rPr>
      </w:pPr>
      <w:r>
        <w:rPr>
          <w:rFonts w:hint="eastAsia"/>
          <w:lang w:eastAsia="zh-CN"/>
        </w:rPr>
        <w:t>（</w:t>
      </w:r>
      <w:r>
        <w:rPr>
          <w:rFonts w:hint="eastAsia"/>
          <w:lang w:val="en-US" w:eastAsia="zh-CN"/>
        </w:rPr>
        <w:t>4</w:t>
      </w:r>
      <w:r>
        <w:rPr>
          <w:rFonts w:hint="eastAsia"/>
          <w:lang w:eastAsia="zh-CN"/>
        </w:rPr>
        <w:t>）</w:t>
      </w:r>
      <w:r>
        <w:rPr>
          <w:rFonts w:hint="eastAsia"/>
        </w:rPr>
        <w:t>固体废物环境保护目标</w:t>
      </w:r>
    </w:p>
    <w:p>
      <w:pPr>
        <w:pStyle w:val="9"/>
        <w:rPr>
          <w:rFonts w:hint="eastAsia"/>
        </w:rPr>
      </w:pPr>
      <w:r>
        <w:rPr>
          <w:rFonts w:hint="eastAsia"/>
        </w:rPr>
        <w:t>做好一般工业废物、危险废物、生活垃圾的分类收集、堆放、运输、处置等工作， 保护项目周围的环境卫生状况不因本项目的建设而产生明显影响。</w:t>
      </w:r>
    </w:p>
    <w:p>
      <w:pPr>
        <w:pStyle w:val="9"/>
        <w:rPr>
          <w:rFonts w:hint="eastAsia"/>
        </w:rPr>
      </w:pPr>
      <w:r>
        <w:rPr>
          <w:rFonts w:hint="eastAsia"/>
          <w:lang w:eastAsia="zh-CN"/>
        </w:rPr>
        <w:t>（</w:t>
      </w:r>
      <w:r>
        <w:rPr>
          <w:rFonts w:hint="eastAsia"/>
          <w:lang w:val="en-US" w:eastAsia="zh-CN"/>
        </w:rPr>
        <w:t>5</w:t>
      </w:r>
      <w:r>
        <w:rPr>
          <w:rFonts w:hint="eastAsia"/>
          <w:lang w:eastAsia="zh-CN"/>
        </w:rPr>
        <w:t>）</w:t>
      </w:r>
      <w:r>
        <w:rPr>
          <w:rFonts w:hint="eastAsia"/>
        </w:rPr>
        <w:t>地下水环境保护目标</w:t>
      </w:r>
    </w:p>
    <w:p>
      <w:pPr>
        <w:pStyle w:val="9"/>
        <w:rPr>
          <w:rFonts w:hint="eastAsia"/>
        </w:rPr>
      </w:pPr>
      <w:r>
        <w:rPr>
          <w:rFonts w:hint="eastAsia"/>
        </w:rPr>
        <w:t>控制各类污染物的排放，做好分区防渗，保证项目所在地及周边地下水环境不因本项目的建设而发生明显变化。</w:t>
      </w:r>
    </w:p>
    <w:p>
      <w:pPr>
        <w:pStyle w:val="9"/>
        <w:rPr>
          <w:rFonts w:hint="eastAsia"/>
        </w:rPr>
      </w:pPr>
      <w:r>
        <w:rPr>
          <w:rFonts w:hint="eastAsia"/>
          <w:lang w:eastAsia="zh-CN"/>
        </w:rPr>
        <w:t>（</w:t>
      </w:r>
      <w:r>
        <w:rPr>
          <w:rFonts w:hint="eastAsia"/>
          <w:lang w:val="en-US" w:eastAsia="zh-CN"/>
        </w:rPr>
        <w:t>6</w:t>
      </w:r>
      <w:r>
        <w:rPr>
          <w:rFonts w:hint="eastAsia"/>
          <w:lang w:eastAsia="zh-CN"/>
        </w:rPr>
        <w:t>）</w:t>
      </w:r>
      <w:r>
        <w:rPr>
          <w:rFonts w:hint="eastAsia"/>
        </w:rPr>
        <w:t>土壤环境保护目标</w:t>
      </w:r>
    </w:p>
    <w:p>
      <w:pPr>
        <w:pStyle w:val="9"/>
        <w:rPr>
          <w:rFonts w:hint="eastAsia"/>
        </w:rPr>
      </w:pPr>
      <w:r>
        <w:rPr>
          <w:rFonts w:hint="eastAsia"/>
        </w:rPr>
        <w:t>控制各类污染物的排放，做好分区防渗，保证项目所在地及周边土壤环境不因本项目的建设而发生明显变化。</w:t>
      </w:r>
    </w:p>
    <w:p>
      <w:pPr>
        <w:pStyle w:val="9"/>
        <w:rPr>
          <w:rFonts w:hint="eastAsia"/>
        </w:rPr>
      </w:pPr>
      <w:r>
        <w:rPr>
          <w:rFonts w:hint="eastAsia"/>
          <w:lang w:eastAsia="zh-CN"/>
        </w:rPr>
        <w:t>（</w:t>
      </w:r>
      <w:r>
        <w:rPr>
          <w:rFonts w:hint="eastAsia"/>
          <w:lang w:val="en-US" w:eastAsia="zh-CN"/>
        </w:rPr>
        <w:t>7</w:t>
      </w:r>
      <w:r>
        <w:rPr>
          <w:rFonts w:hint="eastAsia"/>
          <w:lang w:eastAsia="zh-CN"/>
        </w:rPr>
        <w:t>）</w:t>
      </w:r>
      <w:r>
        <w:rPr>
          <w:rFonts w:hint="eastAsia"/>
        </w:rPr>
        <w:t>生态保护目标</w:t>
      </w:r>
    </w:p>
    <w:p>
      <w:pPr>
        <w:pStyle w:val="9"/>
        <w:rPr>
          <w:rFonts w:hint="eastAsia" w:eastAsia="宋体"/>
          <w:lang w:val="en-US" w:eastAsia="zh-CN"/>
        </w:rPr>
      </w:pPr>
      <w:r>
        <w:rPr>
          <w:rFonts w:hint="eastAsia"/>
        </w:rPr>
        <w:t>保护项目及周围地区的土壤、植被、动物不受到严重影响，不加重该区域的地质灾害</w:t>
      </w:r>
      <w:r>
        <w:rPr>
          <w:rFonts w:hint="eastAsia"/>
          <w:lang w:eastAsia="zh-CN"/>
        </w:rPr>
        <w:t>。</w:t>
      </w:r>
    </w:p>
    <w:p>
      <w:pPr>
        <w:keepNext w:val="0"/>
        <w:keepLines w:val="0"/>
        <w:pageBreakBefore w:val="0"/>
        <w:widowControl w:val="0"/>
        <w:tabs>
          <w:tab w:val="left" w:pos="3926"/>
        </w:tabs>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表2.7-1</w:t>
      </w:r>
      <w:r>
        <w:rPr>
          <w:rFonts w:hint="eastAsia" w:ascii="Times New Roman" w:hAnsi="Times New Roman" w:cs="Times New Roman"/>
          <w:b/>
          <w:sz w:val="21"/>
          <w:szCs w:val="21"/>
          <w:lang w:val="en-US" w:eastAsia="zh-CN"/>
        </w:rPr>
        <w:t xml:space="preserve">    </w:t>
      </w:r>
      <w:r>
        <w:rPr>
          <w:rFonts w:hint="default" w:ascii="Times New Roman" w:hAnsi="Times New Roman" w:eastAsia="宋体" w:cs="Times New Roman"/>
          <w:b/>
          <w:sz w:val="21"/>
          <w:szCs w:val="21"/>
        </w:rPr>
        <w:t>各环境功能区保护目标一览表</w:t>
      </w:r>
    </w:p>
    <w:tbl>
      <w:tblPr>
        <w:tblStyle w:val="63"/>
        <w:tblW w:w="4998" w:type="pct"/>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867"/>
        <w:gridCol w:w="1407"/>
        <w:gridCol w:w="6029"/>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272" w:hRule="atLeast"/>
        </w:trPr>
        <w:tc>
          <w:tcPr>
            <w:tcW w:w="522" w:type="pct"/>
            <w:tcBorders>
              <w:left w:val="nil"/>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序号</w:t>
            </w:r>
          </w:p>
        </w:tc>
        <w:tc>
          <w:tcPr>
            <w:tcW w:w="847" w:type="pct"/>
            <w:tcBorders>
              <w:left w:val="single" w:color="000000" w:sz="6" w:space="0"/>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环境功能区</w:t>
            </w:r>
          </w:p>
        </w:tc>
        <w:tc>
          <w:tcPr>
            <w:tcW w:w="3630" w:type="pct"/>
            <w:tcBorders>
              <w:left w:val="single" w:color="000000" w:sz="6" w:space="0"/>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保护目标</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272" w:hRule="atLeast"/>
        </w:trPr>
        <w:tc>
          <w:tcPr>
            <w:tcW w:w="522" w:type="pct"/>
            <w:tcBorders>
              <w:top w:val="single" w:color="000000" w:sz="12"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1</w:t>
            </w:r>
          </w:p>
        </w:tc>
        <w:tc>
          <w:tcPr>
            <w:tcW w:w="847" w:type="pct"/>
            <w:tcBorders>
              <w:top w:val="single" w:color="000000" w:sz="12"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水环境</w:t>
            </w:r>
          </w:p>
        </w:tc>
        <w:tc>
          <w:tcPr>
            <w:tcW w:w="3630" w:type="pct"/>
            <w:tcBorders>
              <w:top w:val="single" w:color="000000" w:sz="12"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保护本项目周边水体水质满足GB3838-2002</w:t>
            </w:r>
            <w:r>
              <w:rPr>
                <w:rFonts w:hint="eastAsia"/>
                <w:lang w:eastAsia="zh-CN"/>
              </w:rPr>
              <w:t>Ⅲ</w:t>
            </w:r>
            <w:r>
              <w:rPr>
                <w:rFonts w:hint="default" w:ascii="Times New Roman" w:hAnsi="Times New Roman" w:eastAsia="宋体" w:cs="Times New Roman"/>
                <w:sz w:val="21"/>
                <w:szCs w:val="21"/>
              </w:rPr>
              <w:t>类要求</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682" w:hRule="atLeast"/>
        </w:trPr>
        <w:tc>
          <w:tcPr>
            <w:tcW w:w="522" w:type="pct"/>
            <w:tcBorders>
              <w:top w:val="single" w:color="000000" w:sz="6"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2</w:t>
            </w:r>
          </w:p>
        </w:tc>
        <w:tc>
          <w:tcPr>
            <w:tcW w:w="847"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空气环境</w:t>
            </w:r>
          </w:p>
        </w:tc>
        <w:tc>
          <w:tcPr>
            <w:tcW w:w="3630"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28"/>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保护本项目周边邻近区域和敏感点的环境空气质量稳定</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hanging="171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达到《环境空气质量标准》</w:t>
            </w:r>
            <w:r>
              <w:rPr>
                <w:rFonts w:hint="default" w:ascii="Times New Roman" w:hAnsi="Times New Roman" w:eastAsia="宋体" w:cs="Times New Roman"/>
                <w:sz w:val="21"/>
                <w:szCs w:val="21"/>
              </w:rPr>
              <w:t>（GB3095-2012</w:t>
            </w:r>
            <w:r>
              <w:rPr>
                <w:rFonts w:hint="default" w:ascii="Times New Roman" w:hAnsi="Times New Roman" w:eastAsia="宋体" w:cs="Times New Roman"/>
                <w:spacing w:val="-24"/>
                <w:sz w:val="21"/>
                <w:szCs w:val="21"/>
              </w:rPr>
              <w:t xml:space="preserve">及 </w:t>
            </w:r>
            <w:r>
              <w:rPr>
                <w:rFonts w:hint="default" w:ascii="Times New Roman" w:hAnsi="Times New Roman" w:eastAsia="宋体" w:cs="Times New Roman"/>
                <w:sz w:val="21"/>
                <w:szCs w:val="21"/>
              </w:rPr>
              <w:t>2018年修改单</w:t>
            </w:r>
            <w:r>
              <w:rPr>
                <w:rFonts w:hint="default" w:ascii="Times New Roman" w:hAnsi="Times New Roman" w:eastAsia="宋体" w:cs="Times New Roman"/>
                <w:spacing w:val="-3"/>
                <w:sz w:val="21"/>
                <w:szCs w:val="21"/>
              </w:rPr>
              <w:t>）的二级标准</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44" w:hRule="atLeast"/>
        </w:trPr>
        <w:tc>
          <w:tcPr>
            <w:tcW w:w="522" w:type="pct"/>
            <w:tcBorders>
              <w:top w:val="single" w:color="000000" w:sz="6"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3</w:t>
            </w:r>
          </w:p>
        </w:tc>
        <w:tc>
          <w:tcPr>
            <w:tcW w:w="847"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声环境</w:t>
            </w:r>
          </w:p>
        </w:tc>
        <w:tc>
          <w:tcPr>
            <w:tcW w:w="3630"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保护项目所在区域声环境满足《声环境质量标准》</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（GB3096-2008）中规定的1类标准</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44" w:hRule="atLeast"/>
        </w:trPr>
        <w:tc>
          <w:tcPr>
            <w:tcW w:w="522" w:type="pct"/>
            <w:tcBorders>
              <w:top w:val="single" w:color="000000" w:sz="6"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4</w:t>
            </w:r>
          </w:p>
        </w:tc>
        <w:tc>
          <w:tcPr>
            <w:tcW w:w="847"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地下水环境</w:t>
            </w:r>
          </w:p>
        </w:tc>
        <w:tc>
          <w:tcPr>
            <w:tcW w:w="3630"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保护项目所在区域地下水水质满足《地下水质量标准》</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（GB/T14848-2017）中Ⅲ类水质标准</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817" w:hRule="atLeast"/>
        </w:trPr>
        <w:tc>
          <w:tcPr>
            <w:tcW w:w="522" w:type="pct"/>
            <w:tcBorders>
              <w:top w:val="single" w:color="000000" w:sz="6" w:space="0"/>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5</w:t>
            </w:r>
          </w:p>
        </w:tc>
        <w:tc>
          <w:tcPr>
            <w:tcW w:w="847"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土壤环境</w:t>
            </w:r>
          </w:p>
        </w:tc>
        <w:tc>
          <w:tcPr>
            <w:tcW w:w="3630"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hanging="5"/>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 xml:space="preserve">保护项目所在区域土壤满足《土壤环境质量 </w:t>
            </w:r>
            <w:r>
              <w:rPr>
                <w:rFonts w:hint="eastAsia" w:ascii="Times New Roman" w:hAnsi="Times New Roman" w:cs="Times New Roman"/>
                <w:spacing w:val="-6"/>
                <w:sz w:val="21"/>
                <w:szCs w:val="21"/>
                <w:lang w:val="en-US" w:eastAsia="zh-CN"/>
              </w:rPr>
              <w:t xml:space="preserve">  </w:t>
            </w:r>
            <w:r>
              <w:rPr>
                <w:rFonts w:hint="default" w:ascii="Times New Roman" w:hAnsi="Times New Roman" w:eastAsia="宋体" w:cs="Times New Roman"/>
                <w:spacing w:val="-6"/>
                <w:sz w:val="21"/>
                <w:szCs w:val="21"/>
              </w:rPr>
              <w:t>农用地土壤</w:t>
            </w:r>
            <w:r>
              <w:rPr>
                <w:rFonts w:hint="default" w:ascii="Times New Roman" w:hAnsi="Times New Roman" w:eastAsia="宋体" w:cs="Times New Roman"/>
                <w:sz w:val="21"/>
                <w:szCs w:val="21"/>
              </w:rPr>
              <w:t>污染风险管控标准（试行）》（GB15618-2018）土壤标准中的筛选值</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43" w:hRule="atLeast"/>
        </w:trPr>
        <w:tc>
          <w:tcPr>
            <w:tcW w:w="522" w:type="pct"/>
            <w:tcBorders>
              <w:top w:val="single" w:color="000000" w:sz="6" w:space="0"/>
              <w:left w:val="nil"/>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6</w:t>
            </w:r>
          </w:p>
        </w:tc>
        <w:tc>
          <w:tcPr>
            <w:tcW w:w="847" w:type="pct"/>
            <w:tcBorders>
              <w:top w:val="single" w:color="000000" w:sz="6" w:space="0"/>
              <w:left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生态环境</w:t>
            </w:r>
          </w:p>
        </w:tc>
        <w:tc>
          <w:tcPr>
            <w:tcW w:w="3630" w:type="pct"/>
            <w:tcBorders>
              <w:top w:val="single" w:color="000000" w:sz="6" w:space="0"/>
              <w:left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保护项目及周围地区的土壤、植被、动物不受到严重影</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响，不加重该区域的地质灾害</w:t>
            </w:r>
          </w:p>
        </w:tc>
      </w:tr>
    </w:tbl>
    <w:p>
      <w:pPr>
        <w:pStyle w:val="5"/>
        <w:ind w:firstLine="562"/>
      </w:pPr>
      <w:r>
        <w:rPr>
          <w:rFonts w:hint="eastAsia"/>
          <w:lang w:eastAsia="zh-CN"/>
        </w:rPr>
        <w:t>水环境敏感保护目标</w:t>
      </w:r>
    </w:p>
    <w:p>
      <w:pPr>
        <w:pStyle w:val="9"/>
        <w:rPr>
          <w:rFonts w:hint="eastAsia" w:ascii="Times New Roman" w:hAnsi="Times New Roman" w:cs="Times New Roman"/>
        </w:rPr>
      </w:pPr>
      <w:r>
        <w:rPr>
          <w:rFonts w:hint="eastAsia" w:ascii="Times New Roman" w:hAnsi="Times New Roman" w:cs="Times New Roman"/>
        </w:rPr>
        <w:t>项目周边保护水体主要为项目附近河流，保护工程涉及的各地表水环境功能区不因项目建设和运营而受到影响，具体保护对象及目标见表</w:t>
      </w:r>
      <w:r>
        <w:rPr>
          <w:rFonts w:hint="eastAsia" w:cs="Times New Roman"/>
          <w:lang w:val="en-US" w:eastAsia="zh-CN"/>
        </w:rPr>
        <w:t>2.7-2</w:t>
      </w:r>
      <w:r>
        <w:rPr>
          <w:rFonts w:hint="eastAsia" w:ascii="Times New Roman" w:hAnsi="Times New Roman" w:cs="Times New Roman"/>
        </w:rPr>
        <w:t>。</w:t>
      </w:r>
    </w:p>
    <w:p>
      <w:pPr>
        <w:pStyle w:val="9"/>
        <w:rPr>
          <w:rFonts w:hint="eastAsia" w:ascii="Times New Roman" w:hAnsi="Times New Roman" w:cs="Times New Roman"/>
        </w:rPr>
      </w:pPr>
      <w:r>
        <w:rPr>
          <w:rFonts w:hint="eastAsia" w:ascii="Times New Roman" w:hAnsi="Times New Roman" w:cs="Times New Roman"/>
        </w:rPr>
        <w:t>项目周边保护水体主要为</w:t>
      </w:r>
      <w:r>
        <w:rPr>
          <w:rFonts w:hint="eastAsia" w:cs="Times New Roman"/>
          <w:lang w:val="en-US" w:eastAsia="zh-CN"/>
        </w:rPr>
        <w:t>锦江</w:t>
      </w:r>
      <w:r>
        <w:rPr>
          <w:rFonts w:hint="eastAsia" w:ascii="Times New Roman" w:hAnsi="Times New Roman" w:cs="Times New Roman"/>
        </w:rPr>
        <w:t>，保护工程涉及的各地表水环境功能区不因项目建设和运营而受到影响，具体保护对象及目标见下表。</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val="en-US" w:eastAsia="zh-CN"/>
        </w:rPr>
      </w:pPr>
      <w:r>
        <w:rPr>
          <w:rFonts w:hint="eastAsia" w:cs="Times New Roman"/>
          <w:b/>
          <w:bCs/>
          <w:sz w:val="21"/>
          <w:szCs w:val="21"/>
          <w:lang w:eastAsia="zh-CN"/>
        </w:rPr>
        <w:t>表</w:t>
      </w:r>
      <w:r>
        <w:rPr>
          <w:rFonts w:hint="eastAsia" w:cs="Times New Roman"/>
          <w:b/>
          <w:bCs/>
          <w:sz w:val="21"/>
          <w:szCs w:val="21"/>
          <w:lang w:val="en-US" w:eastAsia="zh-CN"/>
        </w:rPr>
        <w:t>2.7-2  水环境功能区保护目标一览表</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6"/>
        <w:gridCol w:w="1155"/>
        <w:gridCol w:w="1380"/>
        <w:gridCol w:w="1380"/>
        <w:gridCol w:w="2219"/>
        <w:gridCol w:w="15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6" w:type="dxa"/>
            <w:tcBorders>
              <w:top w:val="single" w:color="auto" w:sz="12" w:space="0"/>
              <w:left w:val="nil"/>
              <w:bottom w:val="single" w:color="auto" w:sz="12" w:space="0"/>
            </w:tcBorders>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vertAlign w:val="baseline"/>
                <w:lang w:eastAsia="zh-CN"/>
              </w:rPr>
            </w:pPr>
            <w:r>
              <w:rPr>
                <w:rFonts w:hint="eastAsia" w:cs="Times New Roman"/>
                <w:color w:val="auto"/>
                <w:sz w:val="21"/>
                <w:szCs w:val="21"/>
                <w:vertAlign w:val="baseline"/>
                <w:lang w:eastAsia="zh-CN"/>
              </w:rPr>
              <w:t>序号</w:t>
            </w:r>
          </w:p>
        </w:tc>
        <w:tc>
          <w:tcPr>
            <w:tcW w:w="1155" w:type="dxa"/>
            <w:tcBorders>
              <w:top w:val="single" w:color="auto" w:sz="12" w:space="0"/>
              <w:bottom w:val="single" w:color="auto" w:sz="12" w:space="0"/>
            </w:tcBorders>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vertAlign w:val="baseline"/>
                <w:lang w:eastAsia="zh-CN"/>
              </w:rPr>
            </w:pPr>
            <w:r>
              <w:rPr>
                <w:rFonts w:hint="eastAsia" w:cs="Times New Roman"/>
                <w:color w:val="auto"/>
                <w:sz w:val="21"/>
                <w:szCs w:val="21"/>
                <w:vertAlign w:val="baseline"/>
                <w:lang w:eastAsia="zh-CN"/>
              </w:rPr>
              <w:t>名称</w:t>
            </w:r>
          </w:p>
        </w:tc>
        <w:tc>
          <w:tcPr>
            <w:tcW w:w="1380" w:type="dxa"/>
            <w:tcBorders>
              <w:top w:val="single" w:color="auto" w:sz="12" w:space="0"/>
              <w:bottom w:val="single" w:color="auto" w:sz="12" w:space="0"/>
            </w:tcBorders>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vertAlign w:val="baseline"/>
                <w:lang w:eastAsia="zh-CN"/>
              </w:rPr>
            </w:pPr>
            <w:r>
              <w:rPr>
                <w:rFonts w:hint="eastAsia" w:cs="Times New Roman"/>
                <w:color w:val="auto"/>
                <w:sz w:val="21"/>
                <w:szCs w:val="21"/>
                <w:vertAlign w:val="baseline"/>
                <w:lang w:eastAsia="zh-CN"/>
              </w:rPr>
              <w:t>保护对象</w:t>
            </w:r>
          </w:p>
        </w:tc>
        <w:tc>
          <w:tcPr>
            <w:tcW w:w="1380" w:type="dxa"/>
            <w:tcBorders>
              <w:top w:val="single" w:color="auto" w:sz="12" w:space="0"/>
              <w:bottom w:val="single" w:color="auto" w:sz="12" w:space="0"/>
            </w:tcBorders>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vertAlign w:val="baseline"/>
                <w:lang w:eastAsia="zh-CN"/>
              </w:rPr>
            </w:pPr>
            <w:r>
              <w:rPr>
                <w:rFonts w:hint="eastAsia" w:cs="Times New Roman"/>
                <w:color w:val="auto"/>
                <w:sz w:val="21"/>
                <w:szCs w:val="21"/>
                <w:vertAlign w:val="baseline"/>
                <w:lang w:eastAsia="zh-CN"/>
              </w:rPr>
              <w:t>最近距离</w:t>
            </w:r>
          </w:p>
        </w:tc>
        <w:tc>
          <w:tcPr>
            <w:tcW w:w="2219" w:type="dxa"/>
            <w:tcBorders>
              <w:top w:val="single" w:color="auto" w:sz="12" w:space="0"/>
              <w:bottom w:val="single" w:color="auto" w:sz="12" w:space="0"/>
            </w:tcBorders>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vertAlign w:val="baseline"/>
                <w:lang w:eastAsia="zh-CN"/>
              </w:rPr>
            </w:pPr>
            <w:r>
              <w:rPr>
                <w:rFonts w:hint="eastAsia" w:cs="Times New Roman"/>
                <w:color w:val="auto"/>
                <w:sz w:val="21"/>
                <w:szCs w:val="21"/>
                <w:vertAlign w:val="baseline"/>
                <w:lang w:eastAsia="zh-CN"/>
              </w:rPr>
              <w:t>环境功能区</w:t>
            </w:r>
          </w:p>
        </w:tc>
        <w:tc>
          <w:tcPr>
            <w:tcW w:w="1562" w:type="dxa"/>
            <w:tcBorders>
              <w:top w:val="single" w:color="auto" w:sz="12" w:space="0"/>
              <w:bottom w:val="single" w:color="auto" w:sz="12" w:space="0"/>
              <w:right w:val="nil"/>
            </w:tcBorders>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vertAlign w:val="baseline"/>
                <w:lang w:eastAsia="zh-CN"/>
              </w:rPr>
            </w:pPr>
            <w:r>
              <w:rPr>
                <w:rFonts w:hint="eastAsia" w:cs="Times New Roman"/>
                <w:color w:val="auto"/>
                <w:sz w:val="21"/>
                <w:szCs w:val="21"/>
                <w:vertAlign w:val="baseline"/>
                <w:lang w:eastAsia="zh-CN"/>
              </w:rPr>
              <w:t>相对场址方位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6" w:type="dxa"/>
            <w:tcBorders>
              <w:top w:val="single" w:color="auto" w:sz="12" w:space="0"/>
              <w:left w:val="nil"/>
              <w:bottom w:val="single" w:color="auto" w:sz="12" w:space="0"/>
            </w:tcBorders>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vertAlign w:val="baseline"/>
                <w:lang w:val="en-US" w:eastAsia="zh-CN"/>
              </w:rPr>
            </w:pPr>
            <w:r>
              <w:rPr>
                <w:rFonts w:hint="eastAsia" w:cs="Times New Roman"/>
                <w:color w:val="auto"/>
                <w:sz w:val="21"/>
                <w:szCs w:val="21"/>
                <w:vertAlign w:val="baseline"/>
                <w:lang w:val="en-US" w:eastAsia="zh-CN"/>
              </w:rPr>
              <w:t>1</w:t>
            </w:r>
          </w:p>
        </w:tc>
        <w:tc>
          <w:tcPr>
            <w:tcW w:w="1155" w:type="dxa"/>
            <w:tcBorders>
              <w:top w:val="single" w:color="auto" w:sz="12" w:space="0"/>
              <w:bottom w:val="single" w:color="auto" w:sz="12" w:space="0"/>
            </w:tcBorders>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vertAlign w:val="baseline"/>
                <w:lang w:eastAsia="zh-CN"/>
              </w:rPr>
            </w:pPr>
            <w:r>
              <w:rPr>
                <w:rFonts w:hint="eastAsia" w:cs="Times New Roman"/>
                <w:color w:val="auto"/>
                <w:sz w:val="21"/>
                <w:szCs w:val="21"/>
                <w:vertAlign w:val="baseline"/>
                <w:lang w:val="en-US" w:eastAsia="zh-CN"/>
              </w:rPr>
              <w:t>锦江</w:t>
            </w:r>
          </w:p>
        </w:tc>
        <w:tc>
          <w:tcPr>
            <w:tcW w:w="1380" w:type="dxa"/>
            <w:tcBorders>
              <w:top w:val="single" w:color="auto" w:sz="12" w:space="0"/>
              <w:bottom w:val="single" w:color="auto" w:sz="12" w:space="0"/>
            </w:tcBorders>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vertAlign w:val="baseline"/>
                <w:lang w:eastAsia="zh-CN"/>
              </w:rPr>
            </w:pPr>
            <w:r>
              <w:rPr>
                <w:rFonts w:hint="eastAsia" w:cs="Times New Roman"/>
                <w:color w:val="auto"/>
                <w:sz w:val="21"/>
                <w:szCs w:val="21"/>
                <w:vertAlign w:val="baseline"/>
                <w:lang w:eastAsia="zh-CN"/>
              </w:rPr>
              <w:t>河流</w:t>
            </w:r>
          </w:p>
        </w:tc>
        <w:tc>
          <w:tcPr>
            <w:tcW w:w="1380" w:type="dxa"/>
            <w:tcBorders>
              <w:top w:val="single" w:color="auto" w:sz="12" w:space="0"/>
              <w:bottom w:val="single" w:color="auto" w:sz="12" w:space="0"/>
            </w:tcBorders>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vertAlign w:val="baseline"/>
                <w:lang w:val="en-US" w:eastAsia="zh-CN"/>
              </w:rPr>
            </w:pPr>
            <w:r>
              <w:rPr>
                <w:rFonts w:hint="eastAsia" w:cs="Times New Roman"/>
                <w:color w:val="auto"/>
                <w:sz w:val="21"/>
                <w:szCs w:val="21"/>
                <w:vertAlign w:val="baseline"/>
                <w:lang w:val="en-US" w:eastAsia="zh-CN"/>
              </w:rPr>
              <w:t>2.9km</w:t>
            </w:r>
          </w:p>
        </w:tc>
        <w:tc>
          <w:tcPr>
            <w:tcW w:w="2219" w:type="dxa"/>
            <w:tcBorders>
              <w:top w:val="single" w:color="auto" w:sz="12" w:space="0"/>
              <w:bottom w:val="single" w:color="auto" w:sz="12" w:space="0"/>
            </w:tcBorders>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vertAlign w:val="baseline"/>
                <w:lang w:eastAsia="zh-CN"/>
              </w:rPr>
            </w:pPr>
            <w:r>
              <w:rPr>
                <w:rFonts w:hint="eastAsia" w:cs="Times New Roman"/>
                <w:color w:val="auto"/>
                <w:sz w:val="21"/>
                <w:szCs w:val="21"/>
                <w:vertAlign w:val="baseline"/>
                <w:lang w:val="en-US" w:eastAsia="zh-CN"/>
              </w:rPr>
              <w:t>GB3838-2002</w:t>
            </w:r>
            <w:r>
              <w:rPr>
                <w:rFonts w:hint="eastAsia" w:cs="Times New Roman"/>
                <w:color w:val="auto"/>
                <w:sz w:val="21"/>
                <w:szCs w:val="21"/>
                <w:vertAlign w:val="baseline"/>
                <w:lang w:eastAsia="zh-CN"/>
              </w:rPr>
              <w:t>Ⅲ类</w:t>
            </w:r>
          </w:p>
        </w:tc>
        <w:tc>
          <w:tcPr>
            <w:tcW w:w="1562" w:type="dxa"/>
            <w:tcBorders>
              <w:top w:val="single" w:color="auto" w:sz="12" w:space="0"/>
              <w:bottom w:val="single" w:color="auto" w:sz="12" w:space="0"/>
              <w:right w:val="nil"/>
            </w:tcBorders>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vertAlign w:val="baseline"/>
                <w:lang w:eastAsia="zh-CN"/>
              </w:rPr>
            </w:pPr>
            <w:r>
              <w:rPr>
                <w:rFonts w:hint="eastAsia" w:cs="Times New Roman"/>
                <w:color w:val="auto"/>
                <w:sz w:val="21"/>
                <w:szCs w:val="21"/>
                <w:vertAlign w:val="baseline"/>
                <w:lang w:eastAsia="zh-CN"/>
              </w:rPr>
              <w:t>东</w:t>
            </w:r>
            <w:r>
              <w:rPr>
                <w:rFonts w:hint="eastAsia" w:cs="Times New Roman"/>
                <w:color w:val="auto"/>
                <w:sz w:val="21"/>
                <w:szCs w:val="21"/>
                <w:vertAlign w:val="baseline"/>
                <w:lang w:val="en-US" w:eastAsia="zh-CN"/>
              </w:rPr>
              <w:t>南</w:t>
            </w:r>
            <w:r>
              <w:rPr>
                <w:rFonts w:hint="eastAsia" w:cs="Times New Roman"/>
                <w:color w:val="auto"/>
                <w:sz w:val="21"/>
                <w:szCs w:val="21"/>
                <w:vertAlign w:val="baseline"/>
                <w:lang w:eastAsia="zh-CN"/>
              </w:rPr>
              <w:t>面</w:t>
            </w:r>
          </w:p>
        </w:tc>
      </w:tr>
    </w:tbl>
    <w:p>
      <w:pPr>
        <w:pStyle w:val="5"/>
        <w:ind w:firstLine="562"/>
      </w:pPr>
      <w:r>
        <w:rPr>
          <w:rFonts w:hint="eastAsia"/>
          <w:lang w:eastAsia="zh-CN"/>
        </w:rPr>
        <w:t>大气环境敏感保护目标</w:t>
      </w:r>
    </w:p>
    <w:p>
      <w:pPr>
        <w:pStyle w:val="9"/>
        <w:rPr>
          <w:rFonts w:hint="eastAsia" w:ascii="Times New Roman" w:hAnsi="Times New Roman" w:cs="Times New Roman"/>
        </w:rPr>
      </w:pPr>
      <w:r>
        <w:rPr>
          <w:rFonts w:hint="eastAsia" w:ascii="Times New Roman" w:hAnsi="Times New Roman" w:cs="Times New Roman"/>
        </w:rPr>
        <w:t>根据现场实地调查，本项目大气评价范围内主要存在下表所列村庄，具体大气环境敏感保护目标见表2.7-3。</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val="en-US" w:eastAsia="zh-CN"/>
        </w:rPr>
      </w:pPr>
      <w:r>
        <w:rPr>
          <w:rFonts w:hint="eastAsia" w:cs="Times New Roman"/>
          <w:b/>
          <w:bCs/>
          <w:sz w:val="21"/>
          <w:szCs w:val="21"/>
          <w:lang w:val="en-US" w:eastAsia="zh-CN"/>
        </w:rPr>
        <w:t>表2.7-3  环境空气保护目标</w:t>
      </w:r>
    </w:p>
    <w:tbl>
      <w:tblPr>
        <w:tblStyle w:val="64"/>
        <w:tblW w:w="499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08"/>
        <w:gridCol w:w="1056"/>
        <w:gridCol w:w="744"/>
        <w:gridCol w:w="793"/>
        <w:gridCol w:w="1081"/>
        <w:gridCol w:w="1153"/>
        <w:gridCol w:w="958"/>
        <w:gridCol w:w="1102"/>
        <w:gridCol w:w="112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51" w:hRule="atLeast"/>
          <w:jc w:val="center"/>
        </w:trPr>
        <w:tc>
          <w:tcPr>
            <w:tcW w:w="298" w:type="pct"/>
            <w:vMerge w:val="restar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序号</w:t>
            </w:r>
          </w:p>
        </w:tc>
        <w:tc>
          <w:tcPr>
            <w:tcW w:w="619" w:type="pct"/>
            <w:vMerge w:val="restar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名称</w:t>
            </w:r>
          </w:p>
        </w:tc>
        <w:tc>
          <w:tcPr>
            <w:tcW w:w="901" w:type="pct"/>
            <w:gridSpan w:val="2"/>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坐标/m</w:t>
            </w:r>
          </w:p>
        </w:tc>
        <w:tc>
          <w:tcPr>
            <w:tcW w:w="634" w:type="pct"/>
            <w:vMerge w:val="restar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保护对象</w:t>
            </w:r>
          </w:p>
        </w:tc>
        <w:tc>
          <w:tcPr>
            <w:tcW w:w="676" w:type="pct"/>
            <w:vMerge w:val="restar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保护内容</w:t>
            </w:r>
          </w:p>
        </w:tc>
        <w:tc>
          <w:tcPr>
            <w:tcW w:w="562" w:type="pct"/>
            <w:vMerge w:val="restar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环境功能区</w:t>
            </w:r>
          </w:p>
        </w:tc>
        <w:tc>
          <w:tcPr>
            <w:tcW w:w="646" w:type="pct"/>
            <w:vMerge w:val="restar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相对厂址方位</w:t>
            </w:r>
          </w:p>
        </w:tc>
        <w:tc>
          <w:tcPr>
            <w:tcW w:w="658" w:type="pct"/>
            <w:vMerge w:val="restar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相对厂界距离/m</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51" w:hRule="atLeast"/>
          <w:jc w:val="center"/>
        </w:trPr>
        <w:tc>
          <w:tcPr>
            <w:tcW w:w="298" w:type="pct"/>
            <w:vMerge w:val="continue"/>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pPr>
          </w:p>
        </w:tc>
        <w:tc>
          <w:tcPr>
            <w:tcW w:w="619" w:type="pct"/>
            <w:vMerge w:val="continue"/>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pP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lang w:val="en-US" w:eastAsia="zh-CN"/>
              </w:rPr>
            </w:pPr>
            <w:r>
              <w:rPr>
                <w:rFonts w:hint="eastAsia"/>
                <w:lang w:val="en-US" w:eastAsia="zh-CN"/>
              </w:rPr>
              <w:t>X</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Y</w:t>
            </w:r>
          </w:p>
        </w:tc>
        <w:tc>
          <w:tcPr>
            <w:tcW w:w="634" w:type="pct"/>
            <w:vMerge w:val="continue"/>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p>
        </w:tc>
        <w:tc>
          <w:tcPr>
            <w:tcW w:w="676" w:type="pct"/>
            <w:vMerge w:val="continue"/>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p>
        </w:tc>
        <w:tc>
          <w:tcPr>
            <w:tcW w:w="562" w:type="pct"/>
            <w:vMerge w:val="continue"/>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p>
        </w:tc>
        <w:tc>
          <w:tcPr>
            <w:tcW w:w="646" w:type="pct"/>
            <w:vMerge w:val="continue"/>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p>
        </w:tc>
        <w:tc>
          <w:tcPr>
            <w:tcW w:w="658" w:type="pct"/>
            <w:vMerge w:val="continue"/>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1</w:t>
            </w:r>
          </w:p>
        </w:tc>
        <w:tc>
          <w:tcPr>
            <w:tcW w:w="619"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寨下</w:t>
            </w: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620</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144</w:t>
            </w:r>
          </w:p>
        </w:tc>
        <w:tc>
          <w:tcPr>
            <w:tcW w:w="634"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住宅区</w:t>
            </w:r>
          </w:p>
        </w:tc>
        <w:tc>
          <w:tcPr>
            <w:tcW w:w="67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居民</w:t>
            </w:r>
          </w:p>
        </w:tc>
        <w:tc>
          <w:tcPr>
            <w:tcW w:w="562"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Ⅱ</w:t>
            </w:r>
          </w:p>
        </w:tc>
        <w:tc>
          <w:tcPr>
            <w:tcW w:w="64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东</w:t>
            </w:r>
          </w:p>
        </w:tc>
        <w:tc>
          <w:tcPr>
            <w:tcW w:w="65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272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2</w:t>
            </w:r>
          </w:p>
        </w:tc>
        <w:tc>
          <w:tcPr>
            <w:tcW w:w="619"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小坦丘</w:t>
            </w: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1073</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401</w:t>
            </w:r>
          </w:p>
        </w:tc>
        <w:tc>
          <w:tcPr>
            <w:tcW w:w="634"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住宅区</w:t>
            </w:r>
          </w:p>
        </w:tc>
        <w:tc>
          <w:tcPr>
            <w:tcW w:w="67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居民</w:t>
            </w:r>
          </w:p>
        </w:tc>
        <w:tc>
          <w:tcPr>
            <w:tcW w:w="562"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eastAsia="zh-CN"/>
              </w:rPr>
              <w:t>Ⅱ</w:t>
            </w:r>
          </w:p>
        </w:tc>
        <w:tc>
          <w:tcPr>
            <w:tcW w:w="64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东</w:t>
            </w:r>
          </w:p>
        </w:tc>
        <w:tc>
          <w:tcPr>
            <w:tcW w:w="65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798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3</w:t>
            </w:r>
          </w:p>
        </w:tc>
        <w:tc>
          <w:tcPr>
            <w:tcW w:w="619"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新地</w:t>
            </w: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1732</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58</w:t>
            </w:r>
          </w:p>
        </w:tc>
        <w:tc>
          <w:tcPr>
            <w:tcW w:w="634"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住宅区</w:t>
            </w:r>
          </w:p>
        </w:tc>
        <w:tc>
          <w:tcPr>
            <w:tcW w:w="67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居民</w:t>
            </w:r>
          </w:p>
        </w:tc>
        <w:tc>
          <w:tcPr>
            <w:tcW w:w="562"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eastAsia="zh-CN"/>
              </w:rPr>
              <w:t>Ⅱ</w:t>
            </w:r>
          </w:p>
        </w:tc>
        <w:tc>
          <w:tcPr>
            <w:tcW w:w="64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东</w:t>
            </w:r>
          </w:p>
        </w:tc>
        <w:tc>
          <w:tcPr>
            <w:tcW w:w="65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1474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4</w:t>
            </w:r>
          </w:p>
        </w:tc>
        <w:tc>
          <w:tcPr>
            <w:tcW w:w="619"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罗村</w:t>
            </w: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2845</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2791</w:t>
            </w:r>
          </w:p>
        </w:tc>
        <w:tc>
          <w:tcPr>
            <w:tcW w:w="634"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住宅区</w:t>
            </w:r>
          </w:p>
        </w:tc>
        <w:tc>
          <w:tcPr>
            <w:tcW w:w="67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居民</w:t>
            </w:r>
          </w:p>
        </w:tc>
        <w:tc>
          <w:tcPr>
            <w:tcW w:w="562"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eastAsia="zh-CN"/>
              </w:rPr>
              <w:t>Ⅱ</w:t>
            </w:r>
          </w:p>
        </w:tc>
        <w:tc>
          <w:tcPr>
            <w:tcW w:w="64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西南</w:t>
            </w:r>
          </w:p>
        </w:tc>
        <w:tc>
          <w:tcPr>
            <w:tcW w:w="65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3398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5</w:t>
            </w:r>
          </w:p>
        </w:tc>
        <w:tc>
          <w:tcPr>
            <w:tcW w:w="619"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塘联村</w:t>
            </w: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3796</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1817</w:t>
            </w:r>
          </w:p>
        </w:tc>
        <w:tc>
          <w:tcPr>
            <w:tcW w:w="634"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住宅区</w:t>
            </w:r>
          </w:p>
        </w:tc>
        <w:tc>
          <w:tcPr>
            <w:tcW w:w="67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居民</w:t>
            </w:r>
          </w:p>
        </w:tc>
        <w:tc>
          <w:tcPr>
            <w:tcW w:w="562"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eastAsia="zh-CN"/>
              </w:rPr>
              <w:t>Ⅱ</w:t>
            </w:r>
          </w:p>
        </w:tc>
        <w:tc>
          <w:tcPr>
            <w:tcW w:w="64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西南偏西</w:t>
            </w:r>
          </w:p>
        </w:tc>
        <w:tc>
          <w:tcPr>
            <w:tcW w:w="65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3784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6</w:t>
            </w:r>
          </w:p>
        </w:tc>
        <w:tc>
          <w:tcPr>
            <w:tcW w:w="619"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水北方</w:t>
            </w: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864</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249</w:t>
            </w:r>
          </w:p>
        </w:tc>
        <w:tc>
          <w:tcPr>
            <w:tcW w:w="634"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住宅区</w:t>
            </w:r>
          </w:p>
        </w:tc>
        <w:tc>
          <w:tcPr>
            <w:tcW w:w="67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居民</w:t>
            </w:r>
          </w:p>
        </w:tc>
        <w:tc>
          <w:tcPr>
            <w:tcW w:w="562"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eastAsia="zh-CN"/>
              </w:rPr>
              <w:t>Ⅱ</w:t>
            </w:r>
          </w:p>
        </w:tc>
        <w:tc>
          <w:tcPr>
            <w:tcW w:w="64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西</w:t>
            </w:r>
          </w:p>
        </w:tc>
        <w:tc>
          <w:tcPr>
            <w:tcW w:w="65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602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7</w:t>
            </w:r>
          </w:p>
        </w:tc>
        <w:tc>
          <w:tcPr>
            <w:tcW w:w="619"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坑尾头</w:t>
            </w: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2962</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485</w:t>
            </w:r>
          </w:p>
        </w:tc>
        <w:tc>
          <w:tcPr>
            <w:tcW w:w="634"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住宅区</w:t>
            </w:r>
          </w:p>
        </w:tc>
        <w:tc>
          <w:tcPr>
            <w:tcW w:w="67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居民</w:t>
            </w:r>
          </w:p>
        </w:tc>
        <w:tc>
          <w:tcPr>
            <w:tcW w:w="562"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eastAsia="zh-CN"/>
              </w:rPr>
              <w:t>Ⅱ</w:t>
            </w:r>
          </w:p>
        </w:tc>
        <w:tc>
          <w:tcPr>
            <w:tcW w:w="64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西</w:t>
            </w:r>
          </w:p>
        </w:tc>
        <w:tc>
          <w:tcPr>
            <w:tcW w:w="65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sz w:val="21"/>
                <w:szCs w:val="21"/>
                <w:vertAlign w:val="baseline"/>
              </w:rPr>
            </w:pPr>
            <w:r>
              <w:rPr>
                <w:rFonts w:hint="eastAsia" w:cs="Times New Roman"/>
                <w:sz w:val="21"/>
                <w:szCs w:val="21"/>
                <w:vertAlign w:val="baseline"/>
                <w:lang w:val="en-US" w:eastAsia="zh-CN"/>
              </w:rPr>
              <w:t>2682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8</w:t>
            </w:r>
          </w:p>
        </w:tc>
        <w:tc>
          <w:tcPr>
            <w:tcW w:w="619"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鸡麻埂</w:t>
            </w: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4388</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1193</w:t>
            </w:r>
          </w:p>
        </w:tc>
        <w:tc>
          <w:tcPr>
            <w:tcW w:w="634"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住宅区</w:t>
            </w:r>
          </w:p>
        </w:tc>
        <w:tc>
          <w:tcPr>
            <w:tcW w:w="67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居民</w:t>
            </w:r>
          </w:p>
        </w:tc>
        <w:tc>
          <w:tcPr>
            <w:tcW w:w="562"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eastAsia="zh-CN"/>
              </w:rPr>
            </w:pPr>
            <w:r>
              <w:rPr>
                <w:rFonts w:hint="eastAsia" w:cs="Times New Roman"/>
                <w:sz w:val="21"/>
                <w:szCs w:val="21"/>
                <w:vertAlign w:val="baseline"/>
                <w:lang w:eastAsia="zh-CN"/>
              </w:rPr>
              <w:t>Ⅱ</w:t>
            </w:r>
          </w:p>
        </w:tc>
        <w:tc>
          <w:tcPr>
            <w:tcW w:w="64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西</w:t>
            </w:r>
          </w:p>
        </w:tc>
        <w:tc>
          <w:tcPr>
            <w:tcW w:w="65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4297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9</w:t>
            </w:r>
          </w:p>
        </w:tc>
        <w:tc>
          <w:tcPr>
            <w:tcW w:w="619"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左坑</w:t>
            </w: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2810</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2072</w:t>
            </w:r>
          </w:p>
        </w:tc>
        <w:tc>
          <w:tcPr>
            <w:tcW w:w="634"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住宅区</w:t>
            </w:r>
          </w:p>
        </w:tc>
        <w:tc>
          <w:tcPr>
            <w:tcW w:w="67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居民</w:t>
            </w:r>
          </w:p>
        </w:tc>
        <w:tc>
          <w:tcPr>
            <w:tcW w:w="562"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eastAsia="zh-CN"/>
              </w:rPr>
            </w:pPr>
            <w:r>
              <w:rPr>
                <w:rFonts w:hint="eastAsia" w:cs="Times New Roman"/>
                <w:sz w:val="21"/>
                <w:szCs w:val="21"/>
                <w:vertAlign w:val="baseline"/>
                <w:lang w:eastAsia="zh-CN"/>
              </w:rPr>
              <w:t>Ⅱ</w:t>
            </w:r>
          </w:p>
        </w:tc>
        <w:tc>
          <w:tcPr>
            <w:tcW w:w="64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西北</w:t>
            </w:r>
          </w:p>
        </w:tc>
        <w:tc>
          <w:tcPr>
            <w:tcW w:w="65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3213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10</w:t>
            </w:r>
          </w:p>
        </w:tc>
        <w:tc>
          <w:tcPr>
            <w:tcW w:w="619"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上塅</w:t>
            </w: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250</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951</w:t>
            </w:r>
          </w:p>
        </w:tc>
        <w:tc>
          <w:tcPr>
            <w:tcW w:w="634"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住宅区</w:t>
            </w:r>
          </w:p>
        </w:tc>
        <w:tc>
          <w:tcPr>
            <w:tcW w:w="67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居民</w:t>
            </w:r>
          </w:p>
        </w:tc>
        <w:tc>
          <w:tcPr>
            <w:tcW w:w="562"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eastAsia="zh-CN"/>
              </w:rPr>
            </w:pPr>
            <w:r>
              <w:rPr>
                <w:rFonts w:hint="eastAsia" w:cs="Times New Roman"/>
                <w:sz w:val="21"/>
                <w:szCs w:val="21"/>
                <w:vertAlign w:val="baseline"/>
                <w:lang w:eastAsia="zh-CN"/>
              </w:rPr>
              <w:t>Ⅱ</w:t>
            </w:r>
          </w:p>
        </w:tc>
        <w:tc>
          <w:tcPr>
            <w:tcW w:w="64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北</w:t>
            </w:r>
          </w:p>
        </w:tc>
        <w:tc>
          <w:tcPr>
            <w:tcW w:w="65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562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11</w:t>
            </w:r>
          </w:p>
        </w:tc>
        <w:tc>
          <w:tcPr>
            <w:tcW w:w="619"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 xml:space="preserve">带头 </w:t>
            </w: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1662</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3622</w:t>
            </w:r>
          </w:p>
        </w:tc>
        <w:tc>
          <w:tcPr>
            <w:tcW w:w="634"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住宅区</w:t>
            </w:r>
          </w:p>
        </w:tc>
        <w:tc>
          <w:tcPr>
            <w:tcW w:w="67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居民</w:t>
            </w:r>
          </w:p>
        </w:tc>
        <w:tc>
          <w:tcPr>
            <w:tcW w:w="562"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eastAsia="zh-CN"/>
              </w:rPr>
            </w:pPr>
            <w:r>
              <w:rPr>
                <w:rFonts w:hint="eastAsia" w:cs="Times New Roman"/>
                <w:sz w:val="21"/>
                <w:szCs w:val="21"/>
                <w:vertAlign w:val="baseline"/>
                <w:lang w:eastAsia="zh-CN"/>
              </w:rPr>
              <w:t>Ⅱ</w:t>
            </w:r>
          </w:p>
        </w:tc>
        <w:tc>
          <w:tcPr>
            <w:tcW w:w="64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北</w:t>
            </w:r>
          </w:p>
        </w:tc>
        <w:tc>
          <w:tcPr>
            <w:tcW w:w="65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3911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12</w:t>
            </w:r>
          </w:p>
        </w:tc>
        <w:tc>
          <w:tcPr>
            <w:tcW w:w="619"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燕子片</w:t>
            </w: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1541</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4901</w:t>
            </w:r>
          </w:p>
        </w:tc>
        <w:tc>
          <w:tcPr>
            <w:tcW w:w="634"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住宅区</w:t>
            </w:r>
          </w:p>
        </w:tc>
        <w:tc>
          <w:tcPr>
            <w:tcW w:w="67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居民</w:t>
            </w:r>
          </w:p>
        </w:tc>
        <w:tc>
          <w:tcPr>
            <w:tcW w:w="562"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eastAsia="zh-CN"/>
              </w:rPr>
            </w:pPr>
            <w:r>
              <w:rPr>
                <w:rFonts w:hint="eastAsia" w:cs="Times New Roman"/>
                <w:sz w:val="21"/>
                <w:szCs w:val="21"/>
                <w:vertAlign w:val="baseline"/>
                <w:lang w:eastAsia="zh-CN"/>
              </w:rPr>
              <w:t>Ⅱ</w:t>
            </w:r>
          </w:p>
        </w:tc>
        <w:tc>
          <w:tcPr>
            <w:tcW w:w="64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北</w:t>
            </w:r>
          </w:p>
        </w:tc>
        <w:tc>
          <w:tcPr>
            <w:tcW w:w="65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4814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13</w:t>
            </w:r>
          </w:p>
        </w:tc>
        <w:tc>
          <w:tcPr>
            <w:tcW w:w="619"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厚塘村</w:t>
            </w: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457</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600</w:t>
            </w:r>
          </w:p>
        </w:tc>
        <w:tc>
          <w:tcPr>
            <w:tcW w:w="634"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住宅区</w:t>
            </w:r>
          </w:p>
        </w:tc>
        <w:tc>
          <w:tcPr>
            <w:tcW w:w="67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居民</w:t>
            </w:r>
          </w:p>
        </w:tc>
        <w:tc>
          <w:tcPr>
            <w:tcW w:w="562"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eastAsia="zh-CN"/>
              </w:rPr>
            </w:pPr>
            <w:r>
              <w:rPr>
                <w:rFonts w:hint="eastAsia" w:cs="Times New Roman"/>
                <w:sz w:val="21"/>
                <w:szCs w:val="21"/>
                <w:vertAlign w:val="baseline"/>
                <w:lang w:eastAsia="zh-CN"/>
              </w:rPr>
              <w:t>Ⅱ</w:t>
            </w:r>
          </w:p>
        </w:tc>
        <w:tc>
          <w:tcPr>
            <w:tcW w:w="64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东北</w:t>
            </w:r>
          </w:p>
        </w:tc>
        <w:tc>
          <w:tcPr>
            <w:tcW w:w="65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446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14</w:t>
            </w:r>
          </w:p>
        </w:tc>
        <w:tc>
          <w:tcPr>
            <w:tcW w:w="619"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六联小学</w:t>
            </w:r>
          </w:p>
        </w:tc>
        <w:tc>
          <w:tcPr>
            <w:tcW w:w="43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702</w:t>
            </w:r>
          </w:p>
        </w:tc>
        <w:tc>
          <w:tcPr>
            <w:tcW w:w="465"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652</w:t>
            </w:r>
          </w:p>
        </w:tc>
        <w:tc>
          <w:tcPr>
            <w:tcW w:w="634"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学校</w:t>
            </w:r>
          </w:p>
        </w:tc>
        <w:tc>
          <w:tcPr>
            <w:tcW w:w="676"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师生</w:t>
            </w:r>
          </w:p>
        </w:tc>
        <w:tc>
          <w:tcPr>
            <w:tcW w:w="958" w:type="dxa"/>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eastAsia="zh-CN"/>
              </w:rPr>
            </w:pPr>
            <w:r>
              <w:rPr>
                <w:rFonts w:hint="eastAsia" w:cs="Times New Roman"/>
                <w:sz w:val="21"/>
                <w:szCs w:val="21"/>
                <w:vertAlign w:val="baseline"/>
                <w:lang w:eastAsia="zh-CN"/>
              </w:rPr>
              <w:t>Ⅱ</w:t>
            </w:r>
          </w:p>
        </w:tc>
        <w:tc>
          <w:tcPr>
            <w:tcW w:w="1102" w:type="dxa"/>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sz w:val="21"/>
                <w:szCs w:val="21"/>
                <w:vertAlign w:val="baseline"/>
                <w:lang w:val="en-US" w:eastAsia="zh-CN"/>
              </w:rPr>
            </w:pPr>
            <w:r>
              <w:rPr>
                <w:rFonts w:hint="eastAsia" w:cs="Times New Roman"/>
                <w:sz w:val="21"/>
                <w:szCs w:val="21"/>
                <w:vertAlign w:val="baseline"/>
                <w:lang w:val="en-US" w:eastAsia="zh-CN"/>
              </w:rPr>
              <w:t>东北</w:t>
            </w:r>
          </w:p>
        </w:tc>
        <w:tc>
          <w:tcPr>
            <w:tcW w:w="658"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sz w:val="21"/>
                <w:szCs w:val="21"/>
                <w:vertAlign w:val="baseline"/>
                <w:lang w:val="en-US" w:eastAsia="zh-CN"/>
              </w:rPr>
            </w:pPr>
            <w:r>
              <w:rPr>
                <w:rFonts w:hint="eastAsia" w:cs="Times New Roman"/>
                <w:sz w:val="21"/>
                <w:szCs w:val="21"/>
                <w:vertAlign w:val="baseline"/>
                <w:lang w:val="en-US" w:eastAsia="zh-CN"/>
              </w:rPr>
              <w:t>632</w:t>
            </w:r>
          </w:p>
        </w:tc>
      </w:tr>
    </w:tbl>
    <w:p>
      <w:pPr>
        <w:pStyle w:val="5"/>
        <w:ind w:firstLine="562"/>
      </w:pPr>
      <w:r>
        <w:rPr>
          <w:rFonts w:hint="eastAsia"/>
          <w:lang w:eastAsia="zh-CN"/>
        </w:rPr>
        <w:t>声环境敏感保护目标</w:t>
      </w:r>
    </w:p>
    <w:p>
      <w:pPr>
        <w:pStyle w:val="9"/>
        <w:rPr>
          <w:rFonts w:hint="eastAsia"/>
        </w:rPr>
      </w:pPr>
      <w:r>
        <w:rPr>
          <w:rFonts w:hint="eastAsia"/>
        </w:rPr>
        <w:t>本项目</w:t>
      </w:r>
      <w:r>
        <w:rPr>
          <w:rFonts w:hint="eastAsia"/>
          <w:lang w:val="en-US" w:eastAsia="zh-CN"/>
        </w:rPr>
        <w:t>评价范围内</w:t>
      </w:r>
      <w:r>
        <w:rPr>
          <w:rFonts w:hint="eastAsia"/>
        </w:rPr>
        <w:t>无</w:t>
      </w:r>
      <w:r>
        <w:rPr>
          <w:rFonts w:hint="eastAsia"/>
          <w:lang w:val="en-US" w:eastAsia="zh-CN"/>
        </w:rPr>
        <w:t>声</w:t>
      </w:r>
      <w:r>
        <w:rPr>
          <w:rFonts w:hint="eastAsia"/>
        </w:rPr>
        <w:t>环境敏感保护目标。</w:t>
      </w:r>
    </w:p>
    <w:p>
      <w:pPr>
        <w:pStyle w:val="5"/>
        <w:ind w:firstLine="562"/>
      </w:pPr>
      <w:r>
        <w:rPr>
          <w:rFonts w:hint="eastAsia"/>
          <w:lang w:eastAsia="zh-CN"/>
        </w:rPr>
        <w:t>地下水及生态环境敏感保护目标</w:t>
      </w:r>
    </w:p>
    <w:p>
      <w:pPr>
        <w:pStyle w:val="9"/>
        <w:rPr>
          <w:rFonts w:hint="eastAsia"/>
        </w:rPr>
      </w:pPr>
      <w:r>
        <w:rPr>
          <w:rFonts w:hint="eastAsia"/>
        </w:rPr>
        <w:t>本项目</w:t>
      </w:r>
      <w:r>
        <w:rPr>
          <w:rFonts w:hint="eastAsia"/>
          <w:lang w:val="en-US" w:eastAsia="zh-CN"/>
        </w:rPr>
        <w:t>评价范围</w:t>
      </w:r>
      <w:r>
        <w:rPr>
          <w:rFonts w:hint="eastAsia"/>
        </w:rPr>
        <w:t>无地下水及生态环境敏感保护目标。</w:t>
      </w:r>
    </w:p>
    <w:p>
      <w:pPr>
        <w:pStyle w:val="9"/>
        <w:rPr>
          <w:rFonts w:hint="eastAsia"/>
        </w:rPr>
      </w:pPr>
    </w:p>
    <w:p>
      <w:pPr>
        <w:pStyle w:val="9"/>
        <w:rPr>
          <w:rFonts w:hint="eastAsia"/>
        </w:rPr>
      </w:pPr>
    </w:p>
    <w:p>
      <w:pPr>
        <w:pStyle w:val="9"/>
        <w:ind w:left="0" w:leftChars="0" w:firstLine="0" w:firstLineChars="0"/>
        <w:rPr>
          <w:rFonts w:hint="eastAsia"/>
        </w:rPr>
      </w:pPr>
      <w:r>
        <w:drawing>
          <wp:inline distT="0" distB="0" distL="114300" distR="114300">
            <wp:extent cx="5271770" cy="5029200"/>
            <wp:effectExtent l="19050" t="19050" r="27940" b="26670"/>
            <wp:docPr id="5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4"/>
                    <pic:cNvPicPr>
                      <a:picLocks noChangeAspect="1"/>
                    </pic:cNvPicPr>
                  </pic:nvPicPr>
                  <pic:blipFill>
                    <a:blip r:embed="rId30"/>
                    <a:stretch>
                      <a:fillRect/>
                    </a:stretch>
                  </pic:blipFill>
                  <pic:spPr>
                    <a:xfrm>
                      <a:off x="0" y="0"/>
                      <a:ext cx="5271770" cy="5029200"/>
                    </a:xfrm>
                    <a:prstGeom prst="rect">
                      <a:avLst/>
                    </a:prstGeom>
                    <a:noFill/>
                    <a:ln w="19050">
                      <a:solidFill>
                        <a:schemeClr val="tx1"/>
                      </a:solidFill>
                    </a:ln>
                  </pic:spPr>
                </pic:pic>
              </a:graphicData>
            </a:graphic>
          </wp:inline>
        </w:drawing>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eastAsia="宋体"/>
          <w:b/>
          <w:bCs/>
          <w:sz w:val="21"/>
          <w:szCs w:val="21"/>
          <w:lang w:val="en-US" w:eastAsia="zh-CN"/>
        </w:rPr>
      </w:pPr>
      <w:r>
        <w:rPr>
          <w:rFonts w:hint="eastAsia"/>
          <w:b/>
          <w:bCs/>
          <w:sz w:val="21"/>
          <w:szCs w:val="21"/>
          <w:lang w:val="en-US" w:eastAsia="zh-CN"/>
        </w:rPr>
        <w:t>图2.7-1  项目环境保护目标及范围示意图</w:t>
      </w:r>
    </w:p>
    <w:p>
      <w:pPr>
        <w:pStyle w:val="4"/>
      </w:pPr>
      <w:bookmarkStart w:id="26" w:name="_Toc21975"/>
      <w:r>
        <w:rPr>
          <w:rFonts w:hint="eastAsia"/>
          <w:lang w:eastAsia="zh-CN"/>
        </w:rPr>
        <w:t>环境影响评价标准</w:t>
      </w:r>
      <w:bookmarkEnd w:id="26"/>
    </w:p>
    <w:p>
      <w:pPr>
        <w:pStyle w:val="5"/>
        <w:ind w:firstLine="562"/>
      </w:pPr>
      <w:r>
        <w:rPr>
          <w:rFonts w:hint="eastAsia"/>
          <w:lang w:eastAsia="zh-CN"/>
        </w:rPr>
        <w:t>环境质量标准</w:t>
      </w:r>
    </w:p>
    <w:p>
      <w:pPr>
        <w:pStyle w:val="6"/>
      </w:pPr>
      <w:r>
        <w:rPr>
          <w:rFonts w:hint="eastAsia"/>
        </w:rPr>
        <w:t>地表水</w:t>
      </w:r>
      <w:r>
        <w:rPr>
          <w:rFonts w:hint="eastAsia"/>
          <w:lang w:eastAsia="zh-CN"/>
        </w:rPr>
        <w:t>环境质量标准</w:t>
      </w:r>
    </w:p>
    <w:p>
      <w:pPr>
        <w:pStyle w:val="9"/>
        <w:rPr>
          <w:rFonts w:hint="eastAsia"/>
        </w:rPr>
      </w:pPr>
      <w:r>
        <w:rPr>
          <w:rFonts w:hint="eastAsia"/>
        </w:rPr>
        <w:t>项目附近水体为</w:t>
      </w:r>
      <w:r>
        <w:rPr>
          <w:rFonts w:hint="eastAsia"/>
          <w:lang w:eastAsia="zh-CN"/>
        </w:rPr>
        <w:t>锦江</w:t>
      </w:r>
      <w:r>
        <w:rPr>
          <w:rFonts w:hint="eastAsia"/>
        </w:rPr>
        <w:t>，</w:t>
      </w:r>
      <w:r>
        <w:rPr>
          <w:rFonts w:hint="eastAsia"/>
          <w:lang w:eastAsia="zh-CN"/>
        </w:rPr>
        <w:t>锦江</w:t>
      </w:r>
      <w:r>
        <w:rPr>
          <w:rFonts w:hint="eastAsia"/>
        </w:rPr>
        <w:t>水质目标为</w:t>
      </w:r>
      <w:r>
        <w:rPr>
          <w:rFonts w:hint="eastAsia"/>
          <w:lang w:eastAsia="zh-CN"/>
        </w:rPr>
        <w:t>Ⅲ</w:t>
      </w:r>
      <w:r>
        <w:rPr>
          <w:rFonts w:hint="eastAsia"/>
        </w:rPr>
        <w:t>类水，主要功能为综合用水，水环境质量执行《地表水环境质量标准》（GB3838-2002）中的</w:t>
      </w:r>
      <w:r>
        <w:rPr>
          <w:rFonts w:hint="eastAsia"/>
          <w:lang w:eastAsia="zh-CN"/>
        </w:rPr>
        <w:t>Ⅲ</w:t>
      </w:r>
      <w:r>
        <w:rPr>
          <w:rFonts w:hint="eastAsia"/>
        </w:rPr>
        <w:t>类标准</w:t>
      </w:r>
      <w:r>
        <w:rPr>
          <w:rFonts w:hint="eastAsia"/>
          <w:lang w:eastAsia="zh-CN"/>
        </w:rPr>
        <w:t>，</w:t>
      </w:r>
      <w:r>
        <w:rPr>
          <w:rFonts w:hint="eastAsia"/>
          <w:lang w:val="en-US" w:eastAsia="zh-CN"/>
        </w:rPr>
        <w:t>SS参照执行《地表水资源质量标准》（SL63-94）</w:t>
      </w:r>
      <w:r>
        <w:rPr>
          <w:rFonts w:hint="eastAsia"/>
        </w:rPr>
        <w:t>。</w:t>
      </w:r>
    </w:p>
    <w:p>
      <w:pPr>
        <w:pStyle w:val="20"/>
        <w:rPr>
          <w:rFonts w:hint="eastAsia"/>
          <w:sz w:val="21"/>
          <w:szCs w:val="21"/>
        </w:rPr>
      </w:pPr>
    </w:p>
    <w:p>
      <w:pPr>
        <w:pStyle w:val="20"/>
        <w:rPr>
          <w:rFonts w:hint="eastAsia"/>
          <w:sz w:val="21"/>
          <w:szCs w:val="21"/>
        </w:rPr>
      </w:pPr>
    </w:p>
    <w:p>
      <w:pPr>
        <w:pStyle w:val="20"/>
        <w:rPr>
          <w:rFonts w:hint="eastAsia"/>
          <w:sz w:val="21"/>
          <w:szCs w:val="21"/>
        </w:rPr>
      </w:pPr>
    </w:p>
    <w:p>
      <w:pPr>
        <w:pStyle w:val="20"/>
        <w:rPr>
          <w:rFonts w:hint="eastAsia"/>
          <w:sz w:val="21"/>
          <w:szCs w:val="21"/>
        </w:rPr>
      </w:pPr>
    </w:p>
    <w:p>
      <w:pPr>
        <w:pStyle w:val="20"/>
        <w:rPr>
          <w:rFonts w:hint="eastAsia"/>
          <w:sz w:val="21"/>
          <w:szCs w:val="21"/>
        </w:rPr>
      </w:pPr>
    </w:p>
    <w:p>
      <w:pPr>
        <w:pStyle w:val="20"/>
        <w:rPr>
          <w:rFonts w:hint="eastAsia"/>
          <w:sz w:val="21"/>
          <w:szCs w:val="21"/>
        </w:rPr>
      </w:pPr>
    </w:p>
    <w:p>
      <w:pPr>
        <w:pStyle w:val="20"/>
        <w:rPr>
          <w:rFonts w:hint="eastAsia"/>
          <w:sz w:val="21"/>
          <w:szCs w:val="21"/>
        </w:rPr>
      </w:pPr>
    </w:p>
    <w:p>
      <w:pPr>
        <w:pStyle w:val="20"/>
        <w:rPr>
          <w:sz w:val="21"/>
          <w:szCs w:val="21"/>
        </w:rPr>
      </w:pPr>
      <w:r>
        <w:rPr>
          <w:rFonts w:hint="eastAsia"/>
          <w:sz w:val="21"/>
          <w:szCs w:val="21"/>
        </w:rPr>
        <w:t>表</w:t>
      </w:r>
      <w:r>
        <w:rPr>
          <w:rFonts w:hint="eastAsia"/>
          <w:sz w:val="21"/>
          <w:szCs w:val="21"/>
          <w:lang w:val="en-US" w:eastAsia="zh-CN"/>
        </w:rPr>
        <w:t>2.8-1</w:t>
      </w:r>
      <w:r>
        <w:rPr>
          <w:sz w:val="21"/>
          <w:szCs w:val="21"/>
        </w:rPr>
        <w:t xml:space="preserve"> </w:t>
      </w:r>
      <w:r>
        <w:rPr>
          <w:rFonts w:hint="eastAsia"/>
          <w:sz w:val="21"/>
          <w:szCs w:val="21"/>
          <w:lang w:val="en-US" w:eastAsia="zh-CN"/>
        </w:rPr>
        <w:t xml:space="preserve"> </w:t>
      </w:r>
      <w:r>
        <w:rPr>
          <w:sz w:val="21"/>
          <w:szCs w:val="21"/>
        </w:rPr>
        <w:t xml:space="preserve"> </w:t>
      </w:r>
      <w:r>
        <w:rPr>
          <w:rFonts w:hint="eastAsia"/>
          <w:sz w:val="21"/>
          <w:szCs w:val="21"/>
        </w:rPr>
        <w:t>地表水环境质量标准</w:t>
      </w:r>
      <w:r>
        <w:rPr>
          <w:rFonts w:hint="eastAsia"/>
          <w:sz w:val="21"/>
          <w:szCs w:val="21"/>
          <w:lang w:val="en-US" w:eastAsia="zh-CN"/>
        </w:rPr>
        <w:t xml:space="preserve">  摘录</w:t>
      </w:r>
      <w:r>
        <w:rPr>
          <w:sz w:val="21"/>
          <w:szCs w:val="21"/>
        </w:rPr>
        <w:t xml:space="preserve">  </w:t>
      </w:r>
      <w:r>
        <w:rPr>
          <w:rFonts w:hint="eastAsia"/>
          <w:sz w:val="21"/>
          <w:szCs w:val="21"/>
        </w:rPr>
        <w:t>单位：</w:t>
      </w:r>
      <w:r>
        <w:rPr>
          <w:sz w:val="21"/>
          <w:szCs w:val="21"/>
        </w:rPr>
        <w:t xml:space="preserve"> mg/L</w:t>
      </w:r>
      <w:r>
        <w:rPr>
          <w:rFonts w:hint="eastAsia"/>
          <w:sz w:val="21"/>
          <w:szCs w:val="21"/>
        </w:rPr>
        <w:t>，除</w:t>
      </w:r>
      <w:r>
        <w:rPr>
          <w:sz w:val="21"/>
          <w:szCs w:val="21"/>
        </w:rPr>
        <w:t>pH</w:t>
      </w:r>
      <w:r>
        <w:rPr>
          <w:rFonts w:hint="eastAsia"/>
          <w:sz w:val="21"/>
          <w:szCs w:val="21"/>
        </w:rPr>
        <w:t>外</w:t>
      </w:r>
    </w:p>
    <w:tbl>
      <w:tblPr>
        <w:tblStyle w:val="63"/>
        <w:tblW w:w="4998"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1757"/>
        <w:gridCol w:w="3483"/>
        <w:gridCol w:w="3279"/>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757" w:type="dxa"/>
            <w:tcBorders>
              <w:top w:val="single" w:color="auto" w:sz="12" w:space="0"/>
            </w:tcBorders>
            <w:vAlign w:val="center"/>
          </w:tcPr>
          <w:p>
            <w:pPr>
              <w:pStyle w:val="105"/>
            </w:pPr>
            <w:r>
              <w:rPr>
                <w:rFonts w:hint="eastAsia"/>
              </w:rPr>
              <w:t>序号</w:t>
            </w:r>
          </w:p>
        </w:tc>
        <w:tc>
          <w:tcPr>
            <w:tcW w:w="3483" w:type="dxa"/>
            <w:tcBorders>
              <w:top w:val="single" w:color="auto" w:sz="12" w:space="0"/>
            </w:tcBorders>
            <w:vAlign w:val="center"/>
          </w:tcPr>
          <w:p>
            <w:pPr>
              <w:pStyle w:val="105"/>
            </w:pPr>
            <w:r>
              <w:rPr>
                <w:rFonts w:hint="eastAsia"/>
              </w:rPr>
              <w:t>水质项目</w:t>
            </w:r>
          </w:p>
        </w:tc>
        <w:tc>
          <w:tcPr>
            <w:tcW w:w="3279" w:type="dxa"/>
            <w:tcBorders>
              <w:top w:val="single" w:color="auto" w:sz="12" w:space="0"/>
            </w:tcBorders>
            <w:vAlign w:val="center"/>
          </w:tcPr>
          <w:p>
            <w:pPr>
              <w:pStyle w:val="105"/>
            </w:pPr>
            <w:r>
              <w:rPr>
                <w:rFonts w:hint="eastAsia" w:ascii="宋体" w:hAnsi="宋体" w:cs="宋体"/>
              </w:rPr>
              <w:t>Ⅲ</w:t>
            </w:r>
            <w:r>
              <w:rPr>
                <w:rFonts w:hint="eastAsia"/>
              </w:rPr>
              <w:t>类</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22" w:hRule="atLeast"/>
          <w:jc w:val="center"/>
        </w:trPr>
        <w:tc>
          <w:tcPr>
            <w:tcW w:w="1757" w:type="dxa"/>
            <w:tcBorders>
              <w:top w:val="single" w:color="auto" w:sz="12" w:space="0"/>
            </w:tcBorders>
            <w:vAlign w:val="center"/>
          </w:tcPr>
          <w:p>
            <w:pPr>
              <w:pStyle w:val="105"/>
            </w:pPr>
            <w:r>
              <w:t>1</w:t>
            </w:r>
          </w:p>
        </w:tc>
        <w:tc>
          <w:tcPr>
            <w:tcW w:w="3483" w:type="dxa"/>
            <w:tcBorders>
              <w:top w:val="single" w:color="auto" w:sz="12" w:space="0"/>
            </w:tcBorders>
            <w:vAlign w:val="center"/>
          </w:tcPr>
          <w:p>
            <w:pPr>
              <w:pStyle w:val="105"/>
            </w:pPr>
            <w:r>
              <w:t>pH</w:t>
            </w:r>
          </w:p>
        </w:tc>
        <w:tc>
          <w:tcPr>
            <w:tcW w:w="3279" w:type="dxa"/>
            <w:tcBorders>
              <w:top w:val="single" w:color="auto" w:sz="12" w:space="0"/>
            </w:tcBorders>
            <w:vAlign w:val="center"/>
          </w:tcPr>
          <w:p>
            <w:pPr>
              <w:pStyle w:val="105"/>
            </w:pPr>
            <w:r>
              <w:t>6~9</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757" w:type="dxa"/>
            <w:vAlign w:val="center"/>
          </w:tcPr>
          <w:p>
            <w:pPr>
              <w:pStyle w:val="105"/>
            </w:pPr>
            <w:r>
              <w:t>2</w:t>
            </w:r>
          </w:p>
        </w:tc>
        <w:tc>
          <w:tcPr>
            <w:tcW w:w="3483" w:type="dxa"/>
            <w:vAlign w:val="center"/>
          </w:tcPr>
          <w:p>
            <w:pPr>
              <w:pStyle w:val="105"/>
            </w:pPr>
            <w:r>
              <w:t>DO≥</w:t>
            </w:r>
          </w:p>
        </w:tc>
        <w:tc>
          <w:tcPr>
            <w:tcW w:w="3279" w:type="dxa"/>
            <w:vAlign w:val="center"/>
          </w:tcPr>
          <w:p>
            <w:pPr>
              <w:pStyle w:val="105"/>
            </w:pPr>
            <w:r>
              <w:t>5</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757" w:type="dxa"/>
            <w:vAlign w:val="center"/>
          </w:tcPr>
          <w:p>
            <w:pPr>
              <w:pStyle w:val="105"/>
            </w:pPr>
            <w:r>
              <w:t>3</w:t>
            </w:r>
          </w:p>
        </w:tc>
        <w:tc>
          <w:tcPr>
            <w:tcW w:w="3483" w:type="dxa"/>
            <w:vAlign w:val="center"/>
          </w:tcPr>
          <w:p>
            <w:pPr>
              <w:pStyle w:val="105"/>
            </w:pPr>
            <w:r>
              <w:t>BOD</w:t>
            </w:r>
            <w:r>
              <w:rPr>
                <w:vertAlign w:val="subscript"/>
              </w:rPr>
              <w:t>5</w:t>
            </w:r>
            <w:r>
              <w:t>≤</w:t>
            </w:r>
          </w:p>
        </w:tc>
        <w:tc>
          <w:tcPr>
            <w:tcW w:w="3279" w:type="dxa"/>
            <w:vAlign w:val="center"/>
          </w:tcPr>
          <w:p>
            <w:pPr>
              <w:pStyle w:val="105"/>
            </w:pPr>
            <w:r>
              <w:t>4</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757" w:type="dxa"/>
            <w:vAlign w:val="center"/>
          </w:tcPr>
          <w:p>
            <w:pPr>
              <w:pStyle w:val="105"/>
            </w:pPr>
            <w:r>
              <w:t>4</w:t>
            </w:r>
          </w:p>
        </w:tc>
        <w:tc>
          <w:tcPr>
            <w:tcW w:w="3483" w:type="dxa"/>
            <w:vAlign w:val="center"/>
          </w:tcPr>
          <w:p>
            <w:pPr>
              <w:pStyle w:val="105"/>
            </w:pPr>
            <w:r>
              <w:rPr>
                <w:rFonts w:hint="eastAsia"/>
              </w:rPr>
              <w:t>高锰酸盐指数</w:t>
            </w:r>
            <w:r>
              <w:t>≤</w:t>
            </w:r>
          </w:p>
        </w:tc>
        <w:tc>
          <w:tcPr>
            <w:tcW w:w="3279" w:type="dxa"/>
            <w:vAlign w:val="center"/>
          </w:tcPr>
          <w:p>
            <w:pPr>
              <w:pStyle w:val="105"/>
            </w:pPr>
            <w:r>
              <w:t>6</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61" w:hRule="atLeast"/>
          <w:jc w:val="center"/>
        </w:trPr>
        <w:tc>
          <w:tcPr>
            <w:tcW w:w="1757" w:type="dxa"/>
            <w:vAlign w:val="center"/>
          </w:tcPr>
          <w:p>
            <w:pPr>
              <w:pStyle w:val="105"/>
            </w:pPr>
            <w:r>
              <w:t>5</w:t>
            </w:r>
          </w:p>
        </w:tc>
        <w:tc>
          <w:tcPr>
            <w:tcW w:w="3483" w:type="dxa"/>
            <w:vAlign w:val="center"/>
          </w:tcPr>
          <w:p>
            <w:pPr>
              <w:pStyle w:val="105"/>
            </w:pPr>
            <w:r>
              <w:rPr>
                <w:rFonts w:hint="eastAsia"/>
              </w:rPr>
              <w:t>C</w:t>
            </w:r>
            <w:r>
              <w:t>OD</w:t>
            </w:r>
          </w:p>
        </w:tc>
        <w:tc>
          <w:tcPr>
            <w:tcW w:w="3279" w:type="dxa"/>
            <w:vAlign w:val="center"/>
          </w:tcPr>
          <w:p>
            <w:pPr>
              <w:pStyle w:val="105"/>
            </w:pPr>
            <w:r>
              <w:rPr>
                <w:rFonts w:hint="eastAsia"/>
              </w:rPr>
              <w:t>2</w:t>
            </w:r>
            <w:r>
              <w:t>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97" w:hRule="atLeast"/>
          <w:jc w:val="center"/>
        </w:trPr>
        <w:tc>
          <w:tcPr>
            <w:tcW w:w="1757" w:type="dxa"/>
            <w:vAlign w:val="center"/>
          </w:tcPr>
          <w:p>
            <w:pPr>
              <w:pStyle w:val="105"/>
            </w:pPr>
            <w:r>
              <w:t>6</w:t>
            </w:r>
          </w:p>
        </w:tc>
        <w:tc>
          <w:tcPr>
            <w:tcW w:w="3483" w:type="dxa"/>
            <w:vAlign w:val="center"/>
          </w:tcPr>
          <w:p>
            <w:pPr>
              <w:pStyle w:val="105"/>
            </w:pPr>
            <w:r>
              <w:rPr>
                <w:rFonts w:hint="eastAsia"/>
              </w:rPr>
              <w:t>氨氮</w:t>
            </w:r>
            <w:r>
              <w:t>≤</w:t>
            </w:r>
          </w:p>
        </w:tc>
        <w:tc>
          <w:tcPr>
            <w:tcW w:w="3279" w:type="dxa"/>
            <w:vAlign w:val="center"/>
          </w:tcPr>
          <w:p>
            <w:pPr>
              <w:pStyle w:val="105"/>
            </w:pPr>
            <w:r>
              <w:t>1.0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757" w:type="dxa"/>
            <w:vAlign w:val="center"/>
          </w:tcPr>
          <w:p>
            <w:pPr>
              <w:pStyle w:val="105"/>
            </w:pPr>
            <w:r>
              <w:t>7</w:t>
            </w:r>
          </w:p>
        </w:tc>
        <w:tc>
          <w:tcPr>
            <w:tcW w:w="3483" w:type="dxa"/>
            <w:vAlign w:val="center"/>
          </w:tcPr>
          <w:p>
            <w:pPr>
              <w:pStyle w:val="105"/>
            </w:pPr>
            <w:r>
              <w:rPr>
                <w:rFonts w:hint="eastAsia"/>
              </w:rPr>
              <w:t>总磷（以</w:t>
            </w:r>
            <w:r>
              <w:t>P</w:t>
            </w:r>
            <w:r>
              <w:rPr>
                <w:rFonts w:hint="eastAsia"/>
              </w:rPr>
              <w:t>计）</w:t>
            </w:r>
            <w:r>
              <w:t>≤</w:t>
            </w:r>
          </w:p>
        </w:tc>
        <w:tc>
          <w:tcPr>
            <w:tcW w:w="3279" w:type="dxa"/>
            <w:vAlign w:val="center"/>
          </w:tcPr>
          <w:p>
            <w:pPr>
              <w:pStyle w:val="105"/>
            </w:pPr>
            <w:r>
              <w:t>0.2</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757" w:type="dxa"/>
            <w:vAlign w:val="center"/>
          </w:tcPr>
          <w:p>
            <w:pPr>
              <w:pStyle w:val="105"/>
            </w:pPr>
            <w:r>
              <w:rPr>
                <w:rFonts w:hint="eastAsia"/>
              </w:rPr>
              <w:t>8</w:t>
            </w:r>
          </w:p>
        </w:tc>
        <w:tc>
          <w:tcPr>
            <w:tcW w:w="3483" w:type="dxa"/>
            <w:vAlign w:val="center"/>
          </w:tcPr>
          <w:p>
            <w:pPr>
              <w:pStyle w:val="105"/>
            </w:pPr>
            <w:r>
              <w:rPr>
                <w:rFonts w:hint="eastAsia"/>
              </w:rPr>
              <w:t>石油类</w:t>
            </w:r>
            <w:r>
              <w:t>≤</w:t>
            </w:r>
          </w:p>
        </w:tc>
        <w:tc>
          <w:tcPr>
            <w:tcW w:w="3279" w:type="dxa"/>
            <w:vAlign w:val="center"/>
          </w:tcPr>
          <w:p>
            <w:pPr>
              <w:pStyle w:val="105"/>
            </w:pPr>
            <w:r>
              <w:t>0.05</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757" w:type="dxa"/>
            <w:vAlign w:val="center"/>
          </w:tcPr>
          <w:p>
            <w:pPr>
              <w:pStyle w:val="105"/>
            </w:pPr>
            <w:r>
              <w:rPr>
                <w:rFonts w:hint="eastAsia"/>
              </w:rPr>
              <w:t>9</w:t>
            </w:r>
          </w:p>
        </w:tc>
        <w:tc>
          <w:tcPr>
            <w:tcW w:w="3483" w:type="dxa"/>
            <w:vAlign w:val="center"/>
          </w:tcPr>
          <w:p>
            <w:pPr>
              <w:pStyle w:val="105"/>
            </w:pPr>
            <w:r>
              <w:rPr>
                <w:rFonts w:hint="eastAsia"/>
              </w:rPr>
              <w:t>挥发酚</w:t>
            </w:r>
            <w:r>
              <w:t>≤</w:t>
            </w:r>
          </w:p>
        </w:tc>
        <w:tc>
          <w:tcPr>
            <w:tcW w:w="3279" w:type="dxa"/>
            <w:vAlign w:val="center"/>
          </w:tcPr>
          <w:p>
            <w:pPr>
              <w:pStyle w:val="105"/>
            </w:pPr>
            <w:r>
              <w:rPr>
                <w:rFonts w:hint="eastAsia"/>
              </w:rPr>
              <w:t>0</w:t>
            </w:r>
            <w:r>
              <w:t>.005</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757" w:type="dxa"/>
            <w:vAlign w:val="center"/>
          </w:tcPr>
          <w:p>
            <w:pPr>
              <w:pStyle w:val="105"/>
            </w:pPr>
            <w:r>
              <w:rPr>
                <w:rFonts w:hint="eastAsia"/>
              </w:rPr>
              <w:t>1</w:t>
            </w:r>
            <w:r>
              <w:t>0</w:t>
            </w:r>
          </w:p>
        </w:tc>
        <w:tc>
          <w:tcPr>
            <w:tcW w:w="3483" w:type="dxa"/>
            <w:vAlign w:val="center"/>
          </w:tcPr>
          <w:p>
            <w:pPr>
              <w:jc w:val="center"/>
            </w:pPr>
            <w:r>
              <w:rPr>
                <w:rFonts w:hint="eastAsia"/>
                <w:spacing w:val="-10"/>
                <w:szCs w:val="21"/>
              </w:rPr>
              <w:t>粪大肠菌群（个</w:t>
            </w:r>
            <w:r>
              <w:rPr>
                <w:spacing w:val="-10"/>
                <w:szCs w:val="21"/>
              </w:rPr>
              <w:t>/L</w:t>
            </w:r>
            <w:r>
              <w:rPr>
                <w:rFonts w:hint="eastAsia"/>
                <w:spacing w:val="-10"/>
                <w:szCs w:val="21"/>
              </w:rPr>
              <w:t>）</w:t>
            </w:r>
            <w:r>
              <w:rPr>
                <w:spacing w:val="-10"/>
                <w:szCs w:val="21"/>
              </w:rPr>
              <w:t>≤</w:t>
            </w:r>
          </w:p>
        </w:tc>
        <w:tc>
          <w:tcPr>
            <w:tcW w:w="3279" w:type="dxa"/>
            <w:vAlign w:val="center"/>
          </w:tcPr>
          <w:p>
            <w:pPr>
              <w:jc w:val="center"/>
              <w:rPr>
                <w:szCs w:val="21"/>
              </w:rPr>
            </w:pPr>
            <w:r>
              <w:rPr>
                <w:szCs w:val="21"/>
              </w:rPr>
              <w:t>10000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1757" w:type="dxa"/>
            <w:vAlign w:val="center"/>
          </w:tcPr>
          <w:p>
            <w:pPr>
              <w:pStyle w:val="105"/>
              <w:rPr>
                <w:rFonts w:hint="default" w:eastAsia="宋体"/>
                <w:lang w:val="en-US" w:eastAsia="zh-CN"/>
              </w:rPr>
            </w:pPr>
            <w:r>
              <w:rPr>
                <w:rFonts w:hint="eastAsia"/>
                <w:lang w:val="en-US" w:eastAsia="zh-CN"/>
              </w:rPr>
              <w:t>11</w:t>
            </w:r>
          </w:p>
        </w:tc>
        <w:tc>
          <w:tcPr>
            <w:tcW w:w="3483" w:type="dxa"/>
            <w:vAlign w:val="center"/>
          </w:tcPr>
          <w:p>
            <w:pPr>
              <w:jc w:val="center"/>
              <w:rPr>
                <w:rFonts w:hint="default" w:eastAsia="宋体"/>
                <w:spacing w:val="-10"/>
                <w:szCs w:val="21"/>
                <w:lang w:val="en-US" w:eastAsia="zh-CN"/>
              </w:rPr>
            </w:pPr>
            <w:r>
              <w:rPr>
                <w:rFonts w:hint="eastAsia"/>
                <w:spacing w:val="-10"/>
                <w:szCs w:val="21"/>
                <w:lang w:val="en-US" w:eastAsia="zh-CN"/>
              </w:rPr>
              <w:t>SS</w:t>
            </w:r>
          </w:p>
        </w:tc>
        <w:tc>
          <w:tcPr>
            <w:tcW w:w="3279" w:type="dxa"/>
            <w:vAlign w:val="center"/>
          </w:tcPr>
          <w:p>
            <w:pPr>
              <w:jc w:val="center"/>
              <w:rPr>
                <w:rFonts w:hint="default" w:eastAsia="宋体"/>
                <w:szCs w:val="21"/>
                <w:lang w:val="en-US" w:eastAsia="zh-CN"/>
              </w:rPr>
            </w:pPr>
            <w:r>
              <w:rPr>
                <w:rFonts w:hint="eastAsia"/>
                <w:szCs w:val="21"/>
                <w:lang w:val="en-US" w:eastAsia="zh-CN"/>
              </w:rPr>
              <w:t>30</w:t>
            </w:r>
          </w:p>
        </w:tc>
      </w:tr>
    </w:tbl>
    <w:p>
      <w:pPr>
        <w:pStyle w:val="6"/>
      </w:pPr>
      <w:r>
        <w:rPr>
          <w:rFonts w:hint="eastAsia"/>
        </w:rPr>
        <w:t>地</w:t>
      </w:r>
      <w:r>
        <w:rPr>
          <w:rFonts w:hint="eastAsia"/>
          <w:lang w:eastAsia="zh-CN"/>
        </w:rPr>
        <w:t>下</w:t>
      </w:r>
      <w:r>
        <w:rPr>
          <w:rFonts w:hint="eastAsia"/>
        </w:rPr>
        <w:t>水</w:t>
      </w:r>
      <w:r>
        <w:rPr>
          <w:rFonts w:hint="eastAsia"/>
          <w:lang w:eastAsia="zh-CN"/>
        </w:rPr>
        <w:t>环境质量标准</w:t>
      </w:r>
    </w:p>
    <w:p>
      <w:pPr>
        <w:pStyle w:val="9"/>
        <w:rPr>
          <w:rFonts w:hint="eastAsia"/>
        </w:rPr>
      </w:pPr>
      <w:r>
        <w:rPr>
          <w:rFonts w:hint="eastAsia"/>
        </w:rPr>
        <w:t>项目所在区域地下水功能区保护目标为Ⅲ类，地下水水质执行《地下水质量标准》（GB/T14848-2017）中Ⅲ类水质标准，标准摘录见下表。</w:t>
      </w:r>
    </w:p>
    <w:p>
      <w:pPr>
        <w:pStyle w:val="20"/>
        <w:rPr>
          <w:rFonts w:hint="eastAsia" w:ascii="Times New Roman" w:hAnsi="Times New Roman" w:cs="Times New Roman"/>
          <w:sz w:val="21"/>
          <w:szCs w:val="21"/>
        </w:rPr>
      </w:pPr>
      <w:r>
        <w:rPr>
          <w:rFonts w:hint="eastAsia" w:ascii="Times New Roman" w:hAnsi="Times New Roman" w:cs="Times New Roman"/>
          <w:sz w:val="21"/>
          <w:szCs w:val="21"/>
        </w:rPr>
        <w:t>表2.8-2 地下水环境质量标准 摘录</w:t>
      </w:r>
      <w:r>
        <w:rPr>
          <w:rFonts w:hint="eastAsia" w:ascii="Times New Roman" w:hAnsi="Times New Roman" w:cs="Times New Roman"/>
          <w:sz w:val="21"/>
          <w:szCs w:val="21"/>
          <w:lang w:val="en-US" w:eastAsia="zh-CN"/>
        </w:rPr>
        <w:t xml:space="preserve">     </w:t>
      </w:r>
      <w:r>
        <w:rPr>
          <w:rFonts w:hint="eastAsia" w:ascii="Times New Roman" w:hAnsi="Times New Roman" w:cs="Times New Roman"/>
          <w:sz w:val="21"/>
          <w:szCs w:val="21"/>
        </w:rPr>
        <w:t>(单位：mg/L，粪大肠菌群个/L)</w:t>
      </w:r>
    </w:p>
    <w:tbl>
      <w:tblPr>
        <w:tblStyle w:val="63"/>
        <w:tblW w:w="4998"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Layout w:type="fixed"/>
        <w:tblCellMar>
          <w:top w:w="0" w:type="dxa"/>
          <w:left w:w="0" w:type="dxa"/>
          <w:bottom w:w="0" w:type="dxa"/>
          <w:right w:w="0" w:type="dxa"/>
        </w:tblCellMar>
      </w:tblPr>
      <w:tblGrid>
        <w:gridCol w:w="1855"/>
        <w:gridCol w:w="3033"/>
        <w:gridCol w:w="3415"/>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39" w:hRule="atLeast"/>
          <w:jc w:val="center"/>
        </w:trPr>
        <w:tc>
          <w:tcPr>
            <w:tcW w:w="1117" w:type="pct"/>
            <w:tcBorders>
              <w:bottom w:val="single" w:color="000000" w:sz="12" w:space="0"/>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序号</w:t>
            </w:r>
          </w:p>
        </w:tc>
        <w:tc>
          <w:tcPr>
            <w:tcW w:w="1826" w:type="pct"/>
            <w:tcBorders>
              <w:bottom w:val="single" w:color="000000" w:sz="12" w:space="0"/>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污染物因子</w:t>
            </w:r>
          </w:p>
        </w:tc>
        <w:tc>
          <w:tcPr>
            <w:tcW w:w="2056" w:type="pct"/>
            <w:tcBorders>
              <w:bottom w:val="single" w:color="000000" w:sz="12" w:space="0"/>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w w:val="130"/>
                <w:sz w:val="21"/>
                <w:szCs w:val="21"/>
              </w:rPr>
              <w:t>Ⅲ</w:t>
            </w:r>
            <w:r>
              <w:rPr>
                <w:rFonts w:hint="default" w:ascii="Times New Roman" w:hAnsi="Times New Roman" w:eastAsia="宋体" w:cs="Times New Roman"/>
                <w:b/>
                <w:w w:val="110"/>
                <w:sz w:val="21"/>
                <w:szCs w:val="21"/>
              </w:rPr>
              <w:t>类标准限值</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1117" w:type="pct"/>
            <w:tcBorders>
              <w:top w:val="single" w:color="000000" w:sz="12" w:space="0"/>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1</w:t>
            </w:r>
          </w:p>
        </w:tc>
        <w:tc>
          <w:tcPr>
            <w:tcW w:w="1826" w:type="pct"/>
            <w:tcBorders>
              <w:top w:val="single" w:color="000000" w:sz="12" w:space="0"/>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pH 值（无量纲）</w:t>
            </w:r>
          </w:p>
        </w:tc>
        <w:tc>
          <w:tcPr>
            <w:tcW w:w="2056" w:type="pct"/>
            <w:tcBorders>
              <w:top w:val="single" w:color="000000" w:sz="12" w:space="0"/>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6.5≤pH≤8.5</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2</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总硬度</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≤450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3</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溶解性总固体</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≤1000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4</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耗氧量</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42"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5</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氨氮</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≤0.5</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6</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硝酸盐</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7</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亚硝酸盐</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90"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8</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硫酸盐</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≤250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282"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9</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氯化物</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≤250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10</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挥发性酚类</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≤0.002</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11</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氰化物</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≤0.05</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37"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12</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砷</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≤0.01</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13</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汞</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≤0.001</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14</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六价铬</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≤0.05</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15</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铅</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≤0.01</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16</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氟化物</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17</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镉</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≤0.005</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306"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18</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铁</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≤0.3</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258"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19</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锰</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≤0.1</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186"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20</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铜</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222"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21</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锌</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6" w:space="0"/>
          </w:tblBorders>
          <w:tblCellMar>
            <w:top w:w="0" w:type="dxa"/>
            <w:left w:w="0" w:type="dxa"/>
            <w:bottom w:w="0" w:type="dxa"/>
            <w:right w:w="0" w:type="dxa"/>
          </w:tblCellMar>
        </w:tblPrEx>
        <w:trPr>
          <w:trHeight w:val="207" w:hRule="atLeast"/>
          <w:jc w:val="center"/>
        </w:trPr>
        <w:tc>
          <w:tcPr>
            <w:tcW w:w="1117"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22</w:t>
            </w:r>
          </w:p>
        </w:tc>
        <w:tc>
          <w:tcPr>
            <w:tcW w:w="182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总大肠菌群</w:t>
            </w:r>
          </w:p>
        </w:tc>
        <w:tc>
          <w:tcPr>
            <w:tcW w:w="2056" w:type="pct"/>
            <w:tcBorders>
              <w:tl2br w:val="nil"/>
              <w:tr2bl w:val="nil"/>
            </w:tcBorders>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≤3.0</w:t>
            </w:r>
          </w:p>
        </w:tc>
      </w:tr>
    </w:tbl>
    <w:p>
      <w:pPr>
        <w:pStyle w:val="6"/>
      </w:pPr>
      <w:r>
        <w:rPr>
          <w:rFonts w:hint="eastAsia"/>
          <w:lang w:eastAsia="zh-CN"/>
        </w:rPr>
        <w:t>环境空气质量标准</w:t>
      </w:r>
    </w:p>
    <w:p>
      <w:pPr>
        <w:pStyle w:val="9"/>
      </w:pPr>
      <w:r>
        <w:rPr>
          <w:rFonts w:hint="eastAsia"/>
        </w:rPr>
        <w:t>项目所在区域为环境空气质量为二类功能区，SO</w:t>
      </w:r>
      <w:r>
        <w:rPr>
          <w:rFonts w:hint="eastAsia"/>
          <w:vertAlign w:val="subscript"/>
        </w:rPr>
        <w:t>2</w:t>
      </w:r>
      <w:r>
        <w:rPr>
          <w:rFonts w:hint="eastAsia"/>
        </w:rPr>
        <w:t>、NO</w:t>
      </w:r>
      <w:r>
        <w:rPr>
          <w:rFonts w:hint="eastAsia"/>
          <w:vertAlign w:val="subscript"/>
        </w:rPr>
        <w:t>2</w:t>
      </w:r>
      <w:r>
        <w:rPr>
          <w:rFonts w:hint="eastAsia"/>
        </w:rPr>
        <w:t>、TSP、PM</w:t>
      </w:r>
      <w:r>
        <w:rPr>
          <w:rFonts w:hint="eastAsia"/>
          <w:vertAlign w:val="subscript"/>
        </w:rPr>
        <w:t>10</w:t>
      </w:r>
      <w:r>
        <w:rPr>
          <w:rFonts w:hint="eastAsia"/>
        </w:rPr>
        <w:t>、PM</w:t>
      </w:r>
      <w:r>
        <w:rPr>
          <w:rFonts w:hint="eastAsia"/>
          <w:vertAlign w:val="subscript"/>
        </w:rPr>
        <w:t>2.5</w:t>
      </w:r>
      <w:r>
        <w:rPr>
          <w:rFonts w:hint="eastAsia"/>
        </w:rPr>
        <w:t>、O</w:t>
      </w:r>
      <w:r>
        <w:rPr>
          <w:rFonts w:hint="eastAsia"/>
          <w:vertAlign w:val="subscript"/>
        </w:rPr>
        <w:t>3</w:t>
      </w:r>
      <w:r>
        <w:rPr>
          <w:rFonts w:hint="eastAsia"/>
        </w:rPr>
        <w:t>、CO执行《环境空气质量标准》（GB3095-2012 及2018年修改单）二级标准。。</w:t>
      </w:r>
    </w:p>
    <w:p>
      <w:pPr>
        <w:pStyle w:val="9"/>
        <w:rPr>
          <w:rFonts w:hint="eastAsia"/>
        </w:rPr>
      </w:pPr>
      <w:r>
        <w:rPr>
          <w:rFonts w:hint="eastAsia"/>
        </w:rPr>
        <w:t>NH</w:t>
      </w:r>
      <w:r>
        <w:rPr>
          <w:rFonts w:hint="eastAsia"/>
          <w:vertAlign w:val="subscript"/>
        </w:rPr>
        <w:t>3</w:t>
      </w:r>
      <w:r>
        <w:rPr>
          <w:rFonts w:hint="eastAsia"/>
        </w:rPr>
        <w:t>、H</w:t>
      </w:r>
      <w:r>
        <w:rPr>
          <w:rFonts w:hint="eastAsia"/>
          <w:vertAlign w:val="subscript"/>
        </w:rPr>
        <w:t>2</w:t>
      </w:r>
      <w:r>
        <w:rPr>
          <w:rFonts w:hint="eastAsia"/>
        </w:rPr>
        <w:t>S 参考《环境影响评价技术导则 大气环境》（HJ2.2-2018）附录 D 标准限值、臭气浓度参照执行《恶臭污染物排放标准》（GB14554-93）。</w:t>
      </w:r>
      <w:bookmarkStart w:id="27" w:name="_Toc392772747"/>
      <w:bookmarkStart w:id="28" w:name="_Toc387414864"/>
      <w:bookmarkStart w:id="29" w:name="_Toc511676601"/>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b/>
          <w:bCs/>
          <w:sz w:val="21"/>
          <w:szCs w:val="21"/>
        </w:rPr>
      </w:pPr>
      <w:r>
        <w:rPr>
          <w:rFonts w:hint="eastAsia"/>
          <w:b/>
          <w:bCs/>
          <w:sz w:val="21"/>
          <w:szCs w:val="21"/>
          <w:lang w:eastAsia="zh-CN"/>
        </w:rPr>
        <w:t>表</w:t>
      </w:r>
      <w:r>
        <w:rPr>
          <w:rFonts w:hint="eastAsia"/>
          <w:b/>
          <w:bCs/>
          <w:sz w:val="21"/>
          <w:szCs w:val="21"/>
          <w:lang w:val="en-US" w:eastAsia="zh-CN"/>
        </w:rPr>
        <w:t xml:space="preserve">2.8-3    </w:t>
      </w:r>
      <w:r>
        <w:rPr>
          <w:rFonts w:hint="eastAsia"/>
          <w:b/>
          <w:bCs/>
          <w:sz w:val="21"/>
          <w:szCs w:val="21"/>
        </w:rPr>
        <w:t>环境空气质量标准（</w:t>
      </w:r>
      <w:r>
        <w:rPr>
          <w:b/>
          <w:bCs/>
          <w:sz w:val="21"/>
          <w:szCs w:val="21"/>
        </w:rPr>
        <w:t>GB3095-2012</w:t>
      </w:r>
      <w:r>
        <w:rPr>
          <w:rFonts w:hint="eastAsia"/>
          <w:b/>
          <w:bCs/>
          <w:sz w:val="21"/>
          <w:szCs w:val="21"/>
        </w:rPr>
        <w:t>）</w:t>
      </w:r>
      <w:bookmarkEnd w:id="27"/>
      <w:bookmarkEnd w:id="28"/>
      <w:bookmarkEnd w:id="29"/>
    </w:p>
    <w:tbl>
      <w:tblPr>
        <w:tblStyle w:val="63"/>
        <w:tblW w:w="4998" w:type="pct"/>
        <w:jc w:val="center"/>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975"/>
        <w:gridCol w:w="2126"/>
        <w:gridCol w:w="2322"/>
        <w:gridCol w:w="2880"/>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03" w:hRule="atLeast"/>
          <w:jc w:val="center"/>
        </w:trPr>
        <w:tc>
          <w:tcPr>
            <w:tcW w:w="587" w:type="pct"/>
            <w:tcBorders>
              <w:left w:val="nil"/>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污染物</w:t>
            </w:r>
          </w:p>
        </w:tc>
        <w:tc>
          <w:tcPr>
            <w:tcW w:w="1280" w:type="pct"/>
            <w:tcBorders>
              <w:left w:val="single" w:color="000000" w:sz="6" w:space="0"/>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取值时间</w:t>
            </w:r>
          </w:p>
        </w:tc>
        <w:tc>
          <w:tcPr>
            <w:tcW w:w="1398" w:type="pct"/>
            <w:tcBorders>
              <w:left w:val="single" w:color="000000" w:sz="6" w:space="0"/>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浓度限值（μg/m</w:t>
            </w:r>
            <w:r>
              <w:rPr>
                <w:rFonts w:hint="eastAsia" w:ascii="Times New Roman" w:hAnsi="Times New Roman" w:cs="Times New Roman"/>
                <w:b w:val="0"/>
                <w:bCs/>
                <w:sz w:val="21"/>
                <w:szCs w:val="21"/>
                <w:vertAlign w:val="superscript"/>
                <w:lang w:val="en-US" w:eastAsia="zh-CN"/>
              </w:rPr>
              <w:t>3</w:t>
            </w:r>
            <w:r>
              <w:rPr>
                <w:rFonts w:hint="default" w:ascii="Times New Roman" w:hAnsi="Times New Roman" w:eastAsia="宋体" w:cs="Times New Roman"/>
                <w:b w:val="0"/>
                <w:bCs/>
                <w:sz w:val="21"/>
                <w:szCs w:val="21"/>
              </w:rPr>
              <w:t>）</w:t>
            </w:r>
          </w:p>
        </w:tc>
        <w:tc>
          <w:tcPr>
            <w:tcW w:w="1734" w:type="pct"/>
            <w:tcBorders>
              <w:left w:val="single" w:color="000000" w:sz="6" w:space="0"/>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标准来源</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25" w:hRule="atLeast"/>
          <w:jc w:val="center"/>
        </w:trPr>
        <w:tc>
          <w:tcPr>
            <w:tcW w:w="587" w:type="pct"/>
            <w:vMerge w:val="restart"/>
            <w:tcBorders>
              <w:top w:val="single" w:color="000000" w:sz="12" w:space="0"/>
              <w:left w:val="nil"/>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eastAsia" w:ascii="Times New Roman" w:hAnsi="Times New Roman" w:eastAsia="宋体" w:cs="Times New Roman"/>
                <w:sz w:val="21"/>
                <w:szCs w:val="21"/>
                <w:lang w:val="en-US" w:eastAsia="zh-CN"/>
              </w:rPr>
            </w:pPr>
            <w:r>
              <w:rPr>
                <w:rFonts w:hint="default" w:ascii="Times New Roman" w:hAnsi="Times New Roman" w:eastAsia="宋体" w:cs="Times New Roman"/>
                <w:position w:val="2"/>
                <w:sz w:val="21"/>
                <w:szCs w:val="21"/>
              </w:rPr>
              <w:t>SO</w:t>
            </w:r>
            <w:r>
              <w:rPr>
                <w:rFonts w:hint="eastAsia" w:ascii="Times New Roman" w:hAnsi="Times New Roman" w:cs="Times New Roman"/>
                <w:position w:val="2"/>
                <w:sz w:val="21"/>
                <w:szCs w:val="21"/>
                <w:vertAlign w:val="subscript"/>
                <w:lang w:val="en-US" w:eastAsia="zh-CN"/>
              </w:rPr>
              <w:t>2</w:t>
            </w:r>
          </w:p>
        </w:tc>
        <w:tc>
          <w:tcPr>
            <w:tcW w:w="1280" w:type="pct"/>
            <w:tcBorders>
              <w:top w:val="single" w:color="000000" w:sz="12"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年平均</w:t>
            </w:r>
          </w:p>
        </w:tc>
        <w:tc>
          <w:tcPr>
            <w:tcW w:w="1398" w:type="pct"/>
            <w:tcBorders>
              <w:top w:val="single" w:color="000000" w:sz="12"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60</w:t>
            </w:r>
          </w:p>
        </w:tc>
        <w:tc>
          <w:tcPr>
            <w:tcW w:w="1734" w:type="pct"/>
            <w:vMerge w:val="restart"/>
            <w:tcBorders>
              <w:top w:val="single" w:color="000000" w:sz="12" w:space="0"/>
              <w:left w:val="single" w:color="000000" w:sz="6"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pacing w:val="-11"/>
                <w:sz w:val="21"/>
                <w:szCs w:val="21"/>
              </w:rPr>
              <w:t>《环境空气质量标准》</w:t>
            </w:r>
            <w:r>
              <w:rPr>
                <w:rFonts w:hint="default" w:ascii="Times New Roman" w:hAnsi="Times New Roman" w:eastAsia="宋体" w:cs="Times New Roman"/>
                <w:spacing w:val="-5"/>
                <w:sz w:val="21"/>
                <w:szCs w:val="21"/>
              </w:rPr>
              <w:t>（GB3095-2012）</w:t>
            </w:r>
            <w:r>
              <w:rPr>
                <w:rFonts w:hint="default" w:ascii="Times New Roman" w:hAnsi="Times New Roman" w:eastAsia="宋体" w:cs="Times New Roman"/>
                <w:spacing w:val="-21"/>
                <w:sz w:val="21"/>
                <w:szCs w:val="21"/>
              </w:rPr>
              <w:t xml:space="preserve">及 </w:t>
            </w:r>
            <w:r>
              <w:rPr>
                <w:rFonts w:hint="default" w:ascii="Times New Roman" w:hAnsi="Times New Roman" w:eastAsia="宋体" w:cs="Times New Roman"/>
                <w:sz w:val="21"/>
                <w:szCs w:val="21"/>
              </w:rPr>
              <w:t>2018</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年修改单</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10" w:hRule="atLeast"/>
          <w:jc w:val="center"/>
        </w:trPr>
        <w:tc>
          <w:tcPr>
            <w:tcW w:w="587" w:type="pct"/>
            <w:vMerge w:val="continue"/>
            <w:tcBorders>
              <w:top w:val="single" w:color="000000" w:sz="4" w:space="0"/>
              <w:left w:val="nil"/>
              <w:bottom w:val="single" w:color="000000" w:sz="4" w:space="0"/>
              <w:right w:val="single" w:color="000000" w:sz="6"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24小时平均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150</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10" w:hRule="atLeast"/>
          <w:jc w:val="center"/>
        </w:trPr>
        <w:tc>
          <w:tcPr>
            <w:tcW w:w="587" w:type="pct"/>
            <w:vMerge w:val="continue"/>
            <w:tcBorders>
              <w:top w:val="single" w:color="000000" w:sz="4" w:space="0"/>
              <w:left w:val="nil"/>
              <w:bottom w:val="single" w:color="000000" w:sz="4" w:space="0"/>
              <w:right w:val="single" w:color="000000" w:sz="6"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1小时平均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500</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10" w:hRule="atLeast"/>
          <w:jc w:val="center"/>
        </w:trPr>
        <w:tc>
          <w:tcPr>
            <w:tcW w:w="587" w:type="pct"/>
            <w:vMerge w:val="restart"/>
            <w:tcBorders>
              <w:top w:val="single" w:color="000000" w:sz="4" w:space="0"/>
              <w:left w:val="nil"/>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TSP</w:t>
            </w: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年平均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200</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10" w:hRule="atLeast"/>
          <w:jc w:val="center"/>
        </w:trPr>
        <w:tc>
          <w:tcPr>
            <w:tcW w:w="587" w:type="pct"/>
            <w:vMerge w:val="continue"/>
            <w:tcBorders>
              <w:top w:val="single" w:color="000000" w:sz="4" w:space="0"/>
              <w:left w:val="nil"/>
              <w:bottom w:val="single" w:color="000000" w:sz="4" w:space="0"/>
              <w:right w:val="single" w:color="000000" w:sz="6"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24小时平均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300</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10" w:hRule="atLeast"/>
          <w:jc w:val="center"/>
        </w:trPr>
        <w:tc>
          <w:tcPr>
            <w:tcW w:w="587" w:type="pct"/>
            <w:vMerge w:val="restart"/>
            <w:tcBorders>
              <w:top w:val="single" w:color="000000" w:sz="4" w:space="0"/>
              <w:left w:val="nil"/>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PM</w:t>
            </w:r>
            <w:r>
              <w:rPr>
                <w:rFonts w:hint="default" w:ascii="Times New Roman" w:hAnsi="Times New Roman" w:eastAsia="宋体" w:cs="Times New Roman"/>
                <w:sz w:val="21"/>
                <w:szCs w:val="21"/>
                <w:vertAlign w:val="subscript"/>
              </w:rPr>
              <w:t>10</w:t>
            </w: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年平均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70</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10" w:hRule="atLeast"/>
          <w:jc w:val="center"/>
        </w:trPr>
        <w:tc>
          <w:tcPr>
            <w:tcW w:w="587" w:type="pct"/>
            <w:vMerge w:val="continue"/>
            <w:tcBorders>
              <w:top w:val="single" w:color="000000" w:sz="4" w:space="0"/>
              <w:left w:val="nil"/>
              <w:bottom w:val="single" w:color="000000" w:sz="4" w:space="0"/>
              <w:right w:val="single" w:color="000000" w:sz="6"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24小时平均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150</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07" w:hRule="atLeast"/>
          <w:jc w:val="center"/>
        </w:trPr>
        <w:tc>
          <w:tcPr>
            <w:tcW w:w="587" w:type="pct"/>
            <w:vMerge w:val="restart"/>
            <w:tcBorders>
              <w:top w:val="single" w:color="000000" w:sz="4" w:space="0"/>
              <w:left w:val="nil"/>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PM</w:t>
            </w:r>
            <w:r>
              <w:rPr>
                <w:rFonts w:hint="default" w:ascii="Times New Roman" w:hAnsi="Times New Roman" w:eastAsia="宋体" w:cs="Times New Roman"/>
                <w:sz w:val="21"/>
                <w:szCs w:val="21"/>
                <w:vertAlign w:val="subscript"/>
              </w:rPr>
              <w:t>2.5</w:t>
            </w: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年平均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35</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10" w:hRule="atLeast"/>
          <w:jc w:val="center"/>
        </w:trPr>
        <w:tc>
          <w:tcPr>
            <w:tcW w:w="587" w:type="pct"/>
            <w:vMerge w:val="continue"/>
            <w:tcBorders>
              <w:top w:val="single" w:color="000000" w:sz="4" w:space="0"/>
              <w:left w:val="nil"/>
              <w:bottom w:val="single" w:color="000000" w:sz="4" w:space="0"/>
              <w:right w:val="single" w:color="000000" w:sz="6"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24小时平均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75</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10" w:hRule="atLeast"/>
          <w:jc w:val="center"/>
        </w:trPr>
        <w:tc>
          <w:tcPr>
            <w:tcW w:w="587" w:type="pct"/>
            <w:vMerge w:val="restart"/>
            <w:tcBorders>
              <w:top w:val="single" w:color="000000" w:sz="4" w:space="0"/>
              <w:left w:val="nil"/>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position w:val="2"/>
                <w:sz w:val="21"/>
                <w:szCs w:val="21"/>
              </w:rPr>
              <w:t>N</w:t>
            </w:r>
            <w:r>
              <w:rPr>
                <w:rFonts w:hint="eastAsia" w:ascii="Times New Roman" w:hAnsi="Times New Roman" w:cs="Times New Roman"/>
                <w:position w:val="2"/>
                <w:sz w:val="21"/>
                <w:szCs w:val="21"/>
                <w:lang w:val="en-US" w:eastAsia="zh-CN"/>
              </w:rPr>
              <w:t>O</w:t>
            </w:r>
            <w:r>
              <w:rPr>
                <w:rFonts w:hint="eastAsia" w:ascii="Times New Roman" w:hAnsi="Times New Roman" w:cs="Times New Roman"/>
                <w:position w:val="2"/>
                <w:sz w:val="21"/>
                <w:szCs w:val="21"/>
                <w:vertAlign w:val="subscript"/>
                <w:lang w:val="en-US" w:eastAsia="zh-CN"/>
              </w:rPr>
              <w:t>2</w:t>
            </w: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年平均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40</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10" w:hRule="atLeast"/>
          <w:jc w:val="center"/>
        </w:trPr>
        <w:tc>
          <w:tcPr>
            <w:tcW w:w="587" w:type="pct"/>
            <w:vMerge w:val="continue"/>
            <w:tcBorders>
              <w:top w:val="single" w:color="000000" w:sz="4" w:space="0"/>
              <w:left w:val="nil"/>
              <w:bottom w:val="single" w:color="000000" w:sz="4" w:space="0"/>
              <w:right w:val="single" w:color="000000" w:sz="6"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24小时平均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80</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26" w:hRule="atLeast"/>
          <w:jc w:val="center"/>
        </w:trPr>
        <w:tc>
          <w:tcPr>
            <w:tcW w:w="587" w:type="pct"/>
            <w:vMerge w:val="continue"/>
            <w:tcBorders>
              <w:top w:val="single" w:color="000000" w:sz="4" w:space="0"/>
              <w:left w:val="nil"/>
              <w:bottom w:val="single" w:color="000000" w:sz="4" w:space="0"/>
              <w:right w:val="single" w:color="000000" w:sz="6"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1小时平均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200</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r>
      <w:tr>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340" w:hRule="atLeast"/>
          <w:jc w:val="center"/>
        </w:trPr>
        <w:tc>
          <w:tcPr>
            <w:tcW w:w="587" w:type="pct"/>
            <w:vMerge w:val="restart"/>
            <w:tcBorders>
              <w:top w:val="single" w:color="000000" w:sz="4" w:space="0"/>
              <w:left w:val="nil"/>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eastAsia" w:ascii="Times New Roman" w:hAnsi="Times New Roman" w:eastAsia="宋体" w:cs="Times New Roman"/>
                <w:sz w:val="21"/>
                <w:szCs w:val="21"/>
                <w:lang w:val="en-US" w:eastAsia="zh-CN"/>
              </w:rPr>
            </w:pPr>
            <w:r>
              <w:rPr>
                <w:rFonts w:hint="default" w:ascii="Times New Roman" w:hAnsi="Times New Roman" w:eastAsia="宋体" w:cs="Times New Roman"/>
                <w:position w:val="2"/>
                <w:sz w:val="21"/>
                <w:szCs w:val="21"/>
              </w:rPr>
              <w:t>O</w:t>
            </w:r>
            <w:r>
              <w:rPr>
                <w:rFonts w:hint="eastAsia" w:ascii="Times New Roman" w:hAnsi="Times New Roman" w:cs="Times New Roman"/>
                <w:position w:val="2"/>
                <w:sz w:val="21"/>
                <w:szCs w:val="21"/>
                <w:vertAlign w:val="subscript"/>
                <w:lang w:val="en-US" w:eastAsia="zh-CN"/>
              </w:rPr>
              <w:t>3</w:t>
            </w: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日最大8小时平均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160</w:t>
            </w:r>
          </w:p>
        </w:tc>
        <w:tc>
          <w:tcPr>
            <w:tcW w:w="1734" w:type="pct"/>
            <w:vMerge w:val="continue"/>
            <w:tcBorders>
              <w:top w:val="single" w:color="000000" w:sz="4" w:space="0"/>
              <w:left w:val="single" w:color="000000" w:sz="6"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p>
        </w:tc>
      </w:tr>
      <w:tr>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340" w:hRule="atLeast"/>
          <w:jc w:val="center"/>
        </w:trPr>
        <w:tc>
          <w:tcPr>
            <w:tcW w:w="587" w:type="pct"/>
            <w:vMerge w:val="continue"/>
            <w:tcBorders>
              <w:top w:val="single" w:color="000000" w:sz="4" w:space="0"/>
              <w:left w:val="nil"/>
              <w:bottom w:val="single" w:color="000000" w:sz="4" w:space="0"/>
              <w:right w:val="single" w:color="000000" w:sz="6" w:space="0"/>
            </w:tcBorders>
            <w:vAlign w:val="center"/>
          </w:tcPr>
          <w:p>
            <w:pPr>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1小时平均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200</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p>
        </w:tc>
      </w:tr>
      <w:tr>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340" w:hRule="atLeast"/>
          <w:jc w:val="center"/>
        </w:trPr>
        <w:tc>
          <w:tcPr>
            <w:tcW w:w="587" w:type="pct"/>
            <w:vMerge w:val="restart"/>
            <w:tcBorders>
              <w:top w:val="single" w:color="000000" w:sz="4" w:space="0"/>
              <w:left w:val="nil"/>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CO</w:t>
            </w: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24小时平均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4000</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p>
        </w:tc>
      </w:tr>
      <w:tr>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340" w:hRule="atLeast"/>
          <w:jc w:val="center"/>
        </w:trPr>
        <w:tc>
          <w:tcPr>
            <w:tcW w:w="587" w:type="pct"/>
            <w:vMerge w:val="continue"/>
            <w:tcBorders>
              <w:top w:val="single" w:color="000000" w:sz="4" w:space="0"/>
              <w:left w:val="nil"/>
              <w:bottom w:val="single" w:color="000000" w:sz="4" w:space="0"/>
              <w:right w:val="single" w:color="000000" w:sz="6" w:space="0"/>
            </w:tcBorders>
            <w:vAlign w:val="center"/>
          </w:tcPr>
          <w:p>
            <w:pPr>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1小时平均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10000</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p>
        </w:tc>
      </w:tr>
      <w:tr>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282" w:hRule="atLeast"/>
          <w:jc w:val="center"/>
        </w:trPr>
        <w:tc>
          <w:tcPr>
            <w:tcW w:w="587" w:type="pct"/>
            <w:tcBorders>
              <w:top w:val="single" w:color="000000" w:sz="4" w:space="0"/>
              <w:left w:val="nil"/>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H</w:t>
            </w:r>
            <w:r>
              <w:rPr>
                <w:rFonts w:hint="default" w:ascii="Times New Roman" w:hAnsi="Times New Roman" w:eastAsia="宋体" w:cs="Times New Roman"/>
                <w:sz w:val="21"/>
                <w:szCs w:val="21"/>
                <w:vertAlign w:val="subscript"/>
              </w:rPr>
              <w:t>2</w:t>
            </w:r>
            <w:r>
              <w:rPr>
                <w:rFonts w:hint="default" w:ascii="Times New Roman" w:hAnsi="Times New Roman" w:eastAsia="宋体" w:cs="Times New Roman"/>
                <w:position w:val="2"/>
                <w:sz w:val="21"/>
                <w:szCs w:val="21"/>
              </w:rPr>
              <w:t>S</w:t>
            </w: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1小时平均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10</w:t>
            </w:r>
          </w:p>
        </w:tc>
        <w:tc>
          <w:tcPr>
            <w:tcW w:w="1734" w:type="pct"/>
            <w:vMerge w:val="restart"/>
            <w:tcBorders>
              <w:top w:val="single" w:color="000000" w:sz="4" w:space="0"/>
              <w:left w:val="single" w:color="000000" w:sz="6"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《环境影响评价技术导则 大气环境》（HJ2.2-2018）附录 D</w:t>
            </w:r>
          </w:p>
        </w:tc>
      </w:tr>
      <w:tr>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340" w:hRule="atLeast"/>
          <w:jc w:val="center"/>
        </w:trPr>
        <w:tc>
          <w:tcPr>
            <w:tcW w:w="587" w:type="pct"/>
            <w:tcBorders>
              <w:top w:val="single" w:color="000000" w:sz="4" w:space="0"/>
              <w:left w:val="nil"/>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eastAsia" w:ascii="Times New Roman" w:hAnsi="Times New Roman" w:eastAsia="宋体" w:cs="Times New Roman"/>
                <w:sz w:val="21"/>
                <w:szCs w:val="21"/>
                <w:lang w:val="en-US" w:eastAsia="zh-CN"/>
              </w:rPr>
            </w:pPr>
            <w:r>
              <w:rPr>
                <w:rFonts w:hint="default" w:ascii="Times New Roman" w:hAnsi="Times New Roman" w:eastAsia="宋体" w:cs="Times New Roman"/>
                <w:position w:val="2"/>
                <w:sz w:val="21"/>
                <w:szCs w:val="21"/>
              </w:rPr>
              <w:t>NH</w:t>
            </w:r>
            <w:r>
              <w:rPr>
                <w:rFonts w:hint="eastAsia" w:ascii="Times New Roman" w:hAnsi="Times New Roman" w:cs="Times New Roman"/>
                <w:position w:val="2"/>
                <w:sz w:val="21"/>
                <w:szCs w:val="21"/>
                <w:vertAlign w:val="subscript"/>
                <w:lang w:val="en-US" w:eastAsia="zh-CN"/>
              </w:rPr>
              <w:t>3</w:t>
            </w:r>
          </w:p>
        </w:tc>
        <w:tc>
          <w:tcPr>
            <w:tcW w:w="1280"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1小时平均</w:t>
            </w:r>
          </w:p>
        </w:tc>
        <w:tc>
          <w:tcPr>
            <w:tcW w:w="1398"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200</w:t>
            </w:r>
          </w:p>
        </w:tc>
        <w:tc>
          <w:tcPr>
            <w:tcW w:w="1734"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p>
        </w:tc>
      </w:tr>
      <w:tr>
        <w:tblPrEx>
          <w:tblBorders>
            <w:top w:val="single" w:color="000000" w:sz="18" w:space="0"/>
            <w:left w:val="single" w:color="000000" w:sz="18" w:space="0"/>
            <w:bottom w:val="single" w:color="000000" w:sz="18" w:space="0"/>
            <w:right w:val="single" w:color="000000" w:sz="18" w:space="0"/>
            <w:insideH w:val="single" w:color="000000" w:sz="18" w:space="0"/>
            <w:insideV w:val="single" w:color="000000" w:sz="18" w:space="0"/>
          </w:tblBorders>
          <w:tblCellMar>
            <w:top w:w="0" w:type="dxa"/>
            <w:left w:w="0" w:type="dxa"/>
            <w:bottom w:w="0" w:type="dxa"/>
            <w:right w:w="0" w:type="dxa"/>
          </w:tblCellMar>
        </w:tblPrEx>
        <w:trPr>
          <w:trHeight w:val="339" w:hRule="atLeast"/>
          <w:jc w:val="center"/>
        </w:trPr>
        <w:tc>
          <w:tcPr>
            <w:tcW w:w="587" w:type="pct"/>
            <w:tcBorders>
              <w:top w:val="single" w:color="000000" w:sz="4" w:space="0"/>
              <w:left w:val="nil"/>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臭气浓度</w:t>
            </w:r>
          </w:p>
        </w:tc>
        <w:tc>
          <w:tcPr>
            <w:tcW w:w="1280" w:type="pct"/>
            <w:tcBorders>
              <w:top w:val="single" w:color="000000" w:sz="4" w:space="0"/>
              <w:left w:val="single" w:color="000000" w:sz="6" w:space="0"/>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一次最大监测值</w:t>
            </w:r>
          </w:p>
        </w:tc>
        <w:tc>
          <w:tcPr>
            <w:tcW w:w="1398" w:type="pct"/>
            <w:tcBorders>
              <w:top w:val="single" w:color="000000" w:sz="4" w:space="0"/>
              <w:left w:val="single" w:color="000000" w:sz="6" w:space="0"/>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20（无量纲）</w:t>
            </w:r>
          </w:p>
        </w:tc>
        <w:tc>
          <w:tcPr>
            <w:tcW w:w="1734" w:type="pct"/>
            <w:tcBorders>
              <w:top w:val="single" w:color="000000" w:sz="4" w:space="0"/>
              <w:left w:val="single" w:color="000000" w:sz="6" w:space="0"/>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《恶臭污染物排放标准》（GB14554-93）</w:t>
            </w:r>
          </w:p>
        </w:tc>
      </w:tr>
    </w:tbl>
    <w:p>
      <w:pPr>
        <w:pStyle w:val="6"/>
      </w:pPr>
      <w:r>
        <w:rPr>
          <w:rFonts w:hint="eastAsia"/>
          <w:lang w:eastAsia="zh-CN"/>
        </w:rPr>
        <w:t>声环境质量标准</w:t>
      </w:r>
    </w:p>
    <w:p>
      <w:pPr>
        <w:pStyle w:val="9"/>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b w:val="0"/>
          <w:bCs w:val="0"/>
          <w:sz w:val="24"/>
          <w:szCs w:val="24"/>
        </w:rPr>
      </w:pPr>
      <w:r>
        <w:rPr>
          <w:rFonts w:hint="eastAsia"/>
          <w:b w:val="0"/>
          <w:bCs w:val="0"/>
          <w:sz w:val="24"/>
          <w:szCs w:val="24"/>
        </w:rPr>
        <w:t>本项目所在区域属于1类区，执行《声环境质量标准》（GB3096-2008）中规定的1类标准，见下表。</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ascii="Times New Roman" w:hAnsi="Times New Roman" w:cs="Times New Roman"/>
          <w:b/>
          <w:bCs/>
          <w:sz w:val="21"/>
          <w:szCs w:val="21"/>
          <w:lang w:eastAsia="zh-CN"/>
        </w:rPr>
      </w:pPr>
      <w:r>
        <w:rPr>
          <w:rFonts w:hint="eastAsia" w:ascii="Times New Roman" w:hAnsi="Times New Roman" w:cs="Times New Roman"/>
          <w:b/>
          <w:bCs/>
          <w:sz w:val="21"/>
          <w:szCs w:val="21"/>
          <w:lang w:eastAsia="zh-CN"/>
        </w:rPr>
        <w:t>表2.8-4  声环境质量标准</w:t>
      </w:r>
    </w:p>
    <w:tbl>
      <w:tblPr>
        <w:tblStyle w:val="63"/>
        <w:tblW w:w="4999" w:type="pct"/>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1829"/>
        <w:gridCol w:w="3236"/>
        <w:gridCol w:w="3239"/>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39" w:hRule="atLeast"/>
        </w:trPr>
        <w:tc>
          <w:tcPr>
            <w:tcW w:w="1101" w:type="pct"/>
            <w:vMerge w:val="restart"/>
            <w:tcBorders>
              <w:left w:val="nil"/>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标准类别</w:t>
            </w:r>
          </w:p>
        </w:tc>
        <w:tc>
          <w:tcPr>
            <w:tcW w:w="3898" w:type="pct"/>
            <w:gridSpan w:val="2"/>
            <w:tcBorders>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噪声限值［等效声级 Leq：dB（A）］</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1101" w:type="pct"/>
            <w:vMerge w:val="continue"/>
            <w:tcBorders>
              <w:top w:val="nil"/>
              <w:left w:val="nil"/>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p>
        </w:tc>
        <w:tc>
          <w:tcPr>
            <w:tcW w:w="1948" w:type="pct"/>
            <w:tcBorders>
              <w:top w:val="single" w:color="000000" w:sz="6" w:space="0"/>
              <w:left w:val="single" w:color="000000" w:sz="6" w:space="0"/>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昼间</w:t>
            </w:r>
          </w:p>
        </w:tc>
        <w:tc>
          <w:tcPr>
            <w:tcW w:w="1950" w:type="pct"/>
            <w:tcBorders>
              <w:top w:val="single" w:color="000000" w:sz="6" w:space="0"/>
              <w:left w:val="single" w:color="000000" w:sz="6" w:space="0"/>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夜间</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39" w:hRule="atLeast"/>
        </w:trPr>
        <w:tc>
          <w:tcPr>
            <w:tcW w:w="1101" w:type="pct"/>
            <w:tcBorders>
              <w:top w:val="single" w:color="000000" w:sz="12" w:space="0"/>
              <w:left w:val="nil"/>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 类</w:t>
            </w:r>
          </w:p>
        </w:tc>
        <w:tc>
          <w:tcPr>
            <w:tcW w:w="1948" w:type="pct"/>
            <w:tcBorders>
              <w:top w:val="single" w:color="000000" w:sz="12" w:space="0"/>
              <w:left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55</w:t>
            </w:r>
          </w:p>
        </w:tc>
        <w:tc>
          <w:tcPr>
            <w:tcW w:w="1950" w:type="pct"/>
            <w:tcBorders>
              <w:top w:val="single" w:color="000000" w:sz="12" w:space="0"/>
              <w:left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45</w:t>
            </w:r>
          </w:p>
        </w:tc>
      </w:tr>
    </w:tbl>
    <w:p>
      <w:pPr>
        <w:pStyle w:val="6"/>
      </w:pPr>
      <w:r>
        <w:rPr>
          <w:rFonts w:hint="eastAsia"/>
          <w:lang w:eastAsia="zh-CN"/>
        </w:rPr>
        <w:t>土壤环境质量标准</w:t>
      </w:r>
    </w:p>
    <w:p>
      <w:pPr>
        <w:pStyle w:val="9"/>
        <w:keepNext w:val="0"/>
        <w:keepLines w:val="0"/>
        <w:pageBreakBefore w:val="0"/>
        <w:widowControl w:val="0"/>
        <w:kinsoku/>
        <w:wordWrap/>
        <w:overflowPunct/>
        <w:topLinePunct w:val="0"/>
        <w:autoSpaceDE w:val="0"/>
        <w:autoSpaceDN w:val="0"/>
        <w:bidi w:val="0"/>
        <w:adjustRightInd/>
        <w:snapToGrid/>
        <w:spacing w:line="360" w:lineRule="auto"/>
        <w:jc w:val="left"/>
        <w:textAlignment w:val="auto"/>
        <w:rPr>
          <w:rFonts w:hint="eastAsia"/>
          <w:b w:val="0"/>
          <w:bCs w:val="0"/>
          <w:sz w:val="24"/>
          <w:szCs w:val="24"/>
        </w:rPr>
      </w:pPr>
      <w:r>
        <w:rPr>
          <w:rFonts w:hint="eastAsia"/>
          <w:b w:val="0"/>
          <w:bCs w:val="0"/>
          <w:sz w:val="24"/>
          <w:szCs w:val="24"/>
        </w:rPr>
        <w:t>项目所在区域土壤执行《土壤环境质量 农用地土壤污染风险管控标准（试行）》（GB15618-2018）土壤标准中的筛选值，具体标准值见下表。</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ascii="Times New Roman" w:hAnsi="Times New Roman" w:cs="Times New Roman"/>
          <w:b/>
          <w:bCs/>
          <w:sz w:val="21"/>
          <w:szCs w:val="21"/>
          <w:lang w:eastAsia="zh-CN"/>
        </w:rPr>
      </w:pPr>
      <w:r>
        <w:rPr>
          <w:rFonts w:hint="eastAsia" w:ascii="Times New Roman" w:hAnsi="Times New Roman" w:cs="Times New Roman"/>
          <w:b/>
          <w:bCs/>
          <w:sz w:val="21"/>
          <w:szCs w:val="21"/>
          <w:lang w:eastAsia="zh-CN"/>
        </w:rPr>
        <w:t>表2.8-5</w:t>
      </w:r>
      <w:r>
        <w:rPr>
          <w:rFonts w:hint="eastAsia" w:ascii="Times New Roman" w:hAnsi="Times New Roman" w:cs="Times New Roman"/>
          <w:b/>
          <w:bCs/>
          <w:sz w:val="21"/>
          <w:szCs w:val="21"/>
          <w:lang w:eastAsia="zh-CN"/>
        </w:rPr>
        <w:tab/>
      </w:r>
      <w:r>
        <w:rPr>
          <w:rFonts w:hint="eastAsia" w:ascii="Times New Roman" w:hAnsi="Times New Roman" w:cs="Times New Roman"/>
          <w:b/>
          <w:bCs/>
          <w:sz w:val="21"/>
          <w:szCs w:val="21"/>
          <w:lang w:eastAsia="zh-CN"/>
        </w:rPr>
        <w:t xml:space="preserve">土壤环境质量标准 </w:t>
      </w:r>
      <w:r>
        <w:rPr>
          <w:rFonts w:hint="eastAsia" w:ascii="Times New Roman" w:hAnsi="Times New Roman" w:cs="Times New Roman"/>
          <w:b/>
          <w:bCs/>
          <w:sz w:val="21"/>
          <w:szCs w:val="21"/>
          <w:lang w:val="en-US" w:eastAsia="zh-CN"/>
        </w:rPr>
        <w:t xml:space="preserve"> </w:t>
      </w:r>
      <w:r>
        <w:rPr>
          <w:rFonts w:hint="eastAsia" w:ascii="Times New Roman" w:hAnsi="Times New Roman" w:cs="Times New Roman"/>
          <w:b/>
          <w:bCs/>
          <w:sz w:val="21"/>
          <w:szCs w:val="21"/>
          <w:lang w:eastAsia="zh-CN"/>
        </w:rPr>
        <w:t>农用地土壤污染风险筛选值</w:t>
      </w:r>
      <w:r>
        <w:rPr>
          <w:rFonts w:hint="eastAsia" w:ascii="Times New Roman" w:hAnsi="Times New Roman" w:cs="Times New Roman"/>
          <w:b/>
          <w:bCs/>
          <w:sz w:val="21"/>
          <w:szCs w:val="21"/>
          <w:lang w:eastAsia="zh-CN"/>
        </w:rPr>
        <w:tab/>
      </w:r>
      <w:r>
        <w:rPr>
          <w:rFonts w:hint="eastAsia" w:ascii="Times New Roman" w:hAnsi="Times New Roman" w:cs="Times New Roman"/>
          <w:b/>
          <w:bCs/>
          <w:sz w:val="21"/>
          <w:szCs w:val="21"/>
          <w:lang w:eastAsia="zh-CN"/>
        </w:rPr>
        <w:t>单位：mg/kg</w:t>
      </w:r>
    </w:p>
    <w:tbl>
      <w:tblPr>
        <w:tblStyle w:val="63"/>
        <w:tblW w:w="4998" w:type="pct"/>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745"/>
        <w:gridCol w:w="558"/>
        <w:gridCol w:w="779"/>
        <w:gridCol w:w="1442"/>
        <w:gridCol w:w="1518"/>
        <w:gridCol w:w="1643"/>
        <w:gridCol w:w="1618"/>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61" w:hRule="atLeast"/>
        </w:trPr>
        <w:tc>
          <w:tcPr>
            <w:tcW w:w="449" w:type="pct"/>
            <w:vMerge w:val="restart"/>
            <w:tcBorders>
              <w:left w:val="nil"/>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序号</w:t>
            </w:r>
          </w:p>
        </w:tc>
        <w:tc>
          <w:tcPr>
            <w:tcW w:w="805" w:type="pct"/>
            <w:gridSpan w:val="2"/>
            <w:vMerge w:val="restart"/>
            <w:tcBorders>
              <w:left w:val="single" w:color="000000" w:sz="4" w:space="0"/>
              <w:bottom w:val="single" w:color="000000" w:sz="4"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污染物项目</w:t>
            </w:r>
          </w:p>
        </w:tc>
        <w:tc>
          <w:tcPr>
            <w:tcW w:w="3745" w:type="pct"/>
            <w:gridSpan w:val="4"/>
            <w:tcBorders>
              <w:left w:val="single" w:color="000000" w:sz="4"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风险筛选值</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59" w:hRule="atLeast"/>
        </w:trPr>
        <w:tc>
          <w:tcPr>
            <w:tcW w:w="449" w:type="pct"/>
            <w:vMerge w:val="continue"/>
            <w:tcBorders>
              <w:top w:val="single" w:color="000000" w:sz="4" w:space="0"/>
              <w:left w:val="nil"/>
              <w:bottom w:val="single" w:color="000000" w:sz="12"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p>
        </w:tc>
        <w:tc>
          <w:tcPr>
            <w:tcW w:w="805" w:type="pct"/>
            <w:gridSpan w:val="2"/>
            <w:vMerge w:val="continue"/>
            <w:tcBorders>
              <w:top w:val="single" w:color="000000" w:sz="4" w:space="0"/>
              <w:left w:val="single" w:color="000000" w:sz="4" w:space="0"/>
              <w:bottom w:val="single" w:color="000000" w:sz="12" w:space="0"/>
              <w:right w:val="single" w:color="000000"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p>
        </w:tc>
        <w:tc>
          <w:tcPr>
            <w:tcW w:w="868" w:type="pct"/>
            <w:tcBorders>
              <w:top w:val="single" w:color="000000" w:sz="4" w:space="0"/>
              <w:left w:val="single" w:color="000000" w:sz="4" w:space="0"/>
              <w:bottom w:val="single" w:color="000000" w:sz="12"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pH＜5.5</w:t>
            </w:r>
          </w:p>
        </w:tc>
        <w:tc>
          <w:tcPr>
            <w:tcW w:w="914" w:type="pct"/>
            <w:tcBorders>
              <w:top w:val="single" w:color="000000" w:sz="4" w:space="0"/>
              <w:left w:val="single" w:color="000000" w:sz="4" w:space="0"/>
              <w:bottom w:val="single" w:color="000000" w:sz="12"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5.5＜pH≤6.5</w:t>
            </w:r>
          </w:p>
        </w:tc>
        <w:tc>
          <w:tcPr>
            <w:tcW w:w="989" w:type="pct"/>
            <w:tcBorders>
              <w:top w:val="single" w:color="000000" w:sz="4" w:space="0"/>
              <w:left w:val="single" w:color="000000" w:sz="4" w:space="0"/>
              <w:bottom w:val="single" w:color="000000" w:sz="12"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6.5＜pH≤7.5</w:t>
            </w:r>
          </w:p>
        </w:tc>
        <w:tc>
          <w:tcPr>
            <w:tcW w:w="973" w:type="pct"/>
            <w:tcBorders>
              <w:top w:val="single" w:color="000000" w:sz="4" w:space="0"/>
              <w:left w:val="single" w:color="000000" w:sz="4" w:space="0"/>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pH＞7.5</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59" w:hRule="atLeast"/>
        </w:trPr>
        <w:tc>
          <w:tcPr>
            <w:tcW w:w="449" w:type="pct"/>
            <w:tcBorders>
              <w:top w:val="single" w:color="000000" w:sz="12" w:space="0"/>
              <w:left w:val="nil"/>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1</w:t>
            </w:r>
          </w:p>
        </w:tc>
        <w:tc>
          <w:tcPr>
            <w:tcW w:w="336" w:type="pct"/>
            <w:tcBorders>
              <w:top w:val="single" w:color="000000" w:sz="12" w:space="0"/>
              <w:left w:val="single" w:color="000000" w:sz="4" w:space="0"/>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铜</w:t>
            </w:r>
          </w:p>
        </w:tc>
        <w:tc>
          <w:tcPr>
            <w:tcW w:w="468" w:type="pct"/>
            <w:tcBorders>
              <w:top w:val="single" w:color="000000" w:sz="12" w:space="0"/>
              <w:left w:val="single" w:color="000000" w:sz="4"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其他</w:t>
            </w:r>
          </w:p>
        </w:tc>
        <w:tc>
          <w:tcPr>
            <w:tcW w:w="868" w:type="pct"/>
            <w:tcBorders>
              <w:top w:val="single" w:color="000000" w:sz="12"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50</w:t>
            </w:r>
          </w:p>
        </w:tc>
        <w:tc>
          <w:tcPr>
            <w:tcW w:w="914" w:type="pct"/>
            <w:tcBorders>
              <w:top w:val="single" w:color="000000" w:sz="12" w:space="0"/>
              <w:left w:val="single" w:color="000000" w:sz="6" w:space="0"/>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50</w:t>
            </w:r>
          </w:p>
        </w:tc>
        <w:tc>
          <w:tcPr>
            <w:tcW w:w="989" w:type="pct"/>
            <w:tcBorders>
              <w:top w:val="single" w:color="000000" w:sz="12" w:space="0"/>
              <w:left w:val="single" w:color="000000" w:sz="4"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100</w:t>
            </w:r>
          </w:p>
        </w:tc>
        <w:tc>
          <w:tcPr>
            <w:tcW w:w="973" w:type="pct"/>
            <w:tcBorders>
              <w:top w:val="single" w:color="000000" w:sz="12"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100</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59" w:hRule="atLeast"/>
        </w:trPr>
        <w:tc>
          <w:tcPr>
            <w:tcW w:w="449" w:type="pct"/>
            <w:tcBorders>
              <w:top w:val="single" w:color="000000" w:sz="6" w:space="0"/>
              <w:left w:val="nil"/>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2</w:t>
            </w:r>
          </w:p>
        </w:tc>
        <w:tc>
          <w:tcPr>
            <w:tcW w:w="336" w:type="pct"/>
            <w:tcBorders>
              <w:top w:val="single" w:color="000000" w:sz="6" w:space="0"/>
              <w:left w:val="single" w:color="000000" w:sz="4" w:space="0"/>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铅</w:t>
            </w:r>
          </w:p>
        </w:tc>
        <w:tc>
          <w:tcPr>
            <w:tcW w:w="468" w:type="pct"/>
            <w:tcBorders>
              <w:top w:val="single" w:color="000000" w:sz="6" w:space="0"/>
              <w:left w:val="single" w:color="000000" w:sz="4"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其他</w:t>
            </w:r>
          </w:p>
        </w:tc>
        <w:tc>
          <w:tcPr>
            <w:tcW w:w="868"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70</w:t>
            </w:r>
          </w:p>
        </w:tc>
        <w:tc>
          <w:tcPr>
            <w:tcW w:w="914" w:type="pct"/>
            <w:tcBorders>
              <w:top w:val="single" w:color="000000" w:sz="6" w:space="0"/>
              <w:left w:val="single" w:color="000000" w:sz="6" w:space="0"/>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90</w:t>
            </w:r>
          </w:p>
        </w:tc>
        <w:tc>
          <w:tcPr>
            <w:tcW w:w="989" w:type="pct"/>
            <w:tcBorders>
              <w:top w:val="single" w:color="000000" w:sz="6" w:space="0"/>
              <w:left w:val="single" w:color="000000" w:sz="4"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120</w:t>
            </w:r>
          </w:p>
        </w:tc>
        <w:tc>
          <w:tcPr>
            <w:tcW w:w="973"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170</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61" w:hRule="atLeast"/>
        </w:trPr>
        <w:tc>
          <w:tcPr>
            <w:tcW w:w="449" w:type="pct"/>
            <w:tcBorders>
              <w:top w:val="single" w:color="000000" w:sz="6" w:space="0"/>
              <w:left w:val="nil"/>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3</w:t>
            </w:r>
          </w:p>
        </w:tc>
        <w:tc>
          <w:tcPr>
            <w:tcW w:w="336" w:type="pct"/>
            <w:tcBorders>
              <w:top w:val="single" w:color="000000" w:sz="6" w:space="0"/>
              <w:left w:val="single" w:color="000000" w:sz="4" w:space="0"/>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汞</w:t>
            </w:r>
          </w:p>
        </w:tc>
        <w:tc>
          <w:tcPr>
            <w:tcW w:w="468" w:type="pct"/>
            <w:tcBorders>
              <w:top w:val="single" w:color="000000" w:sz="6" w:space="0"/>
              <w:left w:val="single" w:color="000000" w:sz="4"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其他</w:t>
            </w:r>
          </w:p>
        </w:tc>
        <w:tc>
          <w:tcPr>
            <w:tcW w:w="868"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1.3</w:t>
            </w:r>
          </w:p>
        </w:tc>
        <w:tc>
          <w:tcPr>
            <w:tcW w:w="914" w:type="pct"/>
            <w:tcBorders>
              <w:top w:val="single" w:color="000000" w:sz="6" w:space="0"/>
              <w:left w:val="single" w:color="000000" w:sz="6" w:space="0"/>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1.8</w:t>
            </w:r>
          </w:p>
        </w:tc>
        <w:tc>
          <w:tcPr>
            <w:tcW w:w="989" w:type="pct"/>
            <w:tcBorders>
              <w:top w:val="single" w:color="000000" w:sz="6" w:space="0"/>
              <w:left w:val="single" w:color="000000" w:sz="4"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2.4</w:t>
            </w:r>
          </w:p>
        </w:tc>
        <w:tc>
          <w:tcPr>
            <w:tcW w:w="973"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3.4</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59" w:hRule="atLeast"/>
        </w:trPr>
        <w:tc>
          <w:tcPr>
            <w:tcW w:w="449" w:type="pct"/>
            <w:tcBorders>
              <w:top w:val="single" w:color="000000" w:sz="6" w:space="0"/>
              <w:left w:val="nil"/>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4</w:t>
            </w:r>
          </w:p>
        </w:tc>
        <w:tc>
          <w:tcPr>
            <w:tcW w:w="336" w:type="pct"/>
            <w:tcBorders>
              <w:top w:val="single" w:color="000000" w:sz="6" w:space="0"/>
              <w:left w:val="single" w:color="000000" w:sz="4" w:space="0"/>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砷</w:t>
            </w:r>
          </w:p>
        </w:tc>
        <w:tc>
          <w:tcPr>
            <w:tcW w:w="468" w:type="pct"/>
            <w:tcBorders>
              <w:top w:val="single" w:color="000000" w:sz="6" w:space="0"/>
              <w:left w:val="single" w:color="000000" w:sz="4"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其他</w:t>
            </w:r>
          </w:p>
        </w:tc>
        <w:tc>
          <w:tcPr>
            <w:tcW w:w="868"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40</w:t>
            </w:r>
          </w:p>
        </w:tc>
        <w:tc>
          <w:tcPr>
            <w:tcW w:w="914" w:type="pct"/>
            <w:tcBorders>
              <w:top w:val="single" w:color="000000" w:sz="6" w:space="0"/>
              <w:left w:val="single" w:color="000000" w:sz="6" w:space="0"/>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40</w:t>
            </w:r>
          </w:p>
        </w:tc>
        <w:tc>
          <w:tcPr>
            <w:tcW w:w="989" w:type="pct"/>
            <w:tcBorders>
              <w:top w:val="single" w:color="000000" w:sz="6" w:space="0"/>
              <w:left w:val="single" w:color="000000" w:sz="4"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30</w:t>
            </w:r>
          </w:p>
        </w:tc>
        <w:tc>
          <w:tcPr>
            <w:tcW w:w="973"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25</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59" w:hRule="atLeast"/>
        </w:trPr>
        <w:tc>
          <w:tcPr>
            <w:tcW w:w="449" w:type="pct"/>
            <w:tcBorders>
              <w:top w:val="single" w:color="000000" w:sz="6" w:space="0"/>
              <w:left w:val="nil"/>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5</w:t>
            </w:r>
          </w:p>
        </w:tc>
        <w:tc>
          <w:tcPr>
            <w:tcW w:w="336" w:type="pct"/>
            <w:tcBorders>
              <w:top w:val="single" w:color="000000" w:sz="6" w:space="0"/>
              <w:left w:val="single" w:color="000000" w:sz="4" w:space="0"/>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铬</w:t>
            </w:r>
          </w:p>
        </w:tc>
        <w:tc>
          <w:tcPr>
            <w:tcW w:w="468" w:type="pct"/>
            <w:tcBorders>
              <w:top w:val="single" w:color="000000" w:sz="6" w:space="0"/>
              <w:left w:val="single" w:color="000000" w:sz="4"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其他</w:t>
            </w:r>
          </w:p>
        </w:tc>
        <w:tc>
          <w:tcPr>
            <w:tcW w:w="868"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150</w:t>
            </w:r>
          </w:p>
        </w:tc>
        <w:tc>
          <w:tcPr>
            <w:tcW w:w="914" w:type="pct"/>
            <w:tcBorders>
              <w:top w:val="single" w:color="000000" w:sz="6" w:space="0"/>
              <w:left w:val="single" w:color="000000" w:sz="6" w:space="0"/>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150</w:t>
            </w:r>
          </w:p>
        </w:tc>
        <w:tc>
          <w:tcPr>
            <w:tcW w:w="989" w:type="pct"/>
            <w:tcBorders>
              <w:top w:val="single" w:color="000000" w:sz="6" w:space="0"/>
              <w:left w:val="single" w:color="000000" w:sz="4"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200</w:t>
            </w:r>
          </w:p>
        </w:tc>
        <w:tc>
          <w:tcPr>
            <w:tcW w:w="973"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250</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59" w:hRule="atLeast"/>
        </w:trPr>
        <w:tc>
          <w:tcPr>
            <w:tcW w:w="449" w:type="pct"/>
            <w:tcBorders>
              <w:top w:val="single" w:color="000000" w:sz="6" w:space="0"/>
              <w:left w:val="nil"/>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6</w:t>
            </w:r>
          </w:p>
        </w:tc>
        <w:tc>
          <w:tcPr>
            <w:tcW w:w="336" w:type="pct"/>
            <w:tcBorders>
              <w:top w:val="single" w:color="000000" w:sz="6" w:space="0"/>
              <w:left w:val="single" w:color="000000" w:sz="4" w:space="0"/>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镉</w:t>
            </w:r>
          </w:p>
        </w:tc>
        <w:tc>
          <w:tcPr>
            <w:tcW w:w="468" w:type="pct"/>
            <w:tcBorders>
              <w:top w:val="single" w:color="000000" w:sz="6" w:space="0"/>
              <w:left w:val="single" w:color="000000" w:sz="4"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其他</w:t>
            </w:r>
          </w:p>
        </w:tc>
        <w:tc>
          <w:tcPr>
            <w:tcW w:w="868"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0.3</w:t>
            </w:r>
          </w:p>
        </w:tc>
        <w:tc>
          <w:tcPr>
            <w:tcW w:w="914" w:type="pct"/>
            <w:tcBorders>
              <w:top w:val="single" w:color="000000" w:sz="6" w:space="0"/>
              <w:left w:val="single" w:color="000000" w:sz="6" w:space="0"/>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0.3</w:t>
            </w:r>
          </w:p>
        </w:tc>
        <w:tc>
          <w:tcPr>
            <w:tcW w:w="989" w:type="pct"/>
            <w:tcBorders>
              <w:top w:val="single" w:color="000000" w:sz="6" w:space="0"/>
              <w:left w:val="single" w:color="000000" w:sz="4"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0.3</w:t>
            </w:r>
          </w:p>
        </w:tc>
        <w:tc>
          <w:tcPr>
            <w:tcW w:w="973"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0.6</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61" w:hRule="atLeast"/>
        </w:trPr>
        <w:tc>
          <w:tcPr>
            <w:tcW w:w="449" w:type="pct"/>
            <w:tcBorders>
              <w:top w:val="single" w:color="000000" w:sz="6" w:space="0"/>
              <w:left w:val="nil"/>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7</w:t>
            </w:r>
          </w:p>
        </w:tc>
        <w:tc>
          <w:tcPr>
            <w:tcW w:w="805" w:type="pct"/>
            <w:gridSpan w:val="2"/>
            <w:tcBorders>
              <w:top w:val="single" w:color="000000" w:sz="6" w:space="0"/>
              <w:left w:val="single" w:color="000000" w:sz="4"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镍</w:t>
            </w:r>
          </w:p>
        </w:tc>
        <w:tc>
          <w:tcPr>
            <w:tcW w:w="868" w:type="pct"/>
            <w:tcBorders>
              <w:top w:val="single" w:color="000000" w:sz="6" w:space="0"/>
              <w:left w:val="single" w:color="000000" w:sz="6"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60</w:t>
            </w:r>
          </w:p>
        </w:tc>
        <w:tc>
          <w:tcPr>
            <w:tcW w:w="914" w:type="pct"/>
            <w:tcBorders>
              <w:top w:val="single" w:color="000000" w:sz="6" w:space="0"/>
              <w:left w:val="single" w:color="000000" w:sz="6" w:space="0"/>
              <w:bottom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70</w:t>
            </w:r>
          </w:p>
        </w:tc>
        <w:tc>
          <w:tcPr>
            <w:tcW w:w="989" w:type="pct"/>
            <w:tcBorders>
              <w:top w:val="single" w:color="000000" w:sz="6" w:space="0"/>
              <w:left w:val="single" w:color="000000" w:sz="4" w:space="0"/>
              <w:bottom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100</w:t>
            </w:r>
          </w:p>
        </w:tc>
        <w:tc>
          <w:tcPr>
            <w:tcW w:w="973" w:type="pct"/>
            <w:tcBorders>
              <w:top w:val="single" w:color="000000" w:sz="6" w:space="0"/>
              <w:left w:val="single" w:color="000000" w:sz="6" w:space="0"/>
              <w:bottom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190</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59" w:hRule="atLeast"/>
        </w:trPr>
        <w:tc>
          <w:tcPr>
            <w:tcW w:w="449" w:type="pct"/>
            <w:tcBorders>
              <w:top w:val="single" w:color="000000" w:sz="6" w:space="0"/>
              <w:left w:val="nil"/>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8</w:t>
            </w:r>
          </w:p>
        </w:tc>
        <w:tc>
          <w:tcPr>
            <w:tcW w:w="805" w:type="pct"/>
            <w:gridSpan w:val="2"/>
            <w:tcBorders>
              <w:top w:val="single" w:color="000000" w:sz="6" w:space="0"/>
              <w:left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锌</w:t>
            </w:r>
          </w:p>
        </w:tc>
        <w:tc>
          <w:tcPr>
            <w:tcW w:w="868" w:type="pct"/>
            <w:tcBorders>
              <w:top w:val="single" w:color="000000" w:sz="6" w:space="0"/>
              <w:left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200</w:t>
            </w:r>
          </w:p>
        </w:tc>
        <w:tc>
          <w:tcPr>
            <w:tcW w:w="914" w:type="pct"/>
            <w:tcBorders>
              <w:top w:val="single" w:color="000000" w:sz="6" w:space="0"/>
              <w:left w:val="single" w:color="000000" w:sz="6" w:space="0"/>
              <w:right w:val="single" w:color="000000" w:sz="4"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200</w:t>
            </w:r>
          </w:p>
        </w:tc>
        <w:tc>
          <w:tcPr>
            <w:tcW w:w="989" w:type="pct"/>
            <w:tcBorders>
              <w:top w:val="single" w:color="000000" w:sz="6" w:space="0"/>
              <w:left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250</w:t>
            </w:r>
          </w:p>
        </w:tc>
        <w:tc>
          <w:tcPr>
            <w:tcW w:w="973" w:type="pct"/>
            <w:tcBorders>
              <w:top w:val="single" w:color="000000" w:sz="6" w:space="0"/>
              <w:left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300</w:t>
            </w:r>
          </w:p>
        </w:tc>
      </w:tr>
    </w:tbl>
    <w:p>
      <w:pPr>
        <w:pStyle w:val="5"/>
        <w:ind w:firstLine="562"/>
      </w:pPr>
      <w:r>
        <w:rPr>
          <w:rFonts w:hint="eastAsia"/>
        </w:rPr>
        <w:t>污染物排放标准</w:t>
      </w:r>
    </w:p>
    <w:p>
      <w:pPr>
        <w:pStyle w:val="6"/>
      </w:pPr>
      <w:r>
        <w:rPr>
          <w:rFonts w:hint="eastAsia"/>
        </w:rPr>
        <w:t>水</w:t>
      </w:r>
      <w:r>
        <w:rPr>
          <w:rFonts w:hint="eastAsia"/>
          <w:lang w:eastAsia="zh-CN"/>
        </w:rPr>
        <w:t>污染物排放标准</w:t>
      </w:r>
    </w:p>
    <w:p>
      <w:pPr>
        <w:pStyle w:val="8"/>
        <w:rPr>
          <w:rFonts w:hint="eastAsia"/>
          <w:color w:val="auto"/>
        </w:rPr>
      </w:pPr>
      <w:r>
        <w:rPr>
          <w:rFonts w:hint="eastAsia"/>
          <w:color w:val="auto"/>
        </w:rPr>
        <w:t>本项目运营期主要废水为猪粪尿污水</w:t>
      </w:r>
      <w:r>
        <w:rPr>
          <w:rFonts w:hint="eastAsia"/>
          <w:color w:val="auto"/>
          <w:lang w:eastAsia="zh-CN"/>
        </w:rPr>
        <w:t>，</w:t>
      </w:r>
      <w:r>
        <w:rPr>
          <w:rFonts w:hint="eastAsia"/>
          <w:color w:val="auto"/>
          <w:lang w:val="en-US" w:eastAsia="zh-CN"/>
        </w:rPr>
        <w:t>猪粪尿</w:t>
      </w:r>
      <w:r>
        <w:rPr>
          <w:rFonts w:hint="eastAsia"/>
          <w:color w:val="auto"/>
        </w:rPr>
        <w:t>采用“</w:t>
      </w:r>
      <w:r>
        <w:rPr>
          <w:rFonts w:hint="eastAsia"/>
          <w:color w:val="auto"/>
          <w:lang w:eastAsia="zh-CN"/>
        </w:rPr>
        <w:t>异位发酵床</w:t>
      </w:r>
      <w:r>
        <w:rPr>
          <w:rFonts w:hint="eastAsia"/>
          <w:color w:val="auto"/>
        </w:rPr>
        <w:t>”工艺对猪粪便进行发酵降解处理，通过微生物的分解发酵，使猪粪尿中的有机物质得到充分的分解和转化，发酵后</w:t>
      </w:r>
      <w:r>
        <w:rPr>
          <w:rFonts w:hint="eastAsia"/>
          <w:color w:val="auto"/>
          <w:lang w:eastAsia="zh-CN"/>
        </w:rPr>
        <w:t>残渣</w:t>
      </w:r>
      <w:r>
        <w:rPr>
          <w:rFonts w:hint="eastAsia"/>
          <w:color w:val="auto"/>
        </w:rPr>
        <w:t>用于</w:t>
      </w:r>
      <w:r>
        <w:rPr>
          <w:rFonts w:hint="eastAsia"/>
          <w:color w:val="auto"/>
          <w:lang w:eastAsia="zh-CN"/>
        </w:rPr>
        <w:t>外售，不外排</w:t>
      </w:r>
      <w:r>
        <w:rPr>
          <w:rFonts w:hint="eastAsia"/>
          <w:color w:val="auto"/>
        </w:rPr>
        <w:t>。</w:t>
      </w:r>
    </w:p>
    <w:p>
      <w:pPr>
        <w:pStyle w:val="8"/>
        <w:rPr>
          <w:rFonts w:hint="eastAsia"/>
          <w:color w:val="auto"/>
        </w:rPr>
      </w:pPr>
      <w:r>
        <w:rPr>
          <w:rFonts w:hint="eastAsia"/>
          <w:color w:val="auto"/>
        </w:rPr>
        <w:t>员工生活污水，统一汇入自建污水处理系统处理，达到</w:t>
      </w:r>
      <w:r>
        <w:rPr>
          <w:rFonts w:hint="eastAsia"/>
          <w:color w:val="auto"/>
          <w:lang w:val="en-US" w:eastAsia="zh-CN"/>
        </w:rPr>
        <w:t>《畜禽养殖业污染物排放标准》（DB44/613-2009）中集约化畜禽养殖业水污染物最高允许日排放浓度和《农田灌溉水质标准》（GB5084-2005）</w:t>
      </w:r>
      <w:r>
        <w:rPr>
          <w:rFonts w:hint="eastAsia"/>
          <w:color w:val="auto"/>
        </w:rPr>
        <w:t>中旱作标准后用于附近林业和农田的灌溉，不外排，标准限值详见下表。</w:t>
      </w:r>
    </w:p>
    <w:p>
      <w:pPr>
        <w:pStyle w:val="8"/>
        <w:jc w:val="left"/>
        <w:rPr>
          <w:rFonts w:hint="eastAsia"/>
          <w:color w:val="auto"/>
        </w:rPr>
      </w:pPr>
      <w:r>
        <w:rPr>
          <w:rFonts w:hint="eastAsia"/>
          <w:color w:val="auto"/>
        </w:rPr>
        <w:t>项目最大日排水量根据广东省（DB44/613-2009）《畜禽养殖业污染物排放标准》中集约化畜禽养殖业干清粪工艺最高允许排水量为冬季1.2m</w:t>
      </w:r>
      <w:r>
        <w:rPr>
          <w:rFonts w:hint="eastAsia"/>
          <w:color w:val="auto"/>
          <w:vertAlign w:val="superscript"/>
        </w:rPr>
        <w:t>3</w:t>
      </w:r>
      <w:r>
        <w:rPr>
          <w:rFonts w:hint="eastAsia"/>
          <w:color w:val="auto"/>
        </w:rPr>
        <w:t>/(百头•天)，夏季1.8m</w:t>
      </w:r>
      <w:r>
        <w:rPr>
          <w:rFonts w:hint="eastAsia"/>
          <w:color w:val="auto"/>
          <w:vertAlign w:val="superscript"/>
        </w:rPr>
        <w:t>3</w:t>
      </w:r>
      <w:r>
        <w:rPr>
          <w:rFonts w:hint="eastAsia"/>
          <w:color w:val="auto"/>
        </w:rPr>
        <w:t>/(百头•天)。</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color w:val="auto"/>
        </w:rPr>
      </w:pPr>
      <w:r>
        <w:rPr>
          <w:rFonts w:hint="eastAsia"/>
          <w:b/>
          <w:bCs/>
          <w:color w:val="auto"/>
          <w:sz w:val="21"/>
          <w:szCs w:val="21"/>
        </w:rPr>
        <w:t>表2.8-6 水污染物排放标准</w:t>
      </w:r>
      <w:r>
        <w:rPr>
          <w:rFonts w:hint="eastAsia"/>
          <w:b/>
          <w:bCs/>
          <w:color w:val="auto"/>
          <w:sz w:val="21"/>
          <w:szCs w:val="21"/>
        </w:rPr>
        <w:tab/>
      </w:r>
      <w:r>
        <w:rPr>
          <w:rFonts w:hint="eastAsia"/>
          <w:b/>
          <w:bCs/>
          <w:color w:val="auto"/>
          <w:sz w:val="21"/>
          <w:szCs w:val="21"/>
        </w:rPr>
        <w:t>（单位：mg/L）</w:t>
      </w:r>
    </w:p>
    <w:tbl>
      <w:tblPr>
        <w:tblStyle w:val="63"/>
        <w:tblW w:w="4998" w:type="pct"/>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655"/>
        <w:gridCol w:w="2686"/>
        <w:gridCol w:w="2480"/>
        <w:gridCol w:w="2482"/>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39" w:hRule="atLeast"/>
        </w:trPr>
        <w:tc>
          <w:tcPr>
            <w:tcW w:w="395" w:type="pct"/>
            <w:tcBorders>
              <w:left w:val="nil"/>
              <w:bottom w:val="single" w:color="000000" w:sz="12"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序号</w:t>
            </w:r>
          </w:p>
        </w:tc>
        <w:tc>
          <w:tcPr>
            <w:tcW w:w="1617" w:type="pct"/>
            <w:tcBorders>
              <w:left w:val="single" w:color="000000" w:sz="6" w:space="0"/>
              <w:bottom w:val="single" w:color="000000" w:sz="12"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项目</w:t>
            </w:r>
          </w:p>
        </w:tc>
        <w:tc>
          <w:tcPr>
            <w:tcW w:w="1493" w:type="pct"/>
            <w:tcBorders>
              <w:left w:val="single" w:color="000000" w:sz="6" w:space="0"/>
              <w:bottom w:val="single" w:color="000000" w:sz="12"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GB5084-2005 旱作标准</w:t>
            </w:r>
          </w:p>
        </w:tc>
        <w:tc>
          <w:tcPr>
            <w:tcW w:w="1494" w:type="pct"/>
            <w:tcBorders>
              <w:left w:val="single" w:color="000000" w:sz="6" w:space="0"/>
              <w:bottom w:val="single" w:color="000000" w:sz="12"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lang w:val="en-US" w:eastAsia="zh-CN"/>
              </w:rPr>
              <w:t>DB44/613-2009</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395" w:type="pct"/>
            <w:tcBorders>
              <w:top w:val="single" w:color="000000" w:sz="12" w:space="0"/>
              <w:left w:val="nil"/>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1</w:t>
            </w:r>
          </w:p>
        </w:tc>
        <w:tc>
          <w:tcPr>
            <w:tcW w:w="1617" w:type="pct"/>
            <w:tcBorders>
              <w:top w:val="single" w:color="000000" w:sz="12" w:space="0"/>
              <w:left w:val="single" w:color="000000" w:sz="6" w:space="0"/>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5"/>
                <w:sz w:val="21"/>
                <w:szCs w:val="21"/>
              </w:rPr>
              <w:t>水温（℃）</w:t>
            </w:r>
          </w:p>
        </w:tc>
        <w:tc>
          <w:tcPr>
            <w:tcW w:w="1493" w:type="pct"/>
            <w:tcBorders>
              <w:top w:val="single" w:color="000000" w:sz="12"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35</w:t>
            </w:r>
          </w:p>
        </w:tc>
        <w:tc>
          <w:tcPr>
            <w:tcW w:w="2482" w:type="dxa"/>
            <w:tcBorders>
              <w:top w:val="single" w:color="000000" w:sz="12" w:space="0"/>
              <w:left w:val="single" w:color="000000" w:sz="6" w:space="0"/>
              <w:bottom w:val="single" w:color="000000" w:sz="6" w:space="0"/>
              <w:right w:val="nil"/>
            </w:tcBorders>
            <w:vAlign w:val="top"/>
          </w:tcPr>
          <w:p>
            <w:pPr>
              <w:pStyle w:val="866"/>
              <w:keepNext w:val="0"/>
              <w:keepLines w:val="0"/>
              <w:pageBreakBefore w:val="0"/>
              <w:widowControl w:val="0"/>
              <w:kinsoku/>
              <w:wordWrap/>
              <w:overflowPunct/>
              <w:topLinePunct w:val="0"/>
              <w:autoSpaceDE/>
              <w:autoSpaceDN/>
              <w:bidi w:val="0"/>
              <w:adjustRightInd/>
              <w:snapToGrid/>
              <w:ind w:left="0" w:leftChars="0" w:right="0" w:rightChars="0"/>
              <w:textAlignment w:val="auto"/>
              <w:rPr>
                <w:rFonts w:hint="eastAsia"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sz w:val="21"/>
                <w:szCs w:val="21"/>
              </w:rPr>
              <w:t>——</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395" w:type="pct"/>
            <w:tcBorders>
              <w:top w:val="single" w:color="000000" w:sz="6" w:space="0"/>
              <w:left w:val="nil"/>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2</w:t>
            </w:r>
          </w:p>
        </w:tc>
        <w:tc>
          <w:tcPr>
            <w:tcW w:w="1617" w:type="pct"/>
            <w:tcBorders>
              <w:top w:val="single" w:color="000000" w:sz="6" w:space="0"/>
              <w:left w:val="single" w:color="000000" w:sz="6" w:space="0"/>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pH</w:t>
            </w:r>
          </w:p>
        </w:tc>
        <w:tc>
          <w:tcPr>
            <w:tcW w:w="1493"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5.5-8.5</w:t>
            </w:r>
          </w:p>
        </w:tc>
        <w:tc>
          <w:tcPr>
            <w:tcW w:w="2482" w:type="dxa"/>
            <w:tcBorders>
              <w:top w:val="single" w:color="000000" w:sz="6" w:space="0"/>
              <w:left w:val="single" w:color="000000" w:sz="6" w:space="0"/>
              <w:bottom w:val="single" w:color="000000" w:sz="6" w:space="0"/>
              <w:right w:val="nil"/>
            </w:tcBorders>
            <w:vAlign w:val="top"/>
          </w:tcPr>
          <w:p>
            <w:pPr>
              <w:pStyle w:val="866"/>
              <w:keepNext w:val="0"/>
              <w:keepLines w:val="0"/>
              <w:pageBreakBefore w:val="0"/>
              <w:widowControl w:val="0"/>
              <w:kinsoku/>
              <w:wordWrap/>
              <w:overflowPunct/>
              <w:topLinePunct w:val="0"/>
              <w:autoSpaceDE/>
              <w:autoSpaceDN/>
              <w:bidi w:val="0"/>
              <w:adjustRightInd/>
              <w:snapToGrid/>
              <w:ind w:left="0" w:leftChars="0" w:right="0" w:rightChars="0"/>
              <w:textAlignment w:val="auto"/>
              <w:rPr>
                <w:rFonts w:hint="eastAsia"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sz w:val="21"/>
                <w:szCs w:val="21"/>
              </w:rPr>
              <w:t>——</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395" w:type="pct"/>
            <w:tcBorders>
              <w:top w:val="single" w:color="000000" w:sz="6" w:space="0"/>
              <w:left w:val="nil"/>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3</w:t>
            </w:r>
          </w:p>
        </w:tc>
        <w:tc>
          <w:tcPr>
            <w:tcW w:w="1617" w:type="pct"/>
            <w:tcBorders>
              <w:top w:val="single" w:color="000000" w:sz="6" w:space="0"/>
              <w:left w:val="single" w:color="000000" w:sz="6" w:space="0"/>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eastAsia"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position w:val="2"/>
                <w:sz w:val="21"/>
                <w:szCs w:val="21"/>
              </w:rPr>
              <w:t>BOD</w:t>
            </w:r>
            <w:r>
              <w:rPr>
                <w:rFonts w:hint="eastAsia" w:ascii="Times New Roman" w:hAnsi="Times New Roman" w:cs="Times New Roman"/>
                <w:b w:val="0"/>
                <w:bCs/>
                <w:position w:val="2"/>
                <w:sz w:val="21"/>
                <w:szCs w:val="21"/>
                <w:vertAlign w:val="subscript"/>
                <w:lang w:val="en-US" w:eastAsia="zh-CN"/>
              </w:rPr>
              <w:t>5</w:t>
            </w:r>
          </w:p>
        </w:tc>
        <w:tc>
          <w:tcPr>
            <w:tcW w:w="1493"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100</w:t>
            </w:r>
          </w:p>
        </w:tc>
        <w:tc>
          <w:tcPr>
            <w:tcW w:w="1494"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lang w:val="en-US" w:eastAsia="zh-CN"/>
              </w:rPr>
            </w:pPr>
            <w:r>
              <w:rPr>
                <w:rFonts w:hint="eastAsia" w:ascii="Times New Roman" w:hAnsi="Times New Roman" w:cs="Times New Roman"/>
                <w:b w:val="0"/>
                <w:bCs/>
                <w:sz w:val="21"/>
                <w:szCs w:val="21"/>
                <w:lang w:val="en-US" w:eastAsia="zh-CN"/>
              </w:rPr>
              <w:t>150</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395" w:type="pct"/>
            <w:tcBorders>
              <w:top w:val="single" w:color="000000" w:sz="6" w:space="0"/>
              <w:left w:val="nil"/>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4</w:t>
            </w:r>
          </w:p>
        </w:tc>
        <w:tc>
          <w:tcPr>
            <w:tcW w:w="1617" w:type="pct"/>
            <w:tcBorders>
              <w:top w:val="single" w:color="000000" w:sz="6" w:space="0"/>
              <w:left w:val="single" w:color="000000" w:sz="6" w:space="0"/>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position w:val="2"/>
                <w:sz w:val="21"/>
                <w:szCs w:val="21"/>
              </w:rPr>
              <w:t>COD</w:t>
            </w:r>
            <w:r>
              <w:rPr>
                <w:rFonts w:hint="eastAsia" w:ascii="Times New Roman" w:hAnsi="Times New Roman" w:cs="Times New Roman"/>
                <w:b w:val="0"/>
                <w:bCs/>
                <w:position w:val="2"/>
                <w:sz w:val="21"/>
                <w:szCs w:val="21"/>
                <w:lang w:val="en-US" w:eastAsia="zh-CN"/>
              </w:rPr>
              <w:t>cr</w:t>
            </w:r>
          </w:p>
        </w:tc>
        <w:tc>
          <w:tcPr>
            <w:tcW w:w="1493"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200</w:t>
            </w:r>
          </w:p>
        </w:tc>
        <w:tc>
          <w:tcPr>
            <w:tcW w:w="1494"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lang w:val="en-US" w:eastAsia="zh-CN"/>
              </w:rPr>
            </w:pPr>
            <w:r>
              <w:rPr>
                <w:rFonts w:hint="eastAsia" w:ascii="Times New Roman" w:hAnsi="Times New Roman" w:cs="Times New Roman"/>
                <w:b w:val="0"/>
                <w:bCs/>
                <w:sz w:val="21"/>
                <w:szCs w:val="21"/>
                <w:lang w:val="en-US" w:eastAsia="zh-CN"/>
              </w:rPr>
              <w:t>400</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395" w:type="pct"/>
            <w:tcBorders>
              <w:top w:val="single" w:color="000000" w:sz="6" w:space="0"/>
              <w:left w:val="nil"/>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5</w:t>
            </w:r>
          </w:p>
        </w:tc>
        <w:tc>
          <w:tcPr>
            <w:tcW w:w="1617" w:type="pct"/>
            <w:tcBorders>
              <w:top w:val="single" w:color="000000" w:sz="6" w:space="0"/>
              <w:left w:val="single" w:color="000000" w:sz="6" w:space="0"/>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SS</w:t>
            </w:r>
          </w:p>
        </w:tc>
        <w:tc>
          <w:tcPr>
            <w:tcW w:w="1493"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100</w:t>
            </w:r>
          </w:p>
        </w:tc>
        <w:tc>
          <w:tcPr>
            <w:tcW w:w="1494"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lang w:val="en-US" w:eastAsia="zh-CN"/>
              </w:rPr>
            </w:pPr>
            <w:r>
              <w:rPr>
                <w:rFonts w:hint="eastAsia" w:ascii="Times New Roman" w:hAnsi="Times New Roman" w:cs="Times New Roman"/>
                <w:b w:val="0"/>
                <w:bCs/>
                <w:sz w:val="21"/>
                <w:szCs w:val="21"/>
                <w:lang w:val="en-US" w:eastAsia="zh-CN"/>
              </w:rPr>
              <w:t>200</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395" w:type="pct"/>
            <w:tcBorders>
              <w:top w:val="single" w:color="000000" w:sz="6" w:space="0"/>
              <w:left w:val="nil"/>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6</w:t>
            </w:r>
          </w:p>
        </w:tc>
        <w:tc>
          <w:tcPr>
            <w:tcW w:w="1617" w:type="pct"/>
            <w:tcBorders>
              <w:top w:val="single" w:color="000000" w:sz="6" w:space="0"/>
              <w:left w:val="single" w:color="000000" w:sz="6" w:space="0"/>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氨氮</w:t>
            </w:r>
          </w:p>
        </w:tc>
        <w:tc>
          <w:tcPr>
            <w:tcW w:w="1493"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w:t>
            </w:r>
          </w:p>
        </w:tc>
        <w:tc>
          <w:tcPr>
            <w:tcW w:w="1494"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lang w:val="en-US" w:eastAsia="zh-CN"/>
              </w:rPr>
            </w:pPr>
            <w:r>
              <w:rPr>
                <w:rFonts w:hint="eastAsia" w:ascii="Times New Roman" w:hAnsi="Times New Roman" w:cs="Times New Roman"/>
                <w:b w:val="0"/>
                <w:bCs/>
                <w:sz w:val="21"/>
                <w:szCs w:val="21"/>
                <w:lang w:val="en-US" w:eastAsia="zh-CN"/>
              </w:rPr>
              <w:t>80</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395" w:type="pct"/>
            <w:tcBorders>
              <w:top w:val="single" w:color="000000" w:sz="6" w:space="0"/>
              <w:left w:val="nil"/>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7</w:t>
            </w:r>
          </w:p>
        </w:tc>
        <w:tc>
          <w:tcPr>
            <w:tcW w:w="1617" w:type="pct"/>
            <w:tcBorders>
              <w:top w:val="single" w:color="000000" w:sz="6" w:space="0"/>
              <w:left w:val="single" w:color="000000" w:sz="6" w:space="0"/>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总磷</w:t>
            </w:r>
          </w:p>
        </w:tc>
        <w:tc>
          <w:tcPr>
            <w:tcW w:w="1493"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w:t>
            </w:r>
          </w:p>
        </w:tc>
        <w:tc>
          <w:tcPr>
            <w:tcW w:w="1494"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lang w:val="en-US" w:eastAsia="zh-CN"/>
              </w:rPr>
            </w:pPr>
            <w:r>
              <w:rPr>
                <w:rFonts w:hint="eastAsia" w:ascii="Times New Roman" w:hAnsi="Times New Roman" w:cs="Times New Roman"/>
                <w:b w:val="0"/>
                <w:bCs/>
                <w:sz w:val="21"/>
                <w:szCs w:val="21"/>
                <w:lang w:val="en-US" w:eastAsia="zh-CN"/>
              </w:rPr>
              <w:t>8.0</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37" w:hRule="atLeast"/>
        </w:trPr>
        <w:tc>
          <w:tcPr>
            <w:tcW w:w="395" w:type="pct"/>
            <w:tcBorders>
              <w:top w:val="single" w:color="000000" w:sz="6" w:space="0"/>
              <w:left w:val="nil"/>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8</w:t>
            </w:r>
          </w:p>
        </w:tc>
        <w:tc>
          <w:tcPr>
            <w:tcW w:w="1617" w:type="pct"/>
            <w:tcBorders>
              <w:top w:val="single" w:color="000000" w:sz="6" w:space="0"/>
              <w:left w:val="single" w:color="000000" w:sz="6" w:space="0"/>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LAS</w:t>
            </w:r>
          </w:p>
        </w:tc>
        <w:tc>
          <w:tcPr>
            <w:tcW w:w="1493"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8</w:t>
            </w:r>
          </w:p>
        </w:tc>
        <w:tc>
          <w:tcPr>
            <w:tcW w:w="1494"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w w:val="100"/>
                <w:sz w:val="21"/>
                <w:szCs w:val="21"/>
              </w:rPr>
            </w:pPr>
            <w:r>
              <w:rPr>
                <w:rFonts w:hint="default" w:ascii="Times New Roman" w:hAnsi="Times New Roman" w:eastAsia="宋体" w:cs="Times New Roman"/>
                <w:b w:val="0"/>
                <w:bCs/>
                <w:sz w:val="21"/>
                <w:szCs w:val="21"/>
              </w:rPr>
              <w:t>——</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0" w:hRule="atLeast"/>
        </w:trPr>
        <w:tc>
          <w:tcPr>
            <w:tcW w:w="395" w:type="pct"/>
            <w:tcBorders>
              <w:top w:val="single" w:color="000000" w:sz="6" w:space="0"/>
              <w:left w:val="nil"/>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w w:val="100"/>
                <w:sz w:val="21"/>
                <w:szCs w:val="21"/>
              </w:rPr>
              <w:t>9</w:t>
            </w:r>
          </w:p>
        </w:tc>
        <w:tc>
          <w:tcPr>
            <w:tcW w:w="1617" w:type="pct"/>
            <w:tcBorders>
              <w:top w:val="single" w:color="000000" w:sz="6" w:space="0"/>
              <w:left w:val="single" w:color="000000" w:sz="6" w:space="0"/>
              <w:bottom w:val="single" w:color="000000" w:sz="6"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粪大肠菌群数（个/100mL）</w:t>
            </w:r>
          </w:p>
        </w:tc>
        <w:tc>
          <w:tcPr>
            <w:tcW w:w="1493"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4000</w:t>
            </w:r>
          </w:p>
        </w:tc>
        <w:tc>
          <w:tcPr>
            <w:tcW w:w="1494" w:type="pct"/>
            <w:tcBorders>
              <w:top w:val="single" w:color="000000" w:sz="6" w:space="0"/>
              <w:left w:val="single" w:color="000000" w:sz="6" w:space="0"/>
              <w:bottom w:val="single" w:color="000000" w:sz="6"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lang w:val="en-US" w:eastAsia="zh-CN"/>
              </w:rPr>
            </w:pPr>
            <w:r>
              <w:rPr>
                <w:rFonts w:hint="eastAsia" w:ascii="Times New Roman" w:hAnsi="Times New Roman" w:cs="Times New Roman"/>
                <w:b w:val="0"/>
                <w:bCs/>
                <w:sz w:val="21"/>
                <w:szCs w:val="21"/>
                <w:lang w:val="en-US" w:eastAsia="zh-CN"/>
              </w:rPr>
              <w:t>1000</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1" w:hRule="atLeast"/>
        </w:trPr>
        <w:tc>
          <w:tcPr>
            <w:tcW w:w="395" w:type="pct"/>
            <w:tcBorders>
              <w:top w:val="single" w:color="000000" w:sz="6" w:space="0"/>
              <w:left w:val="nil"/>
              <w:bottom w:val="single" w:color="000000" w:sz="18"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10</w:t>
            </w:r>
          </w:p>
        </w:tc>
        <w:tc>
          <w:tcPr>
            <w:tcW w:w="1617" w:type="pct"/>
            <w:tcBorders>
              <w:top w:val="single" w:color="000000" w:sz="6" w:space="0"/>
              <w:left w:val="single" w:color="000000" w:sz="6" w:space="0"/>
              <w:bottom w:val="single" w:color="000000" w:sz="18" w:space="0"/>
              <w:right w:val="single" w:color="000000" w:sz="6" w:space="0"/>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蛔虫卵（个/L）</w:t>
            </w:r>
          </w:p>
        </w:tc>
        <w:tc>
          <w:tcPr>
            <w:tcW w:w="1493" w:type="pct"/>
            <w:tcBorders>
              <w:top w:val="single" w:color="000000" w:sz="6" w:space="0"/>
              <w:left w:val="single" w:color="000000" w:sz="6" w:space="0"/>
              <w:bottom w:val="single" w:color="000000" w:sz="18"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sz w:val="21"/>
                <w:szCs w:val="21"/>
                <w:lang w:val="en-US" w:eastAsia="zh-CN"/>
              </w:rPr>
            </w:pPr>
            <w:r>
              <w:rPr>
                <w:rFonts w:hint="default" w:ascii="Times New Roman" w:hAnsi="Times New Roman" w:eastAsia="宋体" w:cs="Times New Roman"/>
                <w:b w:val="0"/>
                <w:bCs/>
                <w:w w:val="100"/>
                <w:sz w:val="21"/>
                <w:szCs w:val="21"/>
              </w:rPr>
              <w:t>2</w:t>
            </w:r>
            <w:r>
              <w:rPr>
                <w:rFonts w:hint="eastAsia" w:ascii="Times New Roman" w:hAnsi="Times New Roman" w:cs="Times New Roman"/>
                <w:b w:val="0"/>
                <w:bCs/>
                <w:w w:val="100"/>
                <w:sz w:val="21"/>
                <w:szCs w:val="21"/>
                <w:lang w:val="en-US" w:eastAsia="zh-CN"/>
              </w:rPr>
              <w:t>.0</w:t>
            </w:r>
          </w:p>
        </w:tc>
        <w:tc>
          <w:tcPr>
            <w:tcW w:w="1494" w:type="pct"/>
            <w:tcBorders>
              <w:top w:val="single" w:color="000000" w:sz="6" w:space="0"/>
              <w:left w:val="single" w:color="000000" w:sz="6" w:space="0"/>
              <w:bottom w:val="single" w:color="000000" w:sz="18" w:space="0"/>
              <w:right w:val="nil"/>
            </w:tcBorders>
          </w:tcPr>
          <w:p>
            <w:pPr>
              <w:pStyle w:val="866"/>
              <w:keepNext w:val="0"/>
              <w:keepLines w:val="0"/>
              <w:pageBreakBefore w:val="0"/>
              <w:widowControl w:val="0"/>
              <w:kinsoku/>
              <w:wordWrap/>
              <w:overflowPunct/>
              <w:topLinePunct w:val="0"/>
              <w:autoSpaceDE/>
              <w:autoSpaceDN/>
              <w:bidi w:val="0"/>
              <w:adjustRightInd/>
              <w:snapToGrid/>
              <w:ind w:left="0" w:right="0"/>
              <w:textAlignment w:val="auto"/>
              <w:rPr>
                <w:rFonts w:hint="default" w:ascii="Times New Roman" w:hAnsi="Times New Roman" w:eastAsia="宋体" w:cs="Times New Roman"/>
                <w:b w:val="0"/>
                <w:bCs/>
                <w:w w:val="100"/>
                <w:sz w:val="21"/>
                <w:szCs w:val="21"/>
                <w:lang w:val="en-US" w:eastAsia="zh-CN"/>
              </w:rPr>
            </w:pPr>
            <w:r>
              <w:rPr>
                <w:rFonts w:hint="eastAsia" w:ascii="Times New Roman" w:hAnsi="Times New Roman" w:cs="Times New Roman"/>
                <w:b w:val="0"/>
                <w:bCs/>
                <w:w w:val="100"/>
                <w:sz w:val="21"/>
                <w:szCs w:val="21"/>
                <w:lang w:val="en-US" w:eastAsia="zh-CN"/>
              </w:rPr>
              <w:t>2.0</w:t>
            </w:r>
          </w:p>
        </w:tc>
      </w:tr>
    </w:tbl>
    <w:p>
      <w:pPr>
        <w:pStyle w:val="6"/>
      </w:pPr>
      <w:r>
        <w:rPr>
          <w:rFonts w:hint="eastAsia"/>
          <w:lang w:eastAsia="zh-CN"/>
        </w:rPr>
        <w:t>大气污染物排放标准</w:t>
      </w:r>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color w:val="auto"/>
          <w:lang w:eastAsia="zh-CN"/>
        </w:rPr>
      </w:pPr>
      <w:r>
        <w:rPr>
          <w:rFonts w:hint="eastAsia"/>
          <w:color w:val="auto"/>
        </w:rPr>
        <w:t>H</w:t>
      </w:r>
      <w:r>
        <w:rPr>
          <w:rFonts w:hint="eastAsia"/>
          <w:color w:val="auto"/>
          <w:vertAlign w:val="subscript"/>
        </w:rPr>
        <w:t>2</w:t>
      </w:r>
      <w:r>
        <w:rPr>
          <w:rFonts w:hint="eastAsia"/>
          <w:color w:val="auto"/>
        </w:rPr>
        <w:t>S、NH</w:t>
      </w:r>
      <w:r>
        <w:rPr>
          <w:rFonts w:hint="eastAsia"/>
          <w:color w:val="auto"/>
          <w:vertAlign w:val="subscript"/>
        </w:rPr>
        <w:t>3</w:t>
      </w:r>
      <w:r>
        <w:rPr>
          <w:rFonts w:hint="eastAsia"/>
          <w:color w:val="auto"/>
        </w:rPr>
        <w:t>执行《恶臭污染物排放标准》（GB14554-93）标准；臭气浓度执行《畜禽养殖业污染物排放标准》（DB44/613-2009）标准；食堂油烟执行《饮食业油烟排放标准（试行）》（GB18483-2001），具体详见下表</w:t>
      </w:r>
      <w:r>
        <w:rPr>
          <w:rFonts w:hint="eastAsia"/>
          <w:color w:val="auto"/>
          <w:lang w:eastAsia="zh-CN"/>
        </w:rPr>
        <w:t>。</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eastAsia="宋体"/>
          <w:b/>
          <w:bCs/>
          <w:color w:val="auto"/>
          <w:sz w:val="21"/>
          <w:szCs w:val="21"/>
          <w:lang w:val="en-US" w:eastAsia="zh-CN"/>
        </w:rPr>
      </w:pPr>
      <w:r>
        <w:rPr>
          <w:rFonts w:hint="eastAsia"/>
          <w:b/>
          <w:bCs/>
          <w:color w:val="auto"/>
          <w:sz w:val="21"/>
          <w:szCs w:val="21"/>
        </w:rPr>
        <w:t>表 2.8-7  大气污染物排放标准摘录</w:t>
      </w:r>
      <w:r>
        <w:rPr>
          <w:rFonts w:hint="eastAsia"/>
          <w:b/>
          <w:bCs/>
          <w:color w:val="auto"/>
          <w:sz w:val="21"/>
          <w:szCs w:val="21"/>
          <w:lang w:val="en-US" w:eastAsia="zh-CN"/>
        </w:rPr>
        <w:t xml:space="preserve">   单位：</w:t>
      </w:r>
      <w:r>
        <w:rPr>
          <w:rFonts w:hint="default" w:ascii="Times New Roman" w:hAnsi="Times New Roman" w:eastAsia="宋体" w:cs="Times New Roman"/>
          <w:b/>
          <w:sz w:val="21"/>
          <w:szCs w:val="21"/>
        </w:rPr>
        <w:t>mg/m</w:t>
      </w:r>
      <w:r>
        <w:rPr>
          <w:rFonts w:hint="eastAsia" w:ascii="Times New Roman" w:hAnsi="Times New Roman" w:cs="Times New Roman"/>
          <w:b/>
          <w:sz w:val="21"/>
          <w:szCs w:val="21"/>
          <w:vertAlign w:val="superscript"/>
          <w:lang w:val="en-US" w:eastAsia="zh-CN"/>
        </w:rPr>
        <w:t>3</w:t>
      </w:r>
    </w:p>
    <w:tbl>
      <w:tblPr>
        <w:tblStyle w:val="63"/>
        <w:tblW w:w="4998" w:type="pct"/>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1904"/>
        <w:gridCol w:w="1035"/>
        <w:gridCol w:w="1799"/>
        <w:gridCol w:w="2012"/>
        <w:gridCol w:w="1553"/>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12" w:hRule="atLeast"/>
        </w:trPr>
        <w:tc>
          <w:tcPr>
            <w:tcW w:w="1146" w:type="pct"/>
            <w:tcBorders>
              <w:top w:val="single" w:color="000000" w:sz="12" w:space="0"/>
              <w:left w:val="nil"/>
              <w:bottom w:val="single" w:color="000000" w:sz="12" w:space="0"/>
              <w:right w:val="single" w:color="000000" w:sz="6"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污染源</w:t>
            </w:r>
          </w:p>
        </w:tc>
        <w:tc>
          <w:tcPr>
            <w:tcW w:w="623" w:type="pct"/>
            <w:tcBorders>
              <w:top w:val="single" w:color="000000" w:sz="12" w:space="0"/>
              <w:left w:val="single" w:color="000000" w:sz="6" w:space="0"/>
              <w:bottom w:val="single" w:color="000000" w:sz="12" w:space="0"/>
              <w:right w:val="single" w:color="000000" w:sz="6"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污染因子</w:t>
            </w:r>
          </w:p>
        </w:tc>
        <w:tc>
          <w:tcPr>
            <w:tcW w:w="1083" w:type="pct"/>
            <w:tcBorders>
              <w:top w:val="single" w:color="000000" w:sz="12" w:space="0"/>
              <w:left w:val="single" w:color="000000" w:sz="6" w:space="0"/>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pacing w:val="-5"/>
                <w:sz w:val="21"/>
                <w:szCs w:val="21"/>
              </w:rPr>
              <w:t>最高允许排放浓度</w:t>
            </w:r>
          </w:p>
        </w:tc>
        <w:tc>
          <w:tcPr>
            <w:tcW w:w="1211" w:type="pct"/>
            <w:tcBorders>
              <w:top w:val="single" w:color="000000" w:sz="12" w:space="0"/>
              <w:left w:val="single" w:color="000000" w:sz="6" w:space="0"/>
              <w:bottom w:val="single" w:color="000000" w:sz="12"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pacing w:val="-4"/>
                <w:sz w:val="21"/>
                <w:szCs w:val="21"/>
              </w:rPr>
              <w:t>无组织排放</w:t>
            </w:r>
            <w:r>
              <w:rPr>
                <w:rFonts w:hint="default" w:ascii="Times New Roman" w:hAnsi="Times New Roman" w:eastAsia="宋体" w:cs="Times New Roman"/>
                <w:b w:val="0"/>
                <w:bCs/>
                <w:sz w:val="21"/>
                <w:szCs w:val="21"/>
              </w:rPr>
              <w:t>浓度限值</w:t>
            </w:r>
          </w:p>
        </w:tc>
        <w:tc>
          <w:tcPr>
            <w:tcW w:w="935" w:type="pct"/>
            <w:tcBorders>
              <w:top w:val="single" w:color="000000" w:sz="12" w:space="0"/>
              <w:left w:val="single" w:color="000000" w:sz="6" w:space="0"/>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选用标准</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84" w:hRule="atLeast"/>
        </w:trPr>
        <w:tc>
          <w:tcPr>
            <w:tcW w:w="1146" w:type="pct"/>
            <w:tcBorders>
              <w:top w:val="single" w:color="000000" w:sz="12" w:space="0"/>
              <w:left w:val="nil"/>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食堂油烟</w:t>
            </w:r>
          </w:p>
        </w:tc>
        <w:tc>
          <w:tcPr>
            <w:tcW w:w="623" w:type="pct"/>
            <w:tcBorders>
              <w:top w:val="single" w:color="000000" w:sz="12"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油烟浓度</w:t>
            </w:r>
          </w:p>
        </w:tc>
        <w:tc>
          <w:tcPr>
            <w:tcW w:w="1083" w:type="pct"/>
            <w:tcBorders>
              <w:top w:val="single" w:color="000000" w:sz="12"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w w:val="100"/>
                <w:sz w:val="21"/>
                <w:szCs w:val="21"/>
              </w:rPr>
              <w:t>2</w:t>
            </w:r>
            <w:r>
              <w:rPr>
                <w:rFonts w:hint="eastAsia" w:ascii="Times New Roman" w:hAnsi="Times New Roman" w:cs="Times New Roman"/>
                <w:w w:val="100"/>
                <w:sz w:val="21"/>
                <w:szCs w:val="21"/>
                <w:lang w:val="en-US" w:eastAsia="zh-CN"/>
              </w:rPr>
              <w:t>.0</w:t>
            </w:r>
          </w:p>
        </w:tc>
        <w:tc>
          <w:tcPr>
            <w:tcW w:w="1211" w:type="pct"/>
            <w:tcBorders>
              <w:top w:val="single" w:color="000000" w:sz="12"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w:t>
            </w:r>
          </w:p>
        </w:tc>
        <w:tc>
          <w:tcPr>
            <w:tcW w:w="935" w:type="pct"/>
            <w:tcBorders>
              <w:top w:val="single" w:color="000000" w:sz="12" w:space="0"/>
              <w:left w:val="single" w:color="000000" w:sz="6"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GB18483-2001</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249" w:hRule="atLeast"/>
        </w:trPr>
        <w:tc>
          <w:tcPr>
            <w:tcW w:w="1146" w:type="pct"/>
            <w:vMerge w:val="restart"/>
            <w:tcBorders>
              <w:top w:val="single" w:color="000000" w:sz="4" w:space="0"/>
              <w:left w:val="nil"/>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猪</w:t>
            </w:r>
            <w:r>
              <w:rPr>
                <w:rFonts w:hint="default" w:ascii="Times New Roman" w:hAnsi="Times New Roman" w:eastAsia="宋体" w:cs="Times New Roman"/>
                <w:spacing w:val="-9"/>
                <w:sz w:val="21"/>
                <w:szCs w:val="21"/>
              </w:rPr>
              <w:t>舍、污水</w:t>
            </w:r>
          </w:p>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pacing w:val="-9"/>
                <w:sz w:val="21"/>
                <w:szCs w:val="21"/>
              </w:rPr>
              <w:t>处理</w:t>
            </w:r>
            <w:r>
              <w:rPr>
                <w:rFonts w:hint="eastAsia" w:ascii="Times New Roman" w:hAnsi="Times New Roman" w:cs="Times New Roman"/>
                <w:spacing w:val="-9"/>
                <w:sz w:val="21"/>
                <w:szCs w:val="21"/>
                <w:lang w:eastAsia="zh-CN"/>
              </w:rPr>
              <w:t>设施、</w:t>
            </w:r>
            <w:r>
              <w:rPr>
                <w:rFonts w:hint="eastAsia" w:ascii="Times New Roman" w:hAnsi="Times New Roman" w:cs="Times New Roman"/>
                <w:spacing w:val="-9"/>
                <w:sz w:val="21"/>
                <w:szCs w:val="21"/>
                <w:lang w:val="en-US" w:eastAsia="zh-CN"/>
              </w:rPr>
              <w:t>异位发酵床</w:t>
            </w:r>
          </w:p>
        </w:tc>
        <w:tc>
          <w:tcPr>
            <w:tcW w:w="623"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H</w:t>
            </w:r>
            <w:r>
              <w:rPr>
                <w:rFonts w:hint="default" w:ascii="Times New Roman" w:hAnsi="Times New Roman" w:eastAsia="宋体" w:cs="Times New Roman"/>
                <w:sz w:val="21"/>
                <w:szCs w:val="21"/>
                <w:vertAlign w:val="subscript"/>
              </w:rPr>
              <w:t>2</w:t>
            </w:r>
            <w:r>
              <w:rPr>
                <w:rFonts w:hint="default" w:ascii="Times New Roman" w:hAnsi="Times New Roman" w:eastAsia="宋体" w:cs="Times New Roman"/>
                <w:position w:val="2"/>
                <w:sz w:val="21"/>
                <w:szCs w:val="21"/>
              </w:rPr>
              <w:t>S</w:t>
            </w:r>
          </w:p>
        </w:tc>
        <w:tc>
          <w:tcPr>
            <w:tcW w:w="1083"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w:t>
            </w:r>
          </w:p>
        </w:tc>
        <w:tc>
          <w:tcPr>
            <w:tcW w:w="1211"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0.06</w:t>
            </w:r>
          </w:p>
        </w:tc>
        <w:tc>
          <w:tcPr>
            <w:tcW w:w="935" w:type="pct"/>
            <w:vMerge w:val="restart"/>
            <w:tcBorders>
              <w:top w:val="single" w:color="000000" w:sz="4" w:space="0"/>
              <w:left w:val="single" w:color="000000" w:sz="6" w:space="0"/>
              <w:bottom w:val="single" w:color="000000" w:sz="4"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GB14554-93</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30" w:hRule="atLeast"/>
        </w:trPr>
        <w:tc>
          <w:tcPr>
            <w:tcW w:w="1146" w:type="pct"/>
            <w:vMerge w:val="continue"/>
            <w:tcBorders>
              <w:top w:val="single" w:color="000000" w:sz="4" w:space="0"/>
              <w:left w:val="nil"/>
              <w:bottom w:val="single" w:color="000000" w:sz="4" w:space="0"/>
              <w:right w:val="single" w:color="000000" w:sz="6" w:space="0"/>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p>
        </w:tc>
        <w:tc>
          <w:tcPr>
            <w:tcW w:w="623"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NH</w:t>
            </w:r>
            <w:r>
              <w:rPr>
                <w:rFonts w:hint="default" w:ascii="Times New Roman" w:hAnsi="Times New Roman" w:eastAsia="宋体" w:cs="Times New Roman"/>
                <w:sz w:val="21"/>
                <w:szCs w:val="21"/>
                <w:vertAlign w:val="subscript"/>
              </w:rPr>
              <w:t>3</w:t>
            </w:r>
          </w:p>
        </w:tc>
        <w:tc>
          <w:tcPr>
            <w:tcW w:w="1083"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w:t>
            </w:r>
          </w:p>
        </w:tc>
        <w:tc>
          <w:tcPr>
            <w:tcW w:w="1211" w:type="pct"/>
            <w:tcBorders>
              <w:top w:val="single" w:color="000000" w:sz="4" w:space="0"/>
              <w:left w:val="single" w:color="000000" w:sz="6" w:space="0"/>
              <w:bottom w:val="single" w:color="000000" w:sz="4"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1.5</w:t>
            </w:r>
          </w:p>
        </w:tc>
        <w:tc>
          <w:tcPr>
            <w:tcW w:w="935" w:type="pct"/>
            <w:vMerge w:val="continue"/>
            <w:tcBorders>
              <w:top w:val="single" w:color="000000" w:sz="4" w:space="0"/>
              <w:left w:val="single" w:color="000000" w:sz="6" w:space="0"/>
              <w:bottom w:val="single" w:color="000000" w:sz="4" w:space="0"/>
              <w:right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2" w:hRule="atLeast"/>
        </w:trPr>
        <w:tc>
          <w:tcPr>
            <w:tcW w:w="1769" w:type="pct"/>
            <w:gridSpan w:val="2"/>
            <w:tcBorders>
              <w:top w:val="single" w:color="000000" w:sz="4" w:space="0"/>
              <w:left w:val="nil"/>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臭气浓度</w:t>
            </w:r>
          </w:p>
        </w:tc>
        <w:tc>
          <w:tcPr>
            <w:tcW w:w="1083" w:type="pct"/>
            <w:tcBorders>
              <w:top w:val="single" w:color="000000" w:sz="4" w:space="0"/>
              <w:left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p>
        </w:tc>
        <w:tc>
          <w:tcPr>
            <w:tcW w:w="1211" w:type="pct"/>
            <w:tcBorders>
              <w:top w:val="single" w:color="000000" w:sz="4" w:space="0"/>
              <w:left w:val="single" w:color="000000" w:sz="6" w:space="0"/>
              <w:right w:val="single" w:color="000000" w:sz="6" w:space="0"/>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eastAsia" w:ascii="Times New Roman" w:hAnsi="Times New Roman" w:cs="Times New Roman"/>
                <w:sz w:val="21"/>
                <w:szCs w:val="21"/>
                <w:lang w:val="en-US" w:eastAsia="zh-CN"/>
              </w:rPr>
              <w:t>60</w:t>
            </w:r>
            <w:r>
              <w:rPr>
                <w:rFonts w:hint="default" w:ascii="Times New Roman" w:hAnsi="Times New Roman" w:eastAsia="宋体" w:cs="Times New Roman"/>
                <w:sz w:val="21"/>
                <w:szCs w:val="21"/>
              </w:rPr>
              <w:t>（无量纲）</w:t>
            </w:r>
          </w:p>
        </w:tc>
        <w:tc>
          <w:tcPr>
            <w:tcW w:w="935" w:type="pct"/>
            <w:tcBorders>
              <w:top w:val="single" w:color="000000" w:sz="4" w:space="0"/>
              <w:left w:val="single" w:color="000000" w:sz="6"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DB44/613-2009</w:t>
            </w:r>
          </w:p>
        </w:tc>
      </w:tr>
    </w:tbl>
    <w:p>
      <w:pPr>
        <w:pStyle w:val="6"/>
      </w:pPr>
      <w:r>
        <w:rPr>
          <w:rFonts w:hint="eastAsia"/>
          <w:lang w:eastAsia="zh-CN"/>
        </w:rPr>
        <w:t>噪声排放标准</w:t>
      </w:r>
    </w:p>
    <w:p>
      <w:pPr>
        <w:pStyle w:val="8"/>
        <w:rPr>
          <w:rFonts w:hint="eastAsia" w:eastAsia="宋体"/>
          <w:color w:val="auto"/>
          <w:lang w:eastAsia="zh-CN"/>
        </w:rPr>
      </w:pPr>
      <w:r>
        <w:rPr>
          <w:rFonts w:hint="eastAsia"/>
          <w:color w:val="auto"/>
        </w:rPr>
        <w:t>项目施工期厂界噪声执行《建筑施工场界环境噪声排放标准》（GB12523-2011）标准要求：昼间≤70dB</w:t>
      </w:r>
      <w:r>
        <w:rPr>
          <w:rFonts w:hint="eastAsia"/>
          <w:color w:val="auto"/>
          <w:lang w:eastAsia="zh-CN"/>
        </w:rPr>
        <w:t>（</w:t>
      </w:r>
      <w:r>
        <w:rPr>
          <w:rFonts w:hint="eastAsia"/>
          <w:color w:val="auto"/>
          <w:lang w:val="en-US" w:eastAsia="zh-CN"/>
        </w:rPr>
        <w:t>A</w:t>
      </w:r>
      <w:r>
        <w:rPr>
          <w:rFonts w:hint="eastAsia"/>
          <w:color w:val="auto"/>
          <w:lang w:eastAsia="zh-CN"/>
        </w:rPr>
        <w:t>）</w:t>
      </w:r>
      <w:r>
        <w:rPr>
          <w:rFonts w:hint="eastAsia"/>
          <w:color w:val="auto"/>
        </w:rPr>
        <w:t>，夜间≤55dB</w:t>
      </w:r>
      <w:r>
        <w:rPr>
          <w:rFonts w:hint="eastAsia"/>
          <w:color w:val="auto"/>
          <w:lang w:eastAsia="zh-CN"/>
        </w:rPr>
        <w:t>（</w:t>
      </w:r>
      <w:r>
        <w:rPr>
          <w:rFonts w:hint="eastAsia"/>
          <w:color w:val="auto"/>
          <w:lang w:val="en-US" w:eastAsia="zh-CN"/>
        </w:rPr>
        <w:t>A</w:t>
      </w:r>
      <w:r>
        <w:rPr>
          <w:rFonts w:hint="eastAsia"/>
          <w:color w:val="auto"/>
          <w:lang w:eastAsia="zh-CN"/>
        </w:rPr>
        <w:t>）</w:t>
      </w:r>
      <w:r>
        <w:rPr>
          <w:rFonts w:hint="eastAsia"/>
          <w:color w:val="auto"/>
        </w:rPr>
        <w:t>；营运期厂界噪声执行《工业企业厂界环境噪声排放标准》</w:t>
      </w:r>
      <w:r>
        <w:rPr>
          <w:rFonts w:hint="eastAsia"/>
          <w:color w:val="auto"/>
          <w:lang w:eastAsia="zh-CN"/>
        </w:rPr>
        <w:t>（</w:t>
      </w:r>
      <w:r>
        <w:rPr>
          <w:rFonts w:hint="eastAsia"/>
          <w:color w:val="auto"/>
        </w:rPr>
        <w:t>GB12348-2008</w:t>
      </w:r>
      <w:r>
        <w:rPr>
          <w:rFonts w:hint="eastAsia"/>
          <w:color w:val="auto"/>
          <w:lang w:eastAsia="zh-CN"/>
        </w:rPr>
        <w:t>）</w:t>
      </w:r>
      <w:r>
        <w:rPr>
          <w:rFonts w:hint="eastAsia"/>
          <w:color w:val="auto"/>
        </w:rPr>
        <w:t>1类标准：昼间≤55dB</w:t>
      </w:r>
      <w:r>
        <w:rPr>
          <w:rFonts w:hint="eastAsia"/>
          <w:color w:val="auto"/>
          <w:lang w:eastAsia="zh-CN"/>
        </w:rPr>
        <w:t>（</w:t>
      </w:r>
      <w:r>
        <w:rPr>
          <w:rFonts w:hint="eastAsia"/>
          <w:color w:val="auto"/>
          <w:lang w:val="en-US" w:eastAsia="zh-CN"/>
        </w:rPr>
        <w:t>A</w:t>
      </w:r>
      <w:r>
        <w:rPr>
          <w:rFonts w:hint="eastAsia"/>
          <w:color w:val="auto"/>
          <w:lang w:eastAsia="zh-CN"/>
        </w:rPr>
        <w:t>）</w:t>
      </w:r>
      <w:r>
        <w:rPr>
          <w:rFonts w:hint="eastAsia"/>
          <w:color w:val="auto"/>
        </w:rPr>
        <w:t>，夜间≤45dB</w:t>
      </w:r>
      <w:r>
        <w:rPr>
          <w:rFonts w:hint="eastAsia"/>
          <w:color w:val="auto"/>
          <w:lang w:eastAsia="zh-CN"/>
        </w:rPr>
        <w:t>（</w:t>
      </w:r>
      <w:r>
        <w:rPr>
          <w:rFonts w:hint="eastAsia"/>
          <w:color w:val="auto"/>
          <w:lang w:val="en-US" w:eastAsia="zh-CN"/>
        </w:rPr>
        <w:t>A</w:t>
      </w:r>
      <w:r>
        <w:rPr>
          <w:rFonts w:hint="eastAsia"/>
          <w:color w:val="auto"/>
          <w:lang w:eastAsia="zh-CN"/>
        </w:rPr>
        <w:t>）。</w:t>
      </w:r>
    </w:p>
    <w:p>
      <w:pPr>
        <w:pStyle w:val="129"/>
        <w:rPr>
          <w:rFonts w:hint="default" w:eastAsia="宋体"/>
          <w:b/>
          <w:bCs/>
          <w:sz w:val="21"/>
          <w:szCs w:val="21"/>
          <w:lang w:val="en-US" w:eastAsia="zh-CN"/>
        </w:rPr>
      </w:pPr>
      <w:r>
        <w:rPr>
          <w:rFonts w:hint="eastAsia"/>
          <w:b/>
          <w:bCs/>
          <w:sz w:val="21"/>
          <w:szCs w:val="21"/>
        </w:rPr>
        <w:t>表</w:t>
      </w:r>
      <w:r>
        <w:rPr>
          <w:rFonts w:hint="eastAsia"/>
          <w:b/>
          <w:bCs/>
          <w:sz w:val="21"/>
          <w:szCs w:val="21"/>
          <w:lang w:val="en-US" w:eastAsia="zh-CN"/>
        </w:rPr>
        <w:t>2.8-</w:t>
      </w:r>
      <w:r>
        <w:rPr>
          <w:rFonts w:hint="eastAsia"/>
          <w:b/>
          <w:bCs/>
          <w:sz w:val="21"/>
          <w:szCs w:val="21"/>
        </w:rPr>
        <w:t>8  施工期噪声污染控制标准值一览表</w:t>
      </w:r>
      <w:r>
        <w:rPr>
          <w:rFonts w:hint="eastAsia"/>
          <w:b/>
          <w:bCs/>
          <w:sz w:val="21"/>
          <w:szCs w:val="21"/>
          <w:lang w:val="en-US" w:eastAsia="zh-CN"/>
        </w:rPr>
        <w:t xml:space="preserve">   单位：dB（A）</w:t>
      </w:r>
    </w:p>
    <w:tbl>
      <w:tblPr>
        <w:tblStyle w:val="63"/>
        <w:tblW w:w="4998" w:type="pct"/>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
      <w:tblGrid>
        <w:gridCol w:w="1530"/>
        <w:gridCol w:w="3210"/>
        <w:gridCol w:w="1099"/>
        <w:gridCol w:w="711"/>
        <w:gridCol w:w="694"/>
        <w:gridCol w:w="1275"/>
      </w:tblGrid>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jc w:val="center"/>
        </w:trPr>
        <w:tc>
          <w:tcPr>
            <w:tcW w:w="897" w:type="pct"/>
            <w:tcBorders>
              <w:top w:val="single" w:color="auto" w:sz="12" w:space="0"/>
              <w:left w:val="nil"/>
              <w:bottom w:val="single" w:color="auto" w:sz="12" w:space="0"/>
            </w:tcBorders>
            <w:noWrap w:val="0"/>
            <w:vAlign w:val="center"/>
          </w:tcPr>
          <w:p>
            <w:pPr>
              <w:jc w:val="center"/>
            </w:pPr>
            <w:r>
              <w:t>标准号</w:t>
            </w:r>
          </w:p>
        </w:tc>
        <w:tc>
          <w:tcPr>
            <w:tcW w:w="1884" w:type="pct"/>
            <w:tcBorders>
              <w:top w:val="single" w:color="auto" w:sz="12" w:space="0"/>
              <w:bottom w:val="single" w:color="auto" w:sz="12" w:space="0"/>
            </w:tcBorders>
            <w:noWrap w:val="0"/>
            <w:vAlign w:val="center"/>
          </w:tcPr>
          <w:p>
            <w:pPr>
              <w:jc w:val="center"/>
            </w:pPr>
            <w:r>
              <w:t>控制标准</w:t>
            </w:r>
          </w:p>
        </w:tc>
        <w:tc>
          <w:tcPr>
            <w:tcW w:w="645" w:type="pct"/>
            <w:tcBorders>
              <w:top w:val="single" w:color="auto" w:sz="12" w:space="0"/>
              <w:bottom w:val="single" w:color="auto" w:sz="12" w:space="0"/>
            </w:tcBorders>
            <w:noWrap w:val="0"/>
            <w:vAlign w:val="center"/>
          </w:tcPr>
          <w:p>
            <w:pPr>
              <w:jc w:val="center"/>
            </w:pPr>
            <w:r>
              <w:t>控制对象</w:t>
            </w:r>
          </w:p>
        </w:tc>
        <w:tc>
          <w:tcPr>
            <w:tcW w:w="417" w:type="pct"/>
            <w:tcBorders>
              <w:top w:val="single" w:color="auto" w:sz="12" w:space="0"/>
              <w:bottom w:val="single" w:color="auto" w:sz="12" w:space="0"/>
            </w:tcBorders>
            <w:noWrap w:val="0"/>
            <w:vAlign w:val="center"/>
          </w:tcPr>
          <w:p>
            <w:pPr>
              <w:jc w:val="center"/>
            </w:pPr>
            <w:r>
              <w:t>昼间</w:t>
            </w:r>
          </w:p>
        </w:tc>
        <w:tc>
          <w:tcPr>
            <w:tcW w:w="407" w:type="pct"/>
            <w:tcBorders>
              <w:top w:val="single" w:color="auto" w:sz="12" w:space="0"/>
              <w:bottom w:val="single" w:color="auto" w:sz="12" w:space="0"/>
            </w:tcBorders>
            <w:noWrap w:val="0"/>
            <w:vAlign w:val="center"/>
          </w:tcPr>
          <w:p>
            <w:pPr>
              <w:jc w:val="center"/>
            </w:pPr>
            <w:r>
              <w:t>夜间</w:t>
            </w:r>
          </w:p>
        </w:tc>
        <w:tc>
          <w:tcPr>
            <w:tcW w:w="748" w:type="pct"/>
            <w:tcBorders>
              <w:top w:val="single" w:color="auto" w:sz="12" w:space="0"/>
              <w:bottom w:val="single" w:color="auto" w:sz="12" w:space="0"/>
              <w:right w:val="nil"/>
            </w:tcBorders>
            <w:noWrap w:val="0"/>
            <w:vAlign w:val="center"/>
          </w:tcPr>
          <w:p>
            <w:pPr>
              <w:jc w:val="center"/>
            </w:pPr>
            <w:r>
              <w:t>控制级类别</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trHeight w:val="326" w:hRule="atLeast"/>
          <w:jc w:val="center"/>
        </w:trPr>
        <w:tc>
          <w:tcPr>
            <w:tcW w:w="897" w:type="pct"/>
            <w:tcBorders>
              <w:top w:val="single" w:color="auto" w:sz="12" w:space="0"/>
              <w:left w:val="nil"/>
              <w:bottom w:val="single" w:color="auto" w:sz="12" w:space="0"/>
            </w:tcBorders>
            <w:noWrap w:val="0"/>
            <w:vAlign w:val="center"/>
          </w:tcPr>
          <w:p>
            <w:pPr>
              <w:jc w:val="center"/>
            </w:pPr>
            <w:r>
              <w:rPr>
                <w:szCs w:val="21"/>
                <w:lang w:val="zh-CN"/>
              </w:rPr>
              <w:t>GB12523-2011</w:t>
            </w:r>
          </w:p>
        </w:tc>
        <w:tc>
          <w:tcPr>
            <w:tcW w:w="1884" w:type="pct"/>
            <w:tcBorders>
              <w:top w:val="single" w:color="auto" w:sz="12" w:space="0"/>
              <w:bottom w:val="single" w:color="auto" w:sz="12" w:space="0"/>
            </w:tcBorders>
            <w:noWrap w:val="0"/>
            <w:vAlign w:val="center"/>
          </w:tcPr>
          <w:p>
            <w:pPr>
              <w:jc w:val="center"/>
            </w:pPr>
            <w:r>
              <w:rPr>
                <w:szCs w:val="21"/>
                <w:lang w:val="zh-CN"/>
              </w:rPr>
              <w:t>建筑施工场界环境噪声排放标准</w:t>
            </w:r>
          </w:p>
        </w:tc>
        <w:tc>
          <w:tcPr>
            <w:tcW w:w="645" w:type="pct"/>
            <w:tcBorders>
              <w:top w:val="single" w:color="auto" w:sz="12" w:space="0"/>
              <w:bottom w:val="single" w:color="auto" w:sz="12" w:space="0"/>
            </w:tcBorders>
            <w:noWrap w:val="0"/>
            <w:vAlign w:val="center"/>
          </w:tcPr>
          <w:p>
            <w:pPr>
              <w:jc w:val="center"/>
            </w:pPr>
            <w:r>
              <w:t>厂界噪声</w:t>
            </w:r>
          </w:p>
        </w:tc>
        <w:tc>
          <w:tcPr>
            <w:tcW w:w="417" w:type="pct"/>
            <w:tcBorders>
              <w:top w:val="single" w:color="auto" w:sz="12" w:space="0"/>
              <w:bottom w:val="single" w:color="auto" w:sz="12" w:space="0"/>
            </w:tcBorders>
            <w:noWrap w:val="0"/>
            <w:vAlign w:val="center"/>
          </w:tcPr>
          <w:p>
            <w:pPr>
              <w:jc w:val="center"/>
              <w:rPr>
                <w:rFonts w:hint="eastAsia"/>
              </w:rPr>
            </w:pPr>
            <w:r>
              <w:rPr>
                <w:rFonts w:hint="eastAsia"/>
              </w:rPr>
              <w:t>70</w:t>
            </w:r>
          </w:p>
        </w:tc>
        <w:tc>
          <w:tcPr>
            <w:tcW w:w="407" w:type="pct"/>
            <w:tcBorders>
              <w:top w:val="single" w:color="auto" w:sz="12" w:space="0"/>
              <w:bottom w:val="single" w:color="auto" w:sz="12" w:space="0"/>
            </w:tcBorders>
            <w:noWrap w:val="0"/>
            <w:vAlign w:val="center"/>
          </w:tcPr>
          <w:p>
            <w:pPr>
              <w:jc w:val="center"/>
              <w:rPr>
                <w:rFonts w:hint="eastAsia"/>
              </w:rPr>
            </w:pPr>
            <w:r>
              <w:rPr>
                <w:rFonts w:hint="eastAsia"/>
              </w:rPr>
              <w:t>55</w:t>
            </w:r>
          </w:p>
        </w:tc>
        <w:tc>
          <w:tcPr>
            <w:tcW w:w="748" w:type="pct"/>
            <w:tcBorders>
              <w:top w:val="single" w:color="auto" w:sz="12" w:space="0"/>
              <w:bottom w:val="single" w:color="auto" w:sz="12" w:space="0"/>
              <w:right w:val="nil"/>
            </w:tcBorders>
            <w:noWrap w:val="0"/>
            <w:vAlign w:val="center"/>
          </w:tcPr>
          <w:p>
            <w:pPr>
              <w:jc w:val="center"/>
              <w:rPr>
                <w:rFonts w:hint="eastAsia"/>
              </w:rPr>
            </w:pPr>
            <w:r>
              <w:rPr>
                <w:rFonts w:hint="eastAsia"/>
              </w:rPr>
              <w:t>/</w:t>
            </w:r>
          </w:p>
        </w:tc>
      </w:tr>
    </w:tbl>
    <w:p>
      <w:pPr>
        <w:pStyle w:val="129"/>
        <w:rPr>
          <w:rFonts w:hint="eastAsia"/>
          <w:b/>
          <w:bCs/>
          <w:sz w:val="21"/>
          <w:szCs w:val="21"/>
        </w:rPr>
      </w:pPr>
      <w:r>
        <w:rPr>
          <w:rFonts w:hint="eastAsia"/>
          <w:b/>
          <w:bCs/>
          <w:sz w:val="21"/>
          <w:szCs w:val="21"/>
        </w:rPr>
        <w:t>表</w:t>
      </w:r>
      <w:r>
        <w:rPr>
          <w:rFonts w:hint="eastAsia"/>
          <w:b/>
          <w:bCs/>
          <w:sz w:val="21"/>
          <w:szCs w:val="21"/>
          <w:lang w:val="en-US" w:eastAsia="zh-CN"/>
        </w:rPr>
        <w:t>2.8</w:t>
      </w:r>
      <w:r>
        <w:rPr>
          <w:rFonts w:hint="eastAsia"/>
          <w:b/>
          <w:bCs/>
          <w:sz w:val="21"/>
          <w:szCs w:val="21"/>
        </w:rPr>
        <w:t>-9  运营期噪声污染控制标准值一览表   单位：dB</w:t>
      </w:r>
      <w:r>
        <w:rPr>
          <w:rFonts w:hint="eastAsia"/>
          <w:b/>
          <w:bCs/>
          <w:sz w:val="21"/>
          <w:szCs w:val="21"/>
          <w:lang w:eastAsia="zh-CN"/>
        </w:rPr>
        <w:t>（</w:t>
      </w:r>
      <w:r>
        <w:rPr>
          <w:rFonts w:hint="eastAsia"/>
          <w:b/>
          <w:bCs/>
          <w:sz w:val="21"/>
          <w:szCs w:val="21"/>
          <w:lang w:val="en-US" w:eastAsia="zh-CN"/>
        </w:rPr>
        <w:t>A</w:t>
      </w:r>
      <w:r>
        <w:rPr>
          <w:rFonts w:hint="eastAsia"/>
          <w:b/>
          <w:bCs/>
          <w:sz w:val="21"/>
          <w:szCs w:val="21"/>
          <w:lang w:eastAsia="zh-CN"/>
        </w:rPr>
        <w:t>）</w:t>
      </w:r>
    </w:p>
    <w:tbl>
      <w:tblPr>
        <w:tblStyle w:val="63"/>
        <w:tblW w:w="4998" w:type="pct"/>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autofit"/>
        <w:tblCellMar>
          <w:top w:w="0" w:type="dxa"/>
          <w:left w:w="108" w:type="dxa"/>
          <w:bottom w:w="0" w:type="dxa"/>
          <w:right w:w="108" w:type="dxa"/>
        </w:tblCellMar>
      </w:tblPr>
      <w:tblGrid>
        <w:gridCol w:w="1525"/>
        <w:gridCol w:w="3245"/>
        <w:gridCol w:w="1069"/>
        <w:gridCol w:w="711"/>
        <w:gridCol w:w="694"/>
        <w:gridCol w:w="1275"/>
      </w:tblGrid>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jc w:val="center"/>
        </w:trPr>
        <w:tc>
          <w:tcPr>
            <w:tcW w:w="895" w:type="pct"/>
            <w:tcBorders>
              <w:top w:val="single" w:color="auto" w:sz="12" w:space="0"/>
              <w:left w:val="nil"/>
              <w:bottom w:val="single" w:color="auto" w:sz="12" w:space="0"/>
            </w:tcBorders>
            <w:noWrap w:val="0"/>
            <w:vAlign w:val="center"/>
          </w:tcPr>
          <w:p>
            <w:pPr>
              <w:jc w:val="center"/>
            </w:pPr>
            <w:r>
              <w:t>标准号</w:t>
            </w:r>
          </w:p>
        </w:tc>
        <w:tc>
          <w:tcPr>
            <w:tcW w:w="1904" w:type="pct"/>
            <w:tcBorders>
              <w:top w:val="single" w:color="auto" w:sz="12" w:space="0"/>
              <w:bottom w:val="single" w:color="auto" w:sz="12" w:space="0"/>
            </w:tcBorders>
            <w:noWrap w:val="0"/>
            <w:vAlign w:val="center"/>
          </w:tcPr>
          <w:p>
            <w:pPr>
              <w:jc w:val="center"/>
            </w:pPr>
            <w:r>
              <w:t>控制标准</w:t>
            </w:r>
          </w:p>
        </w:tc>
        <w:tc>
          <w:tcPr>
            <w:tcW w:w="627" w:type="pct"/>
            <w:tcBorders>
              <w:top w:val="single" w:color="auto" w:sz="12" w:space="0"/>
              <w:bottom w:val="single" w:color="auto" w:sz="12" w:space="0"/>
            </w:tcBorders>
            <w:noWrap w:val="0"/>
            <w:vAlign w:val="center"/>
          </w:tcPr>
          <w:p>
            <w:pPr>
              <w:jc w:val="center"/>
            </w:pPr>
            <w:r>
              <w:t>控制对象</w:t>
            </w:r>
          </w:p>
        </w:tc>
        <w:tc>
          <w:tcPr>
            <w:tcW w:w="417" w:type="pct"/>
            <w:tcBorders>
              <w:top w:val="single" w:color="auto" w:sz="12" w:space="0"/>
              <w:bottom w:val="single" w:color="auto" w:sz="12" w:space="0"/>
            </w:tcBorders>
            <w:noWrap w:val="0"/>
            <w:vAlign w:val="center"/>
          </w:tcPr>
          <w:p>
            <w:pPr>
              <w:jc w:val="center"/>
            </w:pPr>
            <w:r>
              <w:t>昼间</w:t>
            </w:r>
          </w:p>
        </w:tc>
        <w:tc>
          <w:tcPr>
            <w:tcW w:w="407" w:type="pct"/>
            <w:tcBorders>
              <w:top w:val="single" w:color="auto" w:sz="12" w:space="0"/>
              <w:bottom w:val="single" w:color="auto" w:sz="12" w:space="0"/>
            </w:tcBorders>
            <w:noWrap w:val="0"/>
            <w:vAlign w:val="center"/>
          </w:tcPr>
          <w:p>
            <w:pPr>
              <w:jc w:val="center"/>
            </w:pPr>
            <w:r>
              <w:t>夜间</w:t>
            </w:r>
          </w:p>
        </w:tc>
        <w:tc>
          <w:tcPr>
            <w:tcW w:w="748" w:type="pct"/>
            <w:tcBorders>
              <w:top w:val="single" w:color="auto" w:sz="12" w:space="0"/>
              <w:bottom w:val="single" w:color="auto" w:sz="12" w:space="0"/>
              <w:right w:val="nil"/>
            </w:tcBorders>
            <w:noWrap w:val="0"/>
            <w:vAlign w:val="center"/>
          </w:tcPr>
          <w:p>
            <w:pPr>
              <w:jc w:val="center"/>
            </w:pPr>
            <w:r>
              <w:t>控制级类别</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trHeight w:val="326" w:hRule="atLeast"/>
          <w:jc w:val="center"/>
        </w:trPr>
        <w:tc>
          <w:tcPr>
            <w:tcW w:w="895" w:type="pct"/>
            <w:tcBorders>
              <w:top w:val="single" w:color="auto" w:sz="12" w:space="0"/>
              <w:left w:val="nil"/>
              <w:bottom w:val="single" w:color="auto" w:sz="12" w:space="0"/>
            </w:tcBorders>
            <w:noWrap w:val="0"/>
            <w:vAlign w:val="center"/>
          </w:tcPr>
          <w:p>
            <w:pPr>
              <w:jc w:val="center"/>
            </w:pPr>
            <w:r>
              <w:t>GB12348-2008</w:t>
            </w:r>
          </w:p>
        </w:tc>
        <w:tc>
          <w:tcPr>
            <w:tcW w:w="1904" w:type="pct"/>
            <w:tcBorders>
              <w:top w:val="single" w:color="auto" w:sz="12" w:space="0"/>
              <w:bottom w:val="single" w:color="auto" w:sz="12" w:space="0"/>
            </w:tcBorders>
            <w:noWrap w:val="0"/>
            <w:vAlign w:val="center"/>
          </w:tcPr>
          <w:p>
            <w:pPr>
              <w:jc w:val="center"/>
            </w:pPr>
            <w:r>
              <w:t>工业企业厂界环境噪声排放标准</w:t>
            </w:r>
          </w:p>
        </w:tc>
        <w:tc>
          <w:tcPr>
            <w:tcW w:w="627" w:type="pct"/>
            <w:tcBorders>
              <w:top w:val="single" w:color="auto" w:sz="12" w:space="0"/>
              <w:bottom w:val="single" w:color="auto" w:sz="12" w:space="0"/>
            </w:tcBorders>
            <w:noWrap w:val="0"/>
            <w:vAlign w:val="center"/>
          </w:tcPr>
          <w:p>
            <w:pPr>
              <w:jc w:val="center"/>
            </w:pPr>
            <w:r>
              <w:t>厂界噪声</w:t>
            </w:r>
          </w:p>
        </w:tc>
        <w:tc>
          <w:tcPr>
            <w:tcW w:w="417" w:type="pct"/>
            <w:tcBorders>
              <w:top w:val="single" w:color="auto" w:sz="12" w:space="0"/>
              <w:bottom w:val="single" w:color="auto" w:sz="12" w:space="0"/>
            </w:tcBorders>
            <w:noWrap w:val="0"/>
            <w:vAlign w:val="center"/>
          </w:tcPr>
          <w:p>
            <w:pPr>
              <w:jc w:val="center"/>
              <w:rPr>
                <w:rFonts w:hint="eastAsia" w:eastAsia="宋体"/>
                <w:lang w:eastAsia="zh-CN"/>
              </w:rPr>
            </w:pPr>
            <w:r>
              <w:rPr>
                <w:rFonts w:hint="eastAsia"/>
                <w:lang w:val="en-US" w:eastAsia="zh-CN"/>
              </w:rPr>
              <w:t>55</w:t>
            </w:r>
          </w:p>
        </w:tc>
        <w:tc>
          <w:tcPr>
            <w:tcW w:w="407" w:type="pct"/>
            <w:tcBorders>
              <w:top w:val="single" w:color="auto" w:sz="12" w:space="0"/>
              <w:bottom w:val="single" w:color="auto" w:sz="12" w:space="0"/>
            </w:tcBorders>
            <w:noWrap w:val="0"/>
            <w:vAlign w:val="center"/>
          </w:tcPr>
          <w:p>
            <w:pPr>
              <w:jc w:val="center"/>
              <w:rPr>
                <w:rFonts w:hint="eastAsia" w:eastAsia="宋体"/>
                <w:lang w:eastAsia="zh-CN"/>
              </w:rPr>
            </w:pPr>
            <w:r>
              <w:rPr>
                <w:rFonts w:hint="eastAsia"/>
                <w:lang w:val="en-US" w:eastAsia="zh-CN"/>
              </w:rPr>
              <w:t>45</w:t>
            </w:r>
          </w:p>
        </w:tc>
        <w:tc>
          <w:tcPr>
            <w:tcW w:w="748" w:type="pct"/>
            <w:tcBorders>
              <w:top w:val="single" w:color="auto" w:sz="12" w:space="0"/>
              <w:bottom w:val="single" w:color="auto" w:sz="12" w:space="0"/>
              <w:right w:val="nil"/>
            </w:tcBorders>
            <w:noWrap w:val="0"/>
            <w:vAlign w:val="center"/>
          </w:tcPr>
          <w:p>
            <w:pPr>
              <w:jc w:val="center"/>
            </w:pPr>
            <w:r>
              <w:rPr>
                <w:rFonts w:hint="eastAsia"/>
                <w:lang w:val="en-US" w:eastAsia="zh-CN"/>
              </w:rPr>
              <w:t>1</w:t>
            </w:r>
            <w:r>
              <w:t>类</w:t>
            </w:r>
          </w:p>
        </w:tc>
      </w:tr>
    </w:tbl>
    <w:p>
      <w:pPr>
        <w:pStyle w:val="6"/>
      </w:pPr>
      <w:r>
        <w:rPr>
          <w:rFonts w:hint="eastAsia"/>
          <w:lang w:eastAsia="zh-CN"/>
        </w:rPr>
        <w:t>固体废物</w:t>
      </w:r>
    </w:p>
    <w:p>
      <w:pPr>
        <w:pStyle w:val="8"/>
        <w:rPr>
          <w:rFonts w:hint="eastAsia"/>
          <w:color w:val="auto"/>
        </w:rPr>
      </w:pPr>
      <w:r>
        <w:rPr>
          <w:rFonts w:hint="eastAsia"/>
          <w:color w:val="auto"/>
        </w:rPr>
        <w:t>生活垃圾参照《中华人民共和国固体废物污染环境防治法》中“第三章固体废物污染环境的防治”里面的‘第三节生活垃圾污染环境的防治’有关条款执行；猪粪、污水处理站污泥、废脱硫剂等执行《畜禽养殖业污染物排放标准》（DB44/613-2009）；医疗废物暂存执行《危险废物贮存污染控制标准》（GB18597- 2001）及2013年修改单的要求； 病死猪按《畜禽病害肉尸及其产品无害化处理规程》（GB16548-1996）和《畜禽养殖业污染防治技术规范》（HJ/T81-2001）要求处理。</w:t>
      </w:r>
    </w:p>
    <w:p>
      <w:pPr>
        <w:pStyle w:val="8"/>
        <w:rPr>
          <w:rFonts w:hint="eastAsia"/>
          <w:color w:val="auto"/>
        </w:rPr>
      </w:pPr>
      <w:r>
        <w:rPr>
          <w:rFonts w:hint="eastAsia"/>
          <w:color w:val="auto"/>
        </w:rPr>
        <w:t>本项目建成投产后，每年产生猪粪</w:t>
      </w:r>
      <w:r>
        <w:rPr>
          <w:rFonts w:hint="eastAsia"/>
          <w:color w:val="auto"/>
          <w:lang w:val="en-US" w:eastAsia="zh-CN"/>
        </w:rPr>
        <w:t>4319.775</w:t>
      </w:r>
      <w:r>
        <w:rPr>
          <w:rFonts w:hint="eastAsia"/>
          <w:color w:val="auto"/>
        </w:rPr>
        <w:t>t，根据《畜禽养殖业污染物排放标准》（DB44/613-2009）要求，畜禽养殖业必须设置废渣的固定储存设施和场所，储存场所要有防止粪液渗漏、溢流措施。用于直接还田的畜禽粪便，必须进行无害化处理。禁止直接将废渣倾倒入地表水体或其他环境中。畜禽粪便还田时，不能超过当地的最大农田负荷量，避免造成面源污染和地下水污染。经无害化处理后的废渣，应符合下表的规定。</w:t>
      </w:r>
    </w:p>
    <w:p>
      <w:pPr>
        <w:pStyle w:val="129"/>
        <w:rPr>
          <w:rFonts w:hint="eastAsia"/>
          <w:b/>
          <w:bCs/>
          <w:sz w:val="21"/>
          <w:szCs w:val="21"/>
        </w:rPr>
      </w:pPr>
      <w:r>
        <w:rPr>
          <w:rFonts w:hint="eastAsia"/>
          <w:b/>
          <w:bCs/>
          <w:sz w:val="21"/>
          <w:szCs w:val="21"/>
        </w:rPr>
        <w:t>表2.8-9  集约化养殖业废渣无害化环境标准</w:t>
      </w:r>
    </w:p>
    <w:tbl>
      <w:tblPr>
        <w:tblStyle w:val="63"/>
        <w:tblW w:w="4999" w:type="pct"/>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4246"/>
        <w:gridCol w:w="4058"/>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51" w:hRule="atLeast"/>
        </w:trPr>
        <w:tc>
          <w:tcPr>
            <w:tcW w:w="2556" w:type="pct"/>
            <w:tcBorders>
              <w:left w:val="nil"/>
              <w:bottom w:val="single" w:color="000000" w:sz="12" w:space="0"/>
              <w:right w:val="single" w:color="000000" w:sz="8"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控制项目</w:t>
            </w:r>
          </w:p>
        </w:tc>
        <w:tc>
          <w:tcPr>
            <w:tcW w:w="2443" w:type="pct"/>
            <w:tcBorders>
              <w:left w:val="single" w:color="000000" w:sz="8" w:space="0"/>
              <w:bottom w:val="single" w:color="000000" w:sz="12"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val="0"/>
                <w:bCs/>
                <w:sz w:val="21"/>
                <w:szCs w:val="21"/>
              </w:rPr>
            </w:pPr>
            <w:r>
              <w:rPr>
                <w:rFonts w:hint="default" w:ascii="Times New Roman" w:hAnsi="Times New Roman" w:eastAsia="宋体" w:cs="Times New Roman"/>
                <w:b w:val="0"/>
                <w:bCs/>
                <w:sz w:val="21"/>
                <w:szCs w:val="21"/>
              </w:rPr>
              <w:t>标准值</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63" w:hRule="atLeast"/>
        </w:trPr>
        <w:tc>
          <w:tcPr>
            <w:tcW w:w="2556" w:type="pct"/>
            <w:tcBorders>
              <w:top w:val="single" w:color="000000" w:sz="12" w:space="0"/>
              <w:left w:val="nil"/>
              <w:bottom w:val="single" w:color="000000" w:sz="8" w:space="0"/>
              <w:right w:val="single" w:color="000000" w:sz="8"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蛔虫卵</w:t>
            </w:r>
          </w:p>
        </w:tc>
        <w:tc>
          <w:tcPr>
            <w:tcW w:w="2443" w:type="pct"/>
            <w:tcBorders>
              <w:top w:val="single" w:color="000000" w:sz="12" w:space="0"/>
              <w:left w:val="single" w:color="000000" w:sz="8" w:space="0"/>
              <w:bottom w:val="single" w:color="000000" w:sz="8"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死亡率≥95%</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97" w:hRule="atLeast"/>
        </w:trPr>
        <w:tc>
          <w:tcPr>
            <w:tcW w:w="2556" w:type="pct"/>
            <w:tcBorders>
              <w:top w:val="single" w:color="000000" w:sz="8" w:space="0"/>
              <w:left w:val="nil"/>
              <w:right w:val="single" w:color="000000" w:sz="8" w:space="0"/>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粪大肠菌群数</w:t>
            </w:r>
          </w:p>
        </w:tc>
        <w:tc>
          <w:tcPr>
            <w:tcW w:w="2443" w:type="pct"/>
            <w:tcBorders>
              <w:top w:val="single" w:color="000000" w:sz="8" w:space="0"/>
              <w:left w:val="single" w:color="000000" w:sz="8" w:space="0"/>
              <w:right w:val="nil"/>
            </w:tcBorders>
            <w:vAlign w:val="center"/>
          </w:tcPr>
          <w:p>
            <w:pPr>
              <w:pStyle w:val="866"/>
              <w:keepNext w:val="0"/>
              <w:keepLines w:val="0"/>
              <w:pageBreakBefore w:val="0"/>
              <w:widowControl w:val="0"/>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≤10</w:t>
            </w:r>
            <w:r>
              <w:rPr>
                <w:rFonts w:hint="eastAsia" w:ascii="Times New Roman" w:hAnsi="Times New Roman" w:cs="Times New Roman"/>
                <w:sz w:val="21"/>
                <w:szCs w:val="21"/>
                <w:vertAlign w:val="superscript"/>
                <w:lang w:val="en-US" w:eastAsia="zh-CN"/>
              </w:rPr>
              <w:t>5</w:t>
            </w:r>
            <w:r>
              <w:rPr>
                <w:rFonts w:hint="default" w:ascii="Times New Roman" w:hAnsi="Times New Roman" w:eastAsia="宋体" w:cs="Times New Roman"/>
                <w:sz w:val="21"/>
                <w:szCs w:val="21"/>
              </w:rPr>
              <w:t>个/kg</w:t>
            </w:r>
          </w:p>
        </w:tc>
      </w:tr>
    </w:tbl>
    <w:p>
      <w:pPr>
        <w:pStyle w:val="8"/>
        <w:rPr>
          <w:rFonts w:hint="eastAsia"/>
          <w:color w:val="auto"/>
        </w:rPr>
      </w:pPr>
      <w:r>
        <w:rPr>
          <w:rFonts w:hint="eastAsia"/>
          <w:color w:val="auto"/>
        </w:rPr>
        <w:t>根据《畜禽养殖业污染防治技术规范》（HJ/T81-2001），对没有充足土地消纳利用粪肥的大中型畜禽养殖场和养殖小区，应建立集中处理畜禽粪便的有机肥厂或处理（置）机制。</w:t>
      </w:r>
    </w:p>
    <w:p>
      <w:pPr>
        <w:pStyle w:val="8"/>
        <w:rPr>
          <w:rFonts w:hint="eastAsia"/>
          <w:color w:val="auto"/>
        </w:rPr>
      </w:pPr>
      <w:r>
        <w:rPr>
          <w:rFonts w:hint="eastAsia"/>
          <w:color w:val="auto"/>
        </w:rPr>
        <w:t>本项目粪污采用“</w:t>
      </w:r>
      <w:r>
        <w:rPr>
          <w:rFonts w:hint="eastAsia"/>
          <w:color w:val="auto"/>
          <w:lang w:val="en-US" w:eastAsia="zh-CN"/>
        </w:rPr>
        <w:t>异位发酵床</w:t>
      </w:r>
      <w:r>
        <w:rPr>
          <w:rFonts w:hint="eastAsia"/>
          <w:color w:val="auto"/>
        </w:rPr>
        <w:t>”工艺对猪粪便进行发酵降解处理，通过微生物的分解发酵，使猪粪尿中的有机物质得到充分的分解和转化，发酵后</w:t>
      </w:r>
      <w:r>
        <w:rPr>
          <w:rFonts w:hint="eastAsia"/>
          <w:color w:val="auto"/>
          <w:lang w:eastAsia="zh-CN"/>
        </w:rPr>
        <w:t>残渣</w:t>
      </w:r>
      <w:r>
        <w:rPr>
          <w:rFonts w:hint="eastAsia"/>
          <w:color w:val="auto"/>
        </w:rPr>
        <w:t>用于</w:t>
      </w:r>
      <w:r>
        <w:rPr>
          <w:rFonts w:hint="eastAsia"/>
          <w:color w:val="auto"/>
          <w:lang w:eastAsia="zh-CN"/>
        </w:rPr>
        <w:t>外售，不外排</w:t>
      </w:r>
      <w:r>
        <w:rPr>
          <w:rFonts w:hint="eastAsia"/>
          <w:color w:val="auto"/>
        </w:rPr>
        <w:t>。</w:t>
      </w:r>
    </w:p>
    <w:p>
      <w:pPr>
        <w:pStyle w:val="4"/>
      </w:pPr>
      <w:bookmarkStart w:id="30" w:name="_Toc11901"/>
      <w:r>
        <w:rPr>
          <w:rFonts w:hint="eastAsia"/>
          <w:lang w:eastAsia="zh-CN"/>
        </w:rPr>
        <w:t>工程概况</w:t>
      </w:r>
      <w:bookmarkEnd w:id="30"/>
    </w:p>
    <w:p>
      <w:pPr>
        <w:pStyle w:val="5"/>
        <w:ind w:firstLine="562"/>
      </w:pPr>
      <w:r>
        <w:rPr>
          <w:rFonts w:hint="eastAsia"/>
          <w:lang w:eastAsia="zh-CN"/>
        </w:rPr>
        <w:t>项目基本情况</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项目名称：高联村寨下组现代高效化养猪场建设项目。</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color w:val="0000FF"/>
          <w:kern w:val="0"/>
          <w:sz w:val="24"/>
          <w:szCs w:val="24"/>
          <w:lang w:val="en-US" w:eastAsia="zh-CN" w:bidi="ar-SA"/>
        </w:rPr>
      </w:pPr>
      <w:r>
        <w:rPr>
          <w:rFonts w:hint="eastAsia" w:ascii="Times New Roman" w:hAnsi="Times New Roman" w:cs="Times New Roman"/>
          <w:kern w:val="0"/>
          <w:sz w:val="24"/>
          <w:szCs w:val="24"/>
          <w:lang w:val="en-US" w:eastAsia="zh-CN" w:bidi="ar-SA"/>
        </w:rPr>
        <w:t>项目地点：广东省韶关市仁化县丹霞街道高联村寨下组，中心地理坐标 E113.704162°，N25.191894°。工程投资：总投</w:t>
      </w:r>
      <w:r>
        <w:rPr>
          <w:rFonts w:hint="eastAsia" w:ascii="Times New Roman" w:hAnsi="Times New Roman" w:cs="Times New Roman"/>
          <w:color w:val="auto"/>
          <w:kern w:val="0"/>
          <w:sz w:val="24"/>
          <w:szCs w:val="24"/>
          <w:lang w:val="en-US" w:eastAsia="zh-CN" w:bidi="ar-SA"/>
        </w:rPr>
        <w:t>资</w:t>
      </w:r>
      <w:r>
        <w:rPr>
          <w:rFonts w:hint="eastAsia" w:cs="Times New Roman"/>
          <w:color w:val="auto"/>
          <w:kern w:val="0"/>
          <w:sz w:val="24"/>
          <w:szCs w:val="24"/>
          <w:lang w:val="en-US" w:eastAsia="zh-CN" w:bidi="ar-SA"/>
        </w:rPr>
        <w:t>128</w:t>
      </w:r>
      <w:r>
        <w:rPr>
          <w:rFonts w:hint="eastAsia" w:ascii="Times New Roman" w:hAnsi="Times New Roman" w:cs="Times New Roman"/>
          <w:color w:val="auto"/>
          <w:kern w:val="0"/>
          <w:sz w:val="24"/>
          <w:szCs w:val="24"/>
          <w:lang w:val="en-US" w:eastAsia="zh-CN" w:bidi="ar-SA"/>
        </w:rPr>
        <w:t>0万元，环保投资</w:t>
      </w:r>
      <w:r>
        <w:rPr>
          <w:rFonts w:hint="eastAsia" w:cs="Times New Roman"/>
          <w:color w:val="auto"/>
          <w:kern w:val="0"/>
          <w:sz w:val="24"/>
          <w:szCs w:val="24"/>
          <w:lang w:val="en-US" w:eastAsia="zh-CN" w:bidi="ar-SA"/>
        </w:rPr>
        <w:t>106</w:t>
      </w:r>
      <w:r>
        <w:rPr>
          <w:rFonts w:hint="eastAsia" w:ascii="Times New Roman" w:hAnsi="Times New Roman" w:cs="Times New Roman"/>
          <w:color w:val="auto"/>
          <w:kern w:val="0"/>
          <w:sz w:val="24"/>
          <w:szCs w:val="24"/>
          <w:lang w:val="en-US" w:eastAsia="zh-CN" w:bidi="ar-SA"/>
        </w:rPr>
        <w:t>万元。</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color w:val="FF0000"/>
          <w:kern w:val="0"/>
          <w:sz w:val="24"/>
          <w:szCs w:val="24"/>
          <w:lang w:val="en-US" w:eastAsia="zh-CN" w:bidi="ar-SA"/>
        </w:rPr>
      </w:pPr>
      <w:r>
        <w:rPr>
          <w:rFonts w:hint="eastAsia" w:ascii="Times New Roman" w:hAnsi="Times New Roman" w:cs="Times New Roman"/>
          <w:kern w:val="0"/>
          <w:sz w:val="24"/>
          <w:szCs w:val="24"/>
          <w:lang w:val="en-US" w:eastAsia="zh-CN" w:bidi="ar-SA"/>
        </w:rPr>
        <w:t>占</w:t>
      </w:r>
      <w:r>
        <w:rPr>
          <w:rFonts w:hint="eastAsia" w:ascii="Times New Roman" w:hAnsi="Times New Roman" w:cs="Times New Roman"/>
          <w:color w:val="auto"/>
          <w:kern w:val="0"/>
          <w:sz w:val="24"/>
          <w:szCs w:val="24"/>
          <w:lang w:val="en-US" w:eastAsia="zh-CN" w:bidi="ar-SA"/>
        </w:rPr>
        <w:t>地面积：</w:t>
      </w:r>
      <w:r>
        <w:rPr>
          <w:rFonts w:hint="eastAsia" w:cs="Times New Roman"/>
          <w:color w:val="auto"/>
          <w:kern w:val="0"/>
          <w:sz w:val="24"/>
          <w:szCs w:val="24"/>
          <w:lang w:val="en-US" w:eastAsia="zh-CN" w:bidi="ar-SA"/>
        </w:rPr>
        <w:t>71326</w:t>
      </w:r>
      <w:r>
        <w:rPr>
          <w:rFonts w:hint="eastAsia" w:ascii="Times New Roman" w:hAnsi="Times New Roman" w:cs="Times New Roman"/>
          <w:color w:val="auto"/>
          <w:kern w:val="0"/>
          <w:sz w:val="24"/>
          <w:szCs w:val="24"/>
          <w:lang w:val="en-US" w:eastAsia="zh-CN" w:bidi="ar-SA"/>
        </w:rPr>
        <w:t>m</w:t>
      </w:r>
      <w:r>
        <w:rPr>
          <w:rFonts w:hint="eastAsia" w:ascii="Times New Roman" w:hAnsi="Times New Roman" w:cs="Times New Roman"/>
          <w:color w:val="auto"/>
          <w:kern w:val="0"/>
          <w:sz w:val="24"/>
          <w:szCs w:val="24"/>
          <w:vertAlign w:val="superscript"/>
          <w:lang w:val="en-US" w:eastAsia="zh-CN" w:bidi="ar-SA"/>
        </w:rPr>
        <w:t>2</w:t>
      </w:r>
      <w:r>
        <w:rPr>
          <w:rFonts w:hint="eastAsia" w:ascii="Times New Roman" w:hAnsi="Times New Roman" w:cs="Times New Roman"/>
          <w:color w:val="auto"/>
          <w:kern w:val="0"/>
          <w:sz w:val="24"/>
          <w:szCs w:val="24"/>
          <w:lang w:val="en-US" w:eastAsia="zh-CN" w:bidi="ar-SA"/>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cs="Times New Roman"/>
          <w:color w:val="auto"/>
          <w:kern w:val="0"/>
          <w:sz w:val="24"/>
          <w:szCs w:val="24"/>
          <w:lang w:val="en-US" w:eastAsia="zh-CN" w:bidi="ar-SA"/>
        </w:rPr>
      </w:pPr>
      <w:r>
        <w:rPr>
          <w:rFonts w:hint="eastAsia" w:cs="Times New Roman"/>
          <w:color w:val="auto"/>
          <w:kern w:val="0"/>
          <w:sz w:val="24"/>
          <w:szCs w:val="24"/>
          <w:lang w:val="en-US" w:eastAsia="zh-CN" w:bidi="ar-SA"/>
        </w:rPr>
        <w:t>劳动定员及工作制度： 本项目劳动定员30人，其中专业人员20人。三班制，每班8小时，年工作365天。</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cs="Times New Roman"/>
          <w:color w:val="auto"/>
          <w:kern w:val="0"/>
          <w:sz w:val="24"/>
          <w:szCs w:val="24"/>
          <w:lang w:val="en-US" w:eastAsia="zh-CN" w:bidi="ar-SA"/>
        </w:rPr>
      </w:pPr>
      <w:r>
        <w:rPr>
          <w:rFonts w:hint="eastAsia" w:cs="Times New Roman"/>
          <w:color w:val="auto"/>
          <w:kern w:val="0"/>
          <w:sz w:val="24"/>
          <w:szCs w:val="24"/>
          <w:lang w:val="en-US" w:eastAsia="zh-CN" w:bidi="ar-SA"/>
        </w:rPr>
        <w:t>建设后</w:t>
      </w:r>
      <w:r>
        <w:rPr>
          <w:rFonts w:hint="eastAsia" w:ascii="Times New Roman" w:hAnsi="Times New Roman" w:cs="Times New Roman"/>
          <w:color w:val="auto"/>
          <w:kern w:val="0"/>
          <w:sz w:val="24"/>
          <w:szCs w:val="24"/>
          <w:lang w:val="en-US" w:eastAsia="zh-CN" w:bidi="ar-SA"/>
        </w:rPr>
        <w:t>规模：</w:t>
      </w:r>
      <w:r>
        <w:rPr>
          <w:rFonts w:hint="eastAsia" w:cs="Times New Roman"/>
          <w:color w:val="auto"/>
          <w:kern w:val="0"/>
          <w:sz w:val="24"/>
          <w:szCs w:val="24"/>
          <w:lang w:val="en-US" w:eastAsia="zh-CN" w:bidi="ar-SA"/>
        </w:rPr>
        <w:t>项目总占地107亩，项目建设保育舍、育肥舍、连廊、入场用房等，配套职工宿舍、道路、主场室外给排水及电、围墙、料塔基础、机井和水塔等设施。项目建成后，年存档保育猪1855头、育肥猪5500头，</w:t>
      </w:r>
      <w:r>
        <w:rPr>
          <w:rFonts w:hint="eastAsia" w:ascii="Times New Roman" w:hAnsi="Times New Roman" w:cs="Times New Roman"/>
          <w:color w:val="auto"/>
          <w:kern w:val="0"/>
          <w:sz w:val="24"/>
          <w:szCs w:val="24"/>
          <w:lang w:val="en-US" w:eastAsia="zh-CN" w:bidi="ar-SA"/>
        </w:rPr>
        <w:t>年出栏</w:t>
      </w:r>
      <w:r>
        <w:rPr>
          <w:rFonts w:hint="eastAsia" w:cs="Times New Roman"/>
          <w:color w:val="auto"/>
          <w:kern w:val="0"/>
          <w:sz w:val="24"/>
          <w:szCs w:val="24"/>
          <w:lang w:val="en-US" w:eastAsia="zh-CN" w:bidi="ar-SA"/>
        </w:rPr>
        <w:t>商品</w:t>
      </w:r>
      <w:r>
        <w:rPr>
          <w:rFonts w:hint="eastAsia" w:ascii="Times New Roman" w:hAnsi="Times New Roman" w:cs="Times New Roman"/>
          <w:color w:val="auto"/>
          <w:kern w:val="0"/>
          <w:sz w:val="24"/>
          <w:szCs w:val="24"/>
          <w:lang w:val="en-US" w:eastAsia="zh-CN" w:bidi="ar-SA"/>
        </w:rPr>
        <w:t>猪</w:t>
      </w:r>
      <w:r>
        <w:rPr>
          <w:rFonts w:hint="eastAsia" w:cs="Times New Roman"/>
          <w:color w:val="auto"/>
          <w:kern w:val="0"/>
          <w:sz w:val="24"/>
          <w:szCs w:val="24"/>
          <w:lang w:val="en-US" w:eastAsia="zh-CN" w:bidi="ar-SA"/>
        </w:rPr>
        <w:t>18000</w:t>
      </w:r>
      <w:r>
        <w:rPr>
          <w:rFonts w:hint="eastAsia" w:ascii="Times New Roman" w:hAnsi="Times New Roman" w:cs="Times New Roman"/>
          <w:color w:val="auto"/>
          <w:kern w:val="0"/>
          <w:sz w:val="24"/>
          <w:szCs w:val="24"/>
          <w:lang w:val="en-US" w:eastAsia="zh-CN" w:bidi="ar-SA"/>
        </w:rPr>
        <w:t>头。本项目施工期预计为</w:t>
      </w:r>
      <w:r>
        <w:rPr>
          <w:rFonts w:hint="eastAsia" w:cs="Times New Roman"/>
          <w:color w:val="auto"/>
          <w:kern w:val="0"/>
          <w:sz w:val="24"/>
          <w:szCs w:val="24"/>
          <w:lang w:val="en-US" w:eastAsia="zh-CN" w:bidi="ar-SA"/>
        </w:rPr>
        <w:t>8</w:t>
      </w:r>
      <w:r>
        <w:rPr>
          <w:rFonts w:hint="eastAsia" w:ascii="Times New Roman" w:hAnsi="Times New Roman" w:cs="Times New Roman"/>
          <w:color w:val="auto"/>
          <w:kern w:val="0"/>
          <w:sz w:val="24"/>
          <w:szCs w:val="24"/>
          <w:lang w:val="en-US" w:eastAsia="zh-CN" w:bidi="ar-SA"/>
        </w:rPr>
        <w:t>个月</w:t>
      </w:r>
      <w:r>
        <w:rPr>
          <w:rFonts w:hint="eastAsia" w:cs="Times New Roman"/>
          <w:color w:val="auto"/>
          <w:kern w:val="0"/>
          <w:sz w:val="24"/>
          <w:szCs w:val="24"/>
          <w:lang w:val="en-US" w:eastAsia="zh-CN" w:bidi="ar-SA"/>
        </w:rPr>
        <w:t>。</w:t>
      </w:r>
    </w:p>
    <w:p>
      <w:pPr>
        <w:pStyle w:val="5"/>
        <w:ind w:firstLine="562"/>
      </w:pPr>
      <w:r>
        <w:rPr>
          <w:rFonts w:hint="eastAsia"/>
          <w:lang w:eastAsia="zh-CN"/>
        </w:rPr>
        <w:t>产品方案</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cs="Times New Roman"/>
          <w:color w:val="auto"/>
          <w:kern w:val="0"/>
          <w:sz w:val="24"/>
          <w:szCs w:val="24"/>
          <w:lang w:val="en-US" w:eastAsia="zh-CN" w:bidi="ar-SA"/>
        </w:rPr>
      </w:pPr>
      <w:r>
        <w:rPr>
          <w:rFonts w:hint="eastAsia" w:ascii="Times New Roman" w:hAnsi="Times New Roman" w:cs="Times New Roman"/>
          <w:color w:val="auto"/>
          <w:kern w:val="0"/>
          <w:sz w:val="24"/>
          <w:szCs w:val="24"/>
          <w:lang w:val="en-US" w:eastAsia="zh-CN" w:bidi="ar-SA"/>
        </w:rPr>
        <w:t>项目建成后，</w:t>
      </w:r>
      <w:r>
        <w:rPr>
          <w:rFonts w:hint="eastAsia" w:cs="Times New Roman"/>
          <w:color w:val="auto"/>
          <w:kern w:val="0"/>
          <w:sz w:val="24"/>
          <w:szCs w:val="24"/>
          <w:lang w:val="en-US" w:eastAsia="zh-CN" w:bidi="ar-SA"/>
        </w:rPr>
        <w:t>从其他猪场外购</w:t>
      </w:r>
      <w:r>
        <w:rPr>
          <w:rFonts w:hint="eastAsia" w:ascii="Times New Roman" w:hAnsi="Times New Roman" w:cs="Times New Roman"/>
          <w:color w:val="auto"/>
          <w:kern w:val="0"/>
          <w:sz w:val="24"/>
          <w:szCs w:val="24"/>
          <w:lang w:val="en-US" w:eastAsia="zh-CN" w:bidi="ar-SA"/>
        </w:rPr>
        <w:t>断奶仔猪进行饲养，年出栏</w:t>
      </w:r>
      <w:r>
        <w:rPr>
          <w:rFonts w:hint="eastAsia" w:cs="Times New Roman"/>
          <w:color w:val="auto"/>
          <w:kern w:val="0"/>
          <w:sz w:val="24"/>
          <w:szCs w:val="24"/>
          <w:lang w:val="en-US" w:eastAsia="zh-CN" w:bidi="ar-SA"/>
        </w:rPr>
        <w:t>商品猪18000</w:t>
      </w:r>
      <w:r>
        <w:rPr>
          <w:rFonts w:hint="eastAsia" w:ascii="Times New Roman" w:hAnsi="Times New Roman" w:cs="Times New Roman"/>
          <w:color w:val="auto"/>
          <w:kern w:val="0"/>
          <w:sz w:val="24"/>
          <w:szCs w:val="24"/>
          <w:lang w:val="en-US" w:eastAsia="zh-CN" w:bidi="ar-SA"/>
        </w:rPr>
        <w:t>头的保育育肥猪场</w:t>
      </w:r>
      <w:r>
        <w:rPr>
          <w:rFonts w:hint="eastAsia" w:cs="Times New Roman"/>
          <w:color w:val="auto"/>
          <w:kern w:val="0"/>
          <w:sz w:val="24"/>
          <w:szCs w:val="24"/>
          <w:lang w:val="en-US" w:eastAsia="zh-CN" w:bidi="ar-SA"/>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default" w:eastAsia="宋体" w:cs="Times New Roman"/>
          <w:color w:val="auto"/>
          <w:kern w:val="0"/>
          <w:sz w:val="24"/>
          <w:szCs w:val="24"/>
          <w:lang w:val="en-US" w:eastAsia="zh-CN" w:bidi="ar-SA"/>
        </w:rPr>
      </w:pPr>
      <w:r>
        <w:rPr>
          <w:rFonts w:hint="eastAsia"/>
          <w:sz w:val="24"/>
        </w:rPr>
        <w:t>根据《中国养猪大成》中提供的规模化养殖场常年出栏量的计算方法计算，本项目保育</w:t>
      </w:r>
      <w:r>
        <w:rPr>
          <w:rFonts w:hint="eastAsia" w:cs="Times New Roman"/>
          <w:color w:val="auto"/>
          <w:kern w:val="0"/>
          <w:sz w:val="24"/>
          <w:szCs w:val="24"/>
          <w:lang w:val="en-US" w:eastAsia="zh-CN" w:bidi="ar-SA"/>
        </w:rPr>
        <w:t>期</w:t>
      </w:r>
      <w:r>
        <w:rPr>
          <w:rFonts w:hint="eastAsia"/>
          <w:sz w:val="24"/>
        </w:rPr>
        <w:t>存活率取0.95，育肥</w:t>
      </w:r>
      <w:r>
        <w:rPr>
          <w:rFonts w:hint="eastAsia" w:cs="Times New Roman"/>
          <w:color w:val="auto"/>
          <w:kern w:val="0"/>
          <w:sz w:val="24"/>
          <w:szCs w:val="24"/>
          <w:lang w:val="en-US" w:eastAsia="zh-CN" w:bidi="ar-SA"/>
        </w:rPr>
        <w:t>期</w:t>
      </w:r>
      <w:r>
        <w:rPr>
          <w:rFonts w:hint="eastAsia"/>
          <w:sz w:val="24"/>
        </w:rPr>
        <w:t>存活率取0.98</w:t>
      </w:r>
      <w:r>
        <w:rPr>
          <w:rFonts w:hint="eastAsia"/>
          <w:sz w:val="24"/>
          <w:lang w:eastAsia="zh-CN"/>
        </w:rPr>
        <w:t>，</w:t>
      </w:r>
      <w:r>
        <w:rPr>
          <w:rFonts w:hint="eastAsia"/>
          <w:sz w:val="24"/>
        </w:rPr>
        <w:t>保育天数</w:t>
      </w:r>
      <w:r>
        <w:rPr>
          <w:rFonts w:hint="eastAsia"/>
          <w:sz w:val="24"/>
          <w:lang w:val="en-US" w:eastAsia="zh-CN"/>
        </w:rPr>
        <w:t>35天，育肥天数110天。</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default" w:cs="Times New Roman"/>
          <w:color w:val="auto"/>
          <w:kern w:val="0"/>
          <w:sz w:val="24"/>
          <w:szCs w:val="24"/>
          <w:lang w:val="en-US" w:eastAsia="zh-CN" w:bidi="ar-SA"/>
        </w:rPr>
      </w:pPr>
      <w:r>
        <w:rPr>
          <w:rFonts w:hint="eastAsia" w:cs="Times New Roman"/>
          <w:color w:val="auto"/>
          <w:kern w:val="0"/>
          <w:sz w:val="24"/>
          <w:szCs w:val="24"/>
          <w:lang w:val="en-US" w:eastAsia="zh-CN" w:bidi="ar-SA"/>
        </w:rPr>
        <w:t>育肥猪日饲养量＝年出栏育肥猪数÷育肥期存活率÷365</w:t>
      </w:r>
      <w:r>
        <w:rPr>
          <w:rFonts w:hint="eastAsia"/>
          <w:sz w:val="24"/>
        </w:rPr>
        <w:t>≈</w:t>
      </w:r>
      <w:r>
        <w:rPr>
          <w:rFonts w:hint="eastAsia" w:cs="Times New Roman"/>
          <w:color w:val="auto"/>
          <w:kern w:val="0"/>
          <w:sz w:val="24"/>
          <w:szCs w:val="24"/>
          <w:lang w:val="en-US" w:eastAsia="zh-CN" w:bidi="ar-SA"/>
        </w:rPr>
        <w:t>50头</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default" w:cs="Times New Roman"/>
          <w:color w:val="auto"/>
          <w:kern w:val="0"/>
          <w:sz w:val="24"/>
          <w:szCs w:val="24"/>
          <w:lang w:val="en-US" w:eastAsia="zh-CN" w:bidi="ar-SA"/>
        </w:rPr>
      </w:pPr>
      <w:r>
        <w:rPr>
          <w:rFonts w:hint="eastAsia" w:cs="Times New Roman"/>
          <w:color w:val="auto"/>
          <w:kern w:val="0"/>
          <w:sz w:val="24"/>
          <w:szCs w:val="24"/>
          <w:lang w:val="en-US" w:eastAsia="zh-CN" w:bidi="ar-SA"/>
        </w:rPr>
        <w:t>育肥猪存栏量＝育肥猪日饲养量×育肥猪饲养天数=5500头</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default" w:eastAsia="宋体" w:cs="Times New Roman"/>
          <w:color w:val="auto"/>
          <w:kern w:val="0"/>
          <w:sz w:val="24"/>
          <w:szCs w:val="24"/>
          <w:lang w:val="en-US" w:eastAsia="zh-CN" w:bidi="ar-SA"/>
        </w:rPr>
      </w:pPr>
      <w:r>
        <w:rPr>
          <w:rFonts w:hint="eastAsia" w:cs="Times New Roman"/>
          <w:color w:val="auto"/>
          <w:kern w:val="0"/>
          <w:sz w:val="24"/>
          <w:szCs w:val="24"/>
          <w:lang w:val="en-US" w:eastAsia="zh-CN" w:bidi="ar-SA"/>
        </w:rPr>
        <w:t>保育猪日饲养量＝育肥猪日饲养量÷保育期存活率</w:t>
      </w:r>
      <w:r>
        <w:rPr>
          <w:rFonts w:hint="eastAsia"/>
          <w:sz w:val="24"/>
        </w:rPr>
        <w:t>≈</w:t>
      </w:r>
      <w:r>
        <w:rPr>
          <w:rFonts w:hint="eastAsia"/>
          <w:sz w:val="24"/>
          <w:lang w:val="en-US" w:eastAsia="zh-CN"/>
        </w:rPr>
        <w:t>53</w:t>
      </w:r>
      <w:r>
        <w:rPr>
          <w:rFonts w:hint="eastAsia" w:cs="Times New Roman"/>
          <w:color w:val="auto"/>
          <w:kern w:val="0"/>
          <w:sz w:val="24"/>
          <w:szCs w:val="24"/>
          <w:lang w:val="en-US" w:eastAsia="zh-CN" w:bidi="ar-SA"/>
        </w:rPr>
        <w:t>头</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default" w:cs="Times New Roman"/>
          <w:color w:val="auto"/>
          <w:kern w:val="0"/>
          <w:sz w:val="24"/>
          <w:szCs w:val="24"/>
          <w:lang w:val="en-US" w:eastAsia="zh-CN" w:bidi="ar-SA"/>
        </w:rPr>
      </w:pPr>
      <w:r>
        <w:rPr>
          <w:rFonts w:hint="eastAsia" w:cs="Times New Roman"/>
          <w:color w:val="auto"/>
          <w:kern w:val="0"/>
          <w:sz w:val="24"/>
          <w:szCs w:val="24"/>
          <w:lang w:val="en-US" w:eastAsia="zh-CN" w:bidi="ar-SA"/>
        </w:rPr>
        <w:t>保育猪存栏量＝保育猪日饲养量×保育猪饲养天数=1855头</w:t>
      </w:r>
    </w:p>
    <w:p>
      <w:pPr>
        <w:pStyle w:val="5"/>
        <w:ind w:firstLine="562"/>
      </w:pPr>
      <w:r>
        <w:rPr>
          <w:rFonts w:hint="eastAsia"/>
          <w:lang w:eastAsia="zh-CN"/>
        </w:rPr>
        <w:t>项目组成及建设内容</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cs="Times New Roman"/>
          <w:color w:val="auto"/>
          <w:kern w:val="0"/>
          <w:sz w:val="24"/>
          <w:szCs w:val="24"/>
          <w:lang w:val="en-US" w:eastAsia="zh-CN" w:bidi="ar-SA"/>
        </w:rPr>
      </w:pPr>
      <w:r>
        <w:rPr>
          <w:rFonts w:hint="eastAsia" w:ascii="Times New Roman" w:hAnsi="Times New Roman" w:cs="Times New Roman"/>
          <w:color w:val="auto"/>
          <w:kern w:val="0"/>
          <w:sz w:val="24"/>
          <w:szCs w:val="24"/>
          <w:lang w:val="en-US" w:eastAsia="zh-CN" w:bidi="ar-SA"/>
        </w:rPr>
        <w:t>项目主要建设保育舍、育肥舍、连廊、入场用房及入舍用房，配套建设职工宿舍、道路、猪场室外给排水及电、围墙、料塔基础、机井和水塔等设施，项目组成及建设内容详见表</w:t>
      </w:r>
      <w:r>
        <w:rPr>
          <w:rFonts w:hint="eastAsia" w:cs="Times New Roman"/>
          <w:color w:val="auto"/>
          <w:kern w:val="0"/>
          <w:sz w:val="24"/>
          <w:szCs w:val="24"/>
          <w:lang w:val="en-US" w:eastAsia="zh-CN" w:bidi="ar-SA"/>
        </w:rPr>
        <w:t>3</w:t>
      </w:r>
      <w:r>
        <w:rPr>
          <w:rFonts w:hint="eastAsia" w:ascii="Times New Roman" w:hAnsi="Times New Roman" w:cs="Times New Roman"/>
          <w:color w:val="auto"/>
          <w:kern w:val="0"/>
          <w:sz w:val="24"/>
          <w:szCs w:val="24"/>
          <w:lang w:val="en-US" w:eastAsia="zh-CN" w:bidi="ar-SA"/>
        </w:rPr>
        <w:t>.1-1。</w:t>
      </w:r>
    </w:p>
    <w:p>
      <w:pPr>
        <w:pStyle w:val="129"/>
        <w:spacing w:before="0" w:beforeLines="0"/>
        <w:ind w:firstLine="0"/>
        <w:rPr>
          <w:rFonts w:hint="eastAsia"/>
          <w:b/>
          <w:bCs/>
          <w:color w:val="auto"/>
          <w:sz w:val="21"/>
          <w:szCs w:val="21"/>
        </w:rPr>
      </w:pPr>
      <w:r>
        <w:rPr>
          <w:b/>
          <w:bCs/>
          <w:color w:val="auto"/>
          <w:sz w:val="21"/>
          <w:szCs w:val="21"/>
        </w:rPr>
        <w:t>表</w:t>
      </w:r>
      <w:r>
        <w:rPr>
          <w:rFonts w:hint="eastAsia"/>
          <w:b/>
          <w:bCs/>
          <w:color w:val="auto"/>
          <w:sz w:val="21"/>
          <w:szCs w:val="21"/>
          <w:lang w:val="en-US" w:eastAsia="zh-CN"/>
        </w:rPr>
        <w:t>3</w:t>
      </w:r>
      <w:r>
        <w:rPr>
          <w:b/>
          <w:bCs/>
          <w:color w:val="auto"/>
          <w:sz w:val="21"/>
          <w:szCs w:val="21"/>
        </w:rPr>
        <w:t>.</w:t>
      </w:r>
      <w:r>
        <w:rPr>
          <w:rFonts w:hint="eastAsia"/>
          <w:b/>
          <w:bCs/>
          <w:color w:val="auto"/>
          <w:sz w:val="21"/>
          <w:szCs w:val="21"/>
          <w:lang w:val="en-US" w:eastAsia="zh-CN"/>
        </w:rPr>
        <w:t>1</w:t>
      </w:r>
      <w:r>
        <w:rPr>
          <w:rFonts w:hint="eastAsia"/>
          <w:b/>
          <w:bCs/>
          <w:color w:val="auto"/>
          <w:sz w:val="21"/>
          <w:szCs w:val="21"/>
        </w:rPr>
        <w:t>-1</w:t>
      </w:r>
      <w:r>
        <w:rPr>
          <w:b/>
          <w:bCs/>
          <w:color w:val="auto"/>
          <w:sz w:val="21"/>
          <w:szCs w:val="21"/>
        </w:rPr>
        <w:t xml:space="preserve"> </w:t>
      </w:r>
      <w:r>
        <w:rPr>
          <w:rFonts w:hint="eastAsia"/>
          <w:b/>
          <w:bCs/>
          <w:color w:val="auto"/>
          <w:sz w:val="21"/>
          <w:szCs w:val="21"/>
        </w:rPr>
        <w:t>拟建工程</w:t>
      </w:r>
      <w:r>
        <w:rPr>
          <w:b/>
          <w:bCs/>
          <w:color w:val="auto"/>
          <w:sz w:val="21"/>
          <w:szCs w:val="21"/>
        </w:rPr>
        <w:t>主要</w:t>
      </w:r>
      <w:r>
        <w:rPr>
          <w:rFonts w:hint="eastAsia"/>
          <w:b/>
          <w:bCs/>
          <w:color w:val="auto"/>
          <w:sz w:val="21"/>
          <w:szCs w:val="21"/>
        </w:rPr>
        <w:t>建设表</w:t>
      </w:r>
    </w:p>
    <w:tbl>
      <w:tblPr>
        <w:tblStyle w:val="63"/>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57" w:type="dxa"/>
          <w:bottom w:w="0" w:type="dxa"/>
          <w:right w:w="57" w:type="dxa"/>
        </w:tblCellMar>
      </w:tblPr>
      <w:tblGrid>
        <w:gridCol w:w="847"/>
        <w:gridCol w:w="1202"/>
        <w:gridCol w:w="636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5" w:hRule="atLeast"/>
          <w:tblHeader/>
          <w:jc w:val="center"/>
        </w:trPr>
        <w:tc>
          <w:tcPr>
            <w:tcW w:w="1217" w:type="pct"/>
            <w:gridSpan w:val="2"/>
            <w:tcBorders>
              <w:bottom w:val="single" w:color="auto" w:sz="12" w:space="0"/>
            </w:tcBorders>
            <w:noWrap w:val="0"/>
            <w:vAlign w:val="center"/>
          </w:tcPr>
          <w:p>
            <w:pPr>
              <w:jc w:val="center"/>
              <w:rPr>
                <w:color w:val="auto"/>
                <w:szCs w:val="21"/>
              </w:rPr>
            </w:pPr>
            <w:r>
              <w:rPr>
                <w:color w:val="auto"/>
                <w:szCs w:val="21"/>
              </w:rPr>
              <w:t>工程名称</w:t>
            </w:r>
          </w:p>
        </w:tc>
        <w:tc>
          <w:tcPr>
            <w:tcW w:w="3782" w:type="pct"/>
            <w:tcBorders>
              <w:bottom w:val="single" w:color="auto" w:sz="12" w:space="0"/>
            </w:tcBorders>
            <w:noWrap w:val="0"/>
            <w:vAlign w:val="center"/>
          </w:tcPr>
          <w:p>
            <w:pPr>
              <w:jc w:val="center"/>
              <w:rPr>
                <w:color w:val="auto"/>
                <w:szCs w:val="21"/>
              </w:rPr>
            </w:pPr>
            <w:r>
              <w:rPr>
                <w:rFonts w:hint="eastAsia"/>
                <w:color w:val="auto"/>
                <w:szCs w:val="21"/>
              </w:rPr>
              <w:t>计划</w:t>
            </w:r>
            <w:r>
              <w:rPr>
                <w:color w:val="auto"/>
                <w:szCs w:val="21"/>
              </w:rPr>
              <w:t>建设内容</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19" w:hRule="atLeast"/>
          <w:jc w:val="center"/>
        </w:trPr>
        <w:tc>
          <w:tcPr>
            <w:tcW w:w="503" w:type="pct"/>
            <w:vMerge w:val="restart"/>
            <w:noWrap w:val="0"/>
            <w:vAlign w:val="center"/>
          </w:tcPr>
          <w:p>
            <w:pPr>
              <w:jc w:val="center"/>
              <w:rPr>
                <w:rFonts w:hint="eastAsia"/>
                <w:color w:val="auto"/>
                <w:szCs w:val="21"/>
              </w:rPr>
            </w:pPr>
            <w:r>
              <w:rPr>
                <w:rFonts w:hint="eastAsia"/>
                <w:color w:val="auto"/>
                <w:szCs w:val="21"/>
              </w:rPr>
              <w:t>主体</w:t>
            </w:r>
          </w:p>
          <w:p>
            <w:pPr>
              <w:jc w:val="center"/>
              <w:rPr>
                <w:rFonts w:hint="eastAsia"/>
                <w:color w:val="auto"/>
                <w:szCs w:val="21"/>
              </w:rPr>
            </w:pPr>
            <w:r>
              <w:rPr>
                <w:rFonts w:hint="eastAsia"/>
                <w:color w:val="auto"/>
                <w:szCs w:val="21"/>
              </w:rPr>
              <w:t>工程</w:t>
            </w:r>
          </w:p>
        </w:tc>
        <w:tc>
          <w:tcPr>
            <w:tcW w:w="714" w:type="pct"/>
            <w:noWrap w:val="0"/>
            <w:vAlign w:val="center"/>
          </w:tcPr>
          <w:p>
            <w:pPr>
              <w:jc w:val="center"/>
              <w:rPr>
                <w:rFonts w:hint="eastAsia"/>
                <w:color w:val="auto"/>
                <w:szCs w:val="21"/>
              </w:rPr>
            </w:pPr>
            <w:r>
              <w:rPr>
                <w:color w:val="auto"/>
                <w:szCs w:val="21"/>
              </w:rPr>
              <w:t>保育舍</w:t>
            </w:r>
          </w:p>
        </w:tc>
        <w:tc>
          <w:tcPr>
            <w:tcW w:w="3782" w:type="pct"/>
            <w:noWrap w:val="0"/>
            <w:vAlign w:val="center"/>
          </w:tcPr>
          <w:p>
            <w:pPr>
              <w:jc w:val="center"/>
              <w:rPr>
                <w:rFonts w:hint="eastAsia"/>
                <w:color w:val="auto"/>
                <w:szCs w:val="21"/>
              </w:rPr>
            </w:pPr>
            <w:r>
              <w:rPr>
                <w:rFonts w:hint="eastAsia"/>
                <w:color w:val="auto"/>
                <w:szCs w:val="21"/>
                <w:lang w:val="en-US" w:eastAsia="zh-CN"/>
              </w:rPr>
              <w:t>4</w:t>
            </w:r>
            <w:r>
              <w:rPr>
                <w:rFonts w:hint="eastAsia"/>
                <w:color w:val="auto"/>
                <w:szCs w:val="21"/>
              </w:rPr>
              <w:t>栋，</w:t>
            </w:r>
            <w:r>
              <w:rPr>
                <w:rFonts w:hint="eastAsia"/>
                <w:color w:val="auto"/>
                <w:szCs w:val="21"/>
                <w:lang w:eastAsia="zh-CN"/>
              </w:rPr>
              <w:t>单栋面积</w:t>
            </w:r>
            <w:r>
              <w:rPr>
                <w:rFonts w:hint="eastAsia"/>
                <w:color w:val="auto"/>
                <w:szCs w:val="21"/>
                <w:lang w:val="en-US" w:eastAsia="zh-CN"/>
              </w:rPr>
              <w:t>615</w:t>
            </w:r>
            <w:r>
              <w:rPr>
                <w:rFonts w:hint="eastAsia"/>
                <w:color w:val="auto"/>
                <w:szCs w:val="21"/>
              </w:rPr>
              <w:t>m</w:t>
            </w:r>
            <w:r>
              <w:rPr>
                <w:rFonts w:hint="eastAsia"/>
                <w:color w:val="auto"/>
                <w:szCs w:val="21"/>
                <w:vertAlign w:val="superscript"/>
              </w:rPr>
              <w:t>2</w:t>
            </w:r>
            <w:r>
              <w:rPr>
                <w:rFonts w:hint="eastAsia"/>
                <w:color w:val="auto"/>
                <w:szCs w:val="21"/>
              </w:rPr>
              <w:t>，</w:t>
            </w:r>
            <w:r>
              <w:rPr>
                <w:rFonts w:hint="eastAsia"/>
                <w:color w:val="auto"/>
                <w:szCs w:val="21"/>
                <w:lang w:eastAsia="zh-CN"/>
              </w:rPr>
              <w:t>总建筑面积</w:t>
            </w:r>
            <w:r>
              <w:rPr>
                <w:rFonts w:hint="eastAsia"/>
                <w:color w:val="auto"/>
                <w:szCs w:val="21"/>
                <w:lang w:val="en-US" w:eastAsia="zh-CN"/>
              </w:rPr>
              <w:t>2460</w:t>
            </w:r>
            <w:r>
              <w:rPr>
                <w:rFonts w:hint="eastAsia"/>
                <w:color w:val="auto"/>
                <w:szCs w:val="21"/>
              </w:rPr>
              <w:t>m</w:t>
            </w:r>
            <w:r>
              <w:rPr>
                <w:rFonts w:hint="eastAsia"/>
                <w:color w:val="auto"/>
                <w:szCs w:val="21"/>
                <w:vertAlign w:val="superscript"/>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19" w:hRule="atLeast"/>
          <w:jc w:val="center"/>
        </w:trPr>
        <w:tc>
          <w:tcPr>
            <w:tcW w:w="503" w:type="pct"/>
            <w:vMerge w:val="continue"/>
            <w:noWrap w:val="0"/>
            <w:vAlign w:val="center"/>
          </w:tcPr>
          <w:p>
            <w:pPr>
              <w:jc w:val="center"/>
              <w:rPr>
                <w:rFonts w:hint="eastAsia"/>
                <w:color w:val="auto"/>
                <w:szCs w:val="21"/>
              </w:rPr>
            </w:pPr>
          </w:p>
        </w:tc>
        <w:tc>
          <w:tcPr>
            <w:tcW w:w="714" w:type="pct"/>
            <w:noWrap w:val="0"/>
            <w:vAlign w:val="center"/>
          </w:tcPr>
          <w:p>
            <w:pPr>
              <w:jc w:val="center"/>
              <w:rPr>
                <w:color w:val="auto"/>
                <w:szCs w:val="21"/>
              </w:rPr>
            </w:pPr>
            <w:r>
              <w:rPr>
                <w:color w:val="auto"/>
                <w:szCs w:val="21"/>
              </w:rPr>
              <w:t>育肥舍</w:t>
            </w:r>
          </w:p>
        </w:tc>
        <w:tc>
          <w:tcPr>
            <w:tcW w:w="3782" w:type="pct"/>
            <w:noWrap w:val="0"/>
            <w:vAlign w:val="center"/>
          </w:tcPr>
          <w:p>
            <w:pPr>
              <w:jc w:val="center"/>
              <w:rPr>
                <w:rFonts w:hint="eastAsia"/>
                <w:color w:val="auto"/>
                <w:szCs w:val="21"/>
                <w:lang w:val="en-US" w:eastAsia="zh-CN"/>
              </w:rPr>
            </w:pPr>
            <w:r>
              <w:rPr>
                <w:rFonts w:hint="eastAsia"/>
                <w:color w:val="auto"/>
                <w:szCs w:val="21"/>
                <w:lang w:val="en-US" w:eastAsia="zh-CN"/>
              </w:rPr>
              <w:t>8</w:t>
            </w:r>
            <w:r>
              <w:rPr>
                <w:rFonts w:hint="eastAsia"/>
                <w:color w:val="auto"/>
                <w:szCs w:val="21"/>
              </w:rPr>
              <w:t>栋，</w:t>
            </w:r>
            <w:r>
              <w:rPr>
                <w:rFonts w:hint="eastAsia"/>
                <w:color w:val="auto"/>
                <w:szCs w:val="21"/>
                <w:lang w:eastAsia="zh-CN"/>
              </w:rPr>
              <w:t>单栋面积</w:t>
            </w:r>
            <w:r>
              <w:rPr>
                <w:rFonts w:hint="eastAsia"/>
                <w:color w:val="auto"/>
                <w:szCs w:val="21"/>
                <w:lang w:val="en-US" w:eastAsia="zh-CN"/>
              </w:rPr>
              <w:t>1082.4</w:t>
            </w:r>
            <w:r>
              <w:rPr>
                <w:rFonts w:hint="eastAsia"/>
                <w:color w:val="auto"/>
                <w:szCs w:val="21"/>
              </w:rPr>
              <w:t>m</w:t>
            </w:r>
            <w:r>
              <w:rPr>
                <w:rFonts w:hint="eastAsia"/>
                <w:color w:val="auto"/>
                <w:szCs w:val="21"/>
                <w:vertAlign w:val="superscript"/>
              </w:rPr>
              <w:t>2</w:t>
            </w:r>
            <w:r>
              <w:rPr>
                <w:rFonts w:hint="eastAsia"/>
                <w:color w:val="auto"/>
                <w:szCs w:val="21"/>
              </w:rPr>
              <w:t>，</w:t>
            </w:r>
            <w:r>
              <w:rPr>
                <w:rFonts w:hint="eastAsia"/>
                <w:color w:val="auto"/>
                <w:szCs w:val="21"/>
                <w:lang w:eastAsia="zh-CN"/>
              </w:rPr>
              <w:t>总建筑面积</w:t>
            </w:r>
            <w:r>
              <w:rPr>
                <w:rFonts w:hint="eastAsia"/>
                <w:color w:val="auto"/>
                <w:szCs w:val="21"/>
                <w:lang w:val="en-US" w:eastAsia="zh-CN"/>
              </w:rPr>
              <w:t>8659.2</w:t>
            </w:r>
            <w:r>
              <w:rPr>
                <w:rFonts w:hint="eastAsia"/>
                <w:color w:val="auto"/>
                <w:szCs w:val="21"/>
              </w:rPr>
              <w:t>m</w:t>
            </w:r>
            <w:r>
              <w:rPr>
                <w:rFonts w:hint="eastAsia"/>
                <w:color w:val="auto"/>
                <w:szCs w:val="21"/>
                <w:vertAlign w:val="superscript"/>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90" w:hRule="atLeast"/>
          <w:jc w:val="center"/>
        </w:trPr>
        <w:tc>
          <w:tcPr>
            <w:tcW w:w="503" w:type="pct"/>
            <w:noWrap w:val="0"/>
            <w:vAlign w:val="center"/>
          </w:tcPr>
          <w:p>
            <w:pPr>
              <w:jc w:val="center"/>
              <w:rPr>
                <w:rFonts w:hint="eastAsia"/>
                <w:color w:val="auto"/>
                <w:szCs w:val="21"/>
              </w:rPr>
            </w:pPr>
            <w:r>
              <w:rPr>
                <w:rFonts w:hint="eastAsia"/>
                <w:color w:val="auto"/>
                <w:szCs w:val="21"/>
              </w:rPr>
              <w:t>辅助</w:t>
            </w:r>
          </w:p>
          <w:p>
            <w:pPr>
              <w:jc w:val="center"/>
              <w:rPr>
                <w:rFonts w:hint="eastAsia"/>
                <w:color w:val="auto"/>
                <w:szCs w:val="21"/>
              </w:rPr>
            </w:pPr>
            <w:r>
              <w:rPr>
                <w:rFonts w:hint="eastAsia"/>
                <w:color w:val="auto"/>
                <w:szCs w:val="21"/>
              </w:rPr>
              <w:t>工程</w:t>
            </w:r>
          </w:p>
        </w:tc>
        <w:tc>
          <w:tcPr>
            <w:tcW w:w="4496" w:type="pct"/>
            <w:gridSpan w:val="2"/>
            <w:noWrap w:val="0"/>
            <w:vAlign w:val="center"/>
          </w:tcPr>
          <w:p>
            <w:pPr>
              <w:jc w:val="center"/>
              <w:rPr>
                <w:rFonts w:hint="eastAsia" w:eastAsia="宋体"/>
                <w:color w:val="auto"/>
                <w:szCs w:val="21"/>
                <w:lang w:eastAsia="zh-CN"/>
              </w:rPr>
            </w:pPr>
            <w:r>
              <w:rPr>
                <w:rFonts w:hint="eastAsia"/>
                <w:color w:val="auto"/>
                <w:szCs w:val="21"/>
              </w:rPr>
              <w:t>门卫及</w:t>
            </w:r>
            <w:r>
              <w:rPr>
                <w:color w:val="auto"/>
                <w:szCs w:val="21"/>
              </w:rPr>
              <w:t>消毒室、</w:t>
            </w:r>
            <w:r>
              <w:rPr>
                <w:rFonts w:hint="eastAsia"/>
                <w:color w:val="auto"/>
                <w:szCs w:val="21"/>
              </w:rPr>
              <w:t>进猪台和</w:t>
            </w:r>
            <w:r>
              <w:rPr>
                <w:color w:val="auto"/>
                <w:szCs w:val="21"/>
              </w:rPr>
              <w:t>出猪台</w:t>
            </w:r>
            <w:r>
              <w:rPr>
                <w:rFonts w:hint="eastAsia"/>
                <w:color w:val="auto"/>
                <w:szCs w:val="21"/>
              </w:rPr>
              <w:t>、赶猪通道、饲料仓库、杂物房、食堂、职工宿舍、办公室</w:t>
            </w:r>
            <w:r>
              <w:rPr>
                <w:rFonts w:hint="eastAsia"/>
                <w:color w:val="auto"/>
                <w:szCs w:val="21"/>
                <w:lang w:eastAsia="zh-CN"/>
              </w:rPr>
              <w:t>等</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177" w:hRule="atLeast"/>
          <w:jc w:val="center"/>
        </w:trPr>
        <w:tc>
          <w:tcPr>
            <w:tcW w:w="503" w:type="pct"/>
            <w:vMerge w:val="restart"/>
            <w:noWrap w:val="0"/>
            <w:vAlign w:val="center"/>
          </w:tcPr>
          <w:p>
            <w:pPr>
              <w:jc w:val="center"/>
              <w:rPr>
                <w:rFonts w:hint="eastAsia"/>
                <w:color w:val="auto"/>
                <w:szCs w:val="21"/>
              </w:rPr>
            </w:pPr>
            <w:r>
              <w:rPr>
                <w:rFonts w:hint="eastAsia"/>
                <w:color w:val="auto"/>
                <w:szCs w:val="21"/>
              </w:rPr>
              <w:t>公用</w:t>
            </w:r>
          </w:p>
          <w:p>
            <w:pPr>
              <w:jc w:val="center"/>
              <w:rPr>
                <w:rFonts w:hint="eastAsia"/>
                <w:color w:val="auto"/>
                <w:szCs w:val="21"/>
              </w:rPr>
            </w:pPr>
            <w:r>
              <w:rPr>
                <w:rFonts w:hint="eastAsia"/>
                <w:color w:val="auto"/>
                <w:szCs w:val="21"/>
              </w:rPr>
              <w:t>工程</w:t>
            </w:r>
          </w:p>
        </w:tc>
        <w:tc>
          <w:tcPr>
            <w:tcW w:w="714" w:type="pct"/>
            <w:noWrap w:val="0"/>
            <w:vAlign w:val="center"/>
          </w:tcPr>
          <w:p>
            <w:pPr>
              <w:jc w:val="center"/>
              <w:rPr>
                <w:rFonts w:hint="eastAsia"/>
                <w:color w:val="auto"/>
                <w:szCs w:val="21"/>
              </w:rPr>
            </w:pPr>
            <w:r>
              <w:rPr>
                <w:rFonts w:hint="eastAsia"/>
                <w:color w:val="auto"/>
                <w:szCs w:val="21"/>
              </w:rPr>
              <w:t>给水设施</w:t>
            </w:r>
          </w:p>
        </w:tc>
        <w:tc>
          <w:tcPr>
            <w:tcW w:w="3782" w:type="pct"/>
            <w:noWrap w:val="0"/>
            <w:vAlign w:val="center"/>
          </w:tcPr>
          <w:p>
            <w:pPr>
              <w:jc w:val="center"/>
              <w:rPr>
                <w:rFonts w:hint="eastAsia"/>
                <w:color w:val="auto"/>
                <w:szCs w:val="21"/>
              </w:rPr>
            </w:pPr>
            <w:r>
              <w:rPr>
                <w:rFonts w:hint="eastAsia"/>
                <w:color w:val="auto"/>
                <w:szCs w:val="21"/>
              </w:rPr>
              <w:t>采用地下水和自来水相结合，设蓄水池一座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177" w:hRule="atLeast"/>
          <w:jc w:val="center"/>
        </w:trPr>
        <w:tc>
          <w:tcPr>
            <w:tcW w:w="503" w:type="pct"/>
            <w:vMerge w:val="continue"/>
            <w:noWrap w:val="0"/>
            <w:vAlign w:val="center"/>
          </w:tcPr>
          <w:p>
            <w:pPr>
              <w:jc w:val="center"/>
              <w:rPr>
                <w:color w:val="auto"/>
                <w:szCs w:val="21"/>
              </w:rPr>
            </w:pPr>
          </w:p>
        </w:tc>
        <w:tc>
          <w:tcPr>
            <w:tcW w:w="714" w:type="pct"/>
            <w:noWrap w:val="0"/>
            <w:vAlign w:val="center"/>
          </w:tcPr>
          <w:p>
            <w:pPr>
              <w:jc w:val="center"/>
              <w:rPr>
                <w:rFonts w:hint="eastAsia"/>
                <w:color w:val="auto"/>
                <w:szCs w:val="21"/>
              </w:rPr>
            </w:pPr>
            <w:r>
              <w:rPr>
                <w:rFonts w:hint="eastAsia"/>
                <w:color w:val="auto"/>
                <w:szCs w:val="21"/>
              </w:rPr>
              <w:t>排水设施</w:t>
            </w:r>
          </w:p>
        </w:tc>
        <w:tc>
          <w:tcPr>
            <w:tcW w:w="3782" w:type="pct"/>
            <w:noWrap w:val="0"/>
            <w:vAlign w:val="center"/>
          </w:tcPr>
          <w:p>
            <w:pPr>
              <w:jc w:val="center"/>
              <w:rPr>
                <w:rFonts w:hint="eastAsia" w:eastAsia="宋体"/>
                <w:color w:val="auto"/>
                <w:szCs w:val="21"/>
                <w:lang w:eastAsia="zh-CN"/>
              </w:rPr>
            </w:pPr>
            <w:r>
              <w:rPr>
                <w:rFonts w:hint="eastAsia"/>
                <w:color w:val="auto"/>
                <w:szCs w:val="21"/>
              </w:rPr>
              <w:t>清污分流，</w:t>
            </w:r>
            <w:r>
              <w:rPr>
                <w:rFonts w:hint="eastAsia"/>
                <w:color w:val="auto"/>
                <w:szCs w:val="21"/>
                <w:lang w:eastAsia="zh-CN"/>
              </w:rPr>
              <w:t>生活废水经地埋式一体化处理后</w:t>
            </w:r>
            <w:r>
              <w:rPr>
                <w:rFonts w:hint="eastAsia"/>
                <w:color w:val="auto"/>
                <w:kern w:val="44"/>
                <w:szCs w:val="21"/>
                <w:lang w:eastAsia="zh-CN"/>
              </w:rPr>
              <w:t>用于农田及林业的灌溉</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177" w:hRule="atLeast"/>
          <w:jc w:val="center"/>
        </w:trPr>
        <w:tc>
          <w:tcPr>
            <w:tcW w:w="503" w:type="pct"/>
            <w:vMerge w:val="continue"/>
            <w:noWrap w:val="0"/>
            <w:vAlign w:val="center"/>
          </w:tcPr>
          <w:p>
            <w:pPr>
              <w:jc w:val="center"/>
              <w:rPr>
                <w:color w:val="auto"/>
                <w:szCs w:val="21"/>
              </w:rPr>
            </w:pPr>
          </w:p>
        </w:tc>
        <w:tc>
          <w:tcPr>
            <w:tcW w:w="714" w:type="pct"/>
            <w:noWrap w:val="0"/>
            <w:vAlign w:val="center"/>
          </w:tcPr>
          <w:p>
            <w:pPr>
              <w:jc w:val="center"/>
              <w:rPr>
                <w:rFonts w:hint="eastAsia"/>
                <w:color w:val="auto"/>
                <w:szCs w:val="21"/>
              </w:rPr>
            </w:pPr>
            <w:r>
              <w:rPr>
                <w:rFonts w:hint="eastAsia"/>
                <w:color w:val="auto"/>
                <w:szCs w:val="21"/>
              </w:rPr>
              <w:t>采暖通风</w:t>
            </w:r>
          </w:p>
        </w:tc>
        <w:tc>
          <w:tcPr>
            <w:tcW w:w="3782" w:type="pct"/>
            <w:noWrap w:val="0"/>
            <w:vAlign w:val="center"/>
          </w:tcPr>
          <w:p>
            <w:pPr>
              <w:jc w:val="center"/>
              <w:rPr>
                <w:rFonts w:hint="eastAsia"/>
                <w:color w:val="auto"/>
                <w:szCs w:val="21"/>
              </w:rPr>
            </w:pPr>
            <w:r>
              <w:rPr>
                <w:rFonts w:hint="eastAsia"/>
                <w:color w:val="auto"/>
                <w:szCs w:val="21"/>
              </w:rPr>
              <w:t>猪舍采取自然通风和机械通风相结合的方式换气排除异味</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177" w:hRule="atLeast"/>
          <w:jc w:val="center"/>
        </w:trPr>
        <w:tc>
          <w:tcPr>
            <w:tcW w:w="503" w:type="pct"/>
            <w:vMerge w:val="continue"/>
            <w:noWrap w:val="0"/>
            <w:vAlign w:val="center"/>
          </w:tcPr>
          <w:p>
            <w:pPr>
              <w:jc w:val="center"/>
              <w:rPr>
                <w:color w:val="auto"/>
                <w:szCs w:val="21"/>
              </w:rPr>
            </w:pPr>
          </w:p>
        </w:tc>
        <w:tc>
          <w:tcPr>
            <w:tcW w:w="714" w:type="pct"/>
            <w:noWrap w:val="0"/>
            <w:vAlign w:val="center"/>
          </w:tcPr>
          <w:p>
            <w:pPr>
              <w:jc w:val="center"/>
              <w:rPr>
                <w:rFonts w:hint="eastAsia"/>
                <w:color w:val="auto"/>
                <w:szCs w:val="21"/>
              </w:rPr>
            </w:pPr>
            <w:r>
              <w:rPr>
                <w:rFonts w:hint="eastAsia"/>
                <w:color w:val="auto"/>
                <w:szCs w:val="21"/>
              </w:rPr>
              <w:t>降温设施</w:t>
            </w:r>
          </w:p>
        </w:tc>
        <w:tc>
          <w:tcPr>
            <w:tcW w:w="3782" w:type="pct"/>
            <w:noWrap w:val="0"/>
            <w:vAlign w:val="center"/>
          </w:tcPr>
          <w:p>
            <w:pPr>
              <w:jc w:val="center"/>
              <w:rPr>
                <w:rFonts w:hint="eastAsia"/>
                <w:color w:val="auto"/>
                <w:szCs w:val="21"/>
              </w:rPr>
            </w:pPr>
            <w:r>
              <w:rPr>
                <w:rFonts w:hint="eastAsia"/>
                <w:color w:val="auto"/>
                <w:szCs w:val="21"/>
              </w:rPr>
              <w:t>猪舍采取水帘降温设施（仅夏季使用）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177" w:hRule="atLeast"/>
          <w:jc w:val="center"/>
        </w:trPr>
        <w:tc>
          <w:tcPr>
            <w:tcW w:w="503" w:type="pct"/>
            <w:vMerge w:val="continue"/>
            <w:noWrap w:val="0"/>
            <w:vAlign w:val="center"/>
          </w:tcPr>
          <w:p>
            <w:pPr>
              <w:jc w:val="center"/>
              <w:rPr>
                <w:color w:val="auto"/>
                <w:szCs w:val="21"/>
              </w:rPr>
            </w:pPr>
          </w:p>
        </w:tc>
        <w:tc>
          <w:tcPr>
            <w:tcW w:w="714" w:type="pct"/>
            <w:noWrap w:val="0"/>
            <w:vAlign w:val="center"/>
          </w:tcPr>
          <w:p>
            <w:pPr>
              <w:jc w:val="center"/>
              <w:rPr>
                <w:rFonts w:hint="eastAsia"/>
                <w:color w:val="auto"/>
                <w:szCs w:val="21"/>
              </w:rPr>
            </w:pPr>
            <w:r>
              <w:rPr>
                <w:rFonts w:hint="eastAsia"/>
                <w:color w:val="auto"/>
                <w:szCs w:val="21"/>
              </w:rPr>
              <w:t>供电设施</w:t>
            </w:r>
          </w:p>
        </w:tc>
        <w:tc>
          <w:tcPr>
            <w:tcW w:w="3782" w:type="pct"/>
            <w:noWrap w:val="0"/>
            <w:vAlign w:val="center"/>
          </w:tcPr>
          <w:p>
            <w:pPr>
              <w:jc w:val="center"/>
              <w:rPr>
                <w:rFonts w:hint="eastAsia"/>
                <w:color w:val="auto"/>
                <w:szCs w:val="21"/>
              </w:rPr>
            </w:pPr>
            <w:r>
              <w:rPr>
                <w:rFonts w:hint="eastAsia"/>
                <w:color w:val="auto"/>
                <w:szCs w:val="21"/>
              </w:rPr>
              <w:t>电网输送</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71" w:hRule="atLeast"/>
          <w:jc w:val="center"/>
        </w:trPr>
        <w:tc>
          <w:tcPr>
            <w:tcW w:w="503" w:type="pct"/>
            <w:vMerge w:val="restart"/>
            <w:noWrap w:val="0"/>
            <w:vAlign w:val="center"/>
          </w:tcPr>
          <w:p>
            <w:pPr>
              <w:jc w:val="center"/>
              <w:rPr>
                <w:rFonts w:hint="eastAsia"/>
                <w:color w:val="auto"/>
                <w:szCs w:val="21"/>
              </w:rPr>
            </w:pPr>
            <w:r>
              <w:rPr>
                <w:rFonts w:hint="eastAsia"/>
                <w:color w:val="auto"/>
                <w:szCs w:val="21"/>
              </w:rPr>
              <w:t>环保</w:t>
            </w:r>
          </w:p>
          <w:p>
            <w:pPr>
              <w:jc w:val="center"/>
              <w:rPr>
                <w:color w:val="auto"/>
                <w:szCs w:val="21"/>
              </w:rPr>
            </w:pPr>
            <w:r>
              <w:rPr>
                <w:rFonts w:hint="eastAsia"/>
                <w:color w:val="auto"/>
                <w:szCs w:val="21"/>
              </w:rPr>
              <w:t>工程</w:t>
            </w:r>
          </w:p>
        </w:tc>
        <w:tc>
          <w:tcPr>
            <w:tcW w:w="714" w:type="pct"/>
            <w:noWrap w:val="0"/>
            <w:vAlign w:val="center"/>
          </w:tcPr>
          <w:p>
            <w:pPr>
              <w:jc w:val="center"/>
              <w:rPr>
                <w:rFonts w:hint="eastAsia"/>
                <w:color w:val="auto"/>
                <w:szCs w:val="21"/>
              </w:rPr>
            </w:pPr>
            <w:r>
              <w:rPr>
                <w:rFonts w:hint="eastAsia"/>
                <w:color w:val="auto"/>
                <w:szCs w:val="21"/>
              </w:rPr>
              <w:t>废水处理</w:t>
            </w:r>
          </w:p>
        </w:tc>
        <w:tc>
          <w:tcPr>
            <w:tcW w:w="3782" w:type="pct"/>
            <w:noWrap w:val="0"/>
            <w:vAlign w:val="center"/>
          </w:tcPr>
          <w:p>
            <w:pPr>
              <w:jc w:val="center"/>
              <w:rPr>
                <w:rFonts w:hint="eastAsia"/>
                <w:color w:val="auto"/>
                <w:szCs w:val="21"/>
              </w:rPr>
            </w:pPr>
            <w:r>
              <w:rPr>
                <w:rFonts w:hint="eastAsia"/>
                <w:color w:val="auto"/>
                <w:kern w:val="44"/>
                <w:szCs w:val="21"/>
                <w:lang w:eastAsia="zh-CN"/>
              </w:rPr>
              <w:t>生活污水</w:t>
            </w:r>
            <w:r>
              <w:rPr>
                <w:rFonts w:hint="eastAsia"/>
                <w:color w:val="auto"/>
                <w:kern w:val="44"/>
                <w:szCs w:val="21"/>
                <w:lang w:val="en-US" w:eastAsia="zh-CN"/>
              </w:rPr>
              <w:t>及冲洗废水</w:t>
            </w:r>
            <w:r>
              <w:rPr>
                <w:rFonts w:hint="eastAsia"/>
                <w:color w:val="auto"/>
                <w:kern w:val="44"/>
                <w:szCs w:val="21"/>
                <w:lang w:eastAsia="zh-CN"/>
              </w:rPr>
              <w:t>经地埋式一体化处理后用于农田及林业的灌溉，</w:t>
            </w:r>
            <w:r>
              <w:rPr>
                <w:rFonts w:hint="eastAsia"/>
                <w:color w:val="auto"/>
                <w:szCs w:val="21"/>
                <w:lang w:eastAsia="zh-CN"/>
              </w:rPr>
              <w:t>猪尿与猪粪便一起经</w:t>
            </w:r>
            <w:r>
              <w:rPr>
                <w:rFonts w:hint="eastAsia"/>
                <w:color w:val="auto"/>
                <w:szCs w:val="21"/>
                <w:lang w:val="en-US" w:eastAsia="zh-CN"/>
              </w:rPr>
              <w:t>异位发酵床</w:t>
            </w:r>
            <w:r>
              <w:rPr>
                <w:rFonts w:hint="eastAsia"/>
                <w:color w:val="auto"/>
                <w:szCs w:val="21"/>
                <w:lang w:eastAsia="zh-CN"/>
              </w:rPr>
              <w:t>处理制成有机肥料外售</w:t>
            </w:r>
            <w:r>
              <w:rPr>
                <w:rFonts w:hint="eastAsia"/>
                <w:color w:val="auto"/>
                <w:kern w:val="44"/>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177" w:hRule="atLeast"/>
          <w:jc w:val="center"/>
        </w:trPr>
        <w:tc>
          <w:tcPr>
            <w:tcW w:w="503" w:type="pct"/>
            <w:vMerge w:val="continue"/>
            <w:noWrap w:val="0"/>
            <w:vAlign w:val="center"/>
          </w:tcPr>
          <w:p>
            <w:pPr>
              <w:jc w:val="center"/>
              <w:rPr>
                <w:rFonts w:hint="eastAsia"/>
                <w:color w:val="auto"/>
                <w:szCs w:val="21"/>
              </w:rPr>
            </w:pPr>
          </w:p>
        </w:tc>
        <w:tc>
          <w:tcPr>
            <w:tcW w:w="714" w:type="pct"/>
            <w:vMerge w:val="restart"/>
            <w:noWrap w:val="0"/>
            <w:vAlign w:val="center"/>
          </w:tcPr>
          <w:p>
            <w:pPr>
              <w:jc w:val="center"/>
              <w:rPr>
                <w:rFonts w:hint="eastAsia"/>
                <w:color w:val="auto"/>
                <w:szCs w:val="21"/>
              </w:rPr>
            </w:pPr>
            <w:r>
              <w:rPr>
                <w:rFonts w:hint="eastAsia"/>
                <w:color w:val="auto"/>
                <w:szCs w:val="21"/>
              </w:rPr>
              <w:t>废气处理</w:t>
            </w:r>
          </w:p>
        </w:tc>
        <w:tc>
          <w:tcPr>
            <w:tcW w:w="3782" w:type="pct"/>
            <w:noWrap w:val="0"/>
            <w:vAlign w:val="center"/>
          </w:tcPr>
          <w:p>
            <w:pPr>
              <w:jc w:val="center"/>
              <w:rPr>
                <w:rFonts w:hint="eastAsia" w:eastAsia="宋体"/>
                <w:color w:val="auto"/>
                <w:szCs w:val="21"/>
                <w:lang w:eastAsia="zh-CN"/>
              </w:rPr>
            </w:pPr>
            <w:r>
              <w:rPr>
                <w:rFonts w:hint="eastAsia"/>
                <w:color w:val="auto"/>
                <w:szCs w:val="21"/>
                <w:lang w:eastAsia="zh-CN"/>
              </w:rPr>
              <w:t>污水处理设施喷洒除臭剂，无组织排放</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664" w:hRule="atLeast"/>
          <w:jc w:val="center"/>
        </w:trPr>
        <w:tc>
          <w:tcPr>
            <w:tcW w:w="503" w:type="pct"/>
            <w:vMerge w:val="continue"/>
            <w:noWrap w:val="0"/>
            <w:vAlign w:val="center"/>
          </w:tcPr>
          <w:p>
            <w:pPr>
              <w:jc w:val="center"/>
              <w:rPr>
                <w:rFonts w:hint="eastAsia"/>
                <w:color w:val="auto"/>
                <w:szCs w:val="21"/>
              </w:rPr>
            </w:pPr>
          </w:p>
        </w:tc>
        <w:tc>
          <w:tcPr>
            <w:tcW w:w="714" w:type="pct"/>
            <w:vMerge w:val="continue"/>
            <w:noWrap w:val="0"/>
            <w:vAlign w:val="center"/>
          </w:tcPr>
          <w:p>
            <w:pPr>
              <w:jc w:val="center"/>
              <w:rPr>
                <w:rFonts w:hint="eastAsia"/>
                <w:color w:val="auto"/>
                <w:szCs w:val="21"/>
              </w:rPr>
            </w:pPr>
          </w:p>
        </w:tc>
        <w:tc>
          <w:tcPr>
            <w:tcW w:w="3782" w:type="pct"/>
            <w:noWrap w:val="0"/>
            <w:vAlign w:val="center"/>
          </w:tcPr>
          <w:p>
            <w:pPr>
              <w:jc w:val="center"/>
              <w:rPr>
                <w:rFonts w:hint="eastAsia" w:eastAsia="宋体"/>
                <w:color w:val="auto"/>
                <w:szCs w:val="21"/>
                <w:lang w:eastAsia="zh-CN"/>
              </w:rPr>
            </w:pPr>
            <w:r>
              <w:rPr>
                <w:rFonts w:hint="eastAsia"/>
                <w:color w:val="auto"/>
                <w:szCs w:val="21"/>
              </w:rPr>
              <w:t>猪舍加强通风、饲料中添加抑臭菌、及时清理；堆粪场喷洒除臭菌、稻草遮盖；</w:t>
            </w:r>
            <w:r>
              <w:rPr>
                <w:rFonts w:hint="eastAsia"/>
                <w:color w:val="auto"/>
                <w:szCs w:val="21"/>
                <w:lang w:eastAsia="zh-CN"/>
              </w:rPr>
              <w:t>无组织排放</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14" w:hRule="atLeast"/>
          <w:jc w:val="center"/>
        </w:trPr>
        <w:tc>
          <w:tcPr>
            <w:tcW w:w="503" w:type="pct"/>
            <w:vMerge w:val="continue"/>
            <w:noWrap w:val="0"/>
            <w:vAlign w:val="center"/>
          </w:tcPr>
          <w:p>
            <w:pPr>
              <w:jc w:val="center"/>
              <w:rPr>
                <w:rFonts w:hint="eastAsia"/>
                <w:color w:val="0000FF"/>
                <w:szCs w:val="21"/>
              </w:rPr>
            </w:pPr>
          </w:p>
        </w:tc>
        <w:tc>
          <w:tcPr>
            <w:tcW w:w="714" w:type="pct"/>
            <w:vMerge w:val="continue"/>
            <w:noWrap w:val="0"/>
            <w:vAlign w:val="center"/>
          </w:tcPr>
          <w:p>
            <w:pPr>
              <w:jc w:val="center"/>
              <w:rPr>
                <w:rFonts w:hint="eastAsia"/>
                <w:color w:val="auto"/>
                <w:szCs w:val="21"/>
              </w:rPr>
            </w:pPr>
          </w:p>
        </w:tc>
        <w:tc>
          <w:tcPr>
            <w:tcW w:w="3782" w:type="pct"/>
            <w:noWrap w:val="0"/>
            <w:vAlign w:val="center"/>
          </w:tcPr>
          <w:p>
            <w:pPr>
              <w:jc w:val="center"/>
              <w:rPr>
                <w:rFonts w:hint="eastAsia" w:eastAsia="宋体"/>
                <w:color w:val="auto"/>
                <w:szCs w:val="21"/>
                <w:lang w:eastAsia="zh-CN"/>
              </w:rPr>
            </w:pPr>
            <w:r>
              <w:rPr>
                <w:rFonts w:hint="eastAsia"/>
                <w:color w:val="auto"/>
                <w:szCs w:val="21"/>
                <w:lang w:val="en-US" w:eastAsia="zh-CN"/>
              </w:rPr>
              <w:t>异位发酵床</w:t>
            </w:r>
            <w:r>
              <w:rPr>
                <w:rFonts w:hint="eastAsia"/>
                <w:color w:val="auto"/>
                <w:szCs w:val="21"/>
                <w:lang w:eastAsia="zh-CN"/>
              </w:rPr>
              <w:t>设置负压抽风，抽风出口处喷砂除臭剂，无组织排放</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04" w:hRule="atLeast"/>
          <w:jc w:val="center"/>
        </w:trPr>
        <w:tc>
          <w:tcPr>
            <w:tcW w:w="503" w:type="pct"/>
            <w:vMerge w:val="continue"/>
            <w:noWrap w:val="0"/>
            <w:vAlign w:val="center"/>
          </w:tcPr>
          <w:p>
            <w:pPr>
              <w:jc w:val="center"/>
              <w:rPr>
                <w:rFonts w:hint="eastAsia"/>
                <w:color w:val="0000FF"/>
                <w:szCs w:val="21"/>
              </w:rPr>
            </w:pPr>
          </w:p>
        </w:tc>
        <w:tc>
          <w:tcPr>
            <w:tcW w:w="714" w:type="pct"/>
            <w:vMerge w:val="continue"/>
            <w:noWrap w:val="0"/>
            <w:vAlign w:val="center"/>
          </w:tcPr>
          <w:p>
            <w:pPr>
              <w:jc w:val="center"/>
              <w:rPr>
                <w:rFonts w:hint="eastAsia"/>
                <w:color w:val="auto"/>
                <w:szCs w:val="21"/>
              </w:rPr>
            </w:pPr>
          </w:p>
        </w:tc>
        <w:tc>
          <w:tcPr>
            <w:tcW w:w="3782" w:type="pct"/>
            <w:noWrap w:val="0"/>
            <w:vAlign w:val="center"/>
          </w:tcPr>
          <w:p>
            <w:pPr>
              <w:jc w:val="center"/>
              <w:rPr>
                <w:rFonts w:hint="default"/>
                <w:color w:val="auto"/>
                <w:szCs w:val="21"/>
                <w:lang w:val="en-US" w:eastAsia="zh-CN"/>
              </w:rPr>
            </w:pPr>
            <w:r>
              <w:rPr>
                <w:rFonts w:hint="eastAsia"/>
                <w:color w:val="auto"/>
                <w:szCs w:val="21"/>
                <w:lang w:eastAsia="zh-CN"/>
              </w:rPr>
              <w:t>高效油烟净化装置处理后通过烟道至房顶排放</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177" w:hRule="atLeast"/>
          <w:jc w:val="center"/>
        </w:trPr>
        <w:tc>
          <w:tcPr>
            <w:tcW w:w="503" w:type="pct"/>
            <w:vMerge w:val="continue"/>
            <w:noWrap w:val="0"/>
            <w:vAlign w:val="center"/>
          </w:tcPr>
          <w:p>
            <w:pPr>
              <w:jc w:val="center"/>
              <w:rPr>
                <w:rFonts w:hint="eastAsia"/>
                <w:color w:val="0000FF"/>
                <w:szCs w:val="21"/>
              </w:rPr>
            </w:pPr>
          </w:p>
        </w:tc>
        <w:tc>
          <w:tcPr>
            <w:tcW w:w="714" w:type="pct"/>
            <w:noWrap w:val="0"/>
            <w:vAlign w:val="center"/>
          </w:tcPr>
          <w:p>
            <w:pPr>
              <w:jc w:val="center"/>
              <w:rPr>
                <w:rFonts w:hint="eastAsia"/>
                <w:color w:val="auto"/>
                <w:szCs w:val="21"/>
              </w:rPr>
            </w:pPr>
            <w:r>
              <w:rPr>
                <w:rFonts w:hint="eastAsia"/>
                <w:color w:val="auto"/>
                <w:szCs w:val="21"/>
              </w:rPr>
              <w:t>噪声治理</w:t>
            </w:r>
          </w:p>
        </w:tc>
        <w:tc>
          <w:tcPr>
            <w:tcW w:w="3782" w:type="pct"/>
            <w:noWrap w:val="0"/>
            <w:vAlign w:val="center"/>
          </w:tcPr>
          <w:p>
            <w:pPr>
              <w:jc w:val="center"/>
              <w:rPr>
                <w:rFonts w:hint="eastAsia"/>
                <w:color w:val="auto"/>
                <w:szCs w:val="21"/>
              </w:rPr>
            </w:pPr>
            <w:r>
              <w:rPr>
                <w:rFonts w:hint="eastAsia"/>
                <w:color w:val="auto"/>
                <w:szCs w:val="21"/>
              </w:rPr>
              <w:t>厂房隔音、基座减震、消音器、软连接等</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324" w:hRule="atLeast"/>
          <w:jc w:val="center"/>
        </w:trPr>
        <w:tc>
          <w:tcPr>
            <w:tcW w:w="503" w:type="pct"/>
            <w:vMerge w:val="continue"/>
            <w:noWrap w:val="0"/>
            <w:vAlign w:val="center"/>
          </w:tcPr>
          <w:p>
            <w:pPr>
              <w:jc w:val="center"/>
              <w:rPr>
                <w:color w:val="0000FF"/>
              </w:rPr>
            </w:pPr>
          </w:p>
        </w:tc>
        <w:tc>
          <w:tcPr>
            <w:tcW w:w="714" w:type="pct"/>
            <w:vMerge w:val="restart"/>
            <w:noWrap w:val="0"/>
            <w:vAlign w:val="center"/>
          </w:tcPr>
          <w:p>
            <w:pPr>
              <w:jc w:val="center"/>
              <w:rPr>
                <w:rFonts w:hint="eastAsia"/>
                <w:color w:val="auto"/>
              </w:rPr>
            </w:pPr>
            <w:r>
              <w:rPr>
                <w:rFonts w:hint="eastAsia"/>
                <w:color w:val="auto"/>
              </w:rPr>
              <w:t>固废处置</w:t>
            </w:r>
          </w:p>
        </w:tc>
        <w:tc>
          <w:tcPr>
            <w:tcW w:w="3782" w:type="pct"/>
            <w:noWrap w:val="0"/>
            <w:vAlign w:val="center"/>
          </w:tcPr>
          <w:p>
            <w:pPr>
              <w:jc w:val="center"/>
              <w:rPr>
                <w:rFonts w:hint="eastAsia"/>
                <w:color w:val="auto"/>
                <w:szCs w:val="21"/>
              </w:rPr>
            </w:pPr>
            <w:r>
              <w:rPr>
                <w:rFonts w:hint="eastAsia"/>
                <w:color w:val="auto"/>
                <w:szCs w:val="21"/>
                <w:lang w:eastAsia="zh-CN"/>
              </w:rPr>
              <w:t>尿与猪粪便一起经异位发酵床处理制成有机肥料外售；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94" w:hRule="atLeast"/>
          <w:jc w:val="center"/>
        </w:trPr>
        <w:tc>
          <w:tcPr>
            <w:tcW w:w="503" w:type="pct"/>
            <w:vMerge w:val="continue"/>
            <w:noWrap w:val="0"/>
            <w:vAlign w:val="center"/>
          </w:tcPr>
          <w:p>
            <w:pPr>
              <w:jc w:val="center"/>
              <w:rPr>
                <w:color w:val="0000FF"/>
              </w:rPr>
            </w:pPr>
          </w:p>
        </w:tc>
        <w:tc>
          <w:tcPr>
            <w:tcW w:w="714" w:type="pct"/>
            <w:vMerge w:val="continue"/>
            <w:noWrap w:val="0"/>
            <w:vAlign w:val="center"/>
          </w:tcPr>
          <w:p>
            <w:pPr>
              <w:jc w:val="center"/>
              <w:rPr>
                <w:rFonts w:hint="eastAsia"/>
                <w:color w:val="auto"/>
              </w:rPr>
            </w:pPr>
          </w:p>
        </w:tc>
        <w:tc>
          <w:tcPr>
            <w:tcW w:w="3782" w:type="pct"/>
            <w:noWrap w:val="0"/>
            <w:vAlign w:val="center"/>
          </w:tcPr>
          <w:p>
            <w:pPr>
              <w:jc w:val="center"/>
              <w:rPr>
                <w:rFonts w:hint="default" w:eastAsia="宋体"/>
                <w:color w:val="auto"/>
                <w:szCs w:val="21"/>
                <w:lang w:val="en-US" w:eastAsia="zh-CN"/>
              </w:rPr>
            </w:pPr>
            <w:r>
              <w:rPr>
                <w:rFonts w:hint="eastAsia"/>
                <w:color w:val="auto"/>
                <w:szCs w:val="21"/>
                <w:lang w:eastAsia="zh-CN"/>
              </w:rPr>
              <w:t>配套病死猪无害化处理设施</w:t>
            </w:r>
            <w:r>
              <w:rPr>
                <w:rFonts w:hint="eastAsia"/>
                <w:color w:val="auto"/>
                <w:szCs w:val="21"/>
                <w:lang w:val="en-US" w:eastAsia="zh-CN"/>
              </w:rPr>
              <w:t>1套（化制间），用于处理病死猪</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57" w:type="dxa"/>
            <w:bottom w:w="0" w:type="dxa"/>
            <w:right w:w="57" w:type="dxa"/>
          </w:tblCellMar>
        </w:tblPrEx>
        <w:trPr>
          <w:trHeight w:val="239" w:hRule="atLeast"/>
          <w:jc w:val="center"/>
        </w:trPr>
        <w:tc>
          <w:tcPr>
            <w:tcW w:w="503" w:type="pct"/>
            <w:vMerge w:val="continue"/>
            <w:noWrap w:val="0"/>
            <w:vAlign w:val="center"/>
          </w:tcPr>
          <w:p>
            <w:pPr>
              <w:jc w:val="center"/>
              <w:rPr>
                <w:color w:val="0000FF"/>
              </w:rPr>
            </w:pPr>
          </w:p>
        </w:tc>
        <w:tc>
          <w:tcPr>
            <w:tcW w:w="714" w:type="pct"/>
            <w:vMerge w:val="continue"/>
            <w:noWrap w:val="0"/>
            <w:vAlign w:val="center"/>
          </w:tcPr>
          <w:p>
            <w:pPr>
              <w:jc w:val="center"/>
              <w:rPr>
                <w:rFonts w:hint="eastAsia"/>
                <w:color w:val="auto"/>
              </w:rPr>
            </w:pPr>
          </w:p>
        </w:tc>
        <w:tc>
          <w:tcPr>
            <w:tcW w:w="3782" w:type="pct"/>
            <w:noWrap w:val="0"/>
            <w:vAlign w:val="center"/>
          </w:tcPr>
          <w:p>
            <w:pPr>
              <w:jc w:val="center"/>
              <w:rPr>
                <w:rFonts w:hint="eastAsia"/>
                <w:color w:val="auto"/>
                <w:szCs w:val="21"/>
                <w:lang w:eastAsia="zh-CN"/>
              </w:rPr>
            </w:pPr>
            <w:r>
              <w:rPr>
                <w:rFonts w:hint="eastAsia"/>
                <w:bCs/>
                <w:color w:val="auto"/>
                <w:szCs w:val="21"/>
              </w:rPr>
              <w:t>医疗防疫废物暂存于场内危废暂存间</w:t>
            </w:r>
            <w:r>
              <w:rPr>
                <w:rFonts w:hint="eastAsia"/>
                <w:color w:val="auto"/>
                <w:szCs w:val="21"/>
              </w:rPr>
              <w:t>，</w:t>
            </w:r>
            <w:r>
              <w:rPr>
                <w:rFonts w:hint="eastAsia"/>
                <w:color w:val="auto"/>
                <w:szCs w:val="21"/>
                <w:lang w:eastAsia="zh-CN"/>
              </w:rPr>
              <w:t>定期交有资质的单位处理</w:t>
            </w:r>
            <w:r>
              <w:rPr>
                <w:rFonts w:hint="eastAsia"/>
                <w:color w:val="auto"/>
                <w:szCs w:val="21"/>
              </w:rPr>
              <w:t>。</w:t>
            </w:r>
          </w:p>
        </w:tc>
      </w:tr>
    </w:tbl>
    <w:p>
      <w:pPr>
        <w:pStyle w:val="5"/>
        <w:ind w:firstLine="562"/>
      </w:pPr>
      <w:r>
        <w:rPr>
          <w:rFonts w:hint="eastAsia"/>
          <w:lang w:eastAsia="zh-CN"/>
        </w:rPr>
        <w:t>项目主要原辅料</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cs="Times New Roman"/>
          <w:color w:val="auto"/>
          <w:kern w:val="0"/>
          <w:sz w:val="24"/>
          <w:szCs w:val="24"/>
          <w:lang w:val="en-US" w:eastAsia="zh-CN" w:bidi="ar-SA"/>
        </w:rPr>
      </w:pPr>
      <w:r>
        <w:rPr>
          <w:rFonts w:hint="eastAsia" w:ascii="Times New Roman" w:hAnsi="Times New Roman" w:cs="Times New Roman"/>
          <w:kern w:val="0"/>
          <w:sz w:val="24"/>
          <w:szCs w:val="24"/>
          <w:lang w:val="en-US" w:eastAsia="zh-CN" w:bidi="ar-SA"/>
        </w:rPr>
        <w:t>项目所使用的饲料均为外购成品，猪场内不设置饲料加工厂。项目主要饲料消耗参数及消耗量见表</w:t>
      </w: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.1-</w:t>
      </w:r>
      <w:r>
        <w:rPr>
          <w:rFonts w:hint="eastAsia" w:cs="Times New Roman"/>
          <w:kern w:val="0"/>
          <w:sz w:val="24"/>
          <w:szCs w:val="24"/>
          <w:lang w:val="en-US" w:eastAsia="zh-CN" w:bidi="ar-SA"/>
        </w:rPr>
        <w:t>2</w:t>
      </w:r>
      <w:r>
        <w:rPr>
          <w:rFonts w:hint="eastAsia" w:ascii="Times New Roman" w:hAnsi="Times New Roman" w:cs="Times New Roman"/>
          <w:kern w:val="0"/>
          <w:sz w:val="24"/>
          <w:szCs w:val="24"/>
          <w:lang w:val="en-US" w:eastAsia="zh-CN" w:bidi="ar-SA"/>
        </w:rPr>
        <w:t>。</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cs="Times New Roman"/>
          <w:b/>
          <w:bCs/>
          <w:kern w:val="0"/>
          <w:sz w:val="21"/>
          <w:szCs w:val="21"/>
          <w:lang w:val="en-US" w:eastAsia="zh-CN" w:bidi="ar-SA"/>
        </w:rPr>
      </w:pPr>
      <w:r>
        <w:rPr>
          <w:rFonts w:hint="eastAsia" w:cs="Times New Roman"/>
          <w:b/>
          <w:bCs/>
          <w:kern w:val="0"/>
          <w:sz w:val="21"/>
          <w:szCs w:val="21"/>
          <w:lang w:val="en-US" w:eastAsia="zh-CN" w:bidi="ar-SA"/>
        </w:rPr>
        <w:t>表3.1-2   项目主要原辅材料消耗一览表</w:t>
      </w:r>
    </w:p>
    <w:tbl>
      <w:tblPr>
        <w:tblStyle w:val="6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06"/>
        <w:gridCol w:w="4375"/>
        <w:gridCol w:w="28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6" w:type="pct"/>
            <w:tcBorders>
              <w:top w:val="single" w:color="auto" w:sz="12" w:space="0"/>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b w:val="0"/>
                <w:bCs w:val="0"/>
                <w:kern w:val="0"/>
                <w:sz w:val="21"/>
                <w:szCs w:val="21"/>
                <w:vertAlign w:val="baseline"/>
                <w:lang w:val="en-US" w:eastAsia="zh-CN" w:bidi="ar-SA"/>
              </w:rPr>
            </w:pPr>
            <w:r>
              <w:rPr>
                <w:rFonts w:hint="eastAsia" w:cs="Times New Roman"/>
                <w:b w:val="0"/>
                <w:bCs w:val="0"/>
                <w:kern w:val="0"/>
                <w:sz w:val="21"/>
                <w:szCs w:val="21"/>
                <w:vertAlign w:val="baseline"/>
                <w:lang w:val="en-US" w:eastAsia="zh-CN" w:bidi="ar-SA"/>
              </w:rPr>
              <w:t>类型</w:t>
            </w:r>
          </w:p>
        </w:tc>
        <w:tc>
          <w:tcPr>
            <w:tcW w:w="2566" w:type="pct"/>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b w:val="0"/>
                <w:bCs w:val="0"/>
                <w:kern w:val="0"/>
                <w:sz w:val="21"/>
                <w:szCs w:val="21"/>
                <w:vertAlign w:val="baseline"/>
                <w:lang w:val="en-US" w:eastAsia="zh-CN" w:bidi="ar-SA"/>
              </w:rPr>
            </w:pPr>
            <w:r>
              <w:rPr>
                <w:rFonts w:hint="eastAsia" w:cs="Times New Roman"/>
                <w:b w:val="0"/>
                <w:bCs w:val="0"/>
                <w:kern w:val="0"/>
                <w:sz w:val="21"/>
                <w:szCs w:val="21"/>
                <w:vertAlign w:val="baseline"/>
                <w:lang w:val="en-US" w:eastAsia="zh-CN" w:bidi="ar-SA"/>
              </w:rPr>
              <w:t>名称</w:t>
            </w:r>
          </w:p>
        </w:tc>
        <w:tc>
          <w:tcPr>
            <w:tcW w:w="1666" w:type="pct"/>
            <w:tcBorders>
              <w:top w:val="single" w:color="auto" w:sz="12" w:space="0"/>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b w:val="0"/>
                <w:bCs w:val="0"/>
                <w:kern w:val="0"/>
                <w:sz w:val="21"/>
                <w:szCs w:val="21"/>
                <w:vertAlign w:val="baseline"/>
                <w:lang w:val="en-US" w:eastAsia="zh-CN" w:bidi="ar-SA"/>
              </w:rPr>
            </w:pPr>
            <w:r>
              <w:rPr>
                <w:rFonts w:hint="eastAsia" w:cs="Times New Roman"/>
                <w:b w:val="0"/>
                <w:bCs w:val="0"/>
                <w:kern w:val="0"/>
                <w:sz w:val="21"/>
                <w:szCs w:val="21"/>
                <w:vertAlign w:val="baseline"/>
                <w:lang w:val="en-US" w:eastAsia="zh-CN" w:bidi="ar-SA"/>
              </w:rPr>
              <w:t>总用量（t/a）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6" w:type="pct"/>
            <w:tcBorders>
              <w:top w:val="single" w:color="auto" w:sz="12" w:space="0"/>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b w:val="0"/>
                <w:bCs w:val="0"/>
                <w:kern w:val="0"/>
                <w:sz w:val="21"/>
                <w:szCs w:val="21"/>
                <w:vertAlign w:val="baseline"/>
                <w:lang w:val="en-US" w:eastAsia="zh-CN" w:bidi="ar-SA"/>
              </w:rPr>
            </w:pPr>
            <w:r>
              <w:rPr>
                <w:rFonts w:hint="eastAsia" w:cs="Times New Roman"/>
                <w:b w:val="0"/>
                <w:bCs w:val="0"/>
                <w:kern w:val="0"/>
                <w:sz w:val="21"/>
                <w:szCs w:val="21"/>
                <w:vertAlign w:val="baseline"/>
                <w:lang w:val="en-US" w:eastAsia="zh-CN" w:bidi="ar-SA"/>
              </w:rPr>
              <w:t>饲料</w:t>
            </w:r>
          </w:p>
        </w:tc>
        <w:tc>
          <w:tcPr>
            <w:tcW w:w="2566" w:type="pct"/>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b w:val="0"/>
                <w:bCs w:val="0"/>
                <w:kern w:val="0"/>
                <w:sz w:val="21"/>
                <w:szCs w:val="21"/>
                <w:vertAlign w:val="baseline"/>
                <w:lang w:val="en-US" w:eastAsia="zh-CN" w:bidi="ar-SA"/>
              </w:rPr>
            </w:pPr>
            <w:r>
              <w:rPr>
                <w:rFonts w:hint="eastAsia" w:cs="Times New Roman"/>
                <w:b w:val="0"/>
                <w:bCs w:val="0"/>
                <w:kern w:val="0"/>
                <w:sz w:val="21"/>
                <w:szCs w:val="21"/>
                <w:vertAlign w:val="baseline"/>
                <w:lang w:val="en-US" w:eastAsia="zh-CN" w:bidi="ar-SA"/>
              </w:rPr>
              <w:t>饲料</w:t>
            </w:r>
          </w:p>
        </w:tc>
        <w:tc>
          <w:tcPr>
            <w:tcW w:w="1666" w:type="pct"/>
            <w:tcBorders>
              <w:top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b w:val="0"/>
                <w:bCs w:val="0"/>
                <w:color w:val="FF0000"/>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6564.16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6" w:type="pct"/>
            <w:vMerge w:val="restar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b w:val="0"/>
                <w:bCs w:val="0"/>
                <w:kern w:val="0"/>
                <w:sz w:val="21"/>
                <w:szCs w:val="21"/>
                <w:vertAlign w:val="baseline"/>
                <w:lang w:val="en-US" w:eastAsia="zh-CN" w:bidi="ar-SA"/>
              </w:rPr>
            </w:pPr>
            <w:r>
              <w:rPr>
                <w:rFonts w:hint="eastAsia" w:cs="Times New Roman"/>
                <w:b w:val="0"/>
                <w:bCs w:val="0"/>
                <w:kern w:val="0"/>
                <w:sz w:val="21"/>
                <w:szCs w:val="21"/>
                <w:vertAlign w:val="baseline"/>
                <w:lang w:val="en-US" w:eastAsia="zh-CN" w:bidi="ar-SA"/>
              </w:rPr>
              <w:t>辅料</w:t>
            </w:r>
          </w:p>
        </w:tc>
        <w:tc>
          <w:tcPr>
            <w:tcW w:w="2566"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b w:val="0"/>
                <w:bCs w:val="0"/>
                <w:kern w:val="0"/>
                <w:sz w:val="21"/>
                <w:szCs w:val="21"/>
                <w:vertAlign w:val="baseline"/>
                <w:lang w:val="en-US" w:eastAsia="zh-CN" w:bidi="ar-SA"/>
              </w:rPr>
            </w:pPr>
            <w:r>
              <w:rPr>
                <w:rFonts w:hint="eastAsia" w:cs="Times New Roman"/>
                <w:b w:val="0"/>
                <w:bCs w:val="0"/>
                <w:kern w:val="0"/>
                <w:sz w:val="21"/>
                <w:szCs w:val="21"/>
                <w:vertAlign w:val="baseline"/>
                <w:lang w:val="en-US" w:eastAsia="zh-CN" w:bidi="ar-SA"/>
              </w:rPr>
              <w:t>兽药（盐酸林可霉素、恩诺沙星注射液等）</w:t>
            </w:r>
          </w:p>
        </w:tc>
        <w:tc>
          <w:tcPr>
            <w:tcW w:w="1666"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66" w:type="pct"/>
            <w:vMerge w:val="continue"/>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b w:val="0"/>
                <w:bCs w:val="0"/>
                <w:kern w:val="0"/>
                <w:sz w:val="21"/>
                <w:szCs w:val="21"/>
                <w:vertAlign w:val="baseline"/>
                <w:lang w:val="en-US" w:eastAsia="zh-CN" w:bidi="ar-SA"/>
              </w:rPr>
            </w:pPr>
          </w:p>
        </w:tc>
        <w:tc>
          <w:tcPr>
            <w:tcW w:w="2566"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b w:val="0"/>
                <w:bCs w:val="0"/>
                <w:kern w:val="0"/>
                <w:sz w:val="21"/>
                <w:szCs w:val="21"/>
                <w:vertAlign w:val="baseline"/>
                <w:lang w:val="en-US" w:eastAsia="zh-CN" w:bidi="ar-SA"/>
              </w:rPr>
            </w:pPr>
            <w:r>
              <w:rPr>
                <w:rFonts w:hint="eastAsia" w:cs="Times New Roman"/>
                <w:b w:val="0"/>
                <w:bCs w:val="0"/>
                <w:kern w:val="0"/>
                <w:sz w:val="21"/>
                <w:szCs w:val="21"/>
                <w:vertAlign w:val="baseline"/>
                <w:lang w:val="en-US" w:eastAsia="zh-CN" w:bidi="ar-SA"/>
              </w:rPr>
              <w:t>消毒剂（聚维酮碘。戊二醛等）</w:t>
            </w:r>
          </w:p>
        </w:tc>
        <w:tc>
          <w:tcPr>
            <w:tcW w:w="1666"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6" w:type="pct"/>
            <w:vMerge w:val="continue"/>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b w:val="0"/>
                <w:bCs w:val="0"/>
                <w:kern w:val="0"/>
                <w:sz w:val="21"/>
                <w:szCs w:val="21"/>
                <w:vertAlign w:val="baseline"/>
                <w:lang w:val="en-US" w:eastAsia="zh-CN" w:bidi="ar-SA"/>
              </w:rPr>
            </w:pPr>
          </w:p>
        </w:tc>
        <w:tc>
          <w:tcPr>
            <w:tcW w:w="2566" w:type="pct"/>
            <w:vAlign w:val="center"/>
          </w:tcPr>
          <w:p>
            <w:pPr>
              <w:pStyle w:val="866"/>
              <w:keepNext w:val="0"/>
              <w:keepLines w:val="0"/>
              <w:pageBreakBefore w:val="0"/>
              <w:widowControl w:val="0"/>
              <w:kinsoku/>
              <w:wordWrap/>
              <w:overflowPunct/>
              <w:topLinePunct w:val="0"/>
              <w:bidi w:val="0"/>
              <w:adjustRightInd/>
              <w:snapToGrid/>
              <w:spacing w:line="240" w:lineRule="auto"/>
              <w:ind w:left="0" w:leftChars="0" w:right="0" w:rightChars="0" w:firstLine="0" w:firstLineChars="0"/>
              <w:jc w:val="center"/>
              <w:textAlignment w:val="auto"/>
              <w:rPr>
                <w:rFonts w:hint="eastAsia"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sz w:val="21"/>
                <w:szCs w:val="21"/>
              </w:rPr>
              <w:t>疫苗（口蹄疫、伪狂犬、猪瘟疫苗等）</w:t>
            </w:r>
          </w:p>
        </w:tc>
        <w:tc>
          <w:tcPr>
            <w:tcW w:w="1666"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6" w:type="pct"/>
            <w:vMerge w:val="continue"/>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b w:val="0"/>
                <w:bCs w:val="0"/>
                <w:kern w:val="0"/>
                <w:sz w:val="21"/>
                <w:szCs w:val="21"/>
                <w:vertAlign w:val="baseline"/>
                <w:lang w:val="en-US" w:eastAsia="zh-CN" w:bidi="ar-SA"/>
              </w:rPr>
            </w:pPr>
          </w:p>
        </w:tc>
        <w:tc>
          <w:tcPr>
            <w:tcW w:w="2566"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b w:val="0"/>
                <w:bCs w:val="0"/>
                <w:kern w:val="0"/>
                <w:sz w:val="21"/>
                <w:szCs w:val="21"/>
                <w:vertAlign w:val="baseline"/>
                <w:lang w:val="en-US" w:eastAsia="zh-CN" w:bidi="ar-SA"/>
              </w:rPr>
            </w:pPr>
            <w:r>
              <w:rPr>
                <w:rFonts w:hint="default" w:ascii="Times New Roman" w:hAnsi="Times New Roman" w:eastAsia="宋体" w:cs="Times New Roman"/>
                <w:color w:val="auto"/>
                <w:sz w:val="21"/>
                <w:szCs w:val="21"/>
              </w:rPr>
              <w:t>除臭剂</w:t>
            </w:r>
          </w:p>
        </w:tc>
        <w:tc>
          <w:tcPr>
            <w:tcW w:w="1666"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6" w:type="pct"/>
            <w:tcBorders>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b w:val="0"/>
                <w:bCs w:val="0"/>
                <w:kern w:val="0"/>
                <w:sz w:val="21"/>
                <w:szCs w:val="21"/>
                <w:vertAlign w:val="baseline"/>
                <w:lang w:val="en-US" w:eastAsia="zh-CN" w:bidi="ar-SA"/>
              </w:rPr>
            </w:pPr>
            <w:r>
              <w:rPr>
                <w:rFonts w:hint="eastAsia" w:cs="Times New Roman"/>
                <w:b w:val="0"/>
                <w:bCs w:val="0"/>
                <w:kern w:val="0"/>
                <w:sz w:val="21"/>
                <w:szCs w:val="21"/>
                <w:vertAlign w:val="baseline"/>
                <w:lang w:val="en-US" w:eastAsia="zh-CN" w:bidi="ar-SA"/>
              </w:rPr>
              <w:t>能源</w:t>
            </w:r>
          </w:p>
        </w:tc>
        <w:tc>
          <w:tcPr>
            <w:tcW w:w="2566" w:type="pct"/>
            <w:tcBorders>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lang w:eastAsia="zh-CN"/>
              </w:rPr>
            </w:pPr>
            <w:r>
              <w:rPr>
                <w:rFonts w:hint="eastAsia" w:cs="Times New Roman"/>
                <w:color w:val="auto"/>
                <w:sz w:val="21"/>
                <w:szCs w:val="21"/>
                <w:lang w:eastAsia="zh-CN"/>
              </w:rPr>
              <w:t>新鲜水</w:t>
            </w:r>
          </w:p>
        </w:tc>
        <w:tc>
          <w:tcPr>
            <w:tcW w:w="1666" w:type="pct"/>
            <w:tcBorders>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37256.006</w:t>
            </w:r>
          </w:p>
        </w:tc>
      </w:tr>
    </w:tbl>
    <w:p>
      <w:pPr>
        <w:pStyle w:val="5"/>
        <w:ind w:firstLine="562"/>
        <w:rPr>
          <w:rFonts w:hint="eastAsia"/>
          <w:lang w:eastAsia="zh-CN"/>
        </w:rPr>
      </w:pPr>
      <w:r>
        <w:rPr>
          <w:rFonts w:hint="eastAsia"/>
          <w:lang w:eastAsia="zh-CN"/>
        </w:rPr>
        <w:t>项目主要设备、设施清单</w:t>
      </w:r>
    </w:p>
    <w:p>
      <w:pPr>
        <w:pStyle w:val="8"/>
        <w:keepNext w:val="0"/>
        <w:keepLines w:val="0"/>
        <w:pageBreakBefore w:val="0"/>
        <w:widowControl w:val="0"/>
        <w:kinsoku/>
        <w:wordWrap/>
        <w:overflowPunct/>
        <w:topLinePunct w:val="0"/>
        <w:autoSpaceDE w:val="0"/>
        <w:autoSpaceDN w:val="0"/>
        <w:bidi w:val="0"/>
        <w:adjustRightInd/>
        <w:snapToGrid/>
        <w:spacing w:line="360" w:lineRule="auto"/>
        <w:jc w:val="left"/>
        <w:textAlignment w:val="auto"/>
        <w:rPr>
          <w:rFonts w:hint="eastAsia" w:cs="Times New Roman"/>
          <w:color w:val="auto"/>
          <w:kern w:val="0"/>
          <w:sz w:val="24"/>
          <w:szCs w:val="24"/>
          <w:lang w:val="en-US" w:eastAsia="zh-CN" w:bidi="ar-SA"/>
        </w:rPr>
      </w:pPr>
      <w:r>
        <w:rPr>
          <w:rFonts w:hint="eastAsia" w:cs="Times New Roman"/>
          <w:color w:val="auto"/>
          <w:kern w:val="0"/>
          <w:sz w:val="24"/>
          <w:szCs w:val="24"/>
          <w:lang w:val="en-US" w:eastAsia="zh-CN" w:bidi="ar-SA"/>
        </w:rPr>
        <w:t xml:space="preserve">项目生产设备主要包括保育栏、育肥栏等猪舍养殖设备以及风机、空气过滤机系统等辅助设备，建设项目主要设备见表3.1-3。 </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cs="Times New Roman"/>
          <w:b/>
          <w:bCs/>
          <w:kern w:val="0"/>
          <w:sz w:val="21"/>
          <w:szCs w:val="21"/>
          <w:lang w:val="en-US" w:eastAsia="zh-CN" w:bidi="ar-SA"/>
        </w:rPr>
      </w:pPr>
      <w:r>
        <w:rPr>
          <w:rFonts w:hint="eastAsia" w:cs="Times New Roman"/>
          <w:b/>
          <w:bCs/>
          <w:kern w:val="0"/>
          <w:sz w:val="21"/>
          <w:szCs w:val="21"/>
          <w:lang w:val="en-US" w:eastAsia="zh-CN" w:bidi="ar-SA"/>
        </w:rPr>
        <w:t>表3.1-3   项目主要设备和数量</w:t>
      </w:r>
    </w:p>
    <w:tbl>
      <w:tblPr>
        <w:tblStyle w:val="6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5"/>
        <w:gridCol w:w="3074"/>
        <w:gridCol w:w="2131"/>
        <w:gridCol w:w="21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5" w:type="pct"/>
            <w:tcBorders>
              <w:top w:val="single" w:color="auto" w:sz="12" w:space="0"/>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序号</w:t>
            </w:r>
          </w:p>
        </w:tc>
        <w:tc>
          <w:tcPr>
            <w:tcW w:w="1803" w:type="pct"/>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设备名称</w:t>
            </w:r>
          </w:p>
        </w:tc>
        <w:tc>
          <w:tcPr>
            <w:tcW w:w="1250" w:type="pct"/>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单位</w:t>
            </w:r>
          </w:p>
        </w:tc>
        <w:tc>
          <w:tcPr>
            <w:tcW w:w="1250" w:type="pct"/>
            <w:tcBorders>
              <w:top w:val="single" w:color="auto" w:sz="12" w:space="0"/>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5" w:type="pct"/>
            <w:tcBorders>
              <w:top w:val="single" w:color="auto" w:sz="12" w:space="0"/>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w:t>
            </w:r>
          </w:p>
        </w:tc>
        <w:tc>
          <w:tcPr>
            <w:tcW w:w="1803" w:type="pct"/>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保育栏</w:t>
            </w:r>
          </w:p>
        </w:tc>
        <w:tc>
          <w:tcPr>
            <w:tcW w:w="1250" w:type="pct"/>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套</w:t>
            </w:r>
          </w:p>
        </w:tc>
        <w:tc>
          <w:tcPr>
            <w:tcW w:w="1250" w:type="pct"/>
            <w:tcBorders>
              <w:top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5"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w:t>
            </w:r>
          </w:p>
        </w:tc>
        <w:tc>
          <w:tcPr>
            <w:tcW w:w="1803"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育肥栏</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套</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350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95"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3</w:t>
            </w:r>
          </w:p>
        </w:tc>
        <w:tc>
          <w:tcPr>
            <w:tcW w:w="1803"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瓜分设备</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套</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5"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4</w:t>
            </w:r>
          </w:p>
        </w:tc>
        <w:tc>
          <w:tcPr>
            <w:tcW w:w="1803"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风机、水帘</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套</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5"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5</w:t>
            </w:r>
          </w:p>
        </w:tc>
        <w:tc>
          <w:tcPr>
            <w:tcW w:w="1803"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料线</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套</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5"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6</w:t>
            </w:r>
          </w:p>
        </w:tc>
        <w:tc>
          <w:tcPr>
            <w:tcW w:w="1803"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空气过滤</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套</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95"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7</w:t>
            </w:r>
          </w:p>
        </w:tc>
        <w:tc>
          <w:tcPr>
            <w:tcW w:w="1803"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漏缝地板</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m</w:t>
            </w:r>
            <w:r>
              <w:rPr>
                <w:rFonts w:hint="eastAsia" w:cs="Times New Roman"/>
                <w:kern w:val="0"/>
                <w:sz w:val="21"/>
                <w:szCs w:val="21"/>
                <w:vertAlign w:val="superscript"/>
                <w:lang w:val="en-US" w:eastAsia="zh-CN" w:bidi="ar-SA"/>
              </w:rPr>
              <w:t>2</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5000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5"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8</w:t>
            </w:r>
          </w:p>
        </w:tc>
        <w:tc>
          <w:tcPr>
            <w:tcW w:w="1803"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饲料车</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辆</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5"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9</w:t>
            </w:r>
          </w:p>
        </w:tc>
        <w:tc>
          <w:tcPr>
            <w:tcW w:w="1803"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销售中转车</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辆</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5"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10</w:t>
            </w:r>
          </w:p>
        </w:tc>
        <w:tc>
          <w:tcPr>
            <w:tcW w:w="1803"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运粪车</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辆</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95"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11</w:t>
            </w:r>
          </w:p>
        </w:tc>
        <w:tc>
          <w:tcPr>
            <w:tcW w:w="1803"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病死猪无害化处理设备（化制）</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套</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5"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12</w:t>
            </w:r>
          </w:p>
        </w:tc>
        <w:tc>
          <w:tcPr>
            <w:tcW w:w="1803"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猪粪有机肥处理设备</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套</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5"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13</w:t>
            </w:r>
          </w:p>
        </w:tc>
        <w:tc>
          <w:tcPr>
            <w:tcW w:w="1803"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高压洗栏系统</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套</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5"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14</w:t>
            </w:r>
          </w:p>
        </w:tc>
        <w:tc>
          <w:tcPr>
            <w:tcW w:w="1803"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转猪地磅</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台</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95" w:type="pct"/>
            <w:tcBorders>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15</w:t>
            </w:r>
          </w:p>
        </w:tc>
        <w:tc>
          <w:tcPr>
            <w:tcW w:w="1803" w:type="pct"/>
            <w:tcBorders>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发电机</w:t>
            </w:r>
          </w:p>
        </w:tc>
        <w:tc>
          <w:tcPr>
            <w:tcW w:w="1250" w:type="pct"/>
            <w:tcBorders>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台</w:t>
            </w:r>
          </w:p>
        </w:tc>
        <w:tc>
          <w:tcPr>
            <w:tcW w:w="1250" w:type="pct"/>
            <w:tcBorders>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2</w:t>
            </w:r>
          </w:p>
        </w:tc>
      </w:tr>
    </w:tbl>
    <w:p>
      <w:pPr>
        <w:pStyle w:val="5"/>
        <w:ind w:firstLine="562"/>
      </w:pPr>
      <w:r>
        <w:rPr>
          <w:rFonts w:hint="eastAsia"/>
          <w:lang w:eastAsia="zh-CN"/>
        </w:rPr>
        <w:t>厂区总平面布置</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本项目的总平布置根据生产、防火、防疫等生产工艺流程要求，符合防疫、环保、消防等国家现行有关规定，结合地形、地貌、气象等自然条件，全面合理地、因地制宜地布置各种生产、生活设施，做到交通联系方便，便于组织生产，生产流程顺畅，并留有发展余地，为生产和生活创造良好的条件，此外，为尽可能避免或减少各生产单位的相互干扰和影响，并尽可能减少人流和物流的交叉，各条生产线之间各自独立，自成一体，以利防疫和避免交叉感染。各栋猪舍之间有密闭的连廊，确保防疫安全。各猪舍之间进行绿化，进一步改善生产环境，提高生产效率。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color w:val="auto"/>
          <w:kern w:val="0"/>
          <w:sz w:val="24"/>
          <w:szCs w:val="24"/>
          <w:lang w:val="en-US" w:eastAsia="zh-CN" w:bidi="ar-SA"/>
        </w:rPr>
      </w:pPr>
      <w:r>
        <w:rPr>
          <w:rFonts w:hint="eastAsia" w:ascii="Times New Roman" w:hAnsi="Times New Roman" w:cs="Times New Roman"/>
          <w:color w:val="auto"/>
          <w:kern w:val="0"/>
          <w:sz w:val="24"/>
          <w:szCs w:val="24"/>
          <w:lang w:val="en-US" w:eastAsia="zh-CN" w:bidi="ar-SA"/>
        </w:rPr>
        <w:t>根据场地特点，猪舍四周用围墙隔开，生产区与办公区分开，净道与污道分开（场内运输道路、工作人员通道、赶猪道路）。外来运猪车辆、运输饲料车辆只能到办公区域，设计有专门的生猪中转站和饲料中转站，防止生产区与外来车辆、人员接触。门口设车辆消毒池，生产区人员要进行更衣淋浴消毒后、物资通过熏蒸后才进行入猪场。采用机械刮粪工艺，把粪便集中到</w:t>
      </w:r>
      <w:r>
        <w:rPr>
          <w:rFonts w:hint="eastAsia" w:cs="Times New Roman"/>
          <w:color w:val="auto"/>
          <w:kern w:val="0"/>
          <w:sz w:val="24"/>
          <w:szCs w:val="24"/>
          <w:lang w:val="en-US" w:eastAsia="zh-CN" w:bidi="ar-SA"/>
        </w:rPr>
        <w:t>异位发酵床</w:t>
      </w:r>
      <w:r>
        <w:rPr>
          <w:rFonts w:hint="eastAsia" w:ascii="Times New Roman" w:hAnsi="Times New Roman" w:cs="Times New Roman"/>
          <w:color w:val="auto"/>
          <w:kern w:val="0"/>
          <w:sz w:val="24"/>
          <w:szCs w:val="24"/>
          <w:lang w:val="en-US" w:eastAsia="zh-CN" w:bidi="ar-SA"/>
        </w:rPr>
        <w:t>处理成有机肥，废水经污水处理站处理达标后用于</w:t>
      </w:r>
      <w:r>
        <w:rPr>
          <w:rFonts w:hint="eastAsia" w:cs="Times New Roman"/>
          <w:color w:val="auto"/>
          <w:kern w:val="0"/>
          <w:sz w:val="24"/>
          <w:szCs w:val="24"/>
          <w:lang w:val="en-US" w:eastAsia="zh-CN" w:bidi="ar-SA"/>
        </w:rPr>
        <w:t>厂区农田及林业灌溉</w:t>
      </w:r>
      <w:r>
        <w:rPr>
          <w:rFonts w:hint="eastAsia" w:ascii="Times New Roman" w:hAnsi="Times New Roman" w:cs="Times New Roman"/>
          <w:color w:val="auto"/>
          <w:kern w:val="0"/>
          <w:sz w:val="24"/>
          <w:szCs w:val="24"/>
          <w:lang w:val="en-US" w:eastAsia="zh-CN" w:bidi="ar-SA"/>
        </w:rPr>
        <w:t xml:space="preserve">。 </w:t>
      </w:r>
    </w:p>
    <w:p>
      <w:pPr>
        <w:pStyle w:val="8"/>
        <w:keepNext w:val="0"/>
        <w:keepLines w:val="0"/>
        <w:pageBreakBefore w:val="0"/>
        <w:widowControl w:val="0"/>
        <w:kinsoku/>
        <w:wordWrap/>
        <w:overflowPunct/>
        <w:topLinePunct w:val="0"/>
        <w:autoSpaceDE w:val="0"/>
        <w:autoSpaceDN w:val="0"/>
        <w:bidi w:val="0"/>
        <w:adjustRightInd/>
        <w:snapToGrid/>
        <w:spacing w:line="360" w:lineRule="auto"/>
        <w:jc w:val="left"/>
        <w:textAlignment w:val="auto"/>
        <w:rPr>
          <w:rFonts w:hint="eastAsia" w:cs="Times New Roman"/>
          <w:color w:val="auto"/>
          <w:kern w:val="0"/>
          <w:sz w:val="24"/>
          <w:szCs w:val="24"/>
          <w:lang w:val="en-US" w:eastAsia="zh-CN" w:bidi="ar-SA"/>
        </w:rPr>
      </w:pPr>
      <w:r>
        <w:rPr>
          <w:rFonts w:hint="eastAsia" w:ascii="Times New Roman" w:hAnsi="Times New Roman" w:cs="Times New Roman"/>
          <w:color w:val="auto"/>
          <w:kern w:val="0"/>
          <w:sz w:val="24"/>
          <w:szCs w:val="24"/>
          <w:lang w:val="en-US" w:eastAsia="zh-CN" w:bidi="ar-SA"/>
        </w:rPr>
        <w:t>项目总平面布置图详见附图2。</w:t>
      </w:r>
    </w:p>
    <w:p>
      <w:pPr>
        <w:pStyle w:val="5"/>
        <w:ind w:firstLine="562"/>
        <w:rPr>
          <w:rFonts w:hint="eastAsia"/>
          <w:lang w:eastAsia="zh-CN"/>
        </w:rPr>
      </w:pPr>
      <w:r>
        <w:rPr>
          <w:rFonts w:hint="eastAsia"/>
          <w:lang w:eastAsia="zh-CN"/>
        </w:rPr>
        <w:t>公用工程</w:t>
      </w:r>
    </w:p>
    <w:p>
      <w:pPr>
        <w:pStyle w:val="6"/>
      </w:pPr>
      <w:r>
        <w:rPr>
          <w:rFonts w:hint="eastAsia"/>
          <w:lang w:eastAsia="zh-CN"/>
        </w:rPr>
        <w:t>给水工程</w:t>
      </w:r>
    </w:p>
    <w:p>
      <w:pPr>
        <w:pStyle w:val="8"/>
        <w:keepNext w:val="0"/>
        <w:keepLines w:val="0"/>
        <w:pageBreakBefore w:val="0"/>
        <w:widowControl w:val="0"/>
        <w:kinsoku/>
        <w:wordWrap/>
        <w:overflowPunct/>
        <w:topLinePunct w:val="0"/>
        <w:autoSpaceDE w:val="0"/>
        <w:autoSpaceDN w:val="0"/>
        <w:bidi w:val="0"/>
        <w:adjustRightInd/>
        <w:snapToGrid/>
        <w:spacing w:line="360" w:lineRule="auto"/>
        <w:jc w:val="left"/>
        <w:textAlignment w:val="auto"/>
        <w:rPr>
          <w:rFonts w:hint="default" w:cs="Times New Roman"/>
          <w:color w:val="FF0000"/>
          <w:kern w:val="0"/>
          <w:sz w:val="24"/>
          <w:szCs w:val="24"/>
          <w:lang w:val="en-US" w:eastAsia="zh-CN" w:bidi="ar-SA"/>
        </w:rPr>
      </w:pPr>
      <w:r>
        <w:rPr>
          <w:rFonts w:hint="eastAsia" w:ascii="Times New Roman" w:hAnsi="Times New Roman" w:cs="Times New Roman"/>
          <w:kern w:val="0"/>
          <w:sz w:val="24"/>
          <w:szCs w:val="24"/>
          <w:lang w:val="en-US" w:eastAsia="zh-CN" w:bidi="ar-SA"/>
        </w:rPr>
        <w:t>项目用水包括猪只饮水、猪舍冲洗用水、员工生活用水等。项目水源来源于厂区自备水井，可满足项目生产及生活用水需求</w:t>
      </w:r>
      <w:r>
        <w:rPr>
          <w:rFonts w:hint="eastAsia" w:cs="Times New Roman"/>
          <w:kern w:val="0"/>
          <w:sz w:val="24"/>
          <w:szCs w:val="24"/>
          <w:lang w:val="en-US" w:eastAsia="zh-CN" w:bidi="ar-SA"/>
        </w:rPr>
        <w:t>。</w:t>
      </w:r>
    </w:p>
    <w:p>
      <w:pPr>
        <w:pStyle w:val="8"/>
        <w:keepNext w:val="0"/>
        <w:keepLines w:val="0"/>
        <w:pageBreakBefore w:val="0"/>
        <w:widowControl w:val="0"/>
        <w:numPr>
          <w:ilvl w:val="0"/>
          <w:numId w:val="14"/>
        </w:numPr>
        <w:kinsoku/>
        <w:wordWrap/>
        <w:overflowPunct/>
        <w:topLinePunct w:val="0"/>
        <w:autoSpaceDE w:val="0"/>
        <w:autoSpaceDN w:val="0"/>
        <w:bidi w:val="0"/>
        <w:adjustRightInd/>
        <w:snapToGrid/>
        <w:spacing w:line="360" w:lineRule="auto"/>
        <w:ind w:left="0" w:firstLine="481" w:firstLineChars="200"/>
        <w:jc w:val="left"/>
        <w:textAlignment w:val="auto"/>
        <w:rPr>
          <w:rFonts w:hint="eastAsia" w:cs="Times New Roman"/>
          <w:b/>
          <w:bCs/>
          <w:kern w:val="0"/>
          <w:sz w:val="24"/>
          <w:szCs w:val="24"/>
          <w:lang w:val="en-US" w:eastAsia="zh-CN" w:bidi="ar-SA"/>
        </w:rPr>
      </w:pPr>
      <w:r>
        <w:rPr>
          <w:rFonts w:hint="eastAsia" w:cs="Times New Roman"/>
          <w:b/>
          <w:bCs/>
          <w:kern w:val="0"/>
          <w:sz w:val="24"/>
          <w:szCs w:val="24"/>
          <w:lang w:val="en-US" w:eastAsia="zh-CN" w:bidi="ar-SA"/>
        </w:rPr>
        <w:t>猪只饮用水</w:t>
      </w:r>
    </w:p>
    <w:p>
      <w:pPr>
        <w:pStyle w:val="8"/>
        <w:keepNext w:val="0"/>
        <w:keepLines w:val="0"/>
        <w:pageBreakBefore w:val="0"/>
        <w:widowControl w:val="0"/>
        <w:kinsoku/>
        <w:wordWrap/>
        <w:overflowPunct/>
        <w:topLinePunct w:val="0"/>
        <w:autoSpaceDE w:val="0"/>
        <w:autoSpaceDN w:val="0"/>
        <w:bidi w:val="0"/>
        <w:adjustRightInd/>
        <w:snapToGrid/>
        <w:spacing w:line="360" w:lineRule="auto"/>
        <w:jc w:val="left"/>
        <w:textAlignment w:val="auto"/>
        <w:rPr>
          <w:rFonts w:hint="eastAsia" w:cs="Times New Roman"/>
          <w:color w:val="auto"/>
          <w:kern w:val="0"/>
          <w:sz w:val="24"/>
          <w:szCs w:val="24"/>
          <w:lang w:val="en-US" w:eastAsia="zh-CN" w:bidi="ar-SA"/>
        </w:rPr>
      </w:pPr>
      <w:r>
        <w:rPr>
          <w:rFonts w:hint="default" w:cs="Times New Roman"/>
          <w:kern w:val="0"/>
          <w:sz w:val="24"/>
          <w:szCs w:val="24"/>
          <w:lang w:val="en-US" w:eastAsia="zh-CN" w:bidi="ar-SA"/>
        </w:rPr>
        <w:t>根据《猪的用水管理》、《规划化养猪场的科学用水管理》、《畜禽养殖场污染防治最佳可行技术指南（试行）》编制说明以及原有项目实际运行资料，项目猪只用水情况见表</w:t>
      </w:r>
      <w:r>
        <w:rPr>
          <w:rFonts w:hint="eastAsia" w:cs="Times New Roman"/>
          <w:kern w:val="0"/>
          <w:sz w:val="24"/>
          <w:szCs w:val="24"/>
          <w:lang w:val="en-US" w:eastAsia="zh-CN" w:bidi="ar-SA"/>
        </w:rPr>
        <w:t>3</w:t>
      </w:r>
      <w:r>
        <w:rPr>
          <w:rFonts w:hint="default" w:cs="Times New Roman"/>
          <w:kern w:val="0"/>
          <w:sz w:val="24"/>
          <w:szCs w:val="24"/>
          <w:lang w:val="en-US" w:eastAsia="zh-CN" w:bidi="ar-SA"/>
        </w:rPr>
        <w:t>.1-</w:t>
      </w:r>
      <w:r>
        <w:rPr>
          <w:rFonts w:hint="eastAsia" w:cs="Times New Roman"/>
          <w:kern w:val="0"/>
          <w:sz w:val="24"/>
          <w:szCs w:val="24"/>
          <w:lang w:val="en-US" w:eastAsia="zh-CN" w:bidi="ar-SA"/>
        </w:rPr>
        <w:t>4</w:t>
      </w:r>
      <w:r>
        <w:rPr>
          <w:rFonts w:hint="default" w:cs="Times New Roman"/>
          <w:kern w:val="0"/>
          <w:sz w:val="24"/>
          <w:szCs w:val="24"/>
          <w:lang w:val="en-US" w:eastAsia="zh-CN" w:bidi="ar-SA"/>
        </w:rPr>
        <w:t xml:space="preserve">。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b/>
          <w:bCs/>
          <w:kern w:val="0"/>
          <w:sz w:val="21"/>
          <w:szCs w:val="21"/>
          <w:lang w:val="en-US" w:eastAsia="zh-CN" w:bidi="ar-SA"/>
        </w:rPr>
      </w:pPr>
      <w:r>
        <w:rPr>
          <w:rFonts w:hint="eastAsia" w:cs="Times New Roman"/>
          <w:b/>
          <w:bCs/>
          <w:kern w:val="0"/>
          <w:sz w:val="21"/>
          <w:szCs w:val="21"/>
          <w:lang w:val="en-US" w:eastAsia="zh-CN" w:bidi="ar-SA"/>
        </w:rPr>
        <w:t>表3.1-4  项目主治饮用水情况一览表</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81"/>
        <w:gridCol w:w="1170"/>
        <w:gridCol w:w="1320"/>
        <w:gridCol w:w="2085"/>
        <w:gridCol w:w="1560"/>
        <w:gridCol w:w="16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Borders>
              <w:top w:val="single" w:color="auto" w:sz="12" w:space="0"/>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序号</w:t>
            </w:r>
          </w:p>
        </w:tc>
        <w:tc>
          <w:tcPr>
            <w:tcW w:w="1170"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名称</w:t>
            </w:r>
          </w:p>
        </w:tc>
        <w:tc>
          <w:tcPr>
            <w:tcW w:w="1320"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存栏量（头）</w:t>
            </w:r>
          </w:p>
        </w:tc>
        <w:tc>
          <w:tcPr>
            <w:tcW w:w="2085"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消耗定额（</w:t>
            </w:r>
            <w:r>
              <w:rPr>
                <w:rFonts w:hint="default" w:ascii="Times New Roman" w:hAnsi="Times New Roman" w:cs="Times New Roman"/>
                <w:kern w:val="0"/>
                <w:sz w:val="21"/>
                <w:szCs w:val="21"/>
                <w:vertAlign w:val="baseline"/>
                <w:lang w:val="en-US" w:eastAsia="zh-CN" w:bidi="ar-SA"/>
              </w:rPr>
              <w:t>L/d·头</w:t>
            </w:r>
            <w:r>
              <w:rPr>
                <w:rFonts w:hint="eastAsia" w:cs="Times New Roman"/>
                <w:kern w:val="0"/>
                <w:sz w:val="21"/>
                <w:szCs w:val="21"/>
                <w:vertAlign w:val="baseline"/>
                <w:lang w:val="en-US" w:eastAsia="zh-CN" w:bidi="ar-SA"/>
              </w:rPr>
              <w:t>）</w:t>
            </w:r>
          </w:p>
        </w:tc>
        <w:tc>
          <w:tcPr>
            <w:tcW w:w="1560"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日消耗量（t/d）</w:t>
            </w:r>
          </w:p>
        </w:tc>
        <w:tc>
          <w:tcPr>
            <w:tcW w:w="1606" w:type="dxa"/>
            <w:tcBorders>
              <w:top w:val="single" w:color="auto" w:sz="12" w:space="0"/>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年消耗量（t/a）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Borders>
              <w:top w:val="single" w:color="auto" w:sz="12" w:space="0"/>
              <w:left w:val="nil"/>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w:t>
            </w:r>
          </w:p>
        </w:tc>
        <w:tc>
          <w:tcPr>
            <w:tcW w:w="1170" w:type="dxa"/>
            <w:tcBorders>
              <w:top w:val="single" w:color="auto" w:sz="12"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保育猪</w:t>
            </w:r>
          </w:p>
        </w:tc>
        <w:tc>
          <w:tcPr>
            <w:tcW w:w="1320" w:type="dxa"/>
            <w:tcBorders>
              <w:top w:val="single" w:color="auto" w:sz="12"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1855</w:t>
            </w:r>
          </w:p>
        </w:tc>
        <w:tc>
          <w:tcPr>
            <w:tcW w:w="2085" w:type="dxa"/>
            <w:tcBorders>
              <w:top w:val="single" w:color="auto" w:sz="12"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w:t>
            </w:r>
          </w:p>
        </w:tc>
        <w:tc>
          <w:tcPr>
            <w:tcW w:w="1560" w:type="dxa"/>
            <w:tcBorders>
              <w:top w:val="single" w:color="auto" w:sz="12"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3.71</w:t>
            </w:r>
          </w:p>
        </w:tc>
        <w:tc>
          <w:tcPr>
            <w:tcW w:w="1606" w:type="dxa"/>
            <w:tcBorders>
              <w:top w:val="single" w:color="auto" w:sz="12" w:space="0"/>
              <w:bottom w:val="single" w:color="auto" w:sz="4"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1354.15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Borders>
              <w:top w:val="single" w:color="auto" w:sz="4" w:space="0"/>
              <w:left w:val="nil"/>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w:t>
            </w:r>
          </w:p>
        </w:tc>
        <w:tc>
          <w:tcPr>
            <w:tcW w:w="1170" w:type="dxa"/>
            <w:tcBorders>
              <w:top w:val="single" w:color="auto" w:sz="4"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育肥猪</w:t>
            </w:r>
          </w:p>
        </w:tc>
        <w:tc>
          <w:tcPr>
            <w:tcW w:w="1320" w:type="dxa"/>
            <w:tcBorders>
              <w:top w:val="single" w:color="auto" w:sz="4"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default" w:cs="Times New Roman"/>
                <w:kern w:val="0"/>
                <w:sz w:val="21"/>
                <w:szCs w:val="21"/>
                <w:vertAlign w:val="baseline"/>
                <w:lang w:val="en-US" w:eastAsia="zh-CN" w:bidi="ar-SA"/>
              </w:rPr>
              <w:t>5500</w:t>
            </w:r>
          </w:p>
        </w:tc>
        <w:tc>
          <w:tcPr>
            <w:tcW w:w="2085" w:type="dxa"/>
            <w:tcBorders>
              <w:top w:val="single" w:color="auto" w:sz="4"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10</w:t>
            </w:r>
          </w:p>
        </w:tc>
        <w:tc>
          <w:tcPr>
            <w:tcW w:w="1560" w:type="dxa"/>
            <w:tcBorders>
              <w:top w:val="single" w:color="auto" w:sz="4"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55</w:t>
            </w:r>
          </w:p>
        </w:tc>
        <w:tc>
          <w:tcPr>
            <w:tcW w:w="1606" w:type="dxa"/>
            <w:tcBorders>
              <w:top w:val="single" w:color="auto" w:sz="4" w:space="0"/>
              <w:bottom w:val="single" w:color="auto" w:sz="4"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20075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71" w:type="dxa"/>
            <w:gridSpan w:val="3"/>
            <w:tcBorders>
              <w:top w:val="single" w:color="auto" w:sz="4" w:space="0"/>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合计</w:t>
            </w:r>
          </w:p>
        </w:tc>
        <w:tc>
          <w:tcPr>
            <w:tcW w:w="2085" w:type="dxa"/>
            <w:tcBorders>
              <w:top w:val="single" w:color="auto" w:sz="4"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w:t>
            </w:r>
          </w:p>
        </w:tc>
        <w:tc>
          <w:tcPr>
            <w:tcW w:w="1560" w:type="dxa"/>
            <w:tcBorders>
              <w:top w:val="single" w:color="auto" w:sz="4"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58.71</w:t>
            </w:r>
          </w:p>
        </w:tc>
        <w:tc>
          <w:tcPr>
            <w:tcW w:w="1606" w:type="dxa"/>
            <w:tcBorders>
              <w:top w:val="single" w:color="auto" w:sz="4" w:space="0"/>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21429.15</w:t>
            </w:r>
          </w:p>
        </w:tc>
      </w:tr>
    </w:tbl>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200"/>
        <w:jc w:val="left"/>
        <w:textAlignment w:val="auto"/>
        <w:rPr>
          <w:rFonts w:hint="default" w:cs="Times New Roman"/>
          <w:kern w:val="0"/>
          <w:sz w:val="24"/>
          <w:szCs w:val="24"/>
          <w:lang w:val="en-US" w:eastAsia="zh-CN" w:bidi="ar-SA"/>
        </w:rPr>
      </w:pPr>
      <w:r>
        <w:rPr>
          <w:rFonts w:hint="default" w:cs="Times New Roman"/>
          <w:kern w:val="0"/>
          <w:sz w:val="24"/>
          <w:szCs w:val="24"/>
          <w:lang w:val="en-US" w:eastAsia="zh-CN" w:bidi="ar-SA"/>
        </w:rPr>
        <w:t>由表</w:t>
      </w:r>
      <w:r>
        <w:rPr>
          <w:rFonts w:hint="eastAsia" w:cs="Times New Roman"/>
          <w:kern w:val="0"/>
          <w:sz w:val="24"/>
          <w:szCs w:val="24"/>
          <w:lang w:val="en-US" w:eastAsia="zh-CN" w:bidi="ar-SA"/>
        </w:rPr>
        <w:t>3.1-4</w:t>
      </w:r>
      <w:r>
        <w:rPr>
          <w:rFonts w:hint="default" w:cs="Times New Roman"/>
          <w:kern w:val="0"/>
          <w:sz w:val="24"/>
          <w:szCs w:val="24"/>
          <w:lang w:val="en-US" w:eastAsia="zh-CN" w:bidi="ar-SA"/>
        </w:rPr>
        <w:t>可知，项目猪只饮用水量为</w:t>
      </w:r>
      <w:r>
        <w:rPr>
          <w:rFonts w:hint="eastAsia" w:cs="Times New Roman"/>
          <w:kern w:val="0"/>
          <w:sz w:val="24"/>
          <w:szCs w:val="24"/>
          <w:lang w:val="en-US" w:eastAsia="zh-CN" w:bidi="ar-SA"/>
        </w:rPr>
        <w:t>58.71</w:t>
      </w:r>
      <w:r>
        <w:rPr>
          <w:rFonts w:hint="default" w:cs="Times New Roman"/>
          <w:kern w:val="0"/>
          <w:sz w:val="24"/>
          <w:szCs w:val="24"/>
          <w:lang w:val="en-US" w:eastAsia="zh-CN" w:bidi="ar-SA"/>
        </w:rPr>
        <w:t>m</w:t>
      </w:r>
      <w:r>
        <w:rPr>
          <w:rFonts w:hint="default" w:cs="Times New Roman"/>
          <w:kern w:val="0"/>
          <w:sz w:val="24"/>
          <w:szCs w:val="24"/>
          <w:vertAlign w:val="superscript"/>
          <w:lang w:val="en-US" w:eastAsia="zh-CN" w:bidi="ar-SA"/>
        </w:rPr>
        <w:t>3</w:t>
      </w:r>
      <w:r>
        <w:rPr>
          <w:rFonts w:hint="default" w:cs="Times New Roman"/>
          <w:kern w:val="0"/>
          <w:sz w:val="24"/>
          <w:szCs w:val="24"/>
          <w:lang w:val="en-US" w:eastAsia="zh-CN" w:bidi="ar-SA"/>
        </w:rPr>
        <w:t>/d，即</w:t>
      </w:r>
      <w:r>
        <w:rPr>
          <w:rFonts w:hint="eastAsia" w:cs="Times New Roman"/>
          <w:kern w:val="0"/>
          <w:sz w:val="24"/>
          <w:szCs w:val="24"/>
          <w:lang w:val="en-US" w:eastAsia="zh-CN" w:bidi="ar-SA"/>
        </w:rPr>
        <w:t>21429.15</w:t>
      </w:r>
      <w:r>
        <w:rPr>
          <w:rFonts w:hint="default" w:cs="Times New Roman"/>
          <w:kern w:val="0"/>
          <w:sz w:val="24"/>
          <w:szCs w:val="24"/>
          <w:lang w:val="en-US" w:eastAsia="zh-CN" w:bidi="ar-SA"/>
        </w:rPr>
        <w:t>m</w:t>
      </w:r>
      <w:r>
        <w:rPr>
          <w:rFonts w:hint="default" w:cs="Times New Roman"/>
          <w:kern w:val="0"/>
          <w:sz w:val="24"/>
          <w:szCs w:val="24"/>
          <w:vertAlign w:val="superscript"/>
          <w:lang w:val="en-US" w:eastAsia="zh-CN" w:bidi="ar-SA"/>
        </w:rPr>
        <w:t>3</w:t>
      </w:r>
      <w:r>
        <w:rPr>
          <w:rFonts w:hint="default" w:cs="Times New Roman"/>
          <w:kern w:val="0"/>
          <w:sz w:val="24"/>
          <w:szCs w:val="24"/>
          <w:lang w:val="en-US" w:eastAsia="zh-CN" w:bidi="ar-SA"/>
        </w:rPr>
        <w:t xml:space="preserve">/a。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200"/>
        <w:jc w:val="left"/>
        <w:textAlignment w:val="auto"/>
        <w:rPr>
          <w:rFonts w:hint="default" w:cs="Times New Roman"/>
          <w:b/>
          <w:bCs/>
          <w:kern w:val="0"/>
          <w:sz w:val="24"/>
          <w:szCs w:val="24"/>
          <w:lang w:val="en-US" w:eastAsia="zh-CN" w:bidi="ar-SA"/>
        </w:rPr>
      </w:pPr>
      <w:r>
        <w:rPr>
          <w:rFonts w:hint="eastAsia" w:cs="Times New Roman"/>
          <w:b/>
          <w:bCs/>
          <w:kern w:val="0"/>
          <w:sz w:val="24"/>
          <w:szCs w:val="24"/>
          <w:lang w:val="en-US" w:eastAsia="zh-CN" w:bidi="ar-SA"/>
        </w:rPr>
        <w:t>（2）猪舍定期清洗水</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left"/>
        <w:textAlignment w:val="auto"/>
        <w:rPr>
          <w:rFonts w:hint="default" w:cs="Times New Roman"/>
          <w:kern w:val="0"/>
          <w:sz w:val="24"/>
          <w:szCs w:val="24"/>
          <w:lang w:val="en-US" w:eastAsia="zh-CN" w:bidi="ar-SA"/>
        </w:rPr>
      </w:pPr>
      <w:r>
        <w:rPr>
          <w:rFonts w:hint="default" w:cs="Times New Roman"/>
          <w:kern w:val="0"/>
          <w:sz w:val="24"/>
          <w:szCs w:val="24"/>
          <w:lang w:val="en-US" w:eastAsia="zh-CN" w:bidi="ar-SA"/>
        </w:rPr>
        <w:t xml:space="preserve">项目采用高床全漏缝地板免冲洗干清粪处理工艺，猪舍平时无需冲洗，仅在猪只转移出猪舍后才进行一次冲洗。 </w:t>
      </w:r>
    </w:p>
    <w:p>
      <w:pPr>
        <w:pStyle w:val="8"/>
        <w:keepNext w:val="0"/>
        <w:keepLines w:val="0"/>
        <w:pageBreakBefore w:val="0"/>
        <w:widowControl w:val="0"/>
        <w:kinsoku/>
        <w:wordWrap/>
        <w:overflowPunct/>
        <w:topLinePunct w:val="0"/>
        <w:autoSpaceDE w:val="0"/>
        <w:autoSpaceDN w:val="0"/>
        <w:bidi w:val="0"/>
        <w:adjustRightInd/>
        <w:snapToGrid/>
        <w:spacing w:line="360" w:lineRule="auto"/>
        <w:jc w:val="left"/>
        <w:textAlignment w:val="auto"/>
        <w:rPr>
          <w:rFonts w:hint="eastAsia" w:cs="Times New Roman"/>
          <w:color w:val="auto"/>
          <w:kern w:val="0"/>
          <w:sz w:val="24"/>
          <w:szCs w:val="24"/>
          <w:lang w:val="en-US" w:eastAsia="zh-CN" w:bidi="ar-SA"/>
        </w:rPr>
      </w:pPr>
      <w:r>
        <w:rPr>
          <w:rFonts w:hint="default" w:cs="Times New Roman"/>
          <w:kern w:val="0"/>
          <w:sz w:val="24"/>
          <w:szCs w:val="24"/>
          <w:lang w:val="en-US" w:eastAsia="zh-CN" w:bidi="ar-SA"/>
        </w:rPr>
        <w:t>保育舍平均60天冲洗一次，每年需冲洗6次；育肥舍平均110天冲洗一次，每年需冲洗3次，猪舍冲洗用水量详见表</w:t>
      </w:r>
      <w:r>
        <w:rPr>
          <w:rFonts w:hint="eastAsia" w:cs="Times New Roman"/>
          <w:kern w:val="0"/>
          <w:sz w:val="24"/>
          <w:szCs w:val="24"/>
          <w:lang w:val="en-US" w:eastAsia="zh-CN" w:bidi="ar-SA"/>
        </w:rPr>
        <w:t>3.1-5</w:t>
      </w:r>
      <w:r>
        <w:rPr>
          <w:rFonts w:hint="default" w:cs="Times New Roman"/>
          <w:kern w:val="0"/>
          <w:sz w:val="24"/>
          <w:szCs w:val="24"/>
          <w:lang w:val="en-US" w:eastAsia="zh-CN" w:bidi="ar-SA"/>
        </w:rPr>
        <w:t>。</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4"/>
          <w:szCs w:val="24"/>
          <w:lang w:val="en-US" w:eastAsia="zh-CN" w:bidi="ar-SA"/>
        </w:rPr>
      </w:pPr>
      <w:r>
        <w:rPr>
          <w:rFonts w:hint="default" w:cs="Times New Roman"/>
          <w:b/>
          <w:bCs/>
          <w:kern w:val="0"/>
          <w:sz w:val="21"/>
          <w:szCs w:val="21"/>
          <w:lang w:val="en-US" w:eastAsia="zh-CN" w:bidi="ar-SA"/>
        </w:rPr>
        <w:t>表</w:t>
      </w:r>
      <w:r>
        <w:rPr>
          <w:rFonts w:hint="eastAsia" w:cs="Times New Roman"/>
          <w:b/>
          <w:bCs/>
          <w:kern w:val="0"/>
          <w:sz w:val="21"/>
          <w:szCs w:val="21"/>
          <w:lang w:val="en-US" w:eastAsia="zh-CN" w:bidi="ar-SA"/>
        </w:rPr>
        <w:t xml:space="preserve">3.1-5  </w:t>
      </w:r>
      <w:r>
        <w:rPr>
          <w:rFonts w:hint="default" w:cs="Times New Roman"/>
          <w:b/>
          <w:bCs/>
          <w:kern w:val="0"/>
          <w:sz w:val="21"/>
          <w:szCs w:val="21"/>
          <w:lang w:val="en-US" w:eastAsia="zh-CN" w:bidi="ar-SA"/>
        </w:rPr>
        <w:t xml:space="preserve"> 项目猪舍冲洗用水情况一览表</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43"/>
        <w:gridCol w:w="952"/>
        <w:gridCol w:w="1334"/>
        <w:gridCol w:w="1167"/>
        <w:gridCol w:w="1635"/>
        <w:gridCol w:w="1505"/>
        <w:gridCol w:w="12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3" w:type="dxa"/>
            <w:tcBorders>
              <w:top w:val="single" w:color="auto" w:sz="12" w:space="0"/>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序号</w:t>
            </w:r>
          </w:p>
        </w:tc>
        <w:tc>
          <w:tcPr>
            <w:tcW w:w="952"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名称</w:t>
            </w:r>
          </w:p>
        </w:tc>
        <w:tc>
          <w:tcPr>
            <w:tcW w:w="1334"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冲洗用水定额（L/m</w:t>
            </w:r>
            <w:r>
              <w:rPr>
                <w:rFonts w:hint="default" w:ascii="Times New Roman" w:hAnsi="Times New Roman" w:cs="Times New Roman"/>
                <w:kern w:val="0"/>
                <w:sz w:val="21"/>
                <w:szCs w:val="21"/>
                <w:vertAlign w:val="superscript"/>
                <w:lang w:val="en-US" w:eastAsia="zh-CN" w:bidi="ar-SA"/>
              </w:rPr>
              <w:t>2</w:t>
            </w:r>
            <w:r>
              <w:rPr>
                <w:rFonts w:hint="default" w:ascii="Times New Roman" w:hAnsi="Times New Roman" w:cs="Times New Roman"/>
                <w:kern w:val="0"/>
                <w:sz w:val="21"/>
                <w:szCs w:val="21"/>
                <w:vertAlign w:val="baseline"/>
                <w:lang w:val="en-US" w:eastAsia="zh-CN" w:bidi="ar-SA"/>
              </w:rPr>
              <w:t>·</w:t>
            </w:r>
            <w:r>
              <w:rPr>
                <w:rFonts w:hint="eastAsia" w:cs="Times New Roman"/>
                <w:kern w:val="0"/>
                <w:sz w:val="21"/>
                <w:szCs w:val="21"/>
                <w:vertAlign w:val="baseline"/>
                <w:lang w:val="en-US" w:eastAsia="zh-CN" w:bidi="ar-SA"/>
              </w:rPr>
              <w:t>次）</w:t>
            </w:r>
          </w:p>
        </w:tc>
        <w:tc>
          <w:tcPr>
            <w:tcW w:w="1167"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冲洗频率（次/年）</w:t>
            </w:r>
          </w:p>
        </w:tc>
        <w:tc>
          <w:tcPr>
            <w:tcW w:w="1635"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冲洗面积（m</w:t>
            </w:r>
            <w:r>
              <w:rPr>
                <w:rFonts w:hint="default" w:ascii="Times New Roman" w:hAnsi="Times New Roman" w:cs="Times New Roman"/>
                <w:kern w:val="0"/>
                <w:sz w:val="21"/>
                <w:szCs w:val="21"/>
                <w:vertAlign w:val="superscript"/>
                <w:lang w:val="en-US" w:eastAsia="zh-CN" w:bidi="ar-SA"/>
              </w:rPr>
              <w:t>2</w:t>
            </w:r>
            <w:r>
              <w:rPr>
                <w:rFonts w:hint="eastAsia" w:cs="Times New Roman"/>
                <w:kern w:val="0"/>
                <w:sz w:val="21"/>
                <w:szCs w:val="21"/>
                <w:vertAlign w:val="baseline"/>
                <w:lang w:val="en-US" w:eastAsia="zh-CN" w:bidi="ar-SA"/>
              </w:rPr>
              <w:t>）</w:t>
            </w:r>
          </w:p>
        </w:tc>
        <w:tc>
          <w:tcPr>
            <w:tcW w:w="1505" w:type="dxa"/>
            <w:tcBorders>
              <w:top w:val="single" w:color="auto" w:sz="12" w:space="0"/>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冲洗用水量（m</w:t>
            </w:r>
            <w:r>
              <w:rPr>
                <w:rFonts w:hint="eastAsia" w:cs="Times New Roman"/>
                <w:kern w:val="0"/>
                <w:sz w:val="21"/>
                <w:szCs w:val="21"/>
                <w:vertAlign w:val="superscript"/>
                <w:lang w:val="en-US" w:eastAsia="zh-CN" w:bidi="ar-SA"/>
              </w:rPr>
              <w:t>3</w:t>
            </w:r>
            <w:r>
              <w:rPr>
                <w:rFonts w:hint="eastAsia" w:cs="Times New Roman"/>
                <w:kern w:val="0"/>
                <w:sz w:val="21"/>
                <w:szCs w:val="21"/>
                <w:vertAlign w:val="baseline"/>
                <w:lang w:val="en-US" w:eastAsia="zh-CN" w:bidi="ar-SA"/>
              </w:rPr>
              <w:t>/次）</w:t>
            </w:r>
          </w:p>
        </w:tc>
        <w:tc>
          <w:tcPr>
            <w:tcW w:w="1286" w:type="dxa"/>
            <w:tcBorders>
              <w:top w:val="single" w:color="auto" w:sz="12" w:space="0"/>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冲洗用水总量（m</w:t>
            </w:r>
            <w:r>
              <w:rPr>
                <w:rFonts w:hint="eastAsia" w:cs="Times New Roman"/>
                <w:kern w:val="0"/>
                <w:sz w:val="21"/>
                <w:szCs w:val="21"/>
                <w:vertAlign w:val="superscript"/>
                <w:lang w:val="en-US" w:eastAsia="zh-CN" w:bidi="ar-SA"/>
              </w:rPr>
              <w:t>3</w:t>
            </w:r>
            <w:r>
              <w:rPr>
                <w:rFonts w:hint="eastAsia" w:cs="Times New Roman"/>
                <w:kern w:val="0"/>
                <w:sz w:val="21"/>
                <w:szCs w:val="21"/>
                <w:vertAlign w:val="baseline"/>
                <w:lang w:val="en-US" w:eastAsia="zh-CN" w:bidi="ar-SA"/>
              </w:rP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3" w:type="dxa"/>
            <w:tcBorders>
              <w:top w:val="single" w:color="auto" w:sz="12" w:space="0"/>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w:t>
            </w:r>
          </w:p>
        </w:tc>
        <w:tc>
          <w:tcPr>
            <w:tcW w:w="952" w:type="dxa"/>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保育猪</w:t>
            </w:r>
          </w:p>
        </w:tc>
        <w:tc>
          <w:tcPr>
            <w:tcW w:w="1334" w:type="dxa"/>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8</w:t>
            </w:r>
          </w:p>
        </w:tc>
        <w:tc>
          <w:tcPr>
            <w:tcW w:w="1167" w:type="dxa"/>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6</w:t>
            </w:r>
          </w:p>
        </w:tc>
        <w:tc>
          <w:tcPr>
            <w:tcW w:w="1635" w:type="dxa"/>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2460</w:t>
            </w:r>
          </w:p>
        </w:tc>
        <w:tc>
          <w:tcPr>
            <w:tcW w:w="1505" w:type="dxa"/>
            <w:tcBorders>
              <w:top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19.68</w:t>
            </w:r>
          </w:p>
        </w:tc>
        <w:tc>
          <w:tcPr>
            <w:tcW w:w="1286" w:type="dxa"/>
            <w:tcBorders>
              <w:top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118.08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3" w:type="dxa"/>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w:t>
            </w:r>
          </w:p>
        </w:tc>
        <w:tc>
          <w:tcPr>
            <w:tcW w:w="952"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育肥猪</w:t>
            </w:r>
          </w:p>
        </w:tc>
        <w:tc>
          <w:tcPr>
            <w:tcW w:w="1334"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10</w:t>
            </w:r>
          </w:p>
        </w:tc>
        <w:tc>
          <w:tcPr>
            <w:tcW w:w="1167"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3</w:t>
            </w:r>
          </w:p>
        </w:tc>
        <w:tc>
          <w:tcPr>
            <w:tcW w:w="163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8659.2</w:t>
            </w:r>
          </w:p>
        </w:tc>
        <w:tc>
          <w:tcPr>
            <w:tcW w:w="1505" w:type="dxa"/>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86.592</w:t>
            </w:r>
          </w:p>
        </w:tc>
        <w:tc>
          <w:tcPr>
            <w:tcW w:w="1286" w:type="dxa"/>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259.776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5731" w:type="dxa"/>
            <w:gridSpan w:val="5"/>
            <w:tcBorders>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合计</w:t>
            </w:r>
          </w:p>
        </w:tc>
        <w:tc>
          <w:tcPr>
            <w:tcW w:w="1505" w:type="dxa"/>
            <w:tcBorders>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106.272</w:t>
            </w:r>
          </w:p>
        </w:tc>
        <w:tc>
          <w:tcPr>
            <w:tcW w:w="1286" w:type="dxa"/>
            <w:tcBorders>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370.856</w:t>
            </w:r>
          </w:p>
        </w:tc>
      </w:tr>
    </w:tbl>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left"/>
        <w:textAlignment w:val="auto"/>
        <w:rPr>
          <w:rFonts w:hint="default" w:cs="Times New Roman"/>
          <w:color w:val="auto"/>
          <w:kern w:val="0"/>
          <w:sz w:val="24"/>
          <w:szCs w:val="24"/>
          <w:lang w:val="en-US" w:eastAsia="zh-CN" w:bidi="ar-SA"/>
        </w:rPr>
      </w:pPr>
      <w:r>
        <w:rPr>
          <w:rFonts w:hint="default" w:cs="Times New Roman"/>
          <w:color w:val="auto"/>
          <w:kern w:val="0"/>
          <w:sz w:val="24"/>
          <w:szCs w:val="24"/>
          <w:lang w:val="en-US" w:eastAsia="zh-CN" w:bidi="ar-SA"/>
        </w:rPr>
        <w:t>综上所述，猪舍单次冲洗用水总量为</w:t>
      </w:r>
      <w:r>
        <w:rPr>
          <w:rFonts w:hint="eastAsia" w:cs="Times New Roman"/>
          <w:color w:val="auto"/>
          <w:kern w:val="0"/>
          <w:sz w:val="24"/>
          <w:szCs w:val="24"/>
          <w:lang w:val="en-US" w:eastAsia="zh-CN" w:bidi="ar-SA"/>
        </w:rPr>
        <w:t>106.272</w:t>
      </w:r>
      <w:r>
        <w:rPr>
          <w:rFonts w:hint="default" w:cs="Times New Roman"/>
          <w:color w:val="auto"/>
          <w:kern w:val="0"/>
          <w:sz w:val="24"/>
          <w:szCs w:val="24"/>
          <w:lang w:val="en-US" w:eastAsia="zh-CN" w:bidi="ar-SA"/>
        </w:rPr>
        <w:t>m</w:t>
      </w:r>
      <w:r>
        <w:rPr>
          <w:rFonts w:hint="default" w:cs="Times New Roman"/>
          <w:color w:val="auto"/>
          <w:kern w:val="0"/>
          <w:sz w:val="24"/>
          <w:szCs w:val="24"/>
          <w:vertAlign w:val="superscript"/>
          <w:lang w:val="en-US" w:eastAsia="zh-CN" w:bidi="ar-SA"/>
        </w:rPr>
        <w:t>3</w:t>
      </w:r>
      <w:r>
        <w:rPr>
          <w:rFonts w:hint="default" w:cs="Times New Roman"/>
          <w:color w:val="auto"/>
          <w:kern w:val="0"/>
          <w:sz w:val="24"/>
          <w:szCs w:val="24"/>
          <w:lang w:val="en-US" w:eastAsia="zh-CN" w:bidi="ar-SA"/>
        </w:rPr>
        <w:t>/</w:t>
      </w:r>
      <w:r>
        <w:rPr>
          <w:rFonts w:hint="eastAsia" w:cs="Times New Roman"/>
          <w:color w:val="auto"/>
          <w:kern w:val="0"/>
          <w:sz w:val="24"/>
          <w:szCs w:val="24"/>
          <w:lang w:val="en-US" w:eastAsia="zh-CN" w:bidi="ar-SA"/>
        </w:rPr>
        <w:t>次</w:t>
      </w:r>
      <w:r>
        <w:rPr>
          <w:rFonts w:hint="default" w:cs="Times New Roman"/>
          <w:color w:val="auto"/>
          <w:kern w:val="0"/>
          <w:sz w:val="24"/>
          <w:szCs w:val="24"/>
          <w:lang w:val="en-US" w:eastAsia="zh-CN" w:bidi="ar-SA"/>
        </w:rPr>
        <w:t>，年冲洗用水总量为370.856m</w:t>
      </w:r>
      <w:r>
        <w:rPr>
          <w:rFonts w:hint="default" w:cs="Times New Roman"/>
          <w:color w:val="auto"/>
          <w:kern w:val="0"/>
          <w:sz w:val="24"/>
          <w:szCs w:val="24"/>
          <w:vertAlign w:val="superscript"/>
          <w:lang w:val="en-US" w:eastAsia="zh-CN" w:bidi="ar-SA"/>
        </w:rPr>
        <w:t>3</w:t>
      </w:r>
      <w:r>
        <w:rPr>
          <w:rFonts w:hint="default" w:cs="Times New Roman"/>
          <w:color w:val="auto"/>
          <w:kern w:val="0"/>
          <w:sz w:val="24"/>
          <w:szCs w:val="24"/>
          <w:lang w:val="en-US" w:eastAsia="zh-CN" w:bidi="ar-SA"/>
        </w:rPr>
        <w:t xml:space="preserve">/a。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1" w:firstLineChars="200"/>
        <w:jc w:val="left"/>
        <w:textAlignment w:val="auto"/>
        <w:rPr>
          <w:rFonts w:hint="default" w:cs="Times New Roman"/>
          <w:kern w:val="0"/>
          <w:sz w:val="24"/>
          <w:szCs w:val="24"/>
          <w:lang w:val="en-US" w:eastAsia="zh-CN" w:bidi="ar-SA"/>
        </w:rPr>
      </w:pPr>
      <w:r>
        <w:rPr>
          <w:rFonts w:hint="eastAsia" w:cs="Times New Roman"/>
          <w:b/>
          <w:bCs/>
          <w:kern w:val="0"/>
          <w:sz w:val="24"/>
          <w:szCs w:val="24"/>
          <w:lang w:val="en-US" w:eastAsia="zh-CN" w:bidi="ar-SA"/>
        </w:rPr>
        <w:t>（3）夏季水帘降温用水</w:t>
      </w:r>
    </w:p>
    <w:p>
      <w:pPr>
        <w:pStyle w:val="8"/>
        <w:keepNext w:val="0"/>
        <w:keepLines w:val="0"/>
        <w:pageBreakBefore w:val="0"/>
        <w:widowControl w:val="0"/>
        <w:kinsoku/>
        <w:wordWrap/>
        <w:overflowPunct/>
        <w:topLinePunct w:val="0"/>
        <w:autoSpaceDE w:val="0"/>
        <w:autoSpaceDN w:val="0"/>
        <w:bidi w:val="0"/>
        <w:adjustRightInd/>
        <w:snapToGrid/>
        <w:spacing w:line="360" w:lineRule="auto"/>
        <w:jc w:val="left"/>
        <w:textAlignment w:val="auto"/>
        <w:rPr>
          <w:rFonts w:hint="eastAsia" w:cs="Times New Roman"/>
          <w:color w:val="auto"/>
          <w:kern w:val="0"/>
          <w:sz w:val="24"/>
          <w:szCs w:val="24"/>
          <w:lang w:val="en-US" w:eastAsia="zh-CN" w:bidi="ar-SA"/>
        </w:rPr>
      </w:pPr>
      <w:r>
        <w:rPr>
          <w:rFonts w:hint="default" w:cs="Times New Roman"/>
          <w:kern w:val="0"/>
          <w:sz w:val="24"/>
          <w:szCs w:val="24"/>
          <w:lang w:val="en-US" w:eastAsia="zh-CN" w:bidi="ar-SA"/>
        </w:rPr>
        <w:t>夏季猪舍温度较高，当温度达到33℃以上，需开启水帘降温系统，对猪舍进行降温。根据项目设计，项目水帘墙下方设置有循环水池，水帘降温用水循环回用，不外排，水帘降温用水量为</w:t>
      </w:r>
      <w:r>
        <w:rPr>
          <w:rFonts w:hint="eastAsia" w:cs="Times New Roman"/>
          <w:kern w:val="0"/>
          <w:sz w:val="24"/>
          <w:szCs w:val="24"/>
          <w:lang w:val="en-US" w:eastAsia="zh-CN" w:bidi="ar-SA"/>
        </w:rPr>
        <w:t>55</w:t>
      </w:r>
      <w:r>
        <w:rPr>
          <w:rFonts w:hint="default" w:cs="Times New Roman"/>
          <w:kern w:val="0"/>
          <w:sz w:val="24"/>
          <w:szCs w:val="24"/>
          <w:lang w:val="en-US" w:eastAsia="zh-CN" w:bidi="ar-SA"/>
        </w:rPr>
        <w:t>m</w:t>
      </w:r>
      <w:r>
        <w:rPr>
          <w:rFonts w:hint="default" w:cs="Times New Roman"/>
          <w:kern w:val="0"/>
          <w:sz w:val="24"/>
          <w:szCs w:val="24"/>
          <w:vertAlign w:val="superscript"/>
          <w:lang w:val="en-US" w:eastAsia="zh-CN" w:bidi="ar-SA"/>
        </w:rPr>
        <w:t>3</w:t>
      </w:r>
      <w:r>
        <w:rPr>
          <w:rFonts w:hint="default" w:cs="Times New Roman"/>
          <w:kern w:val="0"/>
          <w:sz w:val="24"/>
          <w:szCs w:val="24"/>
          <w:lang w:val="en-US" w:eastAsia="zh-CN" w:bidi="ar-SA"/>
        </w:rPr>
        <w:t>/d。项目水帘装置一般在夏季（3个月，按92天计）开启，则夏季水帘降温总用水量为</w:t>
      </w:r>
      <w:r>
        <w:rPr>
          <w:rFonts w:hint="eastAsia" w:cs="Times New Roman"/>
          <w:kern w:val="0"/>
          <w:sz w:val="24"/>
          <w:szCs w:val="24"/>
          <w:lang w:val="en-US" w:eastAsia="zh-CN" w:bidi="ar-SA"/>
        </w:rPr>
        <w:t>5060</w:t>
      </w:r>
      <w:r>
        <w:rPr>
          <w:rFonts w:hint="default" w:cs="Times New Roman"/>
          <w:kern w:val="0"/>
          <w:sz w:val="24"/>
          <w:szCs w:val="24"/>
          <w:lang w:val="en-US" w:eastAsia="zh-CN" w:bidi="ar-SA"/>
        </w:rPr>
        <w:t>m</w:t>
      </w:r>
      <w:r>
        <w:rPr>
          <w:rFonts w:hint="default" w:cs="Times New Roman"/>
          <w:kern w:val="0"/>
          <w:sz w:val="24"/>
          <w:szCs w:val="24"/>
          <w:vertAlign w:val="superscript"/>
          <w:lang w:val="en-US" w:eastAsia="zh-CN" w:bidi="ar-SA"/>
        </w:rPr>
        <w:t>3</w:t>
      </w:r>
      <w:r>
        <w:rPr>
          <w:rFonts w:hint="default" w:cs="Times New Roman"/>
          <w:kern w:val="0"/>
          <w:sz w:val="24"/>
          <w:szCs w:val="24"/>
          <w:lang w:val="en-US" w:eastAsia="zh-CN" w:bidi="ar-SA"/>
        </w:rPr>
        <w:t>/a。降温用水循环使用，仅需补充蒸发耗损水（损耗率10%），则水帘降温系统需补充新鲜用水量</w:t>
      </w:r>
      <w:r>
        <w:rPr>
          <w:rFonts w:hint="eastAsia" w:cs="Times New Roman"/>
          <w:kern w:val="0"/>
          <w:sz w:val="24"/>
          <w:szCs w:val="24"/>
          <w:lang w:val="en-US" w:eastAsia="zh-CN" w:bidi="ar-SA"/>
        </w:rPr>
        <w:t>506</w:t>
      </w:r>
      <w:r>
        <w:rPr>
          <w:rFonts w:hint="default" w:cs="Times New Roman"/>
          <w:kern w:val="0"/>
          <w:sz w:val="24"/>
          <w:szCs w:val="24"/>
          <w:lang w:val="en-US" w:eastAsia="zh-CN" w:bidi="ar-SA"/>
        </w:rPr>
        <w:t>m</w:t>
      </w:r>
      <w:r>
        <w:rPr>
          <w:rFonts w:hint="default" w:cs="Times New Roman"/>
          <w:kern w:val="0"/>
          <w:sz w:val="24"/>
          <w:szCs w:val="24"/>
          <w:vertAlign w:val="superscript"/>
          <w:lang w:val="en-US" w:eastAsia="zh-CN" w:bidi="ar-SA"/>
        </w:rPr>
        <w:t>3</w:t>
      </w:r>
      <w:r>
        <w:rPr>
          <w:rFonts w:hint="default" w:cs="Times New Roman"/>
          <w:kern w:val="0"/>
          <w:sz w:val="24"/>
          <w:szCs w:val="24"/>
          <w:lang w:val="en-US" w:eastAsia="zh-CN" w:bidi="ar-SA"/>
        </w:rPr>
        <w:t>/a</w:t>
      </w:r>
      <w:r>
        <w:rPr>
          <w:rFonts w:hint="default" w:cs="Times New Roman"/>
          <w:color w:val="auto"/>
          <w:kern w:val="0"/>
          <w:sz w:val="24"/>
          <w:szCs w:val="24"/>
          <w:lang w:val="en-US" w:eastAsia="zh-CN" w:bidi="ar-SA"/>
        </w:rPr>
        <w:t>。</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1" w:firstLineChars="200"/>
        <w:jc w:val="left"/>
        <w:textAlignment w:val="auto"/>
        <w:rPr>
          <w:rFonts w:hint="default" w:cs="Times New Roman"/>
          <w:b/>
          <w:bCs/>
          <w:kern w:val="0"/>
          <w:sz w:val="24"/>
          <w:szCs w:val="24"/>
          <w:lang w:val="en-US" w:eastAsia="zh-CN" w:bidi="ar-SA"/>
        </w:rPr>
      </w:pPr>
      <w:r>
        <w:rPr>
          <w:rFonts w:hint="eastAsia" w:cs="Times New Roman"/>
          <w:b/>
          <w:bCs/>
          <w:kern w:val="0"/>
          <w:sz w:val="24"/>
          <w:szCs w:val="24"/>
          <w:lang w:val="en-US" w:eastAsia="zh-CN" w:bidi="ar-SA"/>
        </w:rPr>
        <w:t>（4）员工生活用水</w:t>
      </w:r>
    </w:p>
    <w:p>
      <w:pPr>
        <w:pStyle w:val="8"/>
        <w:keepNext w:val="0"/>
        <w:keepLines w:val="0"/>
        <w:pageBreakBefore w:val="0"/>
        <w:widowControl w:val="0"/>
        <w:kinsoku/>
        <w:wordWrap/>
        <w:overflowPunct/>
        <w:topLinePunct w:val="0"/>
        <w:autoSpaceDE w:val="0"/>
        <w:autoSpaceDN w:val="0"/>
        <w:bidi w:val="0"/>
        <w:adjustRightInd/>
        <w:snapToGrid/>
        <w:spacing w:line="360" w:lineRule="auto"/>
        <w:jc w:val="left"/>
        <w:textAlignment w:val="auto"/>
        <w:rPr>
          <w:rFonts w:hint="eastAsia" w:cs="Times New Roman"/>
          <w:color w:val="auto"/>
          <w:kern w:val="0"/>
          <w:sz w:val="24"/>
          <w:szCs w:val="24"/>
          <w:lang w:val="en-US" w:eastAsia="zh-CN" w:bidi="ar-SA"/>
        </w:rPr>
      </w:pPr>
      <w:r>
        <w:rPr>
          <w:rFonts w:hint="default" w:cs="Times New Roman"/>
          <w:kern w:val="0"/>
          <w:sz w:val="24"/>
          <w:szCs w:val="24"/>
          <w:lang w:val="en-US" w:eastAsia="zh-CN" w:bidi="ar-SA"/>
        </w:rPr>
        <w:t>项目劳动定员</w:t>
      </w:r>
      <w:r>
        <w:rPr>
          <w:rFonts w:hint="eastAsia" w:cs="Times New Roman"/>
          <w:kern w:val="0"/>
          <w:sz w:val="24"/>
          <w:szCs w:val="24"/>
          <w:lang w:val="en-US" w:eastAsia="zh-CN" w:bidi="ar-SA"/>
        </w:rPr>
        <w:t>30</w:t>
      </w:r>
      <w:r>
        <w:rPr>
          <w:rFonts w:hint="default" w:cs="Times New Roman"/>
          <w:kern w:val="0"/>
          <w:sz w:val="24"/>
          <w:szCs w:val="24"/>
          <w:lang w:val="en-US" w:eastAsia="zh-CN" w:bidi="ar-SA"/>
        </w:rPr>
        <w:t>人，均在场区内住宿。项目员工日常办公生活时生活用水参考《建筑给水排水设计</w:t>
      </w:r>
      <w:r>
        <w:rPr>
          <w:rFonts w:hint="eastAsia" w:cs="Times New Roman"/>
          <w:kern w:val="0"/>
          <w:sz w:val="24"/>
          <w:szCs w:val="24"/>
          <w:lang w:val="en-US" w:eastAsia="zh-CN" w:bidi="ar-SA"/>
        </w:rPr>
        <w:t>标准</w:t>
      </w:r>
      <w:r>
        <w:rPr>
          <w:rFonts w:hint="default" w:cs="Times New Roman"/>
          <w:kern w:val="0"/>
          <w:sz w:val="24"/>
          <w:szCs w:val="24"/>
          <w:lang w:val="en-US" w:eastAsia="zh-CN" w:bidi="ar-SA"/>
        </w:rPr>
        <w:t>》（GB50015-</w:t>
      </w:r>
      <w:r>
        <w:rPr>
          <w:rFonts w:hint="eastAsia" w:cs="Times New Roman"/>
          <w:kern w:val="0"/>
          <w:sz w:val="24"/>
          <w:szCs w:val="24"/>
          <w:lang w:val="en-US" w:eastAsia="zh-CN" w:bidi="ar-SA"/>
        </w:rPr>
        <w:t>2019</w:t>
      </w:r>
      <w:r>
        <w:rPr>
          <w:rFonts w:hint="default" w:cs="Times New Roman"/>
          <w:kern w:val="0"/>
          <w:sz w:val="24"/>
          <w:szCs w:val="24"/>
          <w:lang w:val="en-US" w:eastAsia="zh-CN" w:bidi="ar-SA"/>
        </w:rPr>
        <w:t>）中员工用水定额，</w:t>
      </w:r>
      <w:r>
        <w:rPr>
          <w:rFonts w:hint="eastAsia" w:cs="Times New Roman"/>
          <w:kern w:val="0"/>
          <w:sz w:val="24"/>
          <w:szCs w:val="24"/>
          <w:lang w:val="en-US" w:eastAsia="zh-CN" w:bidi="ar-SA"/>
        </w:rPr>
        <w:t>猪场</w:t>
      </w:r>
      <w:r>
        <w:rPr>
          <w:rFonts w:hint="default" w:cs="Times New Roman"/>
          <w:kern w:val="0"/>
          <w:sz w:val="24"/>
          <w:szCs w:val="24"/>
          <w:lang w:val="en-US" w:eastAsia="zh-CN" w:bidi="ar-SA"/>
        </w:rPr>
        <w:t>员工按0.2m</w:t>
      </w:r>
      <w:r>
        <w:rPr>
          <w:rFonts w:hint="default" w:cs="Times New Roman"/>
          <w:kern w:val="0"/>
          <w:sz w:val="24"/>
          <w:szCs w:val="24"/>
          <w:vertAlign w:val="superscript"/>
          <w:lang w:val="en-US" w:eastAsia="zh-CN" w:bidi="ar-SA"/>
        </w:rPr>
        <w:t>3</w:t>
      </w:r>
      <w:r>
        <w:rPr>
          <w:rFonts w:hint="default" w:cs="Times New Roman"/>
          <w:kern w:val="0"/>
          <w:sz w:val="24"/>
          <w:szCs w:val="24"/>
          <w:lang w:val="en-US" w:eastAsia="zh-CN" w:bidi="ar-SA"/>
        </w:rPr>
        <w:t>/人·d计，项目年运行365d，项目员工生活用水量为</w:t>
      </w:r>
      <w:r>
        <w:rPr>
          <w:rFonts w:hint="eastAsia" w:cs="Times New Roman"/>
          <w:kern w:val="0"/>
          <w:sz w:val="24"/>
          <w:szCs w:val="24"/>
          <w:lang w:val="en-US" w:eastAsia="zh-CN" w:bidi="ar-SA"/>
        </w:rPr>
        <w:t>6</w:t>
      </w:r>
      <w:r>
        <w:rPr>
          <w:rFonts w:hint="default" w:cs="Times New Roman"/>
          <w:kern w:val="0"/>
          <w:sz w:val="24"/>
          <w:szCs w:val="24"/>
          <w:lang w:val="en-US" w:eastAsia="zh-CN" w:bidi="ar-SA"/>
        </w:rPr>
        <w:t>m</w:t>
      </w:r>
      <w:r>
        <w:rPr>
          <w:rFonts w:hint="default" w:cs="Times New Roman"/>
          <w:kern w:val="0"/>
          <w:sz w:val="24"/>
          <w:szCs w:val="24"/>
          <w:vertAlign w:val="superscript"/>
          <w:lang w:val="en-US" w:eastAsia="zh-CN" w:bidi="ar-SA"/>
        </w:rPr>
        <w:t>3</w:t>
      </w:r>
      <w:r>
        <w:rPr>
          <w:rFonts w:hint="default" w:cs="Times New Roman"/>
          <w:kern w:val="0"/>
          <w:sz w:val="24"/>
          <w:szCs w:val="24"/>
          <w:lang w:val="en-US" w:eastAsia="zh-CN" w:bidi="ar-SA"/>
        </w:rPr>
        <w:t>/d，即</w:t>
      </w:r>
      <w:r>
        <w:rPr>
          <w:rFonts w:hint="eastAsia" w:cs="Times New Roman"/>
          <w:kern w:val="0"/>
          <w:sz w:val="24"/>
          <w:szCs w:val="24"/>
          <w:lang w:val="en-US" w:eastAsia="zh-CN" w:bidi="ar-SA"/>
        </w:rPr>
        <w:t>2190</w:t>
      </w:r>
      <w:r>
        <w:rPr>
          <w:rFonts w:hint="default" w:cs="Times New Roman"/>
          <w:kern w:val="0"/>
          <w:sz w:val="24"/>
          <w:szCs w:val="24"/>
          <w:lang w:val="en-US" w:eastAsia="zh-CN" w:bidi="ar-SA"/>
        </w:rPr>
        <w:t>m</w:t>
      </w:r>
      <w:r>
        <w:rPr>
          <w:rFonts w:hint="default" w:cs="Times New Roman"/>
          <w:kern w:val="0"/>
          <w:sz w:val="24"/>
          <w:szCs w:val="24"/>
          <w:vertAlign w:val="superscript"/>
          <w:lang w:val="en-US" w:eastAsia="zh-CN" w:bidi="ar-SA"/>
        </w:rPr>
        <w:t>3</w:t>
      </w:r>
      <w:r>
        <w:rPr>
          <w:rFonts w:hint="default" w:cs="Times New Roman"/>
          <w:kern w:val="0"/>
          <w:sz w:val="24"/>
          <w:szCs w:val="24"/>
          <w:lang w:val="en-US" w:eastAsia="zh-CN" w:bidi="ar-SA"/>
        </w:rPr>
        <w:t>/a</w:t>
      </w:r>
      <w:r>
        <w:rPr>
          <w:rFonts w:hint="default" w:cs="Times New Roman"/>
          <w:color w:val="auto"/>
          <w:kern w:val="0"/>
          <w:sz w:val="24"/>
          <w:szCs w:val="24"/>
          <w:lang w:val="en-US" w:eastAsia="zh-CN" w:bidi="ar-SA"/>
        </w:rPr>
        <w:t>。</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1" w:firstLineChars="200"/>
        <w:jc w:val="left"/>
        <w:textAlignment w:val="auto"/>
        <w:rPr>
          <w:rFonts w:hint="default" w:cs="Times New Roman"/>
          <w:kern w:val="0"/>
          <w:sz w:val="24"/>
          <w:szCs w:val="24"/>
          <w:lang w:val="en-US" w:eastAsia="zh-CN" w:bidi="ar-SA"/>
        </w:rPr>
      </w:pPr>
      <w:r>
        <w:rPr>
          <w:rFonts w:hint="eastAsia" w:cs="Times New Roman"/>
          <w:b/>
          <w:bCs/>
          <w:kern w:val="0"/>
          <w:sz w:val="24"/>
          <w:szCs w:val="24"/>
          <w:lang w:val="en-US" w:eastAsia="zh-CN" w:bidi="ar-SA"/>
        </w:rPr>
        <w:t>（5）车辆冲洗用水</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left"/>
        <w:textAlignment w:val="auto"/>
        <w:rPr>
          <w:rFonts w:hint="default" w:cs="Times New Roman"/>
          <w:kern w:val="0"/>
          <w:sz w:val="24"/>
          <w:szCs w:val="24"/>
          <w:lang w:val="en-US" w:eastAsia="zh-CN" w:bidi="ar-SA"/>
        </w:rPr>
      </w:pPr>
      <w:r>
        <w:rPr>
          <w:rFonts w:hint="default" w:cs="Times New Roman"/>
          <w:kern w:val="0"/>
          <w:sz w:val="24"/>
          <w:szCs w:val="24"/>
          <w:lang w:val="en-US" w:eastAsia="zh-CN" w:bidi="ar-SA"/>
        </w:rPr>
        <w:t>拟建项目同时生产区出入口和办公生活区出入口均设置消毒池对进出人员和车辆进行消毒。拟建项目设置1个车辆清洁水池，车辆清洁水每天更换一次。清洁池容积</w:t>
      </w:r>
      <w:r>
        <w:rPr>
          <w:rFonts w:hint="eastAsia" w:cs="Times New Roman"/>
          <w:kern w:val="0"/>
          <w:sz w:val="24"/>
          <w:szCs w:val="24"/>
          <w:lang w:val="en-US" w:eastAsia="zh-CN" w:bidi="ar-SA"/>
        </w:rPr>
        <w:t>约4</w:t>
      </w:r>
      <w:r>
        <w:rPr>
          <w:rFonts w:hint="default" w:cs="Times New Roman"/>
          <w:kern w:val="0"/>
          <w:sz w:val="24"/>
          <w:szCs w:val="24"/>
          <w:lang w:val="en-US" w:eastAsia="zh-CN" w:bidi="ar-SA"/>
        </w:rPr>
        <w:t>m</w:t>
      </w:r>
      <w:r>
        <w:rPr>
          <w:rFonts w:hint="default" w:cs="Times New Roman"/>
          <w:kern w:val="0"/>
          <w:sz w:val="24"/>
          <w:szCs w:val="24"/>
          <w:vertAlign w:val="superscript"/>
          <w:lang w:val="en-US" w:eastAsia="zh-CN" w:bidi="ar-SA"/>
        </w:rPr>
        <w:t>3</w:t>
      </w:r>
      <w:r>
        <w:rPr>
          <w:rFonts w:hint="default" w:cs="Times New Roman"/>
          <w:kern w:val="0"/>
          <w:sz w:val="24"/>
          <w:szCs w:val="24"/>
          <w:lang w:val="en-US" w:eastAsia="zh-CN" w:bidi="ar-SA"/>
        </w:rPr>
        <w:t>，车辆清洁用水为4m</w:t>
      </w:r>
      <w:r>
        <w:rPr>
          <w:rFonts w:hint="default" w:cs="Times New Roman"/>
          <w:kern w:val="0"/>
          <w:sz w:val="24"/>
          <w:szCs w:val="24"/>
          <w:vertAlign w:val="superscript"/>
          <w:lang w:val="en-US" w:eastAsia="zh-CN" w:bidi="ar-SA"/>
        </w:rPr>
        <w:t>3</w:t>
      </w:r>
      <w:r>
        <w:rPr>
          <w:rFonts w:hint="default" w:cs="Times New Roman"/>
          <w:kern w:val="0"/>
          <w:sz w:val="24"/>
          <w:szCs w:val="24"/>
          <w:lang w:val="en-US" w:eastAsia="zh-CN" w:bidi="ar-SA"/>
        </w:rPr>
        <w:t>/d，即1460m</w:t>
      </w:r>
      <w:r>
        <w:rPr>
          <w:rFonts w:hint="default" w:cs="Times New Roman"/>
          <w:kern w:val="0"/>
          <w:sz w:val="24"/>
          <w:szCs w:val="24"/>
          <w:vertAlign w:val="superscript"/>
          <w:lang w:val="en-US" w:eastAsia="zh-CN" w:bidi="ar-SA"/>
        </w:rPr>
        <w:t>3</w:t>
      </w:r>
      <w:r>
        <w:rPr>
          <w:rFonts w:hint="default" w:cs="Times New Roman"/>
          <w:kern w:val="0"/>
          <w:sz w:val="24"/>
          <w:szCs w:val="24"/>
          <w:lang w:val="en-US" w:eastAsia="zh-CN" w:bidi="ar-SA"/>
        </w:rPr>
        <w:t xml:space="preserve">/a。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1" w:firstLineChars="200"/>
        <w:jc w:val="left"/>
        <w:textAlignment w:val="auto"/>
        <w:rPr>
          <w:rFonts w:hint="default" w:cs="Times New Roman"/>
          <w:b/>
          <w:bCs/>
          <w:kern w:val="0"/>
          <w:sz w:val="24"/>
          <w:szCs w:val="24"/>
          <w:lang w:val="en-US" w:eastAsia="zh-CN" w:bidi="ar-SA"/>
        </w:rPr>
      </w:pPr>
      <w:r>
        <w:rPr>
          <w:rFonts w:hint="eastAsia" w:cs="Times New Roman"/>
          <w:b/>
          <w:bCs/>
          <w:kern w:val="0"/>
          <w:sz w:val="24"/>
          <w:szCs w:val="24"/>
          <w:lang w:val="en-US" w:eastAsia="zh-CN" w:bidi="ar-SA"/>
        </w:rPr>
        <w:t>（6）消毒用水</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left"/>
        <w:textAlignment w:val="auto"/>
        <w:rPr>
          <w:rFonts w:hint="default" w:cs="Times New Roman"/>
          <w:kern w:val="0"/>
          <w:sz w:val="24"/>
          <w:szCs w:val="24"/>
          <w:lang w:val="en-US" w:eastAsia="zh-CN" w:bidi="ar-SA"/>
        </w:rPr>
      </w:pPr>
      <w:r>
        <w:rPr>
          <w:rFonts w:hint="default" w:cs="Times New Roman"/>
          <w:kern w:val="0"/>
          <w:sz w:val="24"/>
          <w:szCs w:val="24"/>
          <w:lang w:val="en-US" w:eastAsia="zh-CN" w:bidi="ar-SA"/>
        </w:rPr>
        <w:t>为营造安全卫生的养殖环境，减少动物疫病的发生，保证产品质量，项目定期对生产区道路进行消毒。项目消毒池无外排废水，只定期加入清水和药剂，项目消毒剂年用量约</w:t>
      </w:r>
      <w:r>
        <w:rPr>
          <w:rFonts w:hint="eastAsia" w:cs="Times New Roman"/>
          <w:kern w:val="0"/>
          <w:sz w:val="24"/>
          <w:szCs w:val="24"/>
          <w:lang w:val="en-US" w:eastAsia="zh-CN" w:bidi="ar-SA"/>
        </w:rPr>
        <w:t>0.5</w:t>
      </w:r>
      <w:r>
        <w:rPr>
          <w:rFonts w:hint="default" w:cs="Times New Roman"/>
          <w:kern w:val="0"/>
          <w:sz w:val="24"/>
          <w:szCs w:val="24"/>
          <w:lang w:val="en-US" w:eastAsia="zh-CN" w:bidi="ar-SA"/>
        </w:rPr>
        <w:t>t，以1</w:t>
      </w:r>
      <w:r>
        <w:rPr>
          <w:rFonts w:hint="default" w:ascii="Times New Roman" w:hAnsi="Times New Roman" w:cs="Times New Roman"/>
          <w:kern w:val="0"/>
          <w:sz w:val="24"/>
          <w:szCs w:val="24"/>
          <w:lang w:val="en-US" w:eastAsia="zh-CN" w:bidi="ar-SA"/>
        </w:rPr>
        <w:t>：</w:t>
      </w:r>
      <w:r>
        <w:rPr>
          <w:rFonts w:hint="default" w:cs="Times New Roman"/>
          <w:kern w:val="0"/>
          <w:sz w:val="24"/>
          <w:szCs w:val="24"/>
          <w:lang w:val="en-US" w:eastAsia="zh-CN" w:bidi="ar-SA"/>
        </w:rPr>
        <w:t>1000的稀释比例进行稀释，则需加入的水量为</w:t>
      </w:r>
      <w:r>
        <w:rPr>
          <w:rFonts w:hint="eastAsia" w:cs="Times New Roman"/>
          <w:kern w:val="0"/>
          <w:sz w:val="24"/>
          <w:szCs w:val="24"/>
          <w:lang w:val="en-US" w:eastAsia="zh-CN" w:bidi="ar-SA"/>
        </w:rPr>
        <w:t>5</w:t>
      </w:r>
      <w:r>
        <w:rPr>
          <w:rFonts w:hint="default" w:cs="Times New Roman"/>
          <w:kern w:val="0"/>
          <w:sz w:val="24"/>
          <w:szCs w:val="24"/>
          <w:lang w:val="en-US" w:eastAsia="zh-CN" w:bidi="ar-SA"/>
        </w:rPr>
        <w:t>00m</w:t>
      </w:r>
      <w:r>
        <w:rPr>
          <w:rFonts w:hint="default" w:cs="Times New Roman"/>
          <w:kern w:val="0"/>
          <w:sz w:val="24"/>
          <w:szCs w:val="24"/>
          <w:vertAlign w:val="superscript"/>
          <w:lang w:val="en-US" w:eastAsia="zh-CN" w:bidi="ar-SA"/>
        </w:rPr>
        <w:t>3</w:t>
      </w:r>
      <w:r>
        <w:rPr>
          <w:rFonts w:hint="default" w:cs="Times New Roman"/>
          <w:kern w:val="0"/>
          <w:sz w:val="24"/>
          <w:szCs w:val="24"/>
          <w:lang w:val="en-US" w:eastAsia="zh-CN" w:bidi="ar-SA"/>
        </w:rPr>
        <w:t xml:space="preserve">/a，全部蒸发损耗。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1" w:firstLineChars="200"/>
        <w:jc w:val="left"/>
        <w:textAlignment w:val="auto"/>
        <w:rPr>
          <w:rFonts w:hint="default" w:cs="Times New Roman"/>
          <w:b/>
          <w:bCs/>
          <w:kern w:val="0"/>
          <w:sz w:val="24"/>
          <w:szCs w:val="24"/>
          <w:lang w:val="en-US" w:eastAsia="zh-CN" w:bidi="ar-SA"/>
        </w:rPr>
      </w:pPr>
      <w:r>
        <w:rPr>
          <w:rFonts w:hint="eastAsia" w:cs="Times New Roman"/>
          <w:b/>
          <w:bCs/>
          <w:kern w:val="0"/>
          <w:sz w:val="24"/>
          <w:szCs w:val="24"/>
          <w:lang w:val="en-US" w:eastAsia="zh-CN" w:bidi="ar-SA"/>
        </w:rPr>
        <w:t>（7）绿化用水</w:t>
      </w:r>
    </w:p>
    <w:p>
      <w:pPr>
        <w:adjustRightInd w:val="0"/>
        <w:snapToGrid w:val="0"/>
        <w:spacing w:line="500" w:lineRule="exact"/>
        <w:ind w:firstLine="480" w:firstLineChars="200"/>
        <w:rPr>
          <w:rFonts w:hint="eastAsia" w:hAnsi="宋体"/>
          <w:sz w:val="24"/>
        </w:rPr>
      </w:pPr>
      <w:r>
        <w:rPr>
          <w:rFonts w:hint="eastAsia" w:hAnsi="宋体"/>
          <w:sz w:val="24"/>
        </w:rPr>
        <w:t>项目绿化面积为</w:t>
      </w:r>
      <w:r>
        <w:rPr>
          <w:rFonts w:hint="eastAsia" w:hAnsi="宋体"/>
          <w:sz w:val="24"/>
          <w:lang w:val="en-US" w:eastAsia="zh-CN"/>
        </w:rPr>
        <w:t>54000</w:t>
      </w:r>
      <w:r>
        <w:rPr>
          <w:rFonts w:hint="eastAsia" w:hAnsi="宋体"/>
          <w:sz w:val="24"/>
        </w:rPr>
        <w:t>m</w:t>
      </w:r>
      <w:r>
        <w:rPr>
          <w:rFonts w:hint="eastAsia" w:hAnsi="宋体"/>
          <w:sz w:val="24"/>
          <w:vertAlign w:val="superscript"/>
        </w:rPr>
        <w:t>2</w:t>
      </w:r>
      <w:r>
        <w:rPr>
          <w:rFonts w:hint="eastAsia" w:hAnsi="宋体"/>
          <w:sz w:val="24"/>
        </w:rPr>
        <w:t>，根据《广东省用水定额》</w:t>
      </w:r>
      <w:r>
        <w:rPr>
          <w:rFonts w:hint="eastAsia" w:hAnsi="宋体"/>
          <w:sz w:val="24"/>
          <w:lang w:eastAsia="zh-CN"/>
        </w:rPr>
        <w:t>（DB44/T 1461—2014）</w:t>
      </w:r>
      <w:r>
        <w:rPr>
          <w:rFonts w:hint="eastAsia" w:hAnsi="宋体"/>
          <w:sz w:val="24"/>
        </w:rPr>
        <w:t>，绿化浇洒用水定额取0.00</w:t>
      </w:r>
      <w:r>
        <w:rPr>
          <w:rFonts w:hint="eastAsia" w:hAnsi="宋体"/>
          <w:sz w:val="24"/>
          <w:lang w:val="en-US" w:eastAsia="zh-CN"/>
        </w:rPr>
        <w:t>11</w:t>
      </w:r>
      <w:r>
        <w:rPr>
          <w:rFonts w:hint="eastAsia" w:hAnsi="宋体"/>
          <w:sz w:val="24"/>
        </w:rPr>
        <w:t>m</w:t>
      </w:r>
      <w:r>
        <w:rPr>
          <w:rFonts w:hint="eastAsia" w:hAnsi="宋体"/>
          <w:sz w:val="24"/>
          <w:vertAlign w:val="superscript"/>
        </w:rPr>
        <w:t>3</w:t>
      </w:r>
      <w:r>
        <w:rPr>
          <w:rFonts w:hint="eastAsia" w:hAnsi="宋体"/>
          <w:sz w:val="24"/>
        </w:rPr>
        <w:t>/m</w:t>
      </w:r>
      <w:r>
        <w:rPr>
          <w:rFonts w:hint="eastAsia" w:hAnsi="宋体"/>
          <w:sz w:val="24"/>
          <w:vertAlign w:val="superscript"/>
        </w:rPr>
        <w:t>2</w:t>
      </w:r>
      <w:r>
        <w:rPr>
          <w:rFonts w:hint="eastAsia" w:hAnsi="宋体"/>
          <w:sz w:val="24"/>
        </w:rPr>
        <w:t>·d，项目绿化天数为</w:t>
      </w:r>
      <w:r>
        <w:rPr>
          <w:rFonts w:hint="eastAsia" w:hAnsi="宋体"/>
          <w:sz w:val="24"/>
          <w:lang w:val="en-US" w:eastAsia="zh-CN"/>
        </w:rPr>
        <w:t>10</w:t>
      </w:r>
      <w:r>
        <w:rPr>
          <w:rFonts w:hint="eastAsia" w:hAnsi="宋体"/>
          <w:sz w:val="24"/>
        </w:rPr>
        <w:t>0d/a，则项目绿化用水为</w:t>
      </w:r>
      <w:r>
        <w:rPr>
          <w:rFonts w:hint="eastAsia" w:hAnsi="宋体"/>
          <w:sz w:val="24"/>
          <w:lang w:val="en-US" w:eastAsia="zh-CN"/>
        </w:rPr>
        <w:t>59.4</w:t>
      </w:r>
      <w:r>
        <w:rPr>
          <w:bCs/>
          <w:sz w:val="24"/>
        </w:rPr>
        <w:t>m</w:t>
      </w:r>
      <w:r>
        <w:rPr>
          <w:bCs/>
          <w:sz w:val="24"/>
          <w:vertAlign w:val="superscript"/>
        </w:rPr>
        <w:t>3</w:t>
      </w:r>
      <w:r>
        <w:rPr>
          <w:bCs/>
          <w:sz w:val="24"/>
        </w:rPr>
        <w:t>/d</w:t>
      </w:r>
      <w:r>
        <w:rPr>
          <w:rFonts w:hint="eastAsia"/>
          <w:bCs/>
          <w:sz w:val="24"/>
        </w:rPr>
        <w:t>（</w:t>
      </w:r>
      <w:r>
        <w:rPr>
          <w:rFonts w:hint="eastAsia" w:hAnsi="宋体"/>
          <w:sz w:val="24"/>
          <w:lang w:val="en-US" w:eastAsia="zh-CN"/>
        </w:rPr>
        <w:t>5940</w:t>
      </w:r>
      <w:r>
        <w:rPr>
          <w:rFonts w:hint="eastAsia" w:hAnsi="宋体"/>
          <w:sz w:val="24"/>
        </w:rPr>
        <w:t>m</w:t>
      </w:r>
      <w:r>
        <w:rPr>
          <w:rFonts w:hint="eastAsia" w:hAnsi="宋体"/>
          <w:sz w:val="24"/>
          <w:vertAlign w:val="superscript"/>
        </w:rPr>
        <w:t>3</w:t>
      </w:r>
      <w:r>
        <w:rPr>
          <w:rFonts w:hint="eastAsia" w:hAnsi="宋体"/>
          <w:sz w:val="24"/>
        </w:rPr>
        <w:t>/a），全部蒸发，无外排。</w:t>
      </w:r>
    </w:p>
    <w:p>
      <w:pPr>
        <w:pStyle w:val="6"/>
      </w:pPr>
      <w:r>
        <w:rPr>
          <w:rFonts w:hint="eastAsia"/>
          <w:lang w:eastAsia="zh-CN"/>
        </w:rPr>
        <w:t>排水工程</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left"/>
        <w:textAlignment w:val="auto"/>
        <w:rPr>
          <w:rFonts w:hint="default" w:cs="Times New Roman"/>
          <w:kern w:val="0"/>
          <w:sz w:val="24"/>
          <w:szCs w:val="24"/>
          <w:lang w:val="en-US" w:eastAsia="zh-CN" w:bidi="ar-SA"/>
        </w:rPr>
      </w:pPr>
      <w:r>
        <w:rPr>
          <w:rFonts w:hint="default" w:cs="Times New Roman"/>
          <w:kern w:val="0"/>
          <w:sz w:val="24"/>
          <w:szCs w:val="24"/>
          <w:lang w:val="en-US" w:eastAsia="zh-CN" w:bidi="ar-SA"/>
        </w:rPr>
        <w:t>本项目采取雨污分流方式，雨水收集管网与污水收集管网相互独立，项目场区内各建筑四周及道路两侧均设置雨水排水沟。初期雨水经截流后进入雨水收集池，初期雨水经</w:t>
      </w:r>
      <w:r>
        <w:rPr>
          <w:rFonts w:hint="eastAsia" w:cs="Times New Roman"/>
          <w:kern w:val="0"/>
          <w:sz w:val="24"/>
          <w:szCs w:val="24"/>
          <w:lang w:val="en-US" w:eastAsia="zh-CN" w:bidi="ar-SA"/>
        </w:rPr>
        <w:t>沉淀池收集沉淀后</w:t>
      </w:r>
      <w:r>
        <w:rPr>
          <w:rFonts w:hint="default" w:cs="Times New Roman"/>
          <w:kern w:val="0"/>
          <w:sz w:val="24"/>
          <w:szCs w:val="24"/>
          <w:lang w:val="en-US" w:eastAsia="zh-CN" w:bidi="ar-SA"/>
        </w:rPr>
        <w:t xml:space="preserve">用于厂区内植被浇灌，后期雨水则直接排入周边地表自然消纳。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left"/>
        <w:textAlignment w:val="auto"/>
        <w:rPr>
          <w:rFonts w:hint="default" w:cs="Times New Roman"/>
          <w:color w:val="auto"/>
          <w:kern w:val="0"/>
          <w:sz w:val="24"/>
          <w:szCs w:val="24"/>
          <w:lang w:val="en-US" w:eastAsia="zh-CN" w:bidi="ar-SA"/>
        </w:rPr>
      </w:pPr>
      <w:r>
        <w:rPr>
          <w:rFonts w:hint="eastAsia" w:cs="Times New Roman"/>
          <w:kern w:val="0"/>
          <w:sz w:val="24"/>
          <w:szCs w:val="24"/>
          <w:lang w:val="en-US" w:eastAsia="zh-CN" w:bidi="ar-SA"/>
        </w:rPr>
        <w:t>项目场地内的各种猪舍均接有排污水管和排粪管，本项目产生的生产废水与猪舍粪便一起经异位发酵床工艺处理后制成有机肥料外售，不外排。本项目产生的生活污水经地埋式一体化污水处理设施处理达到《畜禽养殖业污染物排放标准》（DB44/613-2009）中集约化畜禽养殖业水污染物最高允许日排放浓度和《农田灌溉水质标准》</w:t>
      </w:r>
      <w:r>
        <w:rPr>
          <w:rFonts w:hint="eastAsia" w:cs="Times New Roman"/>
          <w:color w:val="auto"/>
          <w:kern w:val="0"/>
          <w:sz w:val="24"/>
          <w:szCs w:val="24"/>
          <w:lang w:val="en-US" w:eastAsia="zh-CN" w:bidi="ar-SA"/>
        </w:rPr>
        <w:t>（GB5084-2005）旱作水质标准严者后</w:t>
      </w:r>
      <w:r>
        <w:rPr>
          <w:rFonts w:hint="eastAsia"/>
          <w:color w:val="auto"/>
        </w:rPr>
        <w:t>用于附近林业和农田的灌溉</w:t>
      </w:r>
      <w:r>
        <w:rPr>
          <w:rFonts w:hint="eastAsia" w:cs="Times New Roman"/>
          <w:color w:val="auto"/>
          <w:kern w:val="0"/>
          <w:sz w:val="24"/>
          <w:szCs w:val="24"/>
          <w:lang w:val="en-US" w:eastAsia="zh-CN" w:bidi="ar-SA"/>
        </w:rPr>
        <w:t>，不外排。</w:t>
      </w:r>
    </w:p>
    <w:p>
      <w:pPr>
        <w:pStyle w:val="6"/>
      </w:pPr>
      <w:r>
        <w:rPr>
          <w:rFonts w:hint="eastAsia"/>
          <w:lang w:eastAsia="zh-CN"/>
        </w:rPr>
        <w:t>供电工程</w:t>
      </w:r>
    </w:p>
    <w:p>
      <w:pPr>
        <w:pStyle w:val="8"/>
        <w:keepNext w:val="0"/>
        <w:keepLines w:val="0"/>
        <w:pageBreakBefore w:val="0"/>
        <w:widowControl w:val="0"/>
        <w:kinsoku/>
        <w:wordWrap/>
        <w:overflowPunct/>
        <w:topLinePunct w:val="0"/>
        <w:autoSpaceDE w:val="0"/>
        <w:autoSpaceDN w:val="0"/>
        <w:bidi w:val="0"/>
        <w:adjustRightInd/>
        <w:snapToGrid/>
        <w:spacing w:line="360" w:lineRule="auto"/>
        <w:jc w:val="left"/>
        <w:textAlignment w:val="auto"/>
        <w:rPr>
          <w:rFonts w:hint="eastAsia" w:cs="Times New Roman"/>
          <w:color w:val="auto"/>
          <w:kern w:val="0"/>
          <w:sz w:val="24"/>
          <w:szCs w:val="24"/>
          <w:lang w:val="en-US" w:eastAsia="zh-CN" w:bidi="ar-SA"/>
        </w:rPr>
      </w:pPr>
      <w:r>
        <w:rPr>
          <w:rFonts w:hint="default" w:cs="Times New Roman"/>
          <w:kern w:val="0"/>
          <w:sz w:val="24"/>
          <w:szCs w:val="24"/>
          <w:lang w:val="en-US" w:eastAsia="zh-CN" w:bidi="ar-SA"/>
        </w:rPr>
        <w:t>项目设计使用电压为220V/380V，从附近电网接入，可满足生产、生活用电要求</w:t>
      </w:r>
      <w:r>
        <w:rPr>
          <w:rFonts w:hint="eastAsia" w:cs="Times New Roman"/>
          <w:kern w:val="0"/>
          <w:sz w:val="24"/>
          <w:szCs w:val="24"/>
          <w:lang w:val="en-US" w:eastAsia="zh-CN" w:bidi="ar-SA"/>
        </w:rPr>
        <w:t>，年用量200万kw·h/a</w:t>
      </w:r>
      <w:r>
        <w:rPr>
          <w:rFonts w:hint="default" w:cs="Times New Roman"/>
          <w:kern w:val="0"/>
          <w:sz w:val="24"/>
          <w:szCs w:val="24"/>
          <w:lang w:val="en-US" w:eastAsia="zh-CN" w:bidi="ar-SA"/>
        </w:rPr>
        <w:t>；配置2台400kW的备用发电机，以备停电时供电。</w:t>
      </w:r>
    </w:p>
    <w:p>
      <w:pPr>
        <w:pStyle w:val="6"/>
      </w:pPr>
      <w:r>
        <w:rPr>
          <w:rFonts w:hint="eastAsia"/>
          <w:lang w:eastAsia="zh-CN"/>
        </w:rPr>
        <w:t>消防工程</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cs="Times New Roman"/>
          <w:kern w:val="0"/>
          <w:sz w:val="24"/>
          <w:szCs w:val="24"/>
          <w:lang w:val="en-US" w:eastAsia="zh-CN" w:bidi="ar-SA"/>
        </w:rPr>
      </w:pPr>
      <w:r>
        <w:rPr>
          <w:rFonts w:hint="eastAsia" w:cs="Times New Roman"/>
          <w:kern w:val="0"/>
          <w:sz w:val="24"/>
          <w:szCs w:val="24"/>
          <w:lang w:val="en-US" w:eastAsia="zh-CN" w:bidi="ar-SA"/>
        </w:rPr>
        <w:t>本项目室外消防用水采用低压给水系统，由消防水池供给。室内消防用水采用常高压给水系统，由给水管道直接供水。各栏舍和生活区的宿舍、办公楼内采用单口室内消火栓，消火栓按间距不大于30m，同时保证有两股水柱到达室内任何地方。另外，各栏舍和办公楼每层设一定数量的手提式干粉灭火器。</w:t>
      </w:r>
    </w:p>
    <w:p>
      <w:pPr>
        <w:pStyle w:val="6"/>
      </w:pPr>
      <w:r>
        <w:rPr>
          <w:rFonts w:hint="eastAsia"/>
          <w:lang w:eastAsia="zh-CN"/>
        </w:rPr>
        <w:t>通风工程</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为了保持良好的空气、防暑降温及排除湿气，项目采取自然通风和排风扇相结合的方式进行换气，夏季设置有水帘降温等设备，改善养猪生产的环境条件，保证猪只生长期间良好的通风环境</w:t>
      </w:r>
    </w:p>
    <w:p>
      <w:pPr>
        <w:pStyle w:val="6"/>
      </w:pPr>
      <w:r>
        <w:rPr>
          <w:rFonts w:hint="eastAsia"/>
          <w:lang w:eastAsia="zh-CN"/>
        </w:rPr>
        <w:t>运输工程</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项目所在地交通便利，“村村通”公路已贯穿全村。项目进厂的原材料和出厂的商品猪全部采取公路运输的方式，场区道路在设计时将人流、物流分开，防止交叉污染，并严格限制进厂的车辆。车辆进入养殖区前，需经过门口的消毒池</w:t>
      </w:r>
      <w:r>
        <w:rPr>
          <w:rFonts w:hint="eastAsia" w:cs="Times New Roman"/>
          <w:kern w:val="0"/>
          <w:sz w:val="24"/>
          <w:szCs w:val="24"/>
          <w:lang w:val="en-US" w:eastAsia="zh-CN" w:bidi="ar-SA"/>
        </w:rPr>
        <w:t>。</w:t>
      </w:r>
    </w:p>
    <w:p>
      <w:pPr>
        <w:pStyle w:val="6"/>
      </w:pPr>
      <w:r>
        <w:rPr>
          <w:rFonts w:hint="eastAsia"/>
          <w:lang w:eastAsia="zh-CN"/>
        </w:rPr>
        <w:t>卫生防疫工程</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卫生防疫是规模化猪场的生命线，也是规模化猪场成败的关键点。为此必须严格执行国家《动物防疫法》，做到以防为主，防治结合，制度健全，责任到人。</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cs="Times New Roman"/>
          <w:kern w:val="0"/>
          <w:sz w:val="24"/>
          <w:szCs w:val="24"/>
          <w:lang w:val="en-US" w:eastAsia="zh-CN" w:bidi="ar-SA"/>
        </w:rPr>
        <w:t>（1）</w:t>
      </w:r>
      <w:r>
        <w:rPr>
          <w:rFonts w:hint="eastAsia" w:ascii="Times New Roman" w:hAnsi="Times New Roman" w:cs="Times New Roman"/>
          <w:kern w:val="0"/>
          <w:sz w:val="24"/>
          <w:szCs w:val="24"/>
          <w:lang w:val="en-US" w:eastAsia="zh-CN" w:bidi="ar-SA"/>
        </w:rPr>
        <w:t>防疫制度</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更衣换鞋制度：凡是进入饲养场的工作人员，一律更衣换鞋。消毒制度：凡进入饲养场的人和车辆等都需经过消毒；</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防疫隔离制度：凡新引进的猪种在场外隔离二个月以上，隔离观察期间进行测温和血清学及微生物检查，确认健康无病后才能进场</w:t>
      </w:r>
      <w:r>
        <w:rPr>
          <w:rFonts w:hint="eastAsia" w:cs="Times New Roman"/>
          <w:kern w:val="0"/>
          <w:sz w:val="24"/>
          <w:szCs w:val="24"/>
          <w:lang w:val="en-US" w:eastAsia="zh-CN" w:bidi="ar-SA"/>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cs="Times New Roman"/>
          <w:kern w:val="0"/>
          <w:sz w:val="24"/>
          <w:szCs w:val="24"/>
          <w:lang w:val="en-US" w:eastAsia="zh-CN" w:bidi="ar-SA"/>
        </w:rPr>
        <w:t>（2）</w:t>
      </w:r>
      <w:r>
        <w:rPr>
          <w:rFonts w:hint="eastAsia" w:ascii="Times New Roman" w:hAnsi="Times New Roman" w:cs="Times New Roman"/>
          <w:kern w:val="0"/>
          <w:sz w:val="24"/>
          <w:szCs w:val="24"/>
          <w:lang w:val="en-US" w:eastAsia="zh-CN" w:bidi="ar-SA"/>
        </w:rPr>
        <w:t>免疫程序管理</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制定一套合理的免疫程序，做到“以防为主、防治结合”。</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诊疗程序管理</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配备专职兽医，加强防治结合。要求兽医每天进入各猪舍观察猪群，发现病情做好记录并向技术部门备案，一旦发现疫情，做到早、严、快、小，并向上级部门汇报</w:t>
      </w:r>
    </w:p>
    <w:p>
      <w:pPr>
        <w:pStyle w:val="4"/>
        <w:rPr>
          <w:color w:val="auto"/>
        </w:rPr>
      </w:pPr>
      <w:bookmarkStart w:id="31" w:name="_Toc5558"/>
      <w:r>
        <w:rPr>
          <w:rFonts w:hint="eastAsia"/>
          <w:color w:val="auto"/>
          <w:lang w:eastAsia="zh-CN"/>
        </w:rPr>
        <w:t>环境影响评价方法</w:t>
      </w:r>
      <w:bookmarkEnd w:id="24"/>
      <w:bookmarkEnd w:id="31"/>
    </w:p>
    <w:p>
      <w:pPr>
        <w:pStyle w:val="5"/>
        <w:ind w:firstLine="562"/>
      </w:pPr>
      <w:r>
        <w:rPr>
          <w:rFonts w:hint="eastAsia"/>
          <w:lang w:eastAsia="zh-CN"/>
        </w:rPr>
        <w:t>评价工作内容</w:t>
      </w:r>
    </w:p>
    <w:p>
      <w:pPr>
        <w:pStyle w:val="9"/>
        <w:rPr>
          <w:rFonts w:hint="eastAsia"/>
          <w:color w:val="auto"/>
        </w:rPr>
      </w:pPr>
      <w:r>
        <w:rPr>
          <w:rFonts w:hint="eastAsia"/>
          <w:color w:val="auto"/>
          <w:lang w:eastAsia="zh-CN"/>
        </w:rPr>
        <w:t>（</w:t>
      </w:r>
      <w:r>
        <w:rPr>
          <w:rFonts w:hint="eastAsia"/>
          <w:color w:val="auto"/>
          <w:lang w:val="en-US" w:eastAsia="zh-CN"/>
        </w:rPr>
        <w:t>1</w:t>
      </w:r>
      <w:r>
        <w:rPr>
          <w:rFonts w:hint="eastAsia"/>
          <w:color w:val="auto"/>
          <w:lang w:eastAsia="zh-CN"/>
        </w:rPr>
        <w:t>）</w:t>
      </w:r>
      <w:r>
        <w:rPr>
          <w:rFonts w:hint="eastAsia"/>
          <w:color w:val="auto"/>
        </w:rPr>
        <w:t>对拟建项目进行工程分析；</w:t>
      </w:r>
    </w:p>
    <w:p>
      <w:pPr>
        <w:pStyle w:val="9"/>
        <w:rPr>
          <w:rFonts w:hint="eastAsia"/>
          <w:color w:val="auto"/>
        </w:rPr>
      </w:pPr>
      <w:r>
        <w:rPr>
          <w:rFonts w:hint="eastAsia"/>
          <w:color w:val="auto"/>
          <w:lang w:eastAsia="zh-CN"/>
        </w:rPr>
        <w:t>（</w:t>
      </w:r>
      <w:r>
        <w:rPr>
          <w:rFonts w:hint="eastAsia"/>
          <w:color w:val="auto"/>
          <w:lang w:val="en-US" w:eastAsia="zh-CN"/>
        </w:rPr>
        <w:t>2</w:t>
      </w:r>
      <w:r>
        <w:rPr>
          <w:rFonts w:hint="eastAsia"/>
          <w:color w:val="auto"/>
          <w:lang w:eastAsia="zh-CN"/>
        </w:rPr>
        <w:t>）</w:t>
      </w:r>
      <w:r>
        <w:rPr>
          <w:rFonts w:hint="eastAsia"/>
          <w:color w:val="auto"/>
        </w:rPr>
        <w:t>调查项目所在地区的地表水环境、地下水环境、空气环境、声环境、土壤环境、生态环境现状以及建设项目区周边环境状况；</w:t>
      </w:r>
    </w:p>
    <w:p>
      <w:pPr>
        <w:pStyle w:val="9"/>
        <w:rPr>
          <w:rFonts w:hint="eastAsia"/>
          <w:color w:val="auto"/>
        </w:rPr>
      </w:pPr>
      <w:r>
        <w:rPr>
          <w:rFonts w:hint="eastAsia"/>
          <w:color w:val="auto"/>
          <w:lang w:eastAsia="zh-CN"/>
        </w:rPr>
        <w:t>（</w:t>
      </w:r>
      <w:r>
        <w:rPr>
          <w:rFonts w:hint="eastAsia"/>
          <w:color w:val="auto"/>
          <w:lang w:val="en-US" w:eastAsia="zh-CN"/>
        </w:rPr>
        <w:t>3</w:t>
      </w:r>
      <w:r>
        <w:rPr>
          <w:rFonts w:hint="eastAsia"/>
          <w:color w:val="auto"/>
          <w:lang w:eastAsia="zh-CN"/>
        </w:rPr>
        <w:t>）</w:t>
      </w:r>
      <w:r>
        <w:rPr>
          <w:rFonts w:hint="eastAsia"/>
          <w:color w:val="auto"/>
        </w:rPr>
        <w:t>对拟建项目污染源进行调查分析，确定污染物种类、排放量、排放方式和排放去向；</w:t>
      </w:r>
    </w:p>
    <w:p>
      <w:pPr>
        <w:pStyle w:val="9"/>
        <w:rPr>
          <w:rFonts w:hint="eastAsia"/>
          <w:color w:val="auto"/>
        </w:rPr>
      </w:pPr>
      <w:r>
        <w:rPr>
          <w:rFonts w:hint="eastAsia"/>
          <w:color w:val="auto"/>
          <w:lang w:eastAsia="zh-CN"/>
        </w:rPr>
        <w:t>（</w:t>
      </w:r>
      <w:r>
        <w:rPr>
          <w:rFonts w:hint="eastAsia"/>
          <w:color w:val="auto"/>
          <w:lang w:val="en-US" w:eastAsia="zh-CN"/>
        </w:rPr>
        <w:t>4</w:t>
      </w:r>
      <w:r>
        <w:rPr>
          <w:rFonts w:hint="eastAsia"/>
          <w:color w:val="auto"/>
          <w:lang w:eastAsia="zh-CN"/>
        </w:rPr>
        <w:t>）</w:t>
      </w:r>
      <w:r>
        <w:rPr>
          <w:rFonts w:hint="eastAsia"/>
          <w:color w:val="auto"/>
        </w:rPr>
        <w:t>对拟建项目施工期和营运期对环境的影响分析，重点是本项目运行期大气环境影响；</w:t>
      </w:r>
    </w:p>
    <w:p>
      <w:pPr>
        <w:pStyle w:val="9"/>
        <w:rPr>
          <w:rFonts w:hint="eastAsia"/>
          <w:color w:val="auto"/>
        </w:rPr>
      </w:pPr>
      <w:r>
        <w:rPr>
          <w:rFonts w:hint="eastAsia"/>
          <w:color w:val="auto"/>
          <w:lang w:eastAsia="zh-CN"/>
        </w:rPr>
        <w:t>（</w:t>
      </w:r>
      <w:r>
        <w:rPr>
          <w:rFonts w:hint="eastAsia"/>
          <w:color w:val="auto"/>
          <w:lang w:val="en-US" w:eastAsia="zh-CN"/>
        </w:rPr>
        <w:t>5</w:t>
      </w:r>
      <w:r>
        <w:rPr>
          <w:rFonts w:hint="eastAsia"/>
          <w:color w:val="auto"/>
          <w:lang w:eastAsia="zh-CN"/>
        </w:rPr>
        <w:t>）</w:t>
      </w:r>
      <w:r>
        <w:rPr>
          <w:rFonts w:hint="eastAsia"/>
          <w:color w:val="auto"/>
        </w:rPr>
        <w:t>结合总体规划，分析拟建项目营运后产生的环境效益、社会效应和经济效益，论证项目建设与当地总体规划的相容性。</w:t>
      </w:r>
    </w:p>
    <w:p>
      <w:pPr>
        <w:pStyle w:val="5"/>
        <w:ind w:firstLine="562"/>
      </w:pPr>
      <w:r>
        <w:rPr>
          <w:rFonts w:hint="eastAsia"/>
          <w:lang w:eastAsia="zh-CN"/>
        </w:rPr>
        <w:t>评价工作重点</w:t>
      </w:r>
    </w:p>
    <w:p>
      <w:pPr>
        <w:pStyle w:val="9"/>
        <w:rPr>
          <w:rFonts w:hint="eastAsia"/>
          <w:color w:val="auto"/>
          <w:lang w:eastAsia="zh-CN"/>
        </w:rPr>
      </w:pPr>
      <w:r>
        <w:rPr>
          <w:rFonts w:hint="eastAsia"/>
          <w:color w:val="auto"/>
        </w:rPr>
        <w:t>本次环评评价重点主要在项目工程分析、环境影响评价、污染防治措施技术、环境风险评价等</w:t>
      </w:r>
      <w:r>
        <w:rPr>
          <w:rFonts w:hint="eastAsia"/>
          <w:color w:val="auto"/>
          <w:lang w:eastAsia="zh-CN"/>
        </w:rPr>
        <w:t>。</w:t>
      </w:r>
    </w:p>
    <w:p>
      <w:pPr>
        <w:rPr>
          <w:rFonts w:hint="eastAsia"/>
          <w:color w:val="auto"/>
          <w:lang w:eastAsia="zh-CN"/>
        </w:rPr>
      </w:pPr>
      <w:r>
        <w:rPr>
          <w:rFonts w:hint="eastAsia"/>
          <w:color w:val="auto"/>
          <w:lang w:eastAsia="zh-CN"/>
        </w:rPr>
        <w:br w:type="page"/>
      </w:r>
    </w:p>
    <w:p>
      <w:pPr>
        <w:pStyle w:val="3"/>
        <w:jc w:val="center"/>
      </w:pPr>
      <w:bookmarkStart w:id="32" w:name="_Toc28159"/>
      <w:bookmarkStart w:id="33" w:name="_Toc346282484"/>
      <w:r>
        <w:rPr>
          <w:rFonts w:hint="eastAsia"/>
          <w:lang w:eastAsia="zh-CN"/>
        </w:rPr>
        <w:t>建设项目概况</w:t>
      </w:r>
      <w:bookmarkEnd w:id="32"/>
    </w:p>
    <w:p>
      <w:pPr>
        <w:pStyle w:val="4"/>
      </w:pPr>
      <w:bookmarkStart w:id="34" w:name="_Toc22266"/>
      <w:bookmarkStart w:id="35" w:name="_Toc3229"/>
      <w:r>
        <w:rPr>
          <w:rFonts w:hint="eastAsia"/>
          <w:lang w:eastAsia="zh-CN"/>
        </w:rPr>
        <w:t>项目工艺流程分析</w:t>
      </w:r>
      <w:bookmarkEnd w:id="34"/>
      <w:bookmarkEnd w:id="35"/>
    </w:p>
    <w:p>
      <w:pPr>
        <w:pStyle w:val="5"/>
        <w:ind w:firstLine="562"/>
      </w:pPr>
      <w:r>
        <w:rPr>
          <w:rFonts w:hint="eastAsia"/>
          <w:lang w:eastAsia="zh-CN"/>
        </w:rPr>
        <w:t>养殖工艺流程</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本项目采用集约化养殖方式饲养生猪，按照现代化养猪要求设计养殖工艺流程，实行流水生产工艺，养殖工艺流程及产污节点详见</w:t>
      </w: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 xml:space="preserve">.2-1。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0" w:firstLineChars="0"/>
        <w:jc w:val="center"/>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object>
          <v:shape id="_x0000_i1029" o:spt="75" type="#_x0000_t75" style="height:72pt;width:293.25pt;" o:ole="t" filled="f" o:preferrelative="t" stroked="f" coordsize="21600,21600">
            <v:path/>
            <v:fill on="f" focussize="0,0"/>
            <v:stroke on="f"/>
            <v:imagedata r:id="rId32" o:title=""/>
            <o:lock v:ext="edit" aspectratio="f"/>
            <w10:wrap type="none"/>
            <w10:anchorlock/>
          </v:shape>
          <o:OLEObject Type="Embed" ProgID="Visio.Drawing.11" ShapeID="_x0000_i1029" DrawAspect="Content" ObjectID="_1468075729" r:id="rId31">
            <o:LockedField>false</o:LockedField>
          </o:OLEObject>
        </w:objec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ascii="Times New Roman" w:hAnsi="Times New Roman" w:cs="Times New Roman"/>
          <w:b/>
          <w:bCs/>
          <w:kern w:val="0"/>
          <w:sz w:val="21"/>
          <w:szCs w:val="21"/>
          <w:lang w:val="en-US" w:eastAsia="zh-CN" w:bidi="ar-SA"/>
        </w:rPr>
      </w:pPr>
      <w:r>
        <w:rPr>
          <w:rFonts w:hint="eastAsia" w:ascii="宋体" w:hAnsi="宋体" w:eastAsia="宋体"/>
          <w:b/>
          <w:bCs/>
          <w:color w:val="000000"/>
          <w:sz w:val="21"/>
          <w:szCs w:val="21"/>
        </w:rPr>
        <w:t>图</w:t>
      </w:r>
      <w:r>
        <w:rPr>
          <w:rFonts w:hint="eastAsia"/>
          <w:b/>
          <w:bCs/>
          <w:color w:val="000000"/>
          <w:sz w:val="21"/>
          <w:szCs w:val="21"/>
          <w:lang w:val="en-US" w:eastAsia="zh-CN"/>
        </w:rPr>
        <w:t>3</w:t>
      </w:r>
      <w:r>
        <w:rPr>
          <w:rFonts w:hint="eastAsia" w:ascii="Times New Roman" w:hAnsi="Times New Roman" w:eastAsia="Times New Roman"/>
          <w:b/>
          <w:bCs/>
          <w:color w:val="000000"/>
          <w:sz w:val="21"/>
          <w:szCs w:val="21"/>
        </w:rPr>
        <w:t xml:space="preserve">.2-1 </w:t>
      </w:r>
      <w:r>
        <w:rPr>
          <w:rFonts w:hint="eastAsia" w:ascii="宋体" w:hAnsi="宋体" w:eastAsia="宋体"/>
          <w:b/>
          <w:bCs/>
          <w:color w:val="000000"/>
          <w:sz w:val="21"/>
          <w:szCs w:val="21"/>
        </w:rPr>
        <w:t>主要养殖工艺流程图</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1" w:firstLineChars="200"/>
        <w:jc w:val="left"/>
        <w:textAlignment w:val="auto"/>
        <w:rPr>
          <w:rFonts w:hint="eastAsia" w:ascii="Times New Roman" w:hAnsi="Times New Roman" w:cs="Times New Roman"/>
          <w:b/>
          <w:bCs/>
          <w:kern w:val="0"/>
          <w:sz w:val="24"/>
          <w:szCs w:val="24"/>
          <w:lang w:val="en-US" w:eastAsia="zh-CN" w:bidi="ar-SA"/>
        </w:rPr>
      </w:pPr>
      <w:r>
        <w:rPr>
          <w:rFonts w:hint="eastAsia" w:ascii="Times New Roman" w:hAnsi="Times New Roman" w:cs="Times New Roman"/>
          <w:b/>
          <w:bCs/>
          <w:kern w:val="0"/>
          <w:sz w:val="24"/>
          <w:szCs w:val="24"/>
          <w:lang w:val="en-US" w:eastAsia="zh-CN" w:bidi="ar-SA"/>
        </w:rPr>
        <w:t>工艺流程简介：</w:t>
      </w:r>
    </w:p>
    <w:p>
      <w:pPr>
        <w:pStyle w:val="8"/>
        <w:keepNext w:val="0"/>
        <w:keepLines w:val="0"/>
        <w:pageBreakBefore w:val="0"/>
        <w:widowControl w:val="0"/>
        <w:numPr>
          <w:ilvl w:val="0"/>
          <w:numId w:val="15"/>
        </w:numPr>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断奶仔猪保育阶段</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200"/>
        <w:jc w:val="left"/>
        <w:textAlignment w:val="auto"/>
        <w:rPr>
          <w:rFonts w:hint="eastAsia" w:ascii="Times New Roman" w:hAnsi="Times New Roman" w:cs="Times New Roman"/>
          <w:kern w:val="0"/>
          <w:sz w:val="24"/>
          <w:szCs w:val="24"/>
          <w:lang w:val="en-US" w:eastAsia="zh-CN" w:bidi="ar-SA"/>
        </w:rPr>
      </w:pPr>
      <w:r>
        <w:rPr>
          <w:rFonts w:hint="eastAsia" w:cs="Times New Roman"/>
          <w:kern w:val="0"/>
          <w:sz w:val="24"/>
          <w:szCs w:val="24"/>
          <w:lang w:val="en-US" w:eastAsia="zh-CN" w:bidi="ar-SA"/>
        </w:rPr>
        <w:t>外购</w:t>
      </w:r>
      <w:r>
        <w:rPr>
          <w:rFonts w:hint="eastAsia" w:ascii="Times New Roman" w:hAnsi="Times New Roman" w:cs="Times New Roman"/>
          <w:kern w:val="0"/>
          <w:sz w:val="24"/>
          <w:szCs w:val="24"/>
          <w:lang w:val="en-US" w:eastAsia="zh-CN" w:bidi="ar-SA"/>
        </w:rPr>
        <w:t>断奶仔猪</w:t>
      </w:r>
      <w:r>
        <w:rPr>
          <w:rFonts w:hint="eastAsia" w:cs="Times New Roman"/>
          <w:kern w:val="0"/>
          <w:sz w:val="24"/>
          <w:szCs w:val="24"/>
          <w:lang w:val="en-US" w:eastAsia="zh-CN" w:bidi="ar-SA"/>
        </w:rPr>
        <w:t>到场后</w:t>
      </w:r>
      <w:r>
        <w:rPr>
          <w:rFonts w:hint="eastAsia" w:ascii="Times New Roman" w:hAnsi="Times New Roman" w:cs="Times New Roman"/>
          <w:kern w:val="0"/>
          <w:sz w:val="24"/>
          <w:szCs w:val="24"/>
          <w:lang w:val="en-US" w:eastAsia="zh-CN" w:bidi="ar-SA"/>
        </w:rPr>
        <w:t xml:space="preserve">，进入保育舍，达到60日龄，预计体重达到20kg以上。 </w:t>
      </w:r>
    </w:p>
    <w:p>
      <w:pPr>
        <w:pStyle w:val="8"/>
        <w:keepNext w:val="0"/>
        <w:keepLines w:val="0"/>
        <w:pageBreakBefore w:val="0"/>
        <w:widowControl w:val="0"/>
        <w:numPr>
          <w:ilvl w:val="0"/>
          <w:numId w:val="15"/>
        </w:numPr>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育肥养殖工艺流程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将60日龄的仔猪由保育舍转入育肥舍，饲养15周后，预计体重可达100kg以上时出栏上市。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本项目生猪养殖过程主要污染物为猪排泄的粪、尿，栏舍无组织排放的臭气、猪只叫声、病死猪及分娩废弃物。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（3）饲养方式</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猪舍拟采用目前最先进的全环境控制、全自动喂料系统和全空气过滤、分连廊饲养等工艺设计。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项目采用国外最先进的瘦肉型饲养模式，猪舍墙体采用外侧贴4cm保温材料，吊顶使用0.4mmPE膜+10cm保温棉隔热保温，屋面与吊顶使用镀铝锌板，使用寿命30年以上，使用红外线热成像仪检测猪舍密封性；采用大跨度高床免冲水、水盘式饮水器、中水回用、机械刮粪工艺等先进工艺技术；采用全程空气过滤技术，猪舍全密闭连廊相连，采用机械通风、水帘降温、自动输料、三级严密生物安全体系，常年温度控制在26℃，湿度控制在75%左右，确保了整个猪群的健康，保持种猪PRRS，猪伪狂犬病、猪瘟阴性。</w:t>
      </w:r>
    </w:p>
    <w:p>
      <w:pPr>
        <w:pStyle w:val="5"/>
        <w:ind w:firstLine="562"/>
      </w:pPr>
      <w:r>
        <w:rPr>
          <w:rFonts w:hint="eastAsia"/>
          <w:lang w:eastAsia="zh-CN"/>
        </w:rPr>
        <w:t>猪粪处理流程</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猪舍采用全漏缝地板；猪粪通过机械刮粪系统收集后，定期投入</w:t>
      </w:r>
      <w:r>
        <w:rPr>
          <w:rFonts w:hint="eastAsia" w:cs="Times New Roman"/>
          <w:kern w:val="0"/>
          <w:sz w:val="24"/>
          <w:szCs w:val="24"/>
          <w:lang w:val="en-US" w:eastAsia="zh-CN" w:bidi="ar-SA"/>
        </w:rPr>
        <w:t>“异位发酵床”</w:t>
      </w:r>
      <w:r>
        <w:rPr>
          <w:rFonts w:hint="eastAsia" w:ascii="Times New Roman" w:hAnsi="Times New Roman" w:cs="Times New Roman"/>
          <w:kern w:val="0"/>
          <w:sz w:val="24"/>
          <w:szCs w:val="24"/>
          <w:lang w:val="en-US" w:eastAsia="zh-CN" w:bidi="ar-SA"/>
        </w:rPr>
        <w:t>发酵处理，可直接生产优质有机肥</w:t>
      </w:r>
      <w:r>
        <w:rPr>
          <w:rFonts w:hint="eastAsia" w:cs="Times New Roman"/>
          <w:kern w:val="0"/>
          <w:sz w:val="24"/>
          <w:szCs w:val="24"/>
          <w:lang w:val="en-US" w:eastAsia="zh-CN" w:bidi="ar-SA"/>
        </w:rPr>
        <w:t>料，制成的有机肥料用于外售。</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default" w:ascii="Times New Roman" w:hAnsi="Times New Roman" w:cs="Times New Roman"/>
          <w:kern w:val="0"/>
          <w:sz w:val="24"/>
          <w:szCs w:val="24"/>
          <w:lang w:val="en-US" w:eastAsia="zh-CN" w:bidi="ar-SA"/>
        </w:rPr>
      </w:pPr>
      <w:r>
        <w:rPr>
          <w:rFonts w:hint="eastAsia" w:cs="Times New Roman"/>
          <w:kern w:val="0"/>
          <w:sz w:val="24"/>
          <w:szCs w:val="24"/>
          <w:lang w:val="en-US" w:eastAsia="zh-CN" w:bidi="ar-SA"/>
        </w:rPr>
        <w:t>异位发酵床技术原理：有机肥发酵剂按一定比例参拌锯末、谷壳、木屑等材料。将这些垫料铺设成一定厚度的发酵床，使垫料和猪粪尿充分混合，通过微生物的分解发酵，使猪粪尿中的有机物质得到充分的分解和转化，达到讲解、消化猪粪尿，除异味、杀菌消毒除虫目的，最终产出富含有机质以及具备解氮、解鳞、解钾能力的有益菌菌群的生物有机肥。整个养殖过程无废水排放，发酵床垫料淘汰后作为有机肥出售。</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cs="Times New Roman"/>
          <w:kern w:val="0"/>
          <w:sz w:val="24"/>
          <w:szCs w:val="24"/>
          <w:lang w:val="en-US" w:eastAsia="zh-CN" w:bidi="ar-SA"/>
        </w:rPr>
        <w:t>异位发酵床养殖是指养猪与粪污发酵分开，猪不接触垫料，猪舍外建垫料发酵舍，垫料铺在发酵舍内，猪场粪污收集后利用潜泵均匀喷在垫料上进行生物菌发酵的粪污处理方法。与传统的发酵床养殖相比，异位发酵床养殖消除了疾病传播风险，同时也克服了发酵床的高温对猪造成的应激。</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猪粪工艺流程见图</w:t>
      </w: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 xml:space="preserve">.2-2。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0" w:firstLineChars="0"/>
        <w:jc w:val="center"/>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object>
          <v:shape id="_x0000_i1030" o:spt="75" type="#_x0000_t75" style="height:70.5pt;width:273.75pt;" o:ole="t" filled="f" o:preferrelative="t" stroked="f" coordsize="21600,21600">
            <v:path/>
            <v:fill on="f" focussize="0,0"/>
            <v:stroke on="f"/>
            <v:imagedata r:id="rId34" o:title=""/>
            <o:lock v:ext="edit" aspectratio="f"/>
            <w10:wrap type="none"/>
            <w10:anchorlock/>
          </v:shape>
          <o:OLEObject Type="Embed" ProgID="Visio.Drawing.11" ShapeID="_x0000_i1030" DrawAspect="Content" ObjectID="_1468075730" r:id="rId33">
            <o:LockedField>false</o:LockedField>
          </o:OLEObject>
        </w:objec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ascii="Times New Roman" w:hAnsi="Times New Roman" w:cs="Times New Roman"/>
          <w:b/>
          <w:bCs/>
          <w:kern w:val="0"/>
          <w:sz w:val="21"/>
          <w:szCs w:val="21"/>
          <w:lang w:val="en-US" w:eastAsia="zh-CN" w:bidi="ar-SA"/>
        </w:rPr>
      </w:pPr>
      <w:r>
        <w:rPr>
          <w:rFonts w:hint="eastAsia" w:ascii="宋体" w:hAnsi="宋体" w:eastAsia="宋体"/>
          <w:b/>
          <w:bCs/>
          <w:color w:val="000000"/>
          <w:sz w:val="21"/>
          <w:szCs w:val="21"/>
        </w:rPr>
        <w:t>图</w:t>
      </w:r>
      <w:r>
        <w:rPr>
          <w:rFonts w:hint="eastAsia"/>
          <w:b/>
          <w:bCs/>
          <w:color w:val="000000"/>
          <w:sz w:val="21"/>
          <w:szCs w:val="21"/>
          <w:lang w:val="en-US" w:eastAsia="zh-CN"/>
        </w:rPr>
        <w:t>3</w:t>
      </w:r>
      <w:r>
        <w:rPr>
          <w:rFonts w:hint="eastAsia" w:ascii="Times New Roman" w:hAnsi="Times New Roman" w:eastAsia="Times New Roman"/>
          <w:b/>
          <w:bCs/>
          <w:color w:val="000000"/>
          <w:sz w:val="21"/>
          <w:szCs w:val="21"/>
        </w:rPr>
        <w:t>.2-</w:t>
      </w:r>
      <w:r>
        <w:rPr>
          <w:rFonts w:hint="eastAsia"/>
          <w:b/>
          <w:bCs/>
          <w:color w:val="000000"/>
          <w:sz w:val="21"/>
          <w:szCs w:val="21"/>
          <w:lang w:val="en-US" w:eastAsia="zh-CN"/>
        </w:rPr>
        <w:t>2</w:t>
      </w:r>
      <w:r>
        <w:rPr>
          <w:rFonts w:hint="eastAsia" w:ascii="Times New Roman" w:hAnsi="Times New Roman" w:eastAsia="Times New Roman"/>
          <w:b/>
          <w:bCs/>
          <w:color w:val="000000"/>
          <w:sz w:val="21"/>
          <w:szCs w:val="21"/>
        </w:rPr>
        <w:t xml:space="preserve"> </w:t>
      </w:r>
      <w:r>
        <w:rPr>
          <w:rFonts w:hint="eastAsia" w:ascii="宋体" w:hAnsi="宋体"/>
          <w:b/>
          <w:bCs/>
          <w:color w:val="000000"/>
          <w:sz w:val="21"/>
          <w:szCs w:val="21"/>
          <w:lang w:eastAsia="zh-CN"/>
        </w:rPr>
        <w:t>猪粪处理</w:t>
      </w:r>
      <w:r>
        <w:rPr>
          <w:rFonts w:hint="eastAsia" w:ascii="宋体" w:hAnsi="宋体" w:eastAsia="宋体"/>
          <w:b/>
          <w:bCs/>
          <w:color w:val="000000"/>
          <w:sz w:val="21"/>
          <w:szCs w:val="21"/>
        </w:rPr>
        <w:t>工艺图</w:t>
      </w:r>
    </w:p>
    <w:p>
      <w:pPr>
        <w:pStyle w:val="5"/>
        <w:ind w:firstLine="562"/>
      </w:pPr>
      <w:r>
        <w:rPr>
          <w:rFonts w:hint="eastAsia"/>
          <w:lang w:eastAsia="zh-CN"/>
        </w:rPr>
        <w:t>污水处理流程</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cs="Times New Roman"/>
          <w:kern w:val="0"/>
          <w:sz w:val="24"/>
          <w:szCs w:val="24"/>
          <w:lang w:val="en-US" w:eastAsia="zh-CN" w:bidi="ar-SA"/>
        </w:rPr>
      </w:pPr>
      <w:r>
        <w:rPr>
          <w:rFonts w:hint="eastAsia" w:cs="Times New Roman"/>
          <w:kern w:val="0"/>
          <w:sz w:val="24"/>
          <w:szCs w:val="24"/>
          <w:lang w:val="en-US" w:eastAsia="zh-CN" w:bidi="ar-SA"/>
        </w:rPr>
        <w:t>生活污水经地埋式一体化生化处理达到《畜禽养殖业污染物排放标准》（DB44/613-2009）中集约化畜禽养殖业水污染物最高日排放浓度和《农田灌溉水质标准》（GB5084-2005）</w:t>
      </w:r>
      <w:r>
        <w:rPr>
          <w:rFonts w:hint="eastAsia" w:cs="Times New Roman"/>
          <w:color w:val="auto"/>
          <w:kern w:val="0"/>
          <w:sz w:val="24"/>
          <w:szCs w:val="24"/>
          <w:lang w:val="en-US" w:eastAsia="zh-CN" w:bidi="ar-SA"/>
        </w:rPr>
        <w:t>中旱作标准的最严值后全部用于附近林业和农田的灌溉，不外排。</w:t>
      </w:r>
      <w:r>
        <w:rPr>
          <w:rFonts w:hint="eastAsia" w:cs="Times New Roman"/>
          <w:kern w:val="0"/>
          <w:sz w:val="24"/>
          <w:szCs w:val="24"/>
          <w:lang w:val="en-US" w:eastAsia="zh-CN" w:bidi="ar-SA"/>
        </w:rPr>
        <w:t>生活污水处理流程如图3.2-3。</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0" w:firstLineChars="0"/>
        <w:jc w:val="center"/>
        <w:textAlignment w:val="auto"/>
        <w:rPr>
          <w:rFonts w:hint="eastAsia" w:ascii="Times New Roman" w:hAnsi="Times New Roman" w:cs="Times New Roman"/>
          <w:kern w:val="0"/>
          <w:sz w:val="24"/>
          <w:szCs w:val="24"/>
          <w:lang w:val="en-US" w:eastAsia="zh-CN" w:bidi="ar-SA"/>
        </w:rPr>
      </w:pPr>
      <w:r>
        <w:rPr>
          <w:rFonts w:hint="default" w:cs="Times New Roman"/>
          <w:kern w:val="0"/>
          <w:sz w:val="24"/>
          <w:szCs w:val="24"/>
          <w:lang w:val="en-US" w:eastAsia="zh-CN" w:bidi="ar-SA"/>
        </w:rPr>
        <w:object>
          <v:shape id="_x0000_i1031" o:spt="75" type="#_x0000_t75" style="height:103.25pt;width:294.75pt;" o:ole="t" filled="f" o:preferrelative="t" stroked="f" coordsize="21600,21600">
            <v:path/>
            <v:fill on="f" focussize="0,0"/>
            <v:stroke on="f"/>
            <v:imagedata r:id="rId36" o:title=""/>
            <o:lock v:ext="edit" aspectratio="f"/>
            <w10:wrap type="none"/>
            <w10:anchorlock/>
          </v:shape>
          <o:OLEObject Type="Embed" ProgID="Visio.Drawing.11" ShapeID="_x0000_i1031" DrawAspect="Content" ObjectID="_1468075731" r:id="rId35">
            <o:LockedField>false</o:LockedField>
          </o:OLEObject>
        </w:objec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ascii="Times New Roman" w:hAnsi="Times New Roman" w:cs="Times New Roman"/>
          <w:b/>
          <w:bCs/>
          <w:kern w:val="0"/>
          <w:sz w:val="21"/>
          <w:szCs w:val="21"/>
          <w:lang w:val="en-US" w:eastAsia="zh-CN" w:bidi="ar-SA"/>
        </w:rPr>
      </w:pPr>
      <w:r>
        <w:rPr>
          <w:rFonts w:hint="eastAsia" w:ascii="宋体" w:hAnsi="宋体" w:eastAsia="宋体"/>
          <w:b/>
          <w:bCs/>
          <w:color w:val="000000"/>
          <w:sz w:val="21"/>
          <w:szCs w:val="21"/>
        </w:rPr>
        <w:t>图</w:t>
      </w:r>
      <w:r>
        <w:rPr>
          <w:rFonts w:hint="eastAsia"/>
          <w:b/>
          <w:bCs/>
          <w:color w:val="000000"/>
          <w:sz w:val="21"/>
          <w:szCs w:val="21"/>
          <w:lang w:val="en-US" w:eastAsia="zh-CN"/>
        </w:rPr>
        <w:t>3</w:t>
      </w:r>
      <w:r>
        <w:rPr>
          <w:rFonts w:hint="eastAsia" w:ascii="Times New Roman" w:hAnsi="Times New Roman" w:eastAsia="Times New Roman"/>
          <w:b/>
          <w:bCs/>
          <w:color w:val="000000"/>
          <w:sz w:val="21"/>
          <w:szCs w:val="21"/>
        </w:rPr>
        <w:t>.2-</w:t>
      </w:r>
      <w:r>
        <w:rPr>
          <w:rFonts w:hint="eastAsia"/>
          <w:b/>
          <w:bCs/>
          <w:color w:val="000000"/>
          <w:sz w:val="21"/>
          <w:szCs w:val="21"/>
          <w:lang w:val="en-US" w:eastAsia="zh-CN"/>
        </w:rPr>
        <w:t>3</w:t>
      </w:r>
      <w:r>
        <w:rPr>
          <w:rFonts w:hint="eastAsia" w:ascii="Times New Roman" w:hAnsi="Times New Roman" w:eastAsia="Times New Roman"/>
          <w:b/>
          <w:bCs/>
          <w:color w:val="000000"/>
          <w:sz w:val="21"/>
          <w:szCs w:val="21"/>
        </w:rPr>
        <w:t xml:space="preserve"> </w:t>
      </w:r>
      <w:r>
        <w:rPr>
          <w:rFonts w:hint="eastAsia" w:ascii="宋体" w:hAnsi="宋体"/>
          <w:b/>
          <w:bCs/>
          <w:color w:val="000000"/>
          <w:sz w:val="21"/>
          <w:szCs w:val="21"/>
          <w:lang w:eastAsia="zh-CN"/>
        </w:rPr>
        <w:t>生活污水处理</w:t>
      </w:r>
      <w:r>
        <w:rPr>
          <w:rFonts w:hint="eastAsia" w:ascii="宋体" w:hAnsi="宋体" w:eastAsia="宋体"/>
          <w:b/>
          <w:bCs/>
          <w:color w:val="000000"/>
          <w:sz w:val="21"/>
          <w:szCs w:val="21"/>
        </w:rPr>
        <w:t>工艺图</w:t>
      </w:r>
    </w:p>
    <w:p>
      <w:pPr>
        <w:pStyle w:val="5"/>
        <w:ind w:firstLine="562"/>
      </w:pPr>
      <w:r>
        <w:rPr>
          <w:rFonts w:hint="eastAsia"/>
          <w:lang w:eastAsia="zh-CN"/>
        </w:rPr>
        <w:t>病死猪无害化处理工艺</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病死动物尸体属于《国家危险废物目录》（2016年）中为防治动物传染而需要收集和处置的废物（废物代码为900-001-01），但根据环境保护部关于危害动物无害化处理有关意见的复函：《动物防疫法》明确要求病害动物应当按照国务院兽医主管部门的规定进行无害化处理，不得随意处置。由于法律位阶高于部门规章，因此病害动物无害化处理执行《动物防疫法》，病害动物按照《畜禽养殖业污染治理工程技术规范》（HJ497-2009）、《畜禽养殖业污染防治技术规范》（HJ/T81-2001）、《病害动物和病害动物产品生物安全处理规程》（GB16548-2006）、《畜禽病害肉尸及其产品无害化处理规程》（GB16548-1996）及《农业部关于进一步加强病死动物无害化处理监管工程的通知》（农医发〔2012〕12号）进行无害化处理，不再按照危险废物进行处置。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拟建项目配套病死猪无害处理设备1套，设备使用电能，利用高温实现无害化处理，并通过微生物发酵产生的脂肪酶、蛋白酶等物质降解动物有机体。即在高温化制杀菌的基础上，采用物料（选取农村常用的锯末、稻壳、秸秆等农副产品作为垫料）对产生的油脂进行吸附处理，可消除高温化制后产生的油脂，彻底解决高温化制后产生油脂的繁琐处理过程带来的处理成本增加的难题；同时，添加的辅料还可以改善物料的通透性，为后续的生物降解提供条件。在高温化制基础上利用微生物自身的增殖进行生物降解处理，可达到显著的减量化目的。病死猪及废弃物处理后生产成有机肥，做到无害化处理，资源化利用。 </w:t>
      </w:r>
    </w:p>
    <w:p>
      <w:pPr>
        <w:pStyle w:val="4"/>
      </w:pPr>
      <w:bookmarkStart w:id="36" w:name="_Toc13174"/>
      <w:bookmarkStart w:id="37" w:name="_Toc7049"/>
      <w:r>
        <w:rPr>
          <w:rFonts w:hint="eastAsia"/>
          <w:lang w:eastAsia="zh-CN"/>
        </w:rPr>
        <w:t>施工期污染源分析</w:t>
      </w:r>
      <w:bookmarkEnd w:id="36"/>
      <w:bookmarkEnd w:id="37"/>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本项目施工期预计为</w:t>
      </w:r>
      <w:r>
        <w:rPr>
          <w:rFonts w:hint="eastAsia" w:cs="Times New Roman"/>
          <w:kern w:val="0"/>
          <w:sz w:val="24"/>
          <w:szCs w:val="24"/>
          <w:lang w:val="en-US" w:eastAsia="zh-CN" w:bidi="ar-SA"/>
        </w:rPr>
        <w:t>8</w:t>
      </w:r>
      <w:r>
        <w:rPr>
          <w:rFonts w:hint="eastAsia" w:ascii="Times New Roman" w:hAnsi="Times New Roman" w:cs="Times New Roman"/>
          <w:kern w:val="0"/>
          <w:sz w:val="24"/>
          <w:szCs w:val="24"/>
          <w:lang w:val="en-US" w:eastAsia="zh-CN" w:bidi="ar-SA"/>
        </w:rPr>
        <w:t xml:space="preserve">个月，项目建设施工过程的基本程序为：土方开挖、基础工程、回填施工、主体工程、装饰施工和竣工验收。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施工期对外环境的影响主要体现在施工扬尘、施工机械及车辆废气影响；施工废水影响、施工机械、运输物料车辆噪声和施工固体废物堆放影响以及施工过程对局部生态环境产生不利影响。项目施工流程及污染物排放节点详见图</w:t>
      </w: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.3-1。</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0" w:firstLineChars="0"/>
        <w:jc w:val="center"/>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object>
          <v:shape id="_x0000_i1032" o:spt="75" type="#_x0000_t75" style="height:75.1pt;width:280.5pt;" o:ole="t" filled="f" o:preferrelative="t" stroked="f" coordsize="21600,21600">
            <v:path/>
            <v:fill on="f" focussize="0,0"/>
            <v:stroke on="f"/>
            <v:imagedata r:id="rId38" o:title=""/>
            <o:lock v:ext="edit" aspectratio="f"/>
            <w10:wrap type="none"/>
            <w10:anchorlock/>
          </v:shape>
          <o:OLEObject Type="Embed" ProgID="Visio.Drawing.11" ShapeID="_x0000_i1032" DrawAspect="Content" ObjectID="_1468075732" r:id="rId37">
            <o:LockedField>false</o:LockedField>
          </o:OLEObject>
        </w:object>
      </w:r>
    </w:p>
    <w:p>
      <w:pPr>
        <w:pStyle w:val="8"/>
        <w:keepNext w:val="0"/>
        <w:keepLines w:val="0"/>
        <w:pageBreakBefore w:val="0"/>
        <w:widowControl w:val="0"/>
        <w:kinsoku/>
        <w:wordWrap/>
        <w:overflowPunct/>
        <w:topLinePunct w:val="0"/>
        <w:autoSpaceDE w:val="0"/>
        <w:autoSpaceDN w:val="0"/>
        <w:bidi w:val="0"/>
        <w:adjustRightInd/>
        <w:snapToGrid w:val="0"/>
        <w:spacing w:line="240" w:lineRule="auto"/>
        <w:ind w:left="0" w:leftChars="0" w:firstLine="0" w:firstLineChars="0"/>
        <w:jc w:val="center"/>
        <w:textAlignment w:val="auto"/>
        <w:rPr>
          <w:rFonts w:hint="default" w:ascii="Times New Roman" w:hAnsi="Times New Roman" w:eastAsia="宋体" w:cs="Times New Roman"/>
          <w:b/>
          <w:bCs/>
          <w:kern w:val="0"/>
          <w:sz w:val="21"/>
          <w:szCs w:val="21"/>
          <w:lang w:val="en-US" w:eastAsia="zh-CN" w:bidi="ar-SA"/>
        </w:rPr>
      </w:pPr>
      <w:r>
        <w:rPr>
          <w:rFonts w:hint="default" w:ascii="Times New Roman" w:hAnsi="Times New Roman" w:eastAsia="宋体" w:cs="Times New Roman"/>
          <w:b/>
          <w:bCs/>
          <w:color w:val="000000"/>
          <w:sz w:val="21"/>
          <w:szCs w:val="21"/>
        </w:rPr>
        <w:t>图</w:t>
      </w:r>
      <w:r>
        <w:rPr>
          <w:rFonts w:hint="default" w:ascii="Times New Roman" w:hAnsi="Times New Roman" w:eastAsia="宋体" w:cs="Times New Roman"/>
          <w:b/>
          <w:bCs/>
          <w:color w:val="000000"/>
          <w:sz w:val="21"/>
          <w:szCs w:val="21"/>
          <w:lang w:val="en-US" w:eastAsia="zh-CN"/>
        </w:rPr>
        <w:t>3</w:t>
      </w:r>
      <w:r>
        <w:rPr>
          <w:rFonts w:hint="default" w:ascii="Times New Roman" w:hAnsi="Times New Roman" w:eastAsia="宋体" w:cs="Times New Roman"/>
          <w:b/>
          <w:bCs/>
          <w:color w:val="000000"/>
          <w:sz w:val="21"/>
          <w:szCs w:val="21"/>
        </w:rPr>
        <w:t xml:space="preserve">.3-1 项目施工期流程及产污节点图 </w:t>
      </w:r>
    </w:p>
    <w:p>
      <w:pPr>
        <w:pStyle w:val="5"/>
        <w:ind w:firstLine="562"/>
      </w:pPr>
      <w:r>
        <w:rPr>
          <w:rFonts w:hint="eastAsia"/>
          <w:lang w:eastAsia="zh-CN"/>
        </w:rPr>
        <w:t>施工期大气污染源分析</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项目施工期产生的空气污染主要来自于施工过程产生的扬尘、运输车辆和施工机械排放的废气。</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1" w:firstLineChars="200"/>
        <w:jc w:val="both"/>
        <w:textAlignment w:val="auto"/>
        <w:rPr>
          <w:rFonts w:hint="eastAsia" w:ascii="Times New Roman" w:hAnsi="Times New Roman" w:cs="Times New Roman"/>
          <w:kern w:val="0"/>
          <w:sz w:val="24"/>
          <w:szCs w:val="24"/>
          <w:lang w:val="en-US" w:eastAsia="zh-CN" w:bidi="ar-SA"/>
        </w:rPr>
      </w:pPr>
      <w:r>
        <w:rPr>
          <w:rFonts w:hint="eastAsia" w:cs="Times New Roman"/>
          <w:b/>
          <w:bCs/>
          <w:kern w:val="0"/>
          <w:sz w:val="24"/>
          <w:szCs w:val="24"/>
          <w:lang w:val="en-US" w:eastAsia="zh-CN" w:bidi="ar-SA"/>
        </w:rPr>
        <w:t>（1）扬尘</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both"/>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项目施工期由于挖取土、填方、推土及搬运泥土和水泥、石灰、沙石等的装卸、运输、拌合过程中有大量尘埃散逸到环境空气中。同时，道路施工时运送物料的汽车运行，在自然风力的作用下土堆、料堆、暂时闲置的裸露施工作业等都会引起扬尘污染，尤其是在风速较大或装卸、汽车行驶速度较快的情况下，扬尘的污染尤为突出。这些大气污染物点较分散，源高一般在15m以下，属于无组织排放，主要污染因子为TSP。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根据类比，受到施工扬尘影响的区域主要是在施工场地的范围内，场地下风向也将受到一定影响，但影响范围不超过下风向200m，100m外不会造成TSP浓度的明显超标。施工扬尘对周围环境的影响情况见表</w:t>
      </w: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.3-1。</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kern w:val="0"/>
          <w:sz w:val="21"/>
          <w:szCs w:val="21"/>
          <w:lang w:val="en-US" w:eastAsia="zh-CN" w:bidi="ar-SA"/>
        </w:rPr>
      </w:pPr>
      <w:r>
        <w:rPr>
          <w:rFonts w:hint="default" w:ascii="Times New Roman" w:hAnsi="Times New Roman" w:eastAsia="宋体" w:cs="Times New Roman"/>
          <w:b/>
          <w:bCs/>
          <w:kern w:val="0"/>
          <w:sz w:val="21"/>
          <w:szCs w:val="21"/>
          <w:lang w:val="en-US" w:eastAsia="zh-CN" w:bidi="ar-SA"/>
        </w:rPr>
        <w:t>表3.3-1   施工扬尘对周围环境的影响（TSP浓度单位：mg/m</w:t>
      </w:r>
      <w:r>
        <w:rPr>
          <w:rFonts w:hint="default" w:ascii="Times New Roman" w:hAnsi="Times New Roman" w:eastAsia="宋体" w:cs="Times New Roman"/>
          <w:b/>
          <w:bCs/>
          <w:kern w:val="0"/>
          <w:sz w:val="21"/>
          <w:szCs w:val="21"/>
          <w:vertAlign w:val="superscript"/>
          <w:lang w:val="en-US" w:eastAsia="zh-CN" w:bidi="ar-SA"/>
        </w:rPr>
        <w:t>3</w:t>
      </w:r>
      <w:r>
        <w:rPr>
          <w:rFonts w:hint="default" w:ascii="Times New Roman" w:hAnsi="Times New Roman" w:eastAsia="宋体" w:cs="Times New Roman"/>
          <w:b/>
          <w:bCs/>
          <w:kern w:val="0"/>
          <w:sz w:val="21"/>
          <w:szCs w:val="21"/>
          <w:lang w:val="en-US" w:eastAsia="zh-CN" w:bidi="ar-SA"/>
        </w:rPr>
        <w:t>）</w:t>
      </w:r>
    </w:p>
    <w:tbl>
      <w:tblPr>
        <w:tblStyle w:val="6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pct"/>
            <w:tcBorders>
              <w:top w:val="single" w:color="auto" w:sz="12" w:space="0"/>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下风向距离m</w:t>
            </w:r>
          </w:p>
        </w:tc>
        <w:tc>
          <w:tcPr>
            <w:tcW w:w="1249" w:type="pct"/>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风俗＜3m/s</w:t>
            </w:r>
          </w:p>
        </w:tc>
        <w:tc>
          <w:tcPr>
            <w:tcW w:w="1250" w:type="pct"/>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风俗3~5m/s</w:t>
            </w:r>
          </w:p>
        </w:tc>
        <w:tc>
          <w:tcPr>
            <w:tcW w:w="1250" w:type="pct"/>
            <w:tcBorders>
              <w:top w:val="single" w:color="auto" w:sz="12" w:space="0"/>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风俗5~8m/s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249" w:type="pct"/>
            <w:tcBorders>
              <w:top w:val="single" w:color="auto" w:sz="12" w:space="0"/>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20</w:t>
            </w:r>
          </w:p>
        </w:tc>
        <w:tc>
          <w:tcPr>
            <w:tcW w:w="1249" w:type="pct"/>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0.20</w:t>
            </w:r>
          </w:p>
        </w:tc>
        <w:tc>
          <w:tcPr>
            <w:tcW w:w="1250" w:type="pct"/>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0.44</w:t>
            </w:r>
          </w:p>
        </w:tc>
        <w:tc>
          <w:tcPr>
            <w:tcW w:w="1250" w:type="pct"/>
            <w:tcBorders>
              <w:top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6" w:hRule="atLeast"/>
        </w:trPr>
        <w:tc>
          <w:tcPr>
            <w:tcW w:w="1249"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50</w:t>
            </w:r>
          </w:p>
        </w:tc>
        <w:tc>
          <w:tcPr>
            <w:tcW w:w="1249"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0.16</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0.38</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2" w:hRule="atLeast"/>
        </w:trPr>
        <w:tc>
          <w:tcPr>
            <w:tcW w:w="1249"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100</w:t>
            </w:r>
          </w:p>
        </w:tc>
        <w:tc>
          <w:tcPr>
            <w:tcW w:w="1249"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0.12</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0.20</w:t>
            </w:r>
          </w:p>
        </w:tc>
        <w:tc>
          <w:tcPr>
            <w:tcW w:w="1250"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8" w:hRule="atLeast"/>
        </w:trPr>
        <w:tc>
          <w:tcPr>
            <w:tcW w:w="1249" w:type="pct"/>
            <w:tcBorders>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200</w:t>
            </w:r>
          </w:p>
        </w:tc>
        <w:tc>
          <w:tcPr>
            <w:tcW w:w="1249" w:type="pct"/>
            <w:tcBorders>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0.06</w:t>
            </w:r>
          </w:p>
        </w:tc>
        <w:tc>
          <w:tcPr>
            <w:tcW w:w="1250" w:type="pct"/>
            <w:tcBorders>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0.10</w:t>
            </w:r>
          </w:p>
        </w:tc>
        <w:tc>
          <w:tcPr>
            <w:tcW w:w="1250" w:type="pct"/>
            <w:tcBorders>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0.12</w:t>
            </w:r>
          </w:p>
        </w:tc>
      </w:tr>
    </w:tbl>
    <w:p>
      <w:pPr>
        <w:pStyle w:val="8"/>
        <w:keepNext w:val="0"/>
        <w:keepLines w:val="0"/>
        <w:pageBreakBefore w:val="0"/>
        <w:widowControl w:val="0"/>
        <w:numPr>
          <w:ilvl w:val="0"/>
          <w:numId w:val="15"/>
        </w:numPr>
        <w:kinsoku/>
        <w:wordWrap/>
        <w:overflowPunct/>
        <w:topLinePunct w:val="0"/>
        <w:autoSpaceDE w:val="0"/>
        <w:autoSpaceDN w:val="0"/>
        <w:bidi w:val="0"/>
        <w:adjustRightInd/>
        <w:snapToGrid/>
        <w:spacing w:line="360" w:lineRule="auto"/>
        <w:ind w:left="0" w:leftChars="0" w:firstLine="481" w:firstLineChars="200"/>
        <w:jc w:val="left"/>
        <w:textAlignment w:val="auto"/>
        <w:rPr>
          <w:rFonts w:hint="eastAsia" w:cs="Times New Roman"/>
          <w:b/>
          <w:bCs/>
          <w:kern w:val="0"/>
          <w:sz w:val="24"/>
          <w:szCs w:val="24"/>
          <w:lang w:val="en-US" w:eastAsia="zh-CN" w:bidi="ar-SA"/>
        </w:rPr>
      </w:pPr>
      <w:r>
        <w:rPr>
          <w:rFonts w:hint="eastAsia" w:cs="Times New Roman"/>
          <w:b/>
          <w:bCs/>
          <w:kern w:val="0"/>
          <w:sz w:val="24"/>
          <w:szCs w:val="24"/>
          <w:lang w:val="en-US" w:eastAsia="zh-CN" w:bidi="ar-SA"/>
        </w:rPr>
        <w:t>运输车辆动力扬尘</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据有关调查显示，运输车辆行驶产生的扬尘，与道路路面及车辆行驶速度有关。在完全干燥的情况下，可按经验公式计算：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0" w:firstLineChars="0"/>
        <w:jc w:val="center"/>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position w:val="-18"/>
          <w:sz w:val="24"/>
          <w:szCs w:val="24"/>
          <w:lang w:val="en-US" w:eastAsia="zh-CN" w:bidi="ar-SA"/>
        </w:rPr>
        <w:object>
          <v:shape id="_x0000_i1033" o:spt="75" type="#_x0000_t75" style="height:26pt;width:162pt;" o:ole="t" filled="f" o:preferrelative="t" stroked="f" coordsize="21600,21600">
            <v:path/>
            <v:fill on="f" focussize="0,0"/>
            <v:stroke on="f"/>
            <v:imagedata r:id="rId40" o:title=""/>
            <o:lock v:ext="edit" aspectratio="t"/>
            <w10:wrap type="none"/>
            <w10:anchorlock/>
          </v:shape>
          <o:OLEObject Type="Embed" ProgID="Equation.KSEE3" ShapeID="_x0000_i1033" DrawAspect="Content" ObjectID="_1468075733" r:id="rId39">
            <o:LockedField>false</o:LockedField>
          </o:OLEObject>
        </w:objec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式中： </w:t>
      </w:r>
      <w:r>
        <w:rPr>
          <w:rFonts w:hint="eastAsia" w:cs="Times New Roman"/>
          <w:kern w:val="0"/>
          <w:sz w:val="24"/>
          <w:szCs w:val="24"/>
          <w:lang w:val="en-US" w:eastAsia="zh-CN" w:bidi="ar-SA"/>
        </w:rPr>
        <w:t xml:space="preserve"> </w:t>
      </w:r>
      <w:r>
        <w:rPr>
          <w:rFonts w:hint="eastAsia" w:ascii="Times New Roman" w:hAnsi="Times New Roman" w:cs="Times New Roman"/>
          <w:kern w:val="0"/>
          <w:sz w:val="24"/>
          <w:szCs w:val="24"/>
          <w:lang w:val="en-US" w:eastAsia="zh-CN" w:bidi="ar-SA"/>
        </w:rPr>
        <w:t xml:space="preserve">Q—汽车行驶时的扬尘，kg/km•辆；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1440" w:firstLineChars="6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V—汽车速度，km/h；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1440" w:firstLineChars="6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W—汽车载重量，t；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1440" w:firstLineChars="6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P—道路表面粉尘量，kg/m</w:t>
      </w:r>
      <w:r>
        <w:rPr>
          <w:rFonts w:hint="eastAsia" w:ascii="Times New Roman" w:hAnsi="Times New Roman" w:cs="Times New Roman"/>
          <w:kern w:val="0"/>
          <w:sz w:val="24"/>
          <w:szCs w:val="24"/>
          <w:vertAlign w:val="superscript"/>
          <w:lang w:val="en-US" w:eastAsia="zh-CN" w:bidi="ar-SA"/>
        </w:rPr>
        <w:t>2</w:t>
      </w:r>
      <w:r>
        <w:rPr>
          <w:rFonts w:hint="eastAsia" w:ascii="Times New Roman" w:hAnsi="Times New Roman" w:cs="Times New Roman"/>
          <w:kern w:val="0"/>
          <w:sz w:val="24"/>
          <w:szCs w:val="24"/>
          <w:lang w:val="en-US" w:eastAsia="zh-CN" w:bidi="ar-SA"/>
        </w:rPr>
        <w:t xml:space="preserve">。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b/>
          <w:bCs/>
          <w:kern w:val="0"/>
          <w:sz w:val="24"/>
          <w:szCs w:val="24"/>
          <w:lang w:val="en-US" w:eastAsia="zh-CN" w:bidi="ar-SA"/>
        </w:rPr>
      </w:pPr>
      <w:r>
        <w:rPr>
          <w:rFonts w:hint="eastAsia" w:ascii="Times New Roman" w:hAnsi="Times New Roman" w:cs="Times New Roman"/>
          <w:kern w:val="0"/>
          <w:sz w:val="24"/>
          <w:szCs w:val="24"/>
          <w:lang w:val="en-US" w:eastAsia="zh-CN" w:bidi="ar-SA"/>
        </w:rPr>
        <w:t>表</w:t>
      </w: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 xml:space="preserve">.3-2中为一辆10吨卡车，通过一段长度为1km的路面时，不同路面清洁程度，不同行驶速度情况下的扬尘量。 </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cs="Times New Roman"/>
          <w:b/>
          <w:bCs/>
          <w:kern w:val="0"/>
          <w:sz w:val="21"/>
          <w:szCs w:val="21"/>
          <w:lang w:val="en-US" w:eastAsia="zh-CN" w:bidi="ar-SA"/>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cs="Times New Roman"/>
          <w:b/>
          <w:bCs/>
          <w:kern w:val="0"/>
          <w:sz w:val="21"/>
          <w:szCs w:val="21"/>
          <w:lang w:val="en-US" w:eastAsia="zh-CN" w:bidi="ar-SA"/>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ascii="Times New Roman" w:hAnsi="Times New Roman" w:cs="Times New Roman"/>
          <w:kern w:val="0"/>
          <w:sz w:val="24"/>
          <w:szCs w:val="24"/>
          <w:lang w:val="en-US" w:eastAsia="zh-CN" w:bidi="ar-SA"/>
        </w:rPr>
      </w:pPr>
      <w:r>
        <w:rPr>
          <w:rFonts w:hint="default" w:ascii="Times New Roman" w:hAnsi="Times New Roman" w:cs="Times New Roman"/>
          <w:b/>
          <w:bCs/>
          <w:kern w:val="0"/>
          <w:sz w:val="21"/>
          <w:szCs w:val="21"/>
          <w:lang w:val="en-US" w:eastAsia="zh-CN" w:bidi="ar-SA"/>
        </w:rPr>
        <w:t>表3.3-2 在不同车速和地面清洁程度的汽车扬尘 单位：kg/辆•m</w:t>
      </w:r>
    </w:p>
    <w:tbl>
      <w:tblPr>
        <w:tblStyle w:val="6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7"/>
        <w:gridCol w:w="1217"/>
        <w:gridCol w:w="1217"/>
        <w:gridCol w:w="1217"/>
        <w:gridCol w:w="1218"/>
        <w:gridCol w:w="1218"/>
        <w:gridCol w:w="12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pct"/>
            <w:tcBorders>
              <w:top w:val="single" w:color="auto" w:sz="12" w:space="0"/>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车速</w:t>
            </w:r>
          </w:p>
        </w:tc>
        <w:tc>
          <w:tcPr>
            <w:tcW w:w="714" w:type="pct"/>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0.1（kg/m</w:t>
            </w:r>
            <w:r>
              <w:rPr>
                <w:rFonts w:hint="eastAsia" w:cs="Times New Roman"/>
                <w:kern w:val="0"/>
                <w:sz w:val="21"/>
                <w:szCs w:val="21"/>
                <w:vertAlign w:val="superscript"/>
                <w:lang w:val="en-US" w:eastAsia="zh-CN" w:bidi="ar-SA"/>
              </w:rPr>
              <w:t>2</w:t>
            </w:r>
            <w:r>
              <w:rPr>
                <w:rFonts w:hint="eastAsia" w:cs="Times New Roman"/>
                <w:kern w:val="0"/>
                <w:sz w:val="21"/>
                <w:szCs w:val="21"/>
                <w:vertAlign w:val="baseline"/>
                <w:lang w:val="en-US" w:eastAsia="zh-CN" w:bidi="ar-SA"/>
              </w:rPr>
              <w:t>）</w:t>
            </w:r>
          </w:p>
        </w:tc>
        <w:tc>
          <w:tcPr>
            <w:tcW w:w="714" w:type="pct"/>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0.2（kg/m</w:t>
            </w:r>
            <w:r>
              <w:rPr>
                <w:rFonts w:hint="eastAsia" w:cs="Times New Roman"/>
                <w:kern w:val="0"/>
                <w:sz w:val="21"/>
                <w:szCs w:val="21"/>
                <w:vertAlign w:val="superscript"/>
                <w:lang w:val="en-US" w:eastAsia="zh-CN" w:bidi="ar-SA"/>
              </w:rPr>
              <w:t>2</w:t>
            </w:r>
            <w:r>
              <w:rPr>
                <w:rFonts w:hint="eastAsia" w:cs="Times New Roman"/>
                <w:kern w:val="0"/>
                <w:sz w:val="21"/>
                <w:szCs w:val="21"/>
                <w:vertAlign w:val="baseline"/>
                <w:lang w:val="en-US" w:eastAsia="zh-CN" w:bidi="ar-SA"/>
              </w:rPr>
              <w:t>）</w:t>
            </w:r>
          </w:p>
        </w:tc>
        <w:tc>
          <w:tcPr>
            <w:tcW w:w="714" w:type="pct"/>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0.3（kg/m</w:t>
            </w:r>
            <w:r>
              <w:rPr>
                <w:rFonts w:hint="eastAsia" w:cs="Times New Roman"/>
                <w:kern w:val="0"/>
                <w:sz w:val="21"/>
                <w:szCs w:val="21"/>
                <w:vertAlign w:val="superscript"/>
                <w:lang w:val="en-US" w:eastAsia="zh-CN" w:bidi="ar-SA"/>
              </w:rPr>
              <w:t>2</w:t>
            </w:r>
            <w:r>
              <w:rPr>
                <w:rFonts w:hint="eastAsia" w:cs="Times New Roman"/>
                <w:kern w:val="0"/>
                <w:sz w:val="21"/>
                <w:szCs w:val="21"/>
                <w:vertAlign w:val="baseline"/>
                <w:lang w:val="en-US" w:eastAsia="zh-CN" w:bidi="ar-SA"/>
              </w:rPr>
              <w:t>）</w:t>
            </w:r>
          </w:p>
        </w:tc>
        <w:tc>
          <w:tcPr>
            <w:tcW w:w="714" w:type="pct"/>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0.4（kg/m</w:t>
            </w:r>
            <w:r>
              <w:rPr>
                <w:rFonts w:hint="eastAsia" w:cs="Times New Roman"/>
                <w:kern w:val="0"/>
                <w:sz w:val="21"/>
                <w:szCs w:val="21"/>
                <w:vertAlign w:val="superscript"/>
                <w:lang w:val="en-US" w:eastAsia="zh-CN" w:bidi="ar-SA"/>
              </w:rPr>
              <w:t>2</w:t>
            </w:r>
            <w:r>
              <w:rPr>
                <w:rFonts w:hint="eastAsia" w:cs="Times New Roman"/>
                <w:kern w:val="0"/>
                <w:sz w:val="21"/>
                <w:szCs w:val="21"/>
                <w:vertAlign w:val="baseline"/>
                <w:lang w:val="en-US" w:eastAsia="zh-CN" w:bidi="ar-SA"/>
              </w:rPr>
              <w:t>）</w:t>
            </w:r>
          </w:p>
        </w:tc>
        <w:tc>
          <w:tcPr>
            <w:tcW w:w="714" w:type="pct"/>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0.5（kg/m</w:t>
            </w:r>
            <w:r>
              <w:rPr>
                <w:rFonts w:hint="eastAsia" w:cs="Times New Roman"/>
                <w:kern w:val="0"/>
                <w:sz w:val="21"/>
                <w:szCs w:val="21"/>
                <w:vertAlign w:val="superscript"/>
                <w:lang w:val="en-US" w:eastAsia="zh-CN" w:bidi="ar-SA"/>
              </w:rPr>
              <w:t>2</w:t>
            </w:r>
            <w:r>
              <w:rPr>
                <w:rFonts w:hint="eastAsia" w:cs="Times New Roman"/>
                <w:kern w:val="0"/>
                <w:sz w:val="21"/>
                <w:szCs w:val="21"/>
                <w:vertAlign w:val="baseline"/>
                <w:lang w:val="en-US" w:eastAsia="zh-CN" w:bidi="ar-SA"/>
              </w:rPr>
              <w:t>）</w:t>
            </w:r>
          </w:p>
        </w:tc>
        <w:tc>
          <w:tcPr>
            <w:tcW w:w="714" w:type="pct"/>
            <w:tcBorders>
              <w:top w:val="single" w:color="auto" w:sz="12" w:space="0"/>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1（kg/m</w:t>
            </w:r>
            <w:r>
              <w:rPr>
                <w:rFonts w:hint="eastAsia" w:cs="Times New Roman"/>
                <w:kern w:val="0"/>
                <w:sz w:val="21"/>
                <w:szCs w:val="21"/>
                <w:vertAlign w:val="superscript"/>
                <w:lang w:val="en-US" w:eastAsia="zh-CN" w:bidi="ar-SA"/>
              </w:rPr>
              <w:t>2</w:t>
            </w:r>
            <w:r>
              <w:rPr>
                <w:rFonts w:hint="eastAsia" w:cs="Times New Roman"/>
                <w:kern w:val="0"/>
                <w:sz w:val="21"/>
                <w:szCs w:val="21"/>
                <w:vertAlign w:val="baseline"/>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6" w:hRule="atLeast"/>
        </w:trPr>
        <w:tc>
          <w:tcPr>
            <w:tcW w:w="714" w:type="pct"/>
            <w:tcBorders>
              <w:top w:val="single" w:color="auto" w:sz="12" w:space="0"/>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5（km/hr）</w:t>
            </w:r>
          </w:p>
        </w:tc>
        <w:tc>
          <w:tcPr>
            <w:tcW w:w="714" w:type="pct"/>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0.051</w:t>
            </w:r>
          </w:p>
        </w:tc>
        <w:tc>
          <w:tcPr>
            <w:tcW w:w="714" w:type="pct"/>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0.086</w:t>
            </w:r>
          </w:p>
        </w:tc>
        <w:tc>
          <w:tcPr>
            <w:tcW w:w="714" w:type="pct"/>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0.116</w:t>
            </w:r>
          </w:p>
        </w:tc>
        <w:tc>
          <w:tcPr>
            <w:tcW w:w="714" w:type="pct"/>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0.144</w:t>
            </w:r>
          </w:p>
        </w:tc>
        <w:tc>
          <w:tcPr>
            <w:tcW w:w="714" w:type="pct"/>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0.171</w:t>
            </w:r>
          </w:p>
        </w:tc>
        <w:tc>
          <w:tcPr>
            <w:tcW w:w="714" w:type="pct"/>
            <w:tcBorders>
              <w:top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0.287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6" w:hRule="atLeast"/>
        </w:trPr>
        <w:tc>
          <w:tcPr>
            <w:tcW w:w="714"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10（km/hr）</w:t>
            </w:r>
          </w:p>
        </w:tc>
        <w:tc>
          <w:tcPr>
            <w:tcW w:w="714"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0.102</w:t>
            </w:r>
          </w:p>
        </w:tc>
        <w:tc>
          <w:tcPr>
            <w:tcW w:w="714"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0.171</w:t>
            </w:r>
          </w:p>
        </w:tc>
        <w:tc>
          <w:tcPr>
            <w:tcW w:w="714"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0.232</w:t>
            </w:r>
          </w:p>
        </w:tc>
        <w:tc>
          <w:tcPr>
            <w:tcW w:w="714"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0.289</w:t>
            </w:r>
          </w:p>
        </w:tc>
        <w:tc>
          <w:tcPr>
            <w:tcW w:w="714"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0.341</w:t>
            </w:r>
          </w:p>
        </w:tc>
        <w:tc>
          <w:tcPr>
            <w:tcW w:w="714"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0.574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15（km/hr）</w:t>
            </w:r>
          </w:p>
        </w:tc>
        <w:tc>
          <w:tcPr>
            <w:tcW w:w="714"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0.153</w:t>
            </w:r>
          </w:p>
        </w:tc>
        <w:tc>
          <w:tcPr>
            <w:tcW w:w="714"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0.257</w:t>
            </w:r>
          </w:p>
        </w:tc>
        <w:tc>
          <w:tcPr>
            <w:tcW w:w="714"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0.349</w:t>
            </w:r>
          </w:p>
        </w:tc>
        <w:tc>
          <w:tcPr>
            <w:tcW w:w="714"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0.433</w:t>
            </w:r>
          </w:p>
        </w:tc>
        <w:tc>
          <w:tcPr>
            <w:tcW w:w="714"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0.512</w:t>
            </w:r>
          </w:p>
        </w:tc>
        <w:tc>
          <w:tcPr>
            <w:tcW w:w="714" w:type="pc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0.861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pct"/>
            <w:tcBorders>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20（km/hr）</w:t>
            </w:r>
          </w:p>
        </w:tc>
        <w:tc>
          <w:tcPr>
            <w:tcW w:w="714" w:type="pct"/>
            <w:tcBorders>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0.255</w:t>
            </w:r>
          </w:p>
        </w:tc>
        <w:tc>
          <w:tcPr>
            <w:tcW w:w="714" w:type="pct"/>
            <w:tcBorders>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0.429</w:t>
            </w:r>
          </w:p>
        </w:tc>
        <w:tc>
          <w:tcPr>
            <w:tcW w:w="714" w:type="pct"/>
            <w:tcBorders>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0.582</w:t>
            </w:r>
          </w:p>
        </w:tc>
        <w:tc>
          <w:tcPr>
            <w:tcW w:w="714" w:type="pct"/>
            <w:tcBorders>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0.722</w:t>
            </w:r>
          </w:p>
        </w:tc>
        <w:tc>
          <w:tcPr>
            <w:tcW w:w="714" w:type="pct"/>
            <w:tcBorders>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0.853</w:t>
            </w:r>
          </w:p>
        </w:tc>
        <w:tc>
          <w:tcPr>
            <w:tcW w:w="714" w:type="pct"/>
            <w:tcBorders>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1.435</w:t>
            </w:r>
          </w:p>
        </w:tc>
      </w:tr>
    </w:tbl>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由表</w:t>
      </w: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 xml:space="preserve">.3-2可知，在同样路面清洁程度条件下，车速越快，扬尘量越大；在同样车速情况下，路面越脏，扬尘量越大。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1" w:firstLineChars="200"/>
        <w:jc w:val="left"/>
        <w:textAlignment w:val="auto"/>
        <w:rPr>
          <w:rFonts w:hint="eastAsia" w:ascii="Times New Roman" w:hAnsi="Times New Roman" w:cs="Times New Roman"/>
          <w:b/>
          <w:bCs/>
          <w:kern w:val="0"/>
          <w:sz w:val="24"/>
          <w:szCs w:val="24"/>
          <w:lang w:val="en-US" w:eastAsia="zh-CN" w:bidi="ar-SA"/>
        </w:rPr>
      </w:pPr>
      <w:r>
        <w:rPr>
          <w:rFonts w:hint="eastAsia" w:cs="Times New Roman"/>
          <w:b/>
          <w:bCs/>
          <w:kern w:val="0"/>
          <w:sz w:val="24"/>
          <w:szCs w:val="24"/>
          <w:lang w:val="en-US" w:eastAsia="zh-CN" w:bidi="ar-SA"/>
        </w:rPr>
        <w:t>（3）施工机械尾气</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项目运送施工材料、设施的重型车辆，挖掘机、推土机等施工机械主要以柴油为燃料，这些车辆和机械在行驶和运行时排放的尾气包含的有害物质主要有CO、THC、SO</w:t>
      </w:r>
      <w:r>
        <w:rPr>
          <w:rFonts w:hint="eastAsia" w:ascii="Times New Roman" w:hAnsi="Times New Roman" w:cs="Times New Roman"/>
          <w:kern w:val="0"/>
          <w:sz w:val="24"/>
          <w:szCs w:val="24"/>
          <w:vertAlign w:val="subscript"/>
          <w:lang w:val="en-US" w:eastAsia="zh-CN" w:bidi="ar-SA"/>
        </w:rPr>
        <w:t>2</w:t>
      </w:r>
      <w:r>
        <w:rPr>
          <w:rFonts w:hint="eastAsia" w:ascii="Times New Roman" w:hAnsi="Times New Roman" w:cs="Times New Roman"/>
          <w:kern w:val="0"/>
          <w:sz w:val="24"/>
          <w:szCs w:val="24"/>
          <w:lang w:val="en-US" w:eastAsia="zh-CN" w:bidi="ar-SA"/>
        </w:rPr>
        <w:t xml:space="preserve">、NOx等，加上重型车辆和机械尾气排放量较大，故尾气排放也会使项目所在区域的大气环境受到污染。项目施工机械均较为分散，机械数量不大，产生的燃油尾气量不大。 </w:t>
      </w:r>
    </w:p>
    <w:p>
      <w:pPr>
        <w:pStyle w:val="5"/>
        <w:ind w:firstLine="562"/>
      </w:pPr>
      <w:r>
        <w:rPr>
          <w:rFonts w:hint="eastAsia"/>
          <w:lang w:eastAsia="zh-CN"/>
        </w:rPr>
        <w:t>施工期废水污染源分析</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项目施工期废水污染源主要包括各种运输车辆及施工机械所产生的清洗废水、施工过程的建筑排水以及施工人员的生活污水。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200"/>
        <w:jc w:val="left"/>
        <w:textAlignment w:val="auto"/>
        <w:rPr>
          <w:rFonts w:hint="eastAsia" w:ascii="Times New Roman" w:hAnsi="Times New Roman" w:cs="Times New Roman"/>
          <w:b/>
          <w:bCs/>
          <w:kern w:val="0"/>
          <w:sz w:val="24"/>
          <w:szCs w:val="24"/>
          <w:lang w:val="en-US" w:eastAsia="zh-CN" w:bidi="ar-SA"/>
        </w:rPr>
      </w:pPr>
      <w:r>
        <w:rPr>
          <w:rFonts w:hint="eastAsia" w:cs="Times New Roman"/>
          <w:b/>
          <w:bCs/>
          <w:kern w:val="0"/>
          <w:sz w:val="24"/>
          <w:szCs w:val="24"/>
          <w:lang w:val="en-US" w:eastAsia="zh-CN" w:bidi="ar-SA"/>
        </w:rPr>
        <w:t>（1）</w:t>
      </w:r>
      <w:r>
        <w:rPr>
          <w:rFonts w:hint="eastAsia" w:ascii="Times New Roman" w:hAnsi="Times New Roman" w:cs="Times New Roman"/>
          <w:b/>
          <w:bCs/>
          <w:kern w:val="0"/>
          <w:sz w:val="24"/>
          <w:szCs w:val="24"/>
          <w:lang w:val="en-US" w:eastAsia="zh-CN" w:bidi="ar-SA"/>
        </w:rPr>
        <w:t xml:space="preserve">施工废水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 xml:space="preserve">项目施工废水包括清洗废水和建筑排水。其中清洗废水的主要污染物是SS和石油类，建筑排水主要污染物是SS。此外，施工机械跑、冒、滴、漏的油污和露天施工机械经雨水等冲刷后的泥浆废水也会产生一定量的含油物质，其主要污染物为石油类。项目产生的施工废水经隔油沉淀池后用于场地喷洒除尘，不外排。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1" w:firstLineChars="200"/>
        <w:jc w:val="left"/>
        <w:textAlignment w:val="auto"/>
        <w:rPr>
          <w:rFonts w:hint="default" w:ascii="Times New Roman" w:hAnsi="Times New Roman" w:eastAsia="宋体" w:cs="Times New Roman"/>
          <w:b/>
          <w:bCs/>
          <w:kern w:val="0"/>
          <w:sz w:val="24"/>
          <w:szCs w:val="24"/>
          <w:lang w:val="en-US" w:eastAsia="zh-CN" w:bidi="ar-SA"/>
        </w:rPr>
      </w:pPr>
      <w:r>
        <w:rPr>
          <w:rFonts w:hint="eastAsia" w:ascii="Times New Roman" w:hAnsi="Times New Roman" w:cs="Times New Roman"/>
          <w:b/>
          <w:bCs/>
          <w:kern w:val="0"/>
          <w:sz w:val="24"/>
          <w:szCs w:val="24"/>
          <w:lang w:val="en-US" w:eastAsia="zh-CN" w:bidi="ar-SA"/>
        </w:rPr>
        <w:t>（2）生活污水</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项目施工期为</w:t>
      </w:r>
      <w:r>
        <w:rPr>
          <w:rFonts w:hint="eastAsia" w:cs="Times New Roman"/>
          <w:kern w:val="0"/>
          <w:sz w:val="24"/>
          <w:szCs w:val="24"/>
          <w:lang w:val="en-US" w:eastAsia="zh-CN" w:bidi="ar-SA"/>
        </w:rPr>
        <w:t>8</w:t>
      </w:r>
      <w:r>
        <w:rPr>
          <w:rFonts w:hint="default" w:ascii="Times New Roman" w:hAnsi="Times New Roman" w:eastAsia="宋体" w:cs="Times New Roman"/>
          <w:kern w:val="0"/>
          <w:sz w:val="24"/>
          <w:szCs w:val="24"/>
          <w:lang w:val="en-US" w:eastAsia="zh-CN" w:bidi="ar-SA"/>
        </w:rPr>
        <w:t>个月（按</w:t>
      </w:r>
      <w:r>
        <w:rPr>
          <w:rFonts w:hint="eastAsia" w:cs="Times New Roman"/>
          <w:kern w:val="0"/>
          <w:sz w:val="24"/>
          <w:szCs w:val="24"/>
          <w:lang w:val="en-US" w:eastAsia="zh-CN" w:bidi="ar-SA"/>
        </w:rPr>
        <w:t>240</w:t>
      </w:r>
      <w:r>
        <w:rPr>
          <w:rFonts w:hint="default" w:ascii="Times New Roman" w:hAnsi="Times New Roman" w:eastAsia="宋体" w:cs="Times New Roman"/>
          <w:kern w:val="0"/>
          <w:sz w:val="24"/>
          <w:szCs w:val="24"/>
          <w:lang w:val="en-US" w:eastAsia="zh-CN" w:bidi="ar-SA"/>
        </w:rPr>
        <w:t>天计），施工平均人数每天按50人计，均不在施工场地食宿；施工人员生活用水量按80L/人·d计，则生活用水量为4m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/d，</w:t>
      </w:r>
      <w:r>
        <w:rPr>
          <w:rFonts w:hint="eastAsia" w:cs="Times New Roman"/>
          <w:kern w:val="0"/>
          <w:sz w:val="24"/>
          <w:szCs w:val="24"/>
          <w:lang w:val="en-US" w:eastAsia="zh-CN" w:bidi="ar-SA"/>
        </w:rPr>
        <w:t>960</w:t>
      </w:r>
      <w:r>
        <w:rPr>
          <w:rFonts w:hint="default" w:ascii="Times New Roman" w:hAnsi="Times New Roman" w:eastAsia="宋体" w:cs="Times New Roman"/>
          <w:kern w:val="0"/>
          <w:sz w:val="24"/>
          <w:szCs w:val="24"/>
          <w:lang w:val="en-US" w:eastAsia="zh-CN" w:bidi="ar-SA"/>
        </w:rPr>
        <w:t>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/a。生活污水产生量按用水量的80%计，则污水产生量为3.2m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/d，</w:t>
      </w:r>
      <w:r>
        <w:rPr>
          <w:rFonts w:hint="eastAsia" w:cs="Times New Roman"/>
          <w:kern w:val="0"/>
          <w:sz w:val="24"/>
          <w:szCs w:val="24"/>
          <w:lang w:val="en-US" w:eastAsia="zh-CN" w:bidi="ar-SA"/>
        </w:rPr>
        <w:t>768</w:t>
      </w:r>
      <w:r>
        <w:rPr>
          <w:rFonts w:hint="default" w:ascii="Times New Roman" w:hAnsi="Times New Roman" w:eastAsia="宋体" w:cs="Times New Roman"/>
          <w:kern w:val="0"/>
          <w:sz w:val="24"/>
          <w:szCs w:val="24"/>
          <w:lang w:val="en-US" w:eastAsia="zh-CN" w:bidi="ar-SA"/>
        </w:rPr>
        <w:t>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/a。根据类比资料，施工生活污水的主要污染因子为COD、BOD、SS和NH</w:t>
      </w:r>
      <w:r>
        <w:rPr>
          <w:rFonts w:hint="default" w:ascii="Times New Roman" w:hAnsi="Times New Roman" w:eastAsia="宋体" w:cs="Times New Roman"/>
          <w:kern w:val="0"/>
          <w:sz w:val="24"/>
          <w:szCs w:val="24"/>
          <w:vertAlign w:val="subscript"/>
          <w:lang w:val="en-US" w:eastAsia="zh-CN" w:bidi="ar-SA"/>
        </w:rPr>
        <w:t>3</w:t>
      </w:r>
      <w:r>
        <w:rPr>
          <w:rFonts w:hint="default" w:ascii="Times New Roman" w:hAnsi="Times New Roman" w:eastAsia="宋体" w:cs="Times New Roman"/>
          <w:kern w:val="0"/>
          <w:sz w:val="24"/>
          <w:szCs w:val="24"/>
          <w:lang w:val="en-US" w:eastAsia="zh-CN" w:bidi="ar-SA"/>
        </w:rPr>
        <w:t>-N等。项目施工期产生的废水水量及经过处理前后水质情况见表</w:t>
      </w:r>
      <w:r>
        <w:rPr>
          <w:rFonts w:hint="eastAsia" w:ascii="Times New Roman" w:hAnsi="Times New Roman" w:cs="Times New Roman"/>
          <w:kern w:val="0"/>
          <w:sz w:val="24"/>
          <w:szCs w:val="24"/>
          <w:lang w:val="en-US" w:eastAsia="zh-CN" w:bidi="ar-SA"/>
        </w:rPr>
        <w:t>3</w:t>
      </w:r>
      <w:r>
        <w:rPr>
          <w:rFonts w:hint="default" w:ascii="Times New Roman" w:hAnsi="Times New Roman" w:eastAsia="宋体" w:cs="Times New Roman"/>
          <w:kern w:val="0"/>
          <w:sz w:val="24"/>
          <w:szCs w:val="24"/>
          <w:lang w:val="en-US" w:eastAsia="zh-CN" w:bidi="ar-SA"/>
        </w:rPr>
        <w:t>.3-3。施工人员生活污水经化粪池处理后</w:t>
      </w:r>
      <w:r>
        <w:rPr>
          <w:rFonts w:hint="eastAsia" w:cs="Times New Roman"/>
          <w:kern w:val="0"/>
          <w:sz w:val="24"/>
          <w:szCs w:val="24"/>
          <w:lang w:val="en-US" w:eastAsia="zh-CN" w:bidi="ar-SA"/>
        </w:rPr>
        <w:t>回用绿化</w:t>
      </w:r>
      <w:r>
        <w:rPr>
          <w:rFonts w:hint="default" w:ascii="Times New Roman" w:hAnsi="Times New Roman" w:eastAsia="宋体" w:cs="Times New Roman"/>
          <w:kern w:val="0"/>
          <w:sz w:val="24"/>
          <w:szCs w:val="24"/>
          <w:lang w:val="en-US" w:eastAsia="zh-CN" w:bidi="ar-SA"/>
        </w:rPr>
        <w:t xml:space="preserve">。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bCs/>
          <w:kern w:val="0"/>
          <w:sz w:val="21"/>
          <w:szCs w:val="21"/>
          <w:lang w:val="en-US" w:eastAsia="zh-CN" w:bidi="ar-SA"/>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bCs/>
          <w:kern w:val="0"/>
          <w:sz w:val="21"/>
          <w:szCs w:val="21"/>
          <w:lang w:val="en-US" w:eastAsia="zh-CN" w:bidi="ar-SA"/>
        </w:rPr>
      </w:pPr>
      <w:r>
        <w:rPr>
          <w:rFonts w:hint="default" w:ascii="Times New Roman" w:hAnsi="Times New Roman" w:eastAsia="宋体" w:cs="Times New Roman"/>
          <w:b/>
          <w:bCs/>
          <w:kern w:val="0"/>
          <w:sz w:val="21"/>
          <w:szCs w:val="21"/>
          <w:lang w:val="en-US" w:eastAsia="zh-CN" w:bidi="ar-SA"/>
        </w:rPr>
        <w:t>表3.3-3   生活污水各污染物产排情况</w:t>
      </w:r>
    </w:p>
    <w:tbl>
      <w:tblPr>
        <w:tblStyle w:val="6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39"/>
        <w:gridCol w:w="1099"/>
        <w:gridCol w:w="1421"/>
        <w:gridCol w:w="1421"/>
        <w:gridCol w:w="1421"/>
        <w:gridCol w:w="1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0" w:type="pct"/>
            <w:tcBorders>
              <w:top w:val="single" w:color="auto" w:sz="12" w:space="0"/>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污染物</w:t>
            </w:r>
          </w:p>
        </w:tc>
        <w:tc>
          <w:tcPr>
            <w:tcW w:w="644" w:type="pct"/>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废水量</w:t>
            </w:r>
          </w:p>
        </w:tc>
        <w:tc>
          <w:tcPr>
            <w:tcW w:w="833" w:type="pct"/>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COD</w:t>
            </w:r>
          </w:p>
        </w:tc>
        <w:tc>
          <w:tcPr>
            <w:tcW w:w="833" w:type="pct"/>
            <w:tcBorders>
              <w:top w:val="single" w:color="auto" w:sz="12" w:space="0"/>
              <w:bottom w:val="single" w:color="auto" w:sz="12" w:space="0"/>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BOD</w:t>
            </w:r>
            <w:r>
              <w:rPr>
                <w:rFonts w:hint="eastAsia" w:ascii="Times New Roman" w:hAnsi="Times New Roman" w:cs="Times New Roman"/>
                <w:kern w:val="0"/>
                <w:sz w:val="21"/>
                <w:szCs w:val="21"/>
                <w:vertAlign w:val="subscript"/>
                <w:lang w:val="en-US" w:eastAsia="zh-CN" w:bidi="ar-SA"/>
              </w:rPr>
              <w:t>5</w:t>
            </w:r>
          </w:p>
        </w:tc>
        <w:tc>
          <w:tcPr>
            <w:tcW w:w="833" w:type="pct"/>
            <w:tcBorders>
              <w:top w:val="single" w:color="auto" w:sz="12" w:space="0"/>
              <w:bottom w:val="single" w:color="auto" w:sz="12" w:space="0"/>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SS</w:t>
            </w:r>
          </w:p>
        </w:tc>
        <w:tc>
          <w:tcPr>
            <w:tcW w:w="833" w:type="pct"/>
            <w:tcBorders>
              <w:top w:val="single" w:color="auto" w:sz="12" w:space="0"/>
              <w:bottom w:val="single" w:color="auto" w:sz="12" w:space="0"/>
              <w:right w:val="nil"/>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NH</w:t>
            </w:r>
            <w:r>
              <w:rPr>
                <w:rFonts w:hint="eastAsia" w:ascii="Times New Roman" w:hAnsi="Times New Roman" w:cs="Times New Roman"/>
                <w:kern w:val="0"/>
                <w:sz w:val="21"/>
                <w:szCs w:val="21"/>
                <w:vertAlign w:val="subscript"/>
                <w:lang w:val="en-US" w:eastAsia="zh-CN" w:bidi="ar-SA"/>
              </w:rPr>
              <w:t>3</w:t>
            </w:r>
            <w:r>
              <w:rPr>
                <w:rFonts w:hint="eastAsia" w:ascii="Times New Roman" w:hAnsi="Times New Roman" w:cs="Times New Roman"/>
                <w:kern w:val="0"/>
                <w:sz w:val="21"/>
                <w:szCs w:val="21"/>
                <w:vertAlign w:val="baseline"/>
                <w:lang w:val="en-US" w:eastAsia="zh-CN" w:bidi="ar-SA"/>
              </w:rPr>
              <w:t>-N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0" w:type="pct"/>
            <w:tcBorders>
              <w:top w:val="single" w:color="auto" w:sz="12" w:space="0"/>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产生浓度（mg/L）</w:t>
            </w:r>
          </w:p>
        </w:tc>
        <w:tc>
          <w:tcPr>
            <w:tcW w:w="644" w:type="pct"/>
            <w:vMerge w:val="restart"/>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4"/>
                <w:szCs w:val="24"/>
                <w:lang w:val="en-US" w:eastAsia="zh-CN" w:bidi="ar-SA"/>
              </w:rPr>
              <w:t>768</w:t>
            </w:r>
            <w:r>
              <w:rPr>
                <w:rFonts w:hint="default" w:ascii="Times New Roman" w:hAnsi="Times New Roman" w:eastAsia="宋体" w:cs="Times New Roman"/>
                <w:kern w:val="0"/>
                <w:sz w:val="24"/>
                <w:szCs w:val="24"/>
                <w:lang w:val="en-US" w:eastAsia="zh-CN" w:bidi="ar-SA"/>
              </w:rPr>
              <w:t>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/a</w:t>
            </w:r>
          </w:p>
        </w:tc>
        <w:tc>
          <w:tcPr>
            <w:tcW w:w="833" w:type="pct"/>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300</w:t>
            </w:r>
          </w:p>
        </w:tc>
        <w:tc>
          <w:tcPr>
            <w:tcW w:w="833" w:type="pct"/>
            <w:tcBorders>
              <w:top w:val="single" w:color="auto" w:sz="12" w:space="0"/>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200</w:t>
            </w:r>
          </w:p>
        </w:tc>
        <w:tc>
          <w:tcPr>
            <w:tcW w:w="833" w:type="pct"/>
            <w:tcBorders>
              <w:top w:val="single" w:color="auto" w:sz="12" w:space="0"/>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200</w:t>
            </w:r>
          </w:p>
        </w:tc>
        <w:tc>
          <w:tcPr>
            <w:tcW w:w="833" w:type="pct"/>
            <w:tcBorders>
              <w:top w:val="single" w:color="auto" w:sz="12" w:space="0"/>
              <w:right w:val="nil"/>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0" w:type="pc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产生量（t/a）</w:t>
            </w:r>
          </w:p>
        </w:tc>
        <w:tc>
          <w:tcPr>
            <w:tcW w:w="644" w:type="pct"/>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p>
        </w:tc>
        <w:tc>
          <w:tcPr>
            <w:tcW w:w="833"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0.173</w:t>
            </w:r>
          </w:p>
        </w:tc>
        <w:tc>
          <w:tcPr>
            <w:tcW w:w="833" w:type="pct"/>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0.115</w:t>
            </w:r>
          </w:p>
        </w:tc>
        <w:tc>
          <w:tcPr>
            <w:tcW w:w="833" w:type="pct"/>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0.115</w:t>
            </w:r>
          </w:p>
        </w:tc>
        <w:tc>
          <w:tcPr>
            <w:tcW w:w="833" w:type="pct"/>
            <w:tcBorders>
              <w:right w:val="nil"/>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0.017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20" w:type="pc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排放</w:t>
            </w:r>
            <w:r>
              <w:rPr>
                <w:rFonts w:hint="eastAsia" w:ascii="Times New Roman" w:hAnsi="Times New Roman" w:cs="Times New Roman"/>
                <w:kern w:val="0"/>
                <w:sz w:val="21"/>
                <w:szCs w:val="21"/>
                <w:vertAlign w:val="baseline"/>
                <w:lang w:val="en-US" w:eastAsia="zh-CN" w:bidi="ar-SA"/>
              </w:rPr>
              <w:t>浓度（mg/L）</w:t>
            </w:r>
          </w:p>
        </w:tc>
        <w:tc>
          <w:tcPr>
            <w:tcW w:w="644" w:type="pct"/>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p>
        </w:tc>
        <w:tc>
          <w:tcPr>
            <w:tcW w:w="833"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250</w:t>
            </w:r>
          </w:p>
        </w:tc>
        <w:tc>
          <w:tcPr>
            <w:tcW w:w="833" w:type="pct"/>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150</w:t>
            </w:r>
          </w:p>
        </w:tc>
        <w:tc>
          <w:tcPr>
            <w:tcW w:w="833" w:type="pct"/>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150</w:t>
            </w:r>
          </w:p>
        </w:tc>
        <w:tc>
          <w:tcPr>
            <w:tcW w:w="833" w:type="pct"/>
            <w:tcBorders>
              <w:right w:val="nil"/>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0" w:type="pct"/>
            <w:tcBorders>
              <w:left w:val="nil"/>
              <w:bottom w:val="single" w:color="auto" w:sz="12" w:space="0"/>
            </w:tcBorders>
            <w:vAlign w:val="top"/>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排放</w:t>
            </w:r>
            <w:r>
              <w:rPr>
                <w:rFonts w:hint="eastAsia" w:ascii="Times New Roman" w:hAnsi="Times New Roman" w:cs="Times New Roman"/>
                <w:kern w:val="0"/>
                <w:sz w:val="21"/>
                <w:szCs w:val="21"/>
                <w:vertAlign w:val="baseline"/>
                <w:lang w:val="en-US" w:eastAsia="zh-CN" w:bidi="ar-SA"/>
              </w:rPr>
              <w:t>量（t/a）</w:t>
            </w:r>
          </w:p>
        </w:tc>
        <w:tc>
          <w:tcPr>
            <w:tcW w:w="644" w:type="pct"/>
            <w:vMerge w:val="continue"/>
            <w:tcBorders>
              <w:bottom w:val="single" w:color="auto" w:sz="12" w:space="0"/>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p>
        </w:tc>
        <w:tc>
          <w:tcPr>
            <w:tcW w:w="833" w:type="pct"/>
            <w:tcBorders>
              <w:bottom w:val="single" w:color="auto" w:sz="12" w:space="0"/>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0.144</w:t>
            </w:r>
          </w:p>
        </w:tc>
        <w:tc>
          <w:tcPr>
            <w:tcW w:w="833" w:type="pct"/>
            <w:tcBorders>
              <w:bottom w:val="single" w:color="auto" w:sz="12" w:space="0"/>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0.086</w:t>
            </w:r>
          </w:p>
        </w:tc>
        <w:tc>
          <w:tcPr>
            <w:tcW w:w="833" w:type="pct"/>
            <w:tcBorders>
              <w:bottom w:val="single" w:color="auto" w:sz="12" w:space="0"/>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0.086</w:t>
            </w:r>
          </w:p>
        </w:tc>
        <w:tc>
          <w:tcPr>
            <w:tcW w:w="833" w:type="pct"/>
            <w:tcBorders>
              <w:bottom w:val="single" w:color="auto" w:sz="12" w:space="0"/>
              <w:right w:val="nil"/>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0.017</w:t>
            </w:r>
          </w:p>
        </w:tc>
      </w:tr>
    </w:tbl>
    <w:p>
      <w:pPr>
        <w:pStyle w:val="5"/>
        <w:ind w:firstLine="562"/>
      </w:pPr>
      <w:r>
        <w:rPr>
          <w:rFonts w:hint="eastAsia"/>
          <w:lang w:eastAsia="zh-CN"/>
        </w:rPr>
        <w:t>施工期噪声污染源分析</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项目施工期的噪声源主要是施工机械噪声、施工作业噪声以及交通噪声。在施工过程中，土石方开挖、钻孔、砂石料破碎、混凝土搅拌和浇筑、大型机械设备和运输车辆的运行等都将产生较强的噪声，且这些噪声均为间歇性非稳定声源。参考类比调查资料，项目主要施工机械噪声值见表</w:t>
      </w:r>
      <w:r>
        <w:rPr>
          <w:rFonts w:hint="eastAsia" w:ascii="Times New Roman" w:hAnsi="Times New Roman" w:cs="Times New Roman"/>
          <w:kern w:val="0"/>
          <w:sz w:val="24"/>
          <w:szCs w:val="24"/>
          <w:lang w:val="en-US" w:eastAsia="zh-CN" w:bidi="ar-SA"/>
        </w:rPr>
        <w:t>3</w:t>
      </w:r>
      <w:r>
        <w:rPr>
          <w:rFonts w:hint="default" w:ascii="Times New Roman" w:hAnsi="Times New Roman" w:eastAsia="宋体" w:cs="Times New Roman"/>
          <w:kern w:val="0"/>
          <w:sz w:val="24"/>
          <w:szCs w:val="24"/>
          <w:lang w:val="en-US" w:eastAsia="zh-CN" w:bidi="ar-SA"/>
        </w:rPr>
        <w:t xml:space="preserve">.3-4。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bCs/>
          <w:kern w:val="0"/>
          <w:sz w:val="21"/>
          <w:szCs w:val="21"/>
          <w:lang w:val="en-US" w:eastAsia="zh-CN" w:bidi="ar-SA"/>
        </w:rPr>
      </w:pPr>
      <w:r>
        <w:rPr>
          <w:rFonts w:hint="default" w:ascii="Times New Roman" w:hAnsi="Times New Roman" w:eastAsia="宋体" w:cs="Times New Roman"/>
          <w:b/>
          <w:bCs/>
          <w:kern w:val="0"/>
          <w:sz w:val="21"/>
          <w:szCs w:val="21"/>
          <w:lang w:val="en-US" w:eastAsia="zh-CN" w:bidi="ar-SA"/>
        </w:rPr>
        <w:t>表3.3-4   各种施工机械噪声值   单位：dB（A）</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0"/>
        <w:gridCol w:w="1420"/>
        <w:gridCol w:w="1211"/>
        <w:gridCol w:w="1629"/>
        <w:gridCol w:w="1421"/>
        <w:gridCol w:w="1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tcBorders>
              <w:top w:val="single" w:color="auto" w:sz="12" w:space="0"/>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挖掘机</w:t>
            </w:r>
          </w:p>
        </w:tc>
        <w:tc>
          <w:tcPr>
            <w:tcW w:w="1420"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装载机</w:t>
            </w:r>
          </w:p>
        </w:tc>
        <w:tc>
          <w:tcPr>
            <w:tcW w:w="1211"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推土机</w:t>
            </w:r>
          </w:p>
        </w:tc>
        <w:tc>
          <w:tcPr>
            <w:tcW w:w="1629"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混凝土搅拌机</w:t>
            </w:r>
          </w:p>
        </w:tc>
        <w:tc>
          <w:tcPr>
            <w:tcW w:w="1421"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捣振器</w:t>
            </w:r>
          </w:p>
        </w:tc>
        <w:tc>
          <w:tcPr>
            <w:tcW w:w="1421" w:type="dxa"/>
            <w:tcBorders>
              <w:top w:val="single" w:color="auto" w:sz="12" w:space="0"/>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卡车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tcBorders>
              <w:top w:val="single" w:color="auto" w:sz="12" w:space="0"/>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85.0</w:t>
            </w:r>
          </w:p>
        </w:tc>
        <w:tc>
          <w:tcPr>
            <w:tcW w:w="1420"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85.0</w:t>
            </w:r>
          </w:p>
        </w:tc>
        <w:tc>
          <w:tcPr>
            <w:tcW w:w="1211"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85.0</w:t>
            </w:r>
          </w:p>
        </w:tc>
        <w:tc>
          <w:tcPr>
            <w:tcW w:w="1629"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90.0</w:t>
            </w:r>
          </w:p>
        </w:tc>
        <w:tc>
          <w:tcPr>
            <w:tcW w:w="1421"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95.0</w:t>
            </w:r>
          </w:p>
        </w:tc>
        <w:tc>
          <w:tcPr>
            <w:tcW w:w="1421" w:type="dxa"/>
            <w:tcBorders>
              <w:top w:val="single" w:color="auto" w:sz="12" w:space="0"/>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82.0</w:t>
            </w:r>
          </w:p>
        </w:tc>
      </w:tr>
    </w:tbl>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left"/>
        <w:textAlignment w:val="auto"/>
        <w:rPr>
          <w:rFonts w:hint="eastAsia" w:ascii="Times New Roman" w:hAnsi="Times New Roman" w:cs="Times New Roman"/>
          <w:kern w:val="0"/>
          <w:sz w:val="24"/>
          <w:szCs w:val="24"/>
          <w:lang w:val="en-US" w:eastAsia="zh-CN" w:bidi="ar-SA"/>
        </w:rPr>
      </w:pPr>
      <w:r>
        <w:rPr>
          <w:rFonts w:hint="default" w:ascii="Times New Roman" w:hAnsi="Times New Roman" w:eastAsia="宋体" w:cs="Times New Roman"/>
          <w:b/>
          <w:bCs/>
          <w:kern w:val="0"/>
          <w:sz w:val="18"/>
          <w:szCs w:val="18"/>
          <w:lang w:val="en-US" w:eastAsia="zh-CN" w:bidi="ar-SA"/>
        </w:rPr>
        <w:t>注：监测距离为距声源1m。</w:t>
      </w:r>
    </w:p>
    <w:p>
      <w:pPr>
        <w:pStyle w:val="5"/>
        <w:ind w:firstLine="562"/>
      </w:pPr>
      <w:r>
        <w:rPr>
          <w:rFonts w:hint="eastAsia"/>
          <w:lang w:eastAsia="zh-CN"/>
        </w:rPr>
        <w:t>施工期固体废物污染源分析</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项目施工期产生的固体废物主要包括建筑垃圾、废弃土方和施工人员产生的生活垃圾。</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200"/>
        <w:jc w:val="left"/>
        <w:textAlignment w:val="auto"/>
        <w:rPr>
          <w:rFonts w:hint="default" w:ascii="Times New Roman" w:hAnsi="Times New Roman" w:eastAsia="宋体" w:cs="Times New Roman"/>
          <w:b/>
          <w:bCs/>
          <w:kern w:val="0"/>
          <w:sz w:val="24"/>
          <w:szCs w:val="24"/>
          <w:lang w:val="en-US" w:eastAsia="zh-CN" w:bidi="ar-SA"/>
        </w:rPr>
      </w:pPr>
      <w:r>
        <w:rPr>
          <w:rFonts w:hint="eastAsia" w:ascii="Times New Roman" w:hAnsi="Times New Roman" w:cs="Times New Roman"/>
          <w:b/>
          <w:bCs/>
          <w:kern w:val="0"/>
          <w:sz w:val="24"/>
          <w:szCs w:val="24"/>
          <w:lang w:val="en-US" w:eastAsia="zh-CN" w:bidi="ar-SA"/>
        </w:rPr>
        <w:t>（1）</w:t>
      </w:r>
      <w:r>
        <w:rPr>
          <w:rFonts w:hint="default" w:ascii="Times New Roman" w:hAnsi="Times New Roman" w:eastAsia="宋体" w:cs="Times New Roman"/>
          <w:b/>
          <w:bCs/>
          <w:kern w:val="0"/>
          <w:sz w:val="24"/>
          <w:szCs w:val="24"/>
          <w:lang w:val="en-US" w:eastAsia="zh-CN" w:bidi="ar-SA"/>
        </w:rPr>
        <w:t xml:space="preserve">生活垃圾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项目场地施工人员拟定50人，生活垃圾产生量以1.0kg/(d·人)计，生活垃圾产生量为50kg/d，</w:t>
      </w:r>
      <w:r>
        <w:rPr>
          <w:rFonts w:hint="eastAsia" w:ascii="Times New Roman" w:hAnsi="Times New Roman" w:cs="Times New Roman"/>
          <w:kern w:val="0"/>
          <w:sz w:val="24"/>
          <w:szCs w:val="24"/>
          <w:lang w:val="en-US" w:eastAsia="zh-CN" w:bidi="ar-SA"/>
        </w:rPr>
        <w:t>9</w:t>
      </w:r>
      <w:r>
        <w:rPr>
          <w:rFonts w:hint="default" w:ascii="Times New Roman" w:hAnsi="Times New Roman" w:eastAsia="宋体" w:cs="Times New Roman"/>
          <w:kern w:val="0"/>
          <w:sz w:val="24"/>
          <w:szCs w:val="24"/>
          <w:lang w:val="en-US" w:eastAsia="zh-CN" w:bidi="ar-SA"/>
        </w:rPr>
        <w:t xml:space="preserve">t/a。施工期生活垃圾应采用定点收集方式，设立专门的容器加以收集，并运往附近村屯的生活垃圾处理点处置。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1" w:firstLineChars="200"/>
        <w:jc w:val="left"/>
        <w:textAlignment w:val="auto"/>
        <w:rPr>
          <w:rFonts w:hint="default" w:ascii="Times New Roman" w:hAnsi="Times New Roman" w:eastAsia="宋体" w:cs="Times New Roman"/>
          <w:kern w:val="0"/>
          <w:sz w:val="24"/>
          <w:szCs w:val="24"/>
          <w:lang w:val="en-US" w:eastAsia="zh-CN" w:bidi="ar-SA"/>
        </w:rPr>
      </w:pPr>
      <w:r>
        <w:rPr>
          <w:rFonts w:hint="eastAsia" w:ascii="Times New Roman" w:hAnsi="Times New Roman" w:cs="Times New Roman"/>
          <w:b/>
          <w:bCs/>
          <w:kern w:val="0"/>
          <w:sz w:val="24"/>
          <w:szCs w:val="24"/>
          <w:lang w:val="en-US" w:eastAsia="zh-CN" w:bidi="ar-SA"/>
        </w:rPr>
        <w:t>（2）建筑垃圾</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项目施工过程中产生的建筑垃圾包括砂土、石块、水泥、碎木料、锯木屑、废金属、钢筋、铁丝、土石方等杂物。建筑垃圾的产生量与施工水平、管理水平、建筑类型有直接的联系，建筑垃圾产生量采用建筑面积发展预测法进行计算。</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jc w:val="center"/>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Js = Qs × Cs</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式中： Js —年建筑垃圾产生量（t/a）；</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1200" w:firstLineChars="5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 xml:space="preserve"> Qs —年建筑面积（m</w:t>
      </w:r>
      <w:r>
        <w:rPr>
          <w:rFonts w:hint="default" w:ascii="Times New Roman" w:hAnsi="Times New Roman" w:eastAsia="宋体" w:cs="Times New Roman"/>
          <w:kern w:val="0"/>
          <w:sz w:val="24"/>
          <w:szCs w:val="24"/>
          <w:vertAlign w:val="superscript"/>
          <w:lang w:val="en-US" w:eastAsia="zh-CN" w:bidi="ar-SA"/>
        </w:rPr>
        <w:t>2</w:t>
      </w:r>
      <w:r>
        <w:rPr>
          <w:rFonts w:hint="default" w:ascii="Times New Roman" w:hAnsi="Times New Roman" w:eastAsia="宋体" w:cs="Times New Roman"/>
          <w:kern w:val="0"/>
          <w:sz w:val="24"/>
          <w:szCs w:val="24"/>
          <w:lang w:val="en-US" w:eastAsia="zh-CN" w:bidi="ar-SA"/>
        </w:rPr>
        <w:t xml:space="preserve">/a）；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1440" w:firstLineChars="6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Cs —年平均每平方米建筑面积建筑垃圾产生量（t/a·m</w:t>
      </w:r>
      <w:r>
        <w:rPr>
          <w:rFonts w:hint="default" w:ascii="Times New Roman" w:hAnsi="Times New Roman" w:eastAsia="宋体" w:cs="Times New Roman"/>
          <w:kern w:val="0"/>
          <w:sz w:val="24"/>
          <w:szCs w:val="24"/>
          <w:vertAlign w:val="superscript"/>
          <w:lang w:val="en-US" w:eastAsia="zh-CN" w:bidi="ar-SA"/>
        </w:rPr>
        <w:t>2</w:t>
      </w:r>
      <w:r>
        <w:rPr>
          <w:rFonts w:hint="default" w:ascii="Times New Roman" w:hAnsi="Times New Roman" w:eastAsia="宋体" w:cs="Times New Roman"/>
          <w:kern w:val="0"/>
          <w:sz w:val="24"/>
          <w:szCs w:val="24"/>
          <w:lang w:val="en-US" w:eastAsia="zh-CN" w:bidi="ar-SA"/>
        </w:rPr>
        <w:t xml:space="preserve">）。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 xml:space="preserve">根据同类工程调查，每平方米建筑面积将产生2~5kg左右的建筑垃圾，本次评价取每平方米建筑面积产生2.0kg建筑垃圾。对于可以回收利用的建筑材料，如废金属、废钢筋、废铁丝、废砖块、废木材等应尽量回收利用；其他不能回收利用的建筑材料运至市政指定地点堆放。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1" w:firstLineChars="200"/>
        <w:jc w:val="left"/>
        <w:textAlignment w:val="auto"/>
        <w:rPr>
          <w:rFonts w:hint="default" w:ascii="Times New Roman" w:hAnsi="Times New Roman" w:eastAsia="宋体" w:cs="Times New Roman"/>
          <w:kern w:val="0"/>
          <w:sz w:val="24"/>
          <w:szCs w:val="24"/>
          <w:lang w:val="en-US" w:eastAsia="zh-CN" w:bidi="ar-SA"/>
        </w:rPr>
      </w:pPr>
      <w:r>
        <w:rPr>
          <w:rFonts w:hint="eastAsia" w:ascii="Times New Roman" w:hAnsi="Times New Roman" w:cs="Times New Roman"/>
          <w:b/>
          <w:bCs/>
          <w:kern w:val="0"/>
          <w:sz w:val="24"/>
          <w:szCs w:val="24"/>
          <w:lang w:val="en-US" w:eastAsia="zh-CN" w:bidi="ar-SA"/>
        </w:rPr>
        <w:t>（3）废弃土方</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根据项目施工设计，本项目取土和弃土基本在用地区域内进行，在高处取土，弃土用于填平地基、景观绿化用途和场地内凹凸不平之处。本项目施工场地土石方经场内平衡后，挖填方平衡，弃方量为零</w:t>
      </w:r>
    </w:p>
    <w:p>
      <w:pPr>
        <w:pStyle w:val="5"/>
        <w:ind w:firstLine="562"/>
      </w:pPr>
      <w:r>
        <w:rPr>
          <w:rFonts w:hint="eastAsia"/>
          <w:lang w:eastAsia="zh-CN"/>
        </w:rPr>
        <w:t>施工期生态环境影响分析</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 xml:space="preserve">施工期生态影响主要表现为植被破坏、水土流失等。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1" w:firstLineChars="200"/>
        <w:jc w:val="left"/>
        <w:textAlignment w:val="auto"/>
        <w:rPr>
          <w:rFonts w:hint="default" w:ascii="Times New Roman" w:hAnsi="Times New Roman" w:eastAsia="宋体" w:cs="Times New Roman"/>
          <w:kern w:val="0"/>
          <w:sz w:val="24"/>
          <w:szCs w:val="24"/>
          <w:lang w:val="en-US" w:eastAsia="zh-CN" w:bidi="ar-SA"/>
        </w:rPr>
      </w:pPr>
      <w:r>
        <w:rPr>
          <w:rFonts w:hint="eastAsia" w:ascii="Times New Roman" w:hAnsi="Times New Roman" w:cs="Times New Roman"/>
          <w:b/>
          <w:bCs/>
          <w:kern w:val="0"/>
          <w:sz w:val="24"/>
          <w:szCs w:val="24"/>
          <w:lang w:val="en-US" w:eastAsia="zh-CN" w:bidi="ar-SA"/>
        </w:rPr>
        <w:t>（1）植被破坏</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根据调查，项目现状占地类型主要为</w:t>
      </w:r>
      <w:r>
        <w:rPr>
          <w:rFonts w:hint="eastAsia" w:ascii="Times New Roman" w:hAnsi="Times New Roman" w:cs="Times New Roman"/>
          <w:kern w:val="0"/>
          <w:sz w:val="24"/>
          <w:szCs w:val="24"/>
          <w:lang w:val="en-US" w:eastAsia="zh-CN" w:bidi="ar-SA"/>
        </w:rPr>
        <w:t>林地、农用地</w:t>
      </w:r>
      <w:r>
        <w:rPr>
          <w:rFonts w:hint="default" w:ascii="Times New Roman" w:hAnsi="Times New Roman" w:eastAsia="宋体" w:cs="Times New Roman"/>
          <w:kern w:val="0"/>
          <w:sz w:val="24"/>
          <w:szCs w:val="24"/>
          <w:lang w:val="en-US" w:eastAsia="zh-CN" w:bidi="ar-SA"/>
        </w:rPr>
        <w:t>，植被类型单一。施工期场地平整、基础开挖等施工活动将铲除地表原有植被，造成地表裸露，破坏地表植被和结构，使原有的生态结构发生一定变化，从而对生态环境产生一定影响，同时由于拟建项目占用农地将减少区域农作物产量及生物量。</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1" w:firstLineChars="200"/>
        <w:jc w:val="left"/>
        <w:textAlignment w:val="auto"/>
        <w:rPr>
          <w:rFonts w:hint="default" w:ascii="Times New Roman" w:hAnsi="Times New Roman" w:eastAsia="宋体" w:cs="Times New Roman"/>
          <w:b/>
          <w:bCs/>
          <w:kern w:val="0"/>
          <w:sz w:val="24"/>
          <w:szCs w:val="24"/>
          <w:lang w:val="en-US" w:eastAsia="zh-CN" w:bidi="ar-SA"/>
        </w:rPr>
      </w:pPr>
      <w:r>
        <w:rPr>
          <w:rFonts w:hint="eastAsia" w:ascii="Times New Roman" w:hAnsi="Times New Roman" w:cs="Times New Roman"/>
          <w:b/>
          <w:bCs/>
          <w:kern w:val="0"/>
          <w:sz w:val="24"/>
          <w:szCs w:val="24"/>
          <w:lang w:val="en-US" w:eastAsia="zh-CN" w:bidi="ar-SA"/>
        </w:rPr>
        <w:t>（2）水土流失</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 xml:space="preserve">施工期间进行基础施工及局部场地平整将会造成一定程度的水土流失，主要体现在： </w:t>
      </w:r>
    </w:p>
    <w:p>
      <w:pPr>
        <w:pStyle w:val="8"/>
        <w:keepNext w:val="0"/>
        <w:keepLines w:val="0"/>
        <w:pageBreakBefore w:val="0"/>
        <w:widowControl w:val="0"/>
        <w:numPr>
          <w:ilvl w:val="0"/>
          <w:numId w:val="16"/>
        </w:numPr>
        <w:kinsoku/>
        <w:wordWrap/>
        <w:overflowPunct/>
        <w:topLinePunct w:val="0"/>
        <w:autoSpaceDE w:val="0"/>
        <w:autoSpaceDN w:val="0"/>
        <w:bidi w:val="0"/>
        <w:adjustRightInd/>
        <w:snapToGrid/>
        <w:spacing w:line="360" w:lineRule="auto"/>
        <w:ind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裸露地表：该项目在施工过程中，将进行较大面积的开挖，使地表土壤裸露，造成水土流失。如果再配合长时间的降雨天气，造成的水土流失量将会加重。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2）施工过程中的挖填方临时土堆：项目施工会产生开挖与填方，中间过程会产生土方的临时堆存，土堆的斜坡坡面因种种原因通常不进行碾压处理，土质疏松，容易造成水土流失。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 xml:space="preserve">针对本项目的实际情况，建设单位拟采取以下生态减缓措补偿施、水土流失保持措施：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1）施工前做好土石方平衡，严格控制施工线路，施工范围，避免对施工区外的生态环境造成破坏，减少土石方的开挖。</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2）建设所需物料尽量堆放在场区，减少对土地的占用，减少对生态的影响。</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3）禁止建筑垃圾乱堆乱放，占压施工场地以外土地。在加快施工进度的前提下，施工完毕后进行覆土绿化，破坏的植被进行及时恢复。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4）设置导流系统：及时做好排水导流工作，减轻水流对裸露地表的冲刷。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5）施工时间选择：项目应合理安排施工，尽量将土石方开挖期避开大规模的降雨天气，并尽量缩短挖方时间，尽量在雨季到来之前完成挖方工程。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6）项目所在地挖方、填方应尽量平衡，剥离土石方就地消化为填土石方。对开挖的土壤分层堆放，分层回填，以保护植被生长层，恢复土壤生产力。</w:t>
      </w:r>
    </w:p>
    <w:p>
      <w:pPr>
        <w:pStyle w:val="4"/>
      </w:pPr>
      <w:bookmarkStart w:id="38" w:name="_Toc2699"/>
      <w:bookmarkStart w:id="39" w:name="_Toc20717"/>
      <w:r>
        <w:rPr>
          <w:rFonts w:hint="eastAsia"/>
          <w:lang w:eastAsia="zh-CN"/>
        </w:rPr>
        <w:t>营运期污染源分析</w:t>
      </w:r>
      <w:bookmarkEnd w:id="38"/>
      <w:bookmarkEnd w:id="39"/>
    </w:p>
    <w:p>
      <w:pPr>
        <w:pStyle w:val="5"/>
        <w:ind w:firstLine="562"/>
      </w:pPr>
      <w:r>
        <w:rPr>
          <w:rFonts w:hint="eastAsia"/>
          <w:lang w:eastAsia="zh-CN"/>
        </w:rPr>
        <w:t>营运期大气污染源分析</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本项目建成运营后，大气污染物主要来源于猪舍、污水处理</w:t>
      </w:r>
      <w:r>
        <w:rPr>
          <w:rFonts w:hint="eastAsia" w:cs="Times New Roman"/>
          <w:kern w:val="0"/>
          <w:sz w:val="24"/>
          <w:szCs w:val="24"/>
          <w:lang w:val="en-US" w:eastAsia="zh-CN" w:bidi="ar-SA"/>
        </w:rPr>
        <w:t>设施及异位发酵床</w:t>
      </w:r>
      <w:r>
        <w:rPr>
          <w:rFonts w:hint="eastAsia" w:ascii="Times New Roman" w:hAnsi="Times New Roman" w:cs="Times New Roman"/>
          <w:kern w:val="0"/>
          <w:sz w:val="24"/>
          <w:szCs w:val="24"/>
          <w:lang w:val="en-US" w:eastAsia="zh-CN" w:bidi="ar-SA"/>
        </w:rPr>
        <w:t>产生的恶臭气体、员工食堂产生的油烟废气以及柴油发电机产生的尾气等。</w:t>
      </w:r>
    </w:p>
    <w:p>
      <w:pPr>
        <w:pStyle w:val="6"/>
      </w:pPr>
      <w:r>
        <w:rPr>
          <w:rFonts w:hint="eastAsia"/>
          <w:lang w:eastAsia="zh-CN"/>
        </w:rPr>
        <w:t>恶臭</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恶臭臭气是许多单一臭气物质相互作用的产物。目前，已鉴定出在猪粪尿中有恶臭成分220种，这些物质都是产生生化反应的中间产物或终端产物，其中包括了多种挥发性有机酸、醇类物质、醛类物质、不流动气体、酯类物质、胺类物质、硫化物、硫醇以及含氮杂环类物质。在粪便中还发现80多种含氮化合物，其中有10种与恶臭味有关，其中对环境危害较大的是氨气、硫化氢等。鉴于目前的环境标准和监测手段，此次评价仅以其中的H</w:t>
      </w:r>
      <w:r>
        <w:rPr>
          <w:rFonts w:hint="eastAsia" w:ascii="Times New Roman" w:hAnsi="Times New Roman" w:cs="Times New Roman"/>
          <w:kern w:val="0"/>
          <w:sz w:val="24"/>
          <w:szCs w:val="24"/>
          <w:vertAlign w:val="subscript"/>
          <w:lang w:val="en-US" w:eastAsia="zh-CN" w:bidi="ar-SA"/>
        </w:rPr>
        <w:t>2</w:t>
      </w:r>
      <w:r>
        <w:rPr>
          <w:rFonts w:hint="eastAsia" w:ascii="Times New Roman" w:hAnsi="Times New Roman" w:cs="Times New Roman"/>
          <w:kern w:val="0"/>
          <w:sz w:val="24"/>
          <w:szCs w:val="24"/>
          <w:lang w:val="en-US" w:eastAsia="zh-CN" w:bidi="ar-SA"/>
        </w:rPr>
        <w:t>S和NH</w:t>
      </w:r>
      <w:r>
        <w:rPr>
          <w:rFonts w:hint="eastAsia" w:ascii="Times New Roman" w:hAnsi="Times New Roman" w:cs="Times New Roman"/>
          <w:kern w:val="0"/>
          <w:sz w:val="24"/>
          <w:szCs w:val="24"/>
          <w:vertAlign w:val="subscript"/>
          <w:lang w:val="en-US" w:eastAsia="zh-CN" w:bidi="ar-SA"/>
        </w:rPr>
        <w:t>3</w:t>
      </w:r>
      <w:r>
        <w:rPr>
          <w:rFonts w:hint="eastAsia" w:ascii="Times New Roman" w:hAnsi="Times New Roman" w:cs="Times New Roman"/>
          <w:kern w:val="0"/>
          <w:sz w:val="24"/>
          <w:szCs w:val="24"/>
          <w:lang w:val="en-US" w:eastAsia="zh-CN" w:bidi="ar-SA"/>
        </w:rPr>
        <w:t>进行计算和分析。主要恶臭物质的理化性质见表3.</w:t>
      </w: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 xml:space="preserve">-1。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bCs/>
          <w:kern w:val="0"/>
          <w:sz w:val="21"/>
          <w:szCs w:val="21"/>
          <w:lang w:val="en-US" w:eastAsia="zh-CN" w:bidi="ar-SA"/>
        </w:rPr>
      </w:pPr>
      <w:r>
        <w:rPr>
          <w:rFonts w:hint="default" w:ascii="Times New Roman" w:hAnsi="Times New Roman" w:eastAsia="宋体" w:cs="Times New Roman"/>
          <w:b/>
          <w:bCs/>
          <w:kern w:val="0"/>
          <w:sz w:val="21"/>
          <w:szCs w:val="21"/>
          <w:lang w:val="en-US" w:eastAsia="zh-CN" w:bidi="ar-SA"/>
        </w:rPr>
        <w:t>表3.</w:t>
      </w:r>
      <w:r>
        <w:rPr>
          <w:rFonts w:hint="eastAsia" w:cs="Times New Roman"/>
          <w:b/>
          <w:bCs/>
          <w:kern w:val="0"/>
          <w:sz w:val="21"/>
          <w:szCs w:val="21"/>
          <w:lang w:val="en-US" w:eastAsia="zh-CN" w:bidi="ar-SA"/>
        </w:rPr>
        <w:t>3</w:t>
      </w:r>
      <w:r>
        <w:rPr>
          <w:rFonts w:hint="default" w:ascii="Times New Roman" w:hAnsi="Times New Roman" w:eastAsia="宋体" w:cs="Times New Roman"/>
          <w:b/>
          <w:bCs/>
          <w:kern w:val="0"/>
          <w:sz w:val="21"/>
          <w:szCs w:val="21"/>
          <w:lang w:val="en-US" w:eastAsia="zh-CN" w:bidi="ar-SA"/>
        </w:rPr>
        <w:t>-1   恶臭物质理化特征</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Borders>
              <w:top w:val="single" w:color="auto" w:sz="12" w:space="0"/>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恶臭物质</w:t>
            </w:r>
          </w:p>
        </w:tc>
        <w:tc>
          <w:tcPr>
            <w:tcW w:w="2130"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分子式</w:t>
            </w:r>
          </w:p>
        </w:tc>
        <w:tc>
          <w:tcPr>
            <w:tcW w:w="2131"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嗅阈值（ppm）</w:t>
            </w:r>
          </w:p>
        </w:tc>
        <w:tc>
          <w:tcPr>
            <w:tcW w:w="2131" w:type="dxa"/>
            <w:tcBorders>
              <w:top w:val="single" w:color="auto" w:sz="12" w:space="0"/>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臭气特征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Borders>
              <w:top w:val="single" w:color="auto" w:sz="12" w:space="0"/>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氨</w:t>
            </w:r>
          </w:p>
        </w:tc>
        <w:tc>
          <w:tcPr>
            <w:tcW w:w="2130" w:type="dxa"/>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NH</w:t>
            </w:r>
            <w:r>
              <w:rPr>
                <w:rFonts w:hint="eastAsia" w:ascii="Times New Roman" w:hAnsi="Times New Roman" w:cs="Times New Roman"/>
                <w:kern w:val="0"/>
                <w:sz w:val="21"/>
                <w:szCs w:val="21"/>
                <w:vertAlign w:val="subscript"/>
                <w:lang w:val="en-US" w:eastAsia="zh-CN" w:bidi="ar-SA"/>
              </w:rPr>
              <w:t>3</w:t>
            </w:r>
          </w:p>
        </w:tc>
        <w:tc>
          <w:tcPr>
            <w:tcW w:w="2131" w:type="dxa"/>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1.54</w:t>
            </w:r>
          </w:p>
        </w:tc>
        <w:tc>
          <w:tcPr>
            <w:tcW w:w="2131" w:type="dxa"/>
            <w:tcBorders>
              <w:top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刺激味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Borders>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硫化氢</w:t>
            </w:r>
          </w:p>
        </w:tc>
        <w:tc>
          <w:tcPr>
            <w:tcW w:w="2130" w:type="dxa"/>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H</w:t>
            </w:r>
            <w:r>
              <w:rPr>
                <w:rFonts w:hint="eastAsia" w:ascii="Times New Roman" w:hAnsi="Times New Roman" w:cs="Times New Roman"/>
                <w:kern w:val="0"/>
                <w:sz w:val="21"/>
                <w:szCs w:val="21"/>
                <w:vertAlign w:val="subscript"/>
                <w:lang w:val="en-US" w:eastAsia="zh-CN" w:bidi="ar-SA"/>
              </w:rPr>
              <w:t>2</w:t>
            </w:r>
            <w:r>
              <w:rPr>
                <w:rFonts w:hint="eastAsia" w:ascii="Times New Roman" w:hAnsi="Times New Roman" w:cs="Times New Roman"/>
                <w:kern w:val="0"/>
                <w:sz w:val="21"/>
                <w:szCs w:val="21"/>
                <w:vertAlign w:val="baseline"/>
                <w:lang w:val="en-US" w:eastAsia="zh-CN" w:bidi="ar-SA"/>
              </w:rPr>
              <w:t>S</w:t>
            </w:r>
          </w:p>
        </w:tc>
        <w:tc>
          <w:tcPr>
            <w:tcW w:w="2131" w:type="dxa"/>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0.0041</w:t>
            </w:r>
          </w:p>
        </w:tc>
        <w:tc>
          <w:tcPr>
            <w:tcW w:w="2131" w:type="dxa"/>
            <w:tcBorders>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ascii="Times New Roman" w:hAnsi="Times New Roman" w:cs="Times New Roman"/>
                <w:kern w:val="0"/>
                <w:sz w:val="21"/>
                <w:szCs w:val="21"/>
                <w:vertAlign w:val="baseline"/>
                <w:lang w:val="en-US" w:eastAsia="zh-CN" w:bidi="ar-SA"/>
              </w:rPr>
              <w:t>刺激味</w:t>
            </w:r>
          </w:p>
        </w:tc>
      </w:tr>
    </w:tbl>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1"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b/>
          <w:bCs/>
          <w:kern w:val="0"/>
          <w:sz w:val="24"/>
          <w:szCs w:val="24"/>
          <w:lang w:val="en-US" w:eastAsia="zh-CN" w:bidi="ar-SA"/>
        </w:rPr>
        <w:t>（1）猪舍恶臭</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猪舍内的氨气来源主要分为两种：一种胃肠道内的氨，来源于粪尿、肠胃消化物等，尿氮主要是以尿素形式存在，很容易被脲酶水解，催化生成氨气和二氧化碳。粪氮主要是以有机物形式存在，不容易分解，但也是氨气形成过程中氮的一个来源。另一种是舍内环境氨，是通过堆积的粪尿、饲料残渣和垫草等有机物腐败分解而产生的。在垫料潮湿、酸碱度适宜和温度高、粪便多而有相当空气的情况下，氨气产生更快。畜禽舍中氨气的含量取决于舍内温度、饲养密度、通风情况、地面结构、饲养管理水平、粪污清除等。</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 xml:space="preserve">本项目猪舍采用全漏缝地板免冲洗工艺饲养，猪舍内通过通风系统进行空气流动，猪舍的风扇将空气排到室外，室外的空气就会自动的从屋檐下方进入到室内，通风的效率较高，并通过通风和水帘来达到降温效果，项目采用氨基酸平衡的低蛋白饲料，并添加EM菌对生猪进行喂养，从源头上减少了臭味气体的产生。定期对猪舍和粪堆喷洒EM菌，可除臭、驱蚊蝇，改善饲养环境。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猪舍恶臭属于面源污染，无组织扩散，目前较难统计出较准确的产生量。项目参考</w:t>
      </w:r>
      <w:bookmarkStart w:id="136" w:name="_GoBack"/>
      <w:r>
        <w:rPr>
          <w:rFonts w:hint="eastAsia" w:ascii="Times New Roman" w:hAnsi="Times New Roman" w:cs="Times New Roman"/>
          <w:kern w:val="0"/>
          <w:sz w:val="24"/>
          <w:szCs w:val="24"/>
          <w:lang w:val="en-US" w:eastAsia="zh-CN" w:bidi="ar-SA"/>
        </w:rPr>
        <w:t>中国</w:t>
      </w:r>
      <w:bookmarkEnd w:id="136"/>
      <w:r>
        <w:rPr>
          <w:rFonts w:hint="eastAsia" w:ascii="Times New Roman" w:hAnsi="Times New Roman" w:cs="Times New Roman"/>
          <w:kern w:val="0"/>
          <w:sz w:val="24"/>
          <w:szCs w:val="24"/>
          <w:lang w:val="en-US" w:eastAsia="zh-CN" w:bidi="ar-SA"/>
        </w:rPr>
        <w:t>环境科学学会学术年会论文集（2010）天津市环境影响评价中心孙艳青等人发布的论文《养猪场恶臭影响量化分析及控制对策研究》，确定养猪场猪舍恶臭气体的排放源强系数如表3.</w:t>
      </w: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 xml:space="preserve">-2。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bCs/>
          <w:kern w:val="0"/>
          <w:sz w:val="21"/>
          <w:szCs w:val="21"/>
          <w:lang w:val="en-US" w:eastAsia="zh-CN" w:bidi="ar-SA"/>
        </w:rPr>
      </w:pPr>
      <w:r>
        <w:rPr>
          <w:rFonts w:hint="default" w:ascii="Times New Roman" w:hAnsi="Times New Roman" w:eastAsia="宋体" w:cs="Times New Roman"/>
          <w:b/>
          <w:bCs/>
          <w:kern w:val="0"/>
          <w:sz w:val="21"/>
          <w:szCs w:val="21"/>
          <w:lang w:val="en-US" w:eastAsia="zh-CN" w:bidi="ar-SA"/>
        </w:rPr>
        <w:t>表3.</w:t>
      </w:r>
      <w:r>
        <w:rPr>
          <w:rFonts w:hint="eastAsia" w:cs="Times New Roman"/>
          <w:b/>
          <w:bCs/>
          <w:kern w:val="0"/>
          <w:sz w:val="21"/>
          <w:szCs w:val="21"/>
          <w:lang w:val="en-US" w:eastAsia="zh-CN" w:bidi="ar-SA"/>
        </w:rPr>
        <w:t>3</w:t>
      </w:r>
      <w:r>
        <w:rPr>
          <w:rFonts w:hint="default" w:ascii="Times New Roman" w:hAnsi="Times New Roman" w:eastAsia="宋体" w:cs="Times New Roman"/>
          <w:b/>
          <w:bCs/>
          <w:kern w:val="0"/>
          <w:sz w:val="21"/>
          <w:szCs w:val="21"/>
          <w:lang w:val="en-US" w:eastAsia="zh-CN" w:bidi="ar-SA"/>
        </w:rPr>
        <w:t>-2  猪舍NH</w:t>
      </w:r>
      <w:r>
        <w:rPr>
          <w:rFonts w:hint="default" w:ascii="Times New Roman" w:hAnsi="Times New Roman" w:eastAsia="宋体" w:cs="Times New Roman"/>
          <w:b/>
          <w:bCs/>
          <w:kern w:val="0"/>
          <w:sz w:val="21"/>
          <w:szCs w:val="21"/>
          <w:vertAlign w:val="subscript"/>
          <w:lang w:val="en-US" w:eastAsia="zh-CN" w:bidi="ar-SA"/>
        </w:rPr>
        <w:t>3</w:t>
      </w:r>
      <w:r>
        <w:rPr>
          <w:rFonts w:hint="eastAsia" w:ascii="Times New Roman" w:hAnsi="Times New Roman" w:cs="Times New Roman"/>
          <w:b/>
          <w:bCs/>
          <w:kern w:val="0"/>
          <w:sz w:val="21"/>
          <w:szCs w:val="21"/>
          <w:lang w:val="en-US" w:eastAsia="zh-CN" w:bidi="ar-SA"/>
        </w:rPr>
        <w:t>、</w:t>
      </w:r>
      <w:r>
        <w:rPr>
          <w:rFonts w:hint="default" w:ascii="Times New Roman" w:hAnsi="Times New Roman" w:eastAsia="宋体" w:cs="Times New Roman"/>
          <w:b/>
          <w:bCs/>
          <w:kern w:val="0"/>
          <w:sz w:val="21"/>
          <w:szCs w:val="21"/>
          <w:lang w:val="en-US" w:eastAsia="zh-CN" w:bidi="ar-SA"/>
        </w:rPr>
        <w:t>H</w:t>
      </w:r>
      <w:r>
        <w:rPr>
          <w:rFonts w:hint="default" w:ascii="Times New Roman" w:hAnsi="Times New Roman" w:eastAsia="宋体" w:cs="Times New Roman"/>
          <w:b/>
          <w:bCs/>
          <w:kern w:val="0"/>
          <w:sz w:val="21"/>
          <w:szCs w:val="21"/>
          <w:vertAlign w:val="subscript"/>
          <w:lang w:val="en-US" w:eastAsia="zh-CN" w:bidi="ar-SA"/>
        </w:rPr>
        <w:t>2</w:t>
      </w:r>
      <w:r>
        <w:rPr>
          <w:rFonts w:hint="default" w:ascii="Times New Roman" w:hAnsi="Times New Roman" w:eastAsia="宋体" w:cs="Times New Roman"/>
          <w:b/>
          <w:bCs/>
          <w:kern w:val="0"/>
          <w:sz w:val="21"/>
          <w:szCs w:val="21"/>
          <w:lang w:val="en-US" w:eastAsia="zh-CN" w:bidi="ar-SA"/>
        </w:rPr>
        <w:t>S排放源强系数表</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11"/>
        <w:gridCol w:w="3615"/>
        <w:gridCol w:w="37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1" w:type="dxa"/>
            <w:tcBorders>
              <w:top w:val="single" w:color="auto" w:sz="12" w:space="0"/>
              <w:left w:val="nil"/>
              <w:bottom w:val="single" w:color="auto" w:sz="12" w:space="0"/>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猪舍</w:t>
            </w:r>
          </w:p>
        </w:tc>
        <w:tc>
          <w:tcPr>
            <w:tcW w:w="3615" w:type="dxa"/>
            <w:tcBorders>
              <w:top w:val="single" w:color="auto" w:sz="12" w:space="0"/>
              <w:bottom w:val="single" w:color="auto" w:sz="12" w:space="0"/>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b w:val="0"/>
                <w:bCs w:val="0"/>
                <w:kern w:val="0"/>
                <w:sz w:val="21"/>
                <w:szCs w:val="21"/>
                <w:vertAlign w:val="baseline"/>
                <w:lang w:val="en-US" w:eastAsia="zh-CN" w:bidi="ar-SA"/>
              </w:rPr>
            </w:pPr>
            <w:r>
              <w:rPr>
                <w:rFonts w:hint="default" w:ascii="Times New Roman" w:hAnsi="Times New Roman" w:eastAsia="宋体" w:cs="Times New Roman"/>
                <w:b w:val="0"/>
                <w:bCs w:val="0"/>
                <w:kern w:val="0"/>
                <w:sz w:val="21"/>
                <w:szCs w:val="21"/>
                <w:lang w:val="en-US" w:eastAsia="zh-CN" w:bidi="ar-SA"/>
              </w:rPr>
              <w:t>NH</w:t>
            </w:r>
            <w:r>
              <w:rPr>
                <w:rFonts w:hint="default" w:ascii="Times New Roman" w:hAnsi="Times New Roman" w:eastAsia="宋体" w:cs="Times New Roman"/>
                <w:b w:val="0"/>
                <w:bCs w:val="0"/>
                <w:kern w:val="0"/>
                <w:sz w:val="21"/>
                <w:szCs w:val="21"/>
                <w:vertAlign w:val="subscript"/>
                <w:lang w:val="en-US" w:eastAsia="zh-CN" w:bidi="ar-SA"/>
              </w:rPr>
              <w:t>3</w:t>
            </w:r>
            <w:r>
              <w:rPr>
                <w:rFonts w:hint="default" w:ascii="Times New Roman" w:hAnsi="Times New Roman" w:eastAsia="宋体" w:cs="Times New Roman"/>
                <w:b w:val="0"/>
                <w:bCs w:val="0"/>
                <w:kern w:val="0"/>
                <w:sz w:val="21"/>
                <w:szCs w:val="21"/>
                <w:lang w:val="en-US" w:eastAsia="zh-CN" w:bidi="ar-SA"/>
              </w:rPr>
              <w:t>排放</w:t>
            </w:r>
            <w:r>
              <w:rPr>
                <w:rFonts w:hint="eastAsia" w:cs="Times New Roman"/>
                <w:b w:val="0"/>
                <w:bCs w:val="0"/>
                <w:kern w:val="0"/>
                <w:sz w:val="21"/>
                <w:szCs w:val="21"/>
                <w:lang w:val="en-US" w:eastAsia="zh-CN" w:bidi="ar-SA"/>
              </w:rPr>
              <w:t>强度（g/(头·d））</w:t>
            </w:r>
          </w:p>
        </w:tc>
        <w:tc>
          <w:tcPr>
            <w:tcW w:w="3796" w:type="dxa"/>
            <w:tcBorders>
              <w:top w:val="single" w:color="auto" w:sz="12" w:space="0"/>
              <w:bottom w:val="single" w:color="auto" w:sz="12" w:space="0"/>
              <w:right w:val="nil"/>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b w:val="0"/>
                <w:bCs w:val="0"/>
                <w:kern w:val="0"/>
                <w:sz w:val="21"/>
                <w:szCs w:val="21"/>
                <w:vertAlign w:val="baseline"/>
                <w:lang w:val="en-US" w:eastAsia="zh-CN" w:bidi="ar-SA"/>
              </w:rPr>
            </w:pPr>
            <w:r>
              <w:rPr>
                <w:rFonts w:hint="default" w:ascii="Times New Roman" w:hAnsi="Times New Roman" w:eastAsia="宋体" w:cs="Times New Roman"/>
                <w:b w:val="0"/>
                <w:bCs w:val="0"/>
                <w:kern w:val="0"/>
                <w:sz w:val="21"/>
                <w:szCs w:val="21"/>
                <w:lang w:val="en-US" w:eastAsia="zh-CN" w:bidi="ar-SA"/>
              </w:rPr>
              <w:t>H</w:t>
            </w:r>
            <w:r>
              <w:rPr>
                <w:rFonts w:hint="default" w:ascii="Times New Roman" w:hAnsi="Times New Roman" w:eastAsia="宋体" w:cs="Times New Roman"/>
                <w:b w:val="0"/>
                <w:bCs w:val="0"/>
                <w:kern w:val="0"/>
                <w:sz w:val="21"/>
                <w:szCs w:val="21"/>
                <w:vertAlign w:val="subscript"/>
                <w:lang w:val="en-US" w:eastAsia="zh-CN" w:bidi="ar-SA"/>
              </w:rPr>
              <w:t>2</w:t>
            </w:r>
            <w:r>
              <w:rPr>
                <w:rFonts w:hint="default" w:ascii="Times New Roman" w:hAnsi="Times New Roman" w:eastAsia="宋体" w:cs="Times New Roman"/>
                <w:b w:val="0"/>
                <w:bCs w:val="0"/>
                <w:kern w:val="0"/>
                <w:sz w:val="21"/>
                <w:szCs w:val="21"/>
                <w:lang w:val="en-US" w:eastAsia="zh-CN" w:bidi="ar-SA"/>
              </w:rPr>
              <w:t>S排放</w:t>
            </w:r>
            <w:r>
              <w:rPr>
                <w:rFonts w:hint="eastAsia" w:cs="Times New Roman"/>
                <w:b w:val="0"/>
                <w:bCs w:val="0"/>
                <w:kern w:val="0"/>
                <w:sz w:val="21"/>
                <w:szCs w:val="21"/>
                <w:lang w:val="en-US" w:eastAsia="zh-CN" w:bidi="ar-SA"/>
              </w:rPr>
              <w:t>强度（g/(头·d））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1" w:type="dxa"/>
            <w:tcBorders>
              <w:top w:val="single" w:color="auto" w:sz="12" w:space="0"/>
              <w:left w:val="nil"/>
              <w:bottom w:val="single" w:color="auto" w:sz="4" w:space="0"/>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保育猪</w:t>
            </w:r>
          </w:p>
        </w:tc>
        <w:tc>
          <w:tcPr>
            <w:tcW w:w="3615" w:type="dxa"/>
            <w:tcBorders>
              <w:top w:val="single" w:color="auto" w:sz="12" w:space="0"/>
              <w:bottom w:val="single" w:color="auto" w:sz="4" w:space="0"/>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kern w:val="0"/>
                <w:sz w:val="21"/>
                <w:szCs w:val="21"/>
                <w:lang w:val="en-US" w:eastAsia="zh-CN" w:bidi="ar-SA"/>
              </w:rPr>
            </w:pPr>
            <w:r>
              <w:rPr>
                <w:rFonts w:hint="eastAsia" w:cs="Times New Roman"/>
                <w:b w:val="0"/>
                <w:bCs w:val="0"/>
                <w:kern w:val="0"/>
                <w:sz w:val="21"/>
                <w:szCs w:val="21"/>
                <w:lang w:val="en-US" w:eastAsia="zh-CN" w:bidi="ar-SA"/>
              </w:rPr>
              <w:t>0.3</w:t>
            </w:r>
          </w:p>
        </w:tc>
        <w:tc>
          <w:tcPr>
            <w:tcW w:w="3796" w:type="dxa"/>
            <w:tcBorders>
              <w:top w:val="single" w:color="auto" w:sz="12" w:space="0"/>
              <w:bottom w:val="single" w:color="auto" w:sz="4" w:space="0"/>
              <w:right w:val="nil"/>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kern w:val="0"/>
                <w:sz w:val="21"/>
                <w:szCs w:val="21"/>
                <w:lang w:val="en-US" w:eastAsia="zh-CN" w:bidi="ar-SA"/>
              </w:rPr>
            </w:pPr>
            <w:r>
              <w:rPr>
                <w:rFonts w:hint="eastAsia" w:cs="Times New Roman"/>
                <w:b w:val="0"/>
                <w:bCs w:val="0"/>
                <w:kern w:val="0"/>
                <w:sz w:val="21"/>
                <w:szCs w:val="21"/>
                <w:lang w:val="en-US" w:eastAsia="zh-CN" w:bidi="ar-SA"/>
              </w:rPr>
              <w:t>0.025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1" w:type="dxa"/>
            <w:tcBorders>
              <w:top w:val="single" w:color="auto" w:sz="4" w:space="0"/>
              <w:left w:val="nil"/>
              <w:bottom w:val="single" w:color="auto" w:sz="12" w:space="0"/>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育肥猪</w:t>
            </w:r>
          </w:p>
        </w:tc>
        <w:tc>
          <w:tcPr>
            <w:tcW w:w="3615" w:type="dxa"/>
            <w:tcBorders>
              <w:top w:val="single" w:color="auto" w:sz="4" w:space="0"/>
              <w:bottom w:val="single" w:color="auto" w:sz="12" w:space="0"/>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1.0</w:t>
            </w:r>
          </w:p>
        </w:tc>
        <w:tc>
          <w:tcPr>
            <w:tcW w:w="3796" w:type="dxa"/>
            <w:tcBorders>
              <w:top w:val="single" w:color="auto" w:sz="4" w:space="0"/>
              <w:bottom w:val="single" w:color="auto" w:sz="12" w:space="0"/>
              <w:right w:val="nil"/>
            </w:tcBorders>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0.07</w:t>
            </w:r>
          </w:p>
        </w:tc>
      </w:tr>
    </w:tbl>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拟建项目常年</w:t>
      </w:r>
      <w:r>
        <w:rPr>
          <w:rFonts w:hint="eastAsia" w:cs="Times New Roman"/>
          <w:kern w:val="0"/>
          <w:sz w:val="24"/>
          <w:szCs w:val="24"/>
          <w:lang w:val="en-US" w:eastAsia="zh-CN" w:bidi="ar-SA"/>
        </w:rPr>
        <w:t>保育猪</w:t>
      </w:r>
      <w:r>
        <w:rPr>
          <w:rFonts w:hint="eastAsia" w:ascii="Times New Roman" w:hAnsi="Times New Roman" w:cs="Times New Roman"/>
          <w:kern w:val="0"/>
          <w:sz w:val="24"/>
          <w:szCs w:val="24"/>
          <w:lang w:val="en-US" w:eastAsia="zh-CN" w:bidi="ar-SA"/>
        </w:rPr>
        <w:t>存栏量为</w:t>
      </w:r>
      <w:r>
        <w:rPr>
          <w:rFonts w:hint="eastAsia" w:cs="Times New Roman"/>
          <w:kern w:val="0"/>
          <w:sz w:val="24"/>
          <w:szCs w:val="24"/>
          <w:lang w:val="en-US" w:eastAsia="zh-CN" w:bidi="ar-SA"/>
        </w:rPr>
        <w:t>1855</w:t>
      </w:r>
      <w:r>
        <w:rPr>
          <w:rFonts w:hint="eastAsia" w:ascii="Times New Roman" w:hAnsi="Times New Roman" w:cs="Times New Roman"/>
          <w:kern w:val="0"/>
          <w:sz w:val="24"/>
          <w:szCs w:val="24"/>
          <w:lang w:val="en-US" w:eastAsia="zh-CN" w:bidi="ar-SA"/>
        </w:rPr>
        <w:t>头</w:t>
      </w:r>
      <w:r>
        <w:rPr>
          <w:rFonts w:hint="eastAsia" w:cs="Times New Roman"/>
          <w:kern w:val="0"/>
          <w:sz w:val="24"/>
          <w:szCs w:val="24"/>
          <w:lang w:val="en-US" w:eastAsia="zh-CN" w:bidi="ar-SA"/>
        </w:rPr>
        <w:t>、育肥猪</w:t>
      </w:r>
      <w:r>
        <w:rPr>
          <w:rFonts w:hint="eastAsia" w:ascii="Times New Roman" w:hAnsi="Times New Roman" w:cs="Times New Roman"/>
          <w:kern w:val="0"/>
          <w:sz w:val="24"/>
          <w:szCs w:val="24"/>
          <w:lang w:val="en-US" w:eastAsia="zh-CN" w:bidi="ar-SA"/>
        </w:rPr>
        <w:t>存栏量</w:t>
      </w:r>
      <w:r>
        <w:rPr>
          <w:rFonts w:hint="eastAsia" w:cs="Times New Roman"/>
          <w:kern w:val="0"/>
          <w:sz w:val="24"/>
          <w:szCs w:val="24"/>
          <w:lang w:val="en-US" w:eastAsia="zh-CN" w:bidi="ar-SA"/>
        </w:rPr>
        <w:t>5500头</w:t>
      </w:r>
      <w:r>
        <w:rPr>
          <w:rFonts w:hint="eastAsia" w:ascii="Times New Roman" w:hAnsi="Times New Roman" w:cs="Times New Roman"/>
          <w:kern w:val="0"/>
          <w:sz w:val="24"/>
          <w:szCs w:val="24"/>
          <w:lang w:val="en-US" w:eastAsia="zh-CN" w:bidi="ar-SA"/>
        </w:rPr>
        <w:t>，则猪舍NH</w:t>
      </w:r>
      <w:r>
        <w:rPr>
          <w:rFonts w:hint="eastAsia" w:ascii="Times New Roman" w:hAnsi="Times New Roman" w:cs="Times New Roman"/>
          <w:kern w:val="0"/>
          <w:sz w:val="24"/>
          <w:szCs w:val="24"/>
          <w:vertAlign w:val="subscript"/>
          <w:lang w:val="en-US" w:eastAsia="zh-CN" w:bidi="ar-SA"/>
        </w:rPr>
        <w:t>3</w:t>
      </w:r>
      <w:r>
        <w:rPr>
          <w:rFonts w:hint="eastAsia" w:ascii="Times New Roman" w:hAnsi="Times New Roman" w:cs="Times New Roman"/>
          <w:kern w:val="0"/>
          <w:sz w:val="24"/>
          <w:szCs w:val="24"/>
          <w:lang w:val="en-US" w:eastAsia="zh-CN" w:bidi="ar-SA"/>
        </w:rPr>
        <w:t>、H</w:t>
      </w:r>
      <w:r>
        <w:rPr>
          <w:rFonts w:hint="eastAsia" w:ascii="Times New Roman" w:hAnsi="Times New Roman" w:cs="Times New Roman"/>
          <w:kern w:val="0"/>
          <w:sz w:val="24"/>
          <w:szCs w:val="24"/>
          <w:vertAlign w:val="subscript"/>
          <w:lang w:val="en-US" w:eastAsia="zh-CN" w:bidi="ar-SA"/>
        </w:rPr>
        <w:t>2</w:t>
      </w:r>
      <w:r>
        <w:rPr>
          <w:rFonts w:hint="eastAsia" w:ascii="Times New Roman" w:hAnsi="Times New Roman" w:cs="Times New Roman"/>
          <w:kern w:val="0"/>
          <w:sz w:val="24"/>
          <w:szCs w:val="24"/>
          <w:lang w:val="en-US" w:eastAsia="zh-CN" w:bidi="ar-SA"/>
        </w:rPr>
        <w:t>S产生量见表</w:t>
      </w: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w:t>
      </w: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 xml:space="preserve">-3。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b/>
          <w:bCs/>
          <w:kern w:val="0"/>
          <w:sz w:val="21"/>
          <w:szCs w:val="21"/>
          <w:lang w:val="en-US" w:eastAsia="zh-CN" w:bidi="ar-SA"/>
        </w:rPr>
      </w:pPr>
      <w:r>
        <w:rPr>
          <w:rFonts w:hint="eastAsia" w:cs="Times New Roman"/>
          <w:b/>
          <w:bCs/>
          <w:kern w:val="0"/>
          <w:sz w:val="21"/>
          <w:szCs w:val="21"/>
          <w:lang w:val="en-US" w:eastAsia="zh-CN" w:bidi="ar-SA"/>
        </w:rPr>
        <w:t>表 3.3-3   项目各猪舍</w:t>
      </w:r>
      <w:r>
        <w:rPr>
          <w:rFonts w:hint="default" w:ascii="Times New Roman" w:hAnsi="Times New Roman" w:eastAsia="宋体" w:cs="Times New Roman"/>
          <w:b/>
          <w:bCs/>
          <w:kern w:val="0"/>
          <w:sz w:val="21"/>
          <w:szCs w:val="21"/>
          <w:lang w:val="en-US" w:eastAsia="zh-CN" w:bidi="ar-SA"/>
        </w:rPr>
        <w:t>NH</w:t>
      </w:r>
      <w:r>
        <w:rPr>
          <w:rFonts w:hint="default" w:ascii="Times New Roman" w:hAnsi="Times New Roman" w:eastAsia="宋体" w:cs="Times New Roman"/>
          <w:b/>
          <w:bCs/>
          <w:kern w:val="0"/>
          <w:sz w:val="21"/>
          <w:szCs w:val="21"/>
          <w:vertAlign w:val="subscript"/>
          <w:lang w:val="en-US" w:eastAsia="zh-CN" w:bidi="ar-SA"/>
        </w:rPr>
        <w:t>3</w:t>
      </w:r>
      <w:r>
        <w:rPr>
          <w:rFonts w:hint="eastAsia" w:ascii="Times New Roman" w:hAnsi="Times New Roman" w:cs="Times New Roman"/>
          <w:b/>
          <w:bCs/>
          <w:kern w:val="0"/>
          <w:sz w:val="21"/>
          <w:szCs w:val="21"/>
          <w:lang w:val="en-US" w:eastAsia="zh-CN" w:bidi="ar-SA"/>
        </w:rPr>
        <w:t>、</w:t>
      </w:r>
      <w:r>
        <w:rPr>
          <w:rFonts w:hint="default" w:ascii="Times New Roman" w:hAnsi="Times New Roman" w:eastAsia="宋体" w:cs="Times New Roman"/>
          <w:b/>
          <w:bCs/>
          <w:kern w:val="0"/>
          <w:sz w:val="21"/>
          <w:szCs w:val="21"/>
          <w:lang w:val="en-US" w:eastAsia="zh-CN" w:bidi="ar-SA"/>
        </w:rPr>
        <w:t>H</w:t>
      </w:r>
      <w:r>
        <w:rPr>
          <w:rFonts w:hint="default" w:ascii="Times New Roman" w:hAnsi="Times New Roman" w:eastAsia="宋体" w:cs="Times New Roman"/>
          <w:b/>
          <w:bCs/>
          <w:kern w:val="0"/>
          <w:sz w:val="21"/>
          <w:szCs w:val="21"/>
          <w:vertAlign w:val="subscript"/>
          <w:lang w:val="en-US" w:eastAsia="zh-CN" w:bidi="ar-SA"/>
        </w:rPr>
        <w:t>2</w:t>
      </w:r>
      <w:r>
        <w:rPr>
          <w:rFonts w:hint="default" w:ascii="Times New Roman" w:hAnsi="Times New Roman" w:eastAsia="宋体" w:cs="Times New Roman"/>
          <w:b/>
          <w:bCs/>
          <w:kern w:val="0"/>
          <w:sz w:val="21"/>
          <w:szCs w:val="21"/>
          <w:lang w:val="en-US" w:eastAsia="zh-CN" w:bidi="ar-SA"/>
        </w:rPr>
        <w:t>S</w:t>
      </w:r>
      <w:r>
        <w:rPr>
          <w:rFonts w:hint="eastAsia" w:cs="Times New Roman"/>
          <w:b/>
          <w:bCs/>
          <w:kern w:val="0"/>
          <w:sz w:val="21"/>
          <w:szCs w:val="21"/>
          <w:lang w:val="en-US" w:eastAsia="zh-CN" w:bidi="ar-SA"/>
        </w:rPr>
        <w:t>排放源强产生情况</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0"/>
        <w:gridCol w:w="1420"/>
        <w:gridCol w:w="1420"/>
        <w:gridCol w:w="1420"/>
        <w:gridCol w:w="1421"/>
        <w:gridCol w:w="1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vMerge w:val="restart"/>
            <w:tcBorders>
              <w:top w:val="single" w:color="auto" w:sz="12" w:space="0"/>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猪舍</w:t>
            </w:r>
          </w:p>
        </w:tc>
        <w:tc>
          <w:tcPr>
            <w:tcW w:w="1420" w:type="dxa"/>
            <w:vMerge w:val="restart"/>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数量（头）</w:t>
            </w:r>
          </w:p>
        </w:tc>
        <w:tc>
          <w:tcPr>
            <w:tcW w:w="2840" w:type="dxa"/>
            <w:gridSpan w:val="2"/>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NH</w:t>
            </w:r>
            <w:r>
              <w:rPr>
                <w:rFonts w:hint="eastAsia" w:cs="Times New Roman"/>
                <w:kern w:val="0"/>
                <w:sz w:val="21"/>
                <w:szCs w:val="21"/>
                <w:vertAlign w:val="subscript"/>
                <w:lang w:val="en-US" w:eastAsia="zh-CN" w:bidi="ar-SA"/>
              </w:rPr>
              <w:t>3</w:t>
            </w:r>
            <w:r>
              <w:rPr>
                <w:rFonts w:hint="eastAsia" w:cs="Times New Roman"/>
                <w:kern w:val="0"/>
                <w:sz w:val="21"/>
                <w:szCs w:val="21"/>
                <w:vertAlign w:val="baseline"/>
                <w:lang w:val="en-US" w:eastAsia="zh-CN" w:bidi="ar-SA"/>
              </w:rPr>
              <w:t>产生量</w:t>
            </w:r>
          </w:p>
        </w:tc>
        <w:tc>
          <w:tcPr>
            <w:tcW w:w="2842" w:type="dxa"/>
            <w:gridSpan w:val="2"/>
            <w:tcBorders>
              <w:top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H</w:t>
            </w:r>
            <w:r>
              <w:rPr>
                <w:rFonts w:hint="eastAsia" w:cs="Times New Roman"/>
                <w:kern w:val="0"/>
                <w:sz w:val="21"/>
                <w:szCs w:val="21"/>
                <w:vertAlign w:val="subscript"/>
                <w:lang w:val="en-US" w:eastAsia="zh-CN" w:bidi="ar-SA"/>
              </w:rPr>
              <w:t>2</w:t>
            </w:r>
            <w:r>
              <w:rPr>
                <w:rFonts w:hint="eastAsia" w:cs="Times New Roman"/>
                <w:kern w:val="0"/>
                <w:sz w:val="21"/>
                <w:szCs w:val="21"/>
                <w:vertAlign w:val="baseline"/>
                <w:lang w:val="en-US" w:eastAsia="zh-CN" w:bidi="ar-SA"/>
              </w:rPr>
              <w:t>S产生量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vMerge w:val="continue"/>
            <w:tcBorders>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p>
        </w:tc>
        <w:tc>
          <w:tcPr>
            <w:tcW w:w="1420" w:type="dxa"/>
            <w:vMerge w:val="continue"/>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p>
        </w:tc>
        <w:tc>
          <w:tcPr>
            <w:tcW w:w="1420" w:type="dxa"/>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kg/d</w:t>
            </w:r>
          </w:p>
        </w:tc>
        <w:tc>
          <w:tcPr>
            <w:tcW w:w="1420" w:type="dxa"/>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t/a</w:t>
            </w:r>
          </w:p>
        </w:tc>
        <w:tc>
          <w:tcPr>
            <w:tcW w:w="1421" w:type="dxa"/>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kg/d</w:t>
            </w:r>
          </w:p>
        </w:tc>
        <w:tc>
          <w:tcPr>
            <w:tcW w:w="1421" w:type="dxa"/>
            <w:tcBorders>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tcBorders>
              <w:top w:val="single" w:color="auto" w:sz="12" w:space="0"/>
              <w:left w:val="nil"/>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保育猪</w:t>
            </w:r>
          </w:p>
        </w:tc>
        <w:tc>
          <w:tcPr>
            <w:tcW w:w="1420" w:type="dxa"/>
            <w:tcBorders>
              <w:top w:val="single" w:color="auto" w:sz="12"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default" w:ascii="Times New Roman" w:hAnsi="Times New Roman" w:cs="Times New Roman"/>
                <w:kern w:val="0"/>
                <w:sz w:val="21"/>
                <w:szCs w:val="21"/>
                <w:vertAlign w:val="baseline"/>
                <w:lang w:val="en-US" w:eastAsia="zh-CN" w:bidi="ar-SA"/>
              </w:rPr>
              <w:t>1855</w:t>
            </w:r>
          </w:p>
        </w:tc>
        <w:tc>
          <w:tcPr>
            <w:tcW w:w="1420" w:type="dxa"/>
            <w:tcBorders>
              <w:top w:val="single" w:color="auto" w:sz="12"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0.556</w:t>
            </w:r>
          </w:p>
        </w:tc>
        <w:tc>
          <w:tcPr>
            <w:tcW w:w="1420" w:type="dxa"/>
            <w:tcBorders>
              <w:top w:val="single" w:color="auto" w:sz="12"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0.203</w:t>
            </w:r>
          </w:p>
        </w:tc>
        <w:tc>
          <w:tcPr>
            <w:tcW w:w="1421" w:type="dxa"/>
            <w:tcBorders>
              <w:top w:val="single" w:color="auto" w:sz="12"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0.046</w:t>
            </w:r>
          </w:p>
        </w:tc>
        <w:tc>
          <w:tcPr>
            <w:tcW w:w="1421" w:type="dxa"/>
            <w:tcBorders>
              <w:top w:val="single" w:color="auto" w:sz="12" w:space="0"/>
              <w:bottom w:val="single" w:color="auto" w:sz="4"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0.017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20" w:type="dxa"/>
            <w:tcBorders>
              <w:top w:val="single" w:color="auto" w:sz="4" w:space="0"/>
              <w:left w:val="nil"/>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育肥猪</w:t>
            </w:r>
          </w:p>
        </w:tc>
        <w:tc>
          <w:tcPr>
            <w:tcW w:w="1420" w:type="dxa"/>
            <w:tcBorders>
              <w:top w:val="single" w:color="auto" w:sz="4"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cs="Times New Roman"/>
                <w:kern w:val="0"/>
                <w:sz w:val="21"/>
                <w:szCs w:val="21"/>
                <w:vertAlign w:val="baseline"/>
                <w:lang w:val="en-US" w:eastAsia="zh-CN" w:bidi="ar-SA"/>
              </w:rPr>
            </w:pPr>
            <w:r>
              <w:rPr>
                <w:rFonts w:hint="default" w:ascii="Times New Roman" w:hAnsi="Times New Roman" w:cs="Times New Roman"/>
                <w:kern w:val="0"/>
                <w:sz w:val="21"/>
                <w:szCs w:val="21"/>
                <w:vertAlign w:val="baseline"/>
                <w:lang w:val="en-US" w:eastAsia="zh-CN" w:bidi="ar-SA"/>
              </w:rPr>
              <w:t>5500</w:t>
            </w:r>
          </w:p>
        </w:tc>
        <w:tc>
          <w:tcPr>
            <w:tcW w:w="1420" w:type="dxa"/>
            <w:tcBorders>
              <w:top w:val="single" w:color="auto" w:sz="4"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5.5</w:t>
            </w:r>
          </w:p>
        </w:tc>
        <w:tc>
          <w:tcPr>
            <w:tcW w:w="1420" w:type="dxa"/>
            <w:tcBorders>
              <w:top w:val="single" w:color="auto" w:sz="4"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2.007</w:t>
            </w:r>
          </w:p>
        </w:tc>
        <w:tc>
          <w:tcPr>
            <w:tcW w:w="1421" w:type="dxa"/>
            <w:tcBorders>
              <w:top w:val="single" w:color="auto" w:sz="4" w:space="0"/>
              <w:bottom w:val="single" w:color="auto" w:sz="4"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0.385</w:t>
            </w:r>
          </w:p>
        </w:tc>
        <w:tc>
          <w:tcPr>
            <w:tcW w:w="1421" w:type="dxa"/>
            <w:tcBorders>
              <w:top w:val="single" w:color="auto" w:sz="4" w:space="0"/>
              <w:bottom w:val="single" w:color="auto" w:sz="4"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0.14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tcBorders>
              <w:top w:val="single" w:color="auto" w:sz="4" w:space="0"/>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合计</w:t>
            </w:r>
          </w:p>
        </w:tc>
        <w:tc>
          <w:tcPr>
            <w:tcW w:w="1420" w:type="dxa"/>
            <w:tcBorders>
              <w:top w:val="single" w:color="auto" w:sz="4" w:space="0"/>
              <w:left w:val="nil"/>
              <w:bottom w:val="single" w:color="auto" w:sz="12" w:space="0"/>
            </w:tcBorders>
            <w:vAlign w:val="center"/>
          </w:tcPr>
          <w:p>
            <w:pPr>
              <w:keepNext w:val="0"/>
              <w:keepLines w:val="0"/>
              <w:widowControl/>
              <w:suppressLineNumbers w:val="0"/>
              <w:jc w:val="center"/>
              <w:textAlignment w:val="center"/>
              <w:rPr>
                <w:rFonts w:hint="default" w:ascii="Times New Roman" w:hAnsi="Times New Roman" w:cs="Times New Roman"/>
                <w:kern w:val="0"/>
                <w:sz w:val="21"/>
                <w:szCs w:val="21"/>
                <w:vertAlign w:val="baseline"/>
                <w:lang w:val="en-US" w:eastAsia="zh-CN" w:bidi="ar-SA"/>
              </w:rPr>
            </w:pPr>
            <w:r>
              <w:rPr>
                <w:rFonts w:hint="default" w:ascii="Times New Roman" w:hAnsi="Times New Roman" w:eastAsia="宋体" w:cs="Times New Roman"/>
                <w:i w:val="0"/>
                <w:color w:val="000000"/>
                <w:kern w:val="0"/>
                <w:sz w:val="21"/>
                <w:szCs w:val="21"/>
                <w:u w:val="none"/>
                <w:lang w:val="en-US" w:eastAsia="zh-CN" w:bidi="ar"/>
              </w:rPr>
              <w:t>7355</w:t>
            </w:r>
          </w:p>
        </w:tc>
        <w:tc>
          <w:tcPr>
            <w:tcW w:w="1420" w:type="dxa"/>
            <w:tcBorders>
              <w:top w:val="single" w:color="auto" w:sz="4" w:space="0"/>
              <w:bottom w:val="single" w:color="auto" w:sz="12" w:space="0"/>
            </w:tcBorders>
            <w:vAlign w:val="center"/>
          </w:tcPr>
          <w:p>
            <w:pPr>
              <w:keepNext w:val="0"/>
              <w:keepLines w:val="0"/>
              <w:widowControl/>
              <w:suppressLineNumbers w:val="0"/>
              <w:jc w:val="center"/>
              <w:textAlignment w:val="center"/>
              <w:rPr>
                <w:rFonts w:hint="default" w:ascii="Times New Roman" w:hAnsi="Times New Roman" w:cs="Times New Roman"/>
                <w:kern w:val="0"/>
                <w:sz w:val="21"/>
                <w:szCs w:val="21"/>
                <w:vertAlign w:val="baseline"/>
                <w:lang w:val="en-US" w:eastAsia="zh-CN" w:bidi="ar-SA"/>
              </w:rPr>
            </w:pPr>
            <w:r>
              <w:rPr>
                <w:rFonts w:hint="default" w:ascii="Times New Roman" w:hAnsi="Times New Roman" w:eastAsia="宋体" w:cs="Times New Roman"/>
                <w:i w:val="0"/>
                <w:color w:val="000000"/>
                <w:kern w:val="0"/>
                <w:sz w:val="21"/>
                <w:szCs w:val="21"/>
                <w:u w:val="none"/>
                <w:lang w:val="en-US" w:eastAsia="zh-CN" w:bidi="ar"/>
              </w:rPr>
              <w:t>6.056</w:t>
            </w:r>
          </w:p>
        </w:tc>
        <w:tc>
          <w:tcPr>
            <w:tcW w:w="1420" w:type="dxa"/>
            <w:tcBorders>
              <w:top w:val="single" w:color="auto" w:sz="4" w:space="0"/>
              <w:bottom w:val="single" w:color="auto" w:sz="12" w:space="0"/>
            </w:tcBorders>
            <w:vAlign w:val="center"/>
          </w:tcPr>
          <w:p>
            <w:pPr>
              <w:keepNext w:val="0"/>
              <w:keepLines w:val="0"/>
              <w:widowControl/>
              <w:suppressLineNumbers w:val="0"/>
              <w:jc w:val="center"/>
              <w:textAlignment w:val="center"/>
              <w:rPr>
                <w:rFonts w:hint="default" w:ascii="Times New Roman" w:hAnsi="Times New Roman" w:cs="Times New Roman"/>
                <w:kern w:val="0"/>
                <w:sz w:val="21"/>
                <w:szCs w:val="21"/>
                <w:vertAlign w:val="baseline"/>
                <w:lang w:val="en-US" w:eastAsia="zh-CN" w:bidi="ar-SA"/>
              </w:rPr>
            </w:pPr>
            <w:r>
              <w:rPr>
                <w:rFonts w:hint="default" w:ascii="Times New Roman" w:hAnsi="Times New Roman" w:eastAsia="宋体" w:cs="Times New Roman"/>
                <w:i w:val="0"/>
                <w:color w:val="000000"/>
                <w:kern w:val="0"/>
                <w:sz w:val="21"/>
                <w:szCs w:val="21"/>
                <w:u w:val="none"/>
                <w:lang w:val="en-US" w:eastAsia="zh-CN" w:bidi="ar"/>
              </w:rPr>
              <w:t>2.21</w:t>
            </w:r>
          </w:p>
        </w:tc>
        <w:tc>
          <w:tcPr>
            <w:tcW w:w="1421" w:type="dxa"/>
            <w:tcBorders>
              <w:top w:val="single" w:color="auto" w:sz="4" w:space="0"/>
              <w:bottom w:val="single" w:color="auto" w:sz="12" w:space="0"/>
            </w:tcBorders>
            <w:vAlign w:val="center"/>
          </w:tcPr>
          <w:p>
            <w:pPr>
              <w:keepNext w:val="0"/>
              <w:keepLines w:val="0"/>
              <w:widowControl/>
              <w:suppressLineNumbers w:val="0"/>
              <w:jc w:val="center"/>
              <w:textAlignment w:val="center"/>
              <w:rPr>
                <w:rFonts w:hint="default" w:ascii="Times New Roman" w:hAnsi="Times New Roman" w:cs="Times New Roman"/>
                <w:kern w:val="0"/>
                <w:sz w:val="21"/>
                <w:szCs w:val="21"/>
                <w:vertAlign w:val="baseline"/>
                <w:lang w:val="en-US" w:eastAsia="zh-CN" w:bidi="ar-SA"/>
              </w:rPr>
            </w:pPr>
            <w:r>
              <w:rPr>
                <w:rFonts w:hint="default" w:ascii="Times New Roman" w:hAnsi="Times New Roman" w:eastAsia="宋体" w:cs="Times New Roman"/>
                <w:i w:val="0"/>
                <w:color w:val="000000"/>
                <w:kern w:val="0"/>
                <w:sz w:val="21"/>
                <w:szCs w:val="21"/>
                <w:u w:val="none"/>
                <w:lang w:val="en-US" w:eastAsia="zh-CN" w:bidi="ar"/>
              </w:rPr>
              <w:t>0.431</w:t>
            </w:r>
          </w:p>
        </w:tc>
        <w:tc>
          <w:tcPr>
            <w:tcW w:w="1421" w:type="dxa"/>
            <w:tcBorders>
              <w:top w:val="single" w:color="auto" w:sz="4" w:space="0"/>
              <w:bottom w:val="single" w:color="auto" w:sz="12" w:space="0"/>
              <w:right w:val="nil"/>
            </w:tcBorders>
            <w:vAlign w:val="center"/>
          </w:tcPr>
          <w:p>
            <w:pPr>
              <w:keepNext w:val="0"/>
              <w:keepLines w:val="0"/>
              <w:widowControl/>
              <w:suppressLineNumbers w:val="0"/>
              <w:jc w:val="center"/>
              <w:textAlignment w:val="center"/>
              <w:rPr>
                <w:rFonts w:hint="default" w:ascii="Times New Roman" w:hAnsi="Times New Roman" w:cs="Times New Roman"/>
                <w:kern w:val="0"/>
                <w:sz w:val="21"/>
                <w:szCs w:val="21"/>
                <w:vertAlign w:val="baseline"/>
                <w:lang w:val="en-US" w:eastAsia="zh-CN" w:bidi="ar-SA"/>
              </w:rPr>
            </w:pPr>
            <w:r>
              <w:rPr>
                <w:rFonts w:hint="default" w:ascii="Times New Roman" w:hAnsi="Times New Roman" w:eastAsia="宋体" w:cs="Times New Roman"/>
                <w:i w:val="0"/>
                <w:color w:val="000000"/>
                <w:kern w:val="0"/>
                <w:sz w:val="21"/>
                <w:szCs w:val="21"/>
                <w:u w:val="none"/>
                <w:lang w:val="en-US" w:eastAsia="zh-CN" w:bidi="ar"/>
              </w:rPr>
              <w:t>0.157</w:t>
            </w:r>
          </w:p>
        </w:tc>
      </w:tr>
    </w:tbl>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由表</w:t>
      </w: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w:t>
      </w: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-3可知，本项目恶臭主要污染源NH</w:t>
      </w:r>
      <w:r>
        <w:rPr>
          <w:rFonts w:hint="eastAsia" w:ascii="Times New Roman" w:hAnsi="Times New Roman" w:cs="Times New Roman"/>
          <w:kern w:val="0"/>
          <w:sz w:val="24"/>
          <w:szCs w:val="24"/>
          <w:vertAlign w:val="subscript"/>
          <w:lang w:val="en-US" w:eastAsia="zh-CN" w:bidi="ar-SA"/>
        </w:rPr>
        <w:t>3</w:t>
      </w:r>
      <w:r>
        <w:rPr>
          <w:rFonts w:hint="eastAsia" w:ascii="Times New Roman" w:hAnsi="Times New Roman" w:cs="Times New Roman"/>
          <w:kern w:val="0"/>
          <w:sz w:val="24"/>
          <w:szCs w:val="24"/>
          <w:lang w:val="en-US" w:eastAsia="zh-CN" w:bidi="ar-SA"/>
        </w:rPr>
        <w:t>产生量为6.056kg/d（</w:t>
      </w:r>
      <w:r>
        <w:rPr>
          <w:rFonts w:hint="eastAsia" w:cs="Times New Roman"/>
          <w:kern w:val="0"/>
          <w:sz w:val="24"/>
          <w:szCs w:val="24"/>
          <w:lang w:val="en-US" w:eastAsia="zh-CN" w:bidi="ar-SA"/>
        </w:rPr>
        <w:t>0.252</w:t>
      </w:r>
      <w:r>
        <w:rPr>
          <w:rFonts w:hint="eastAsia" w:ascii="Times New Roman" w:hAnsi="Times New Roman" w:cs="Times New Roman"/>
          <w:kern w:val="0"/>
          <w:sz w:val="24"/>
          <w:szCs w:val="24"/>
          <w:lang w:val="en-US" w:eastAsia="zh-CN" w:bidi="ar-SA"/>
        </w:rPr>
        <w:t>kg/h），H</w:t>
      </w:r>
      <w:r>
        <w:rPr>
          <w:rFonts w:hint="eastAsia" w:ascii="Times New Roman" w:hAnsi="Times New Roman" w:cs="Times New Roman"/>
          <w:kern w:val="0"/>
          <w:sz w:val="24"/>
          <w:szCs w:val="24"/>
          <w:vertAlign w:val="subscript"/>
          <w:lang w:val="en-US" w:eastAsia="zh-CN" w:bidi="ar-SA"/>
        </w:rPr>
        <w:t>2</w:t>
      </w:r>
      <w:r>
        <w:rPr>
          <w:rFonts w:hint="eastAsia" w:ascii="Times New Roman" w:hAnsi="Times New Roman" w:cs="Times New Roman"/>
          <w:kern w:val="0"/>
          <w:sz w:val="24"/>
          <w:szCs w:val="24"/>
          <w:lang w:val="en-US" w:eastAsia="zh-CN" w:bidi="ar-SA"/>
        </w:rPr>
        <w:t>S产生量为0.431kg/d（</w:t>
      </w:r>
      <w:r>
        <w:rPr>
          <w:rFonts w:hint="eastAsia" w:cs="Times New Roman"/>
          <w:kern w:val="0"/>
          <w:sz w:val="24"/>
          <w:szCs w:val="24"/>
          <w:lang w:val="en-US" w:eastAsia="zh-CN" w:bidi="ar-SA"/>
        </w:rPr>
        <w:t>0.018</w:t>
      </w:r>
      <w:r>
        <w:rPr>
          <w:rFonts w:hint="eastAsia" w:ascii="Times New Roman" w:hAnsi="Times New Roman" w:cs="Times New Roman"/>
          <w:kern w:val="0"/>
          <w:sz w:val="24"/>
          <w:szCs w:val="24"/>
          <w:lang w:val="en-US" w:eastAsia="zh-CN" w:bidi="ar-SA"/>
        </w:rPr>
        <w:t>kg/h）。</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根据《集约化猪场NH</w:t>
      </w:r>
      <w:r>
        <w:rPr>
          <w:rFonts w:hint="eastAsia" w:ascii="Times New Roman" w:hAnsi="Times New Roman" w:cs="Times New Roman"/>
          <w:kern w:val="0"/>
          <w:sz w:val="24"/>
          <w:szCs w:val="24"/>
          <w:vertAlign w:val="subscript"/>
          <w:lang w:val="en-US" w:eastAsia="zh-CN" w:bidi="ar-SA"/>
        </w:rPr>
        <w:t>3</w:t>
      </w:r>
      <w:r>
        <w:rPr>
          <w:rFonts w:hint="eastAsia" w:ascii="Times New Roman" w:hAnsi="Times New Roman" w:cs="Times New Roman"/>
          <w:kern w:val="0"/>
          <w:sz w:val="24"/>
          <w:szCs w:val="24"/>
          <w:lang w:val="en-US" w:eastAsia="zh-CN" w:bidi="ar-SA"/>
        </w:rPr>
        <w:t>的排放系数研究》（代小蓉，浙江大学硕士学位论文，2010年）、《集约化猪场的恶臭排放与扩散研究》（魏波，浙江大学硕士学位论文，2011年）等研究成果表明：①猪舍结构对NH</w:t>
      </w:r>
      <w:r>
        <w:rPr>
          <w:rFonts w:hint="eastAsia" w:ascii="Times New Roman" w:hAnsi="Times New Roman" w:cs="Times New Roman"/>
          <w:kern w:val="0"/>
          <w:sz w:val="24"/>
          <w:szCs w:val="24"/>
          <w:vertAlign w:val="subscript"/>
          <w:lang w:val="en-US" w:eastAsia="zh-CN" w:bidi="ar-SA"/>
        </w:rPr>
        <w:t>3</w:t>
      </w:r>
      <w:r>
        <w:rPr>
          <w:rFonts w:hint="eastAsia" w:ascii="Times New Roman" w:hAnsi="Times New Roman" w:cs="Times New Roman"/>
          <w:kern w:val="0"/>
          <w:sz w:val="24"/>
          <w:szCs w:val="24"/>
          <w:lang w:val="en-US" w:eastAsia="zh-CN" w:bidi="ar-SA"/>
        </w:rPr>
        <w:t>的转化和损失有很大的影响，猪舍内减少漏缝面积和储粪坑挥发表面积可以减少NH</w:t>
      </w:r>
      <w:r>
        <w:rPr>
          <w:rFonts w:hint="eastAsia" w:ascii="Times New Roman" w:hAnsi="Times New Roman" w:cs="Times New Roman"/>
          <w:kern w:val="0"/>
          <w:sz w:val="24"/>
          <w:szCs w:val="24"/>
          <w:vertAlign w:val="subscript"/>
          <w:lang w:val="en-US" w:eastAsia="zh-CN" w:bidi="ar-SA"/>
        </w:rPr>
        <w:t>3</w:t>
      </w:r>
      <w:r>
        <w:rPr>
          <w:rFonts w:hint="eastAsia" w:ascii="Times New Roman" w:hAnsi="Times New Roman" w:cs="Times New Roman"/>
          <w:kern w:val="0"/>
          <w:sz w:val="24"/>
          <w:szCs w:val="24"/>
          <w:lang w:val="en-US" w:eastAsia="zh-CN" w:bidi="ar-SA"/>
        </w:rPr>
        <w:t>、H</w:t>
      </w:r>
      <w:r>
        <w:rPr>
          <w:rFonts w:hint="eastAsia" w:ascii="Times New Roman" w:hAnsi="Times New Roman" w:cs="Times New Roman"/>
          <w:kern w:val="0"/>
          <w:sz w:val="24"/>
          <w:szCs w:val="24"/>
          <w:vertAlign w:val="subscript"/>
          <w:lang w:val="en-US" w:eastAsia="zh-CN" w:bidi="ar-SA"/>
        </w:rPr>
        <w:t>2</w:t>
      </w:r>
      <w:r>
        <w:rPr>
          <w:rFonts w:hint="eastAsia" w:ascii="Times New Roman" w:hAnsi="Times New Roman" w:cs="Times New Roman"/>
          <w:kern w:val="0"/>
          <w:sz w:val="24"/>
          <w:szCs w:val="24"/>
          <w:lang w:val="en-US" w:eastAsia="zh-CN" w:bidi="ar-SA"/>
        </w:rPr>
        <w:t>S的挥发，如将地面50%漏缝面积降到25%，NH</w:t>
      </w:r>
      <w:r>
        <w:rPr>
          <w:rFonts w:hint="eastAsia" w:ascii="Times New Roman" w:hAnsi="Times New Roman" w:cs="Times New Roman"/>
          <w:kern w:val="0"/>
          <w:sz w:val="24"/>
          <w:szCs w:val="24"/>
          <w:vertAlign w:val="subscript"/>
          <w:lang w:val="en-US" w:eastAsia="zh-CN" w:bidi="ar-SA"/>
        </w:rPr>
        <w:t>3</w:t>
      </w:r>
      <w:r>
        <w:rPr>
          <w:rFonts w:hint="eastAsia" w:ascii="Times New Roman" w:hAnsi="Times New Roman" w:cs="Times New Roman"/>
          <w:kern w:val="0"/>
          <w:sz w:val="24"/>
          <w:szCs w:val="24"/>
          <w:lang w:val="en-US" w:eastAsia="zh-CN" w:bidi="ar-SA"/>
        </w:rPr>
        <w:t>、H</w:t>
      </w:r>
      <w:r>
        <w:rPr>
          <w:rFonts w:hint="eastAsia" w:ascii="Times New Roman" w:hAnsi="Times New Roman" w:cs="Times New Roman"/>
          <w:kern w:val="0"/>
          <w:sz w:val="24"/>
          <w:szCs w:val="24"/>
          <w:vertAlign w:val="subscript"/>
          <w:lang w:val="en-US" w:eastAsia="zh-CN" w:bidi="ar-SA"/>
        </w:rPr>
        <w:t>2</w:t>
      </w:r>
      <w:r>
        <w:rPr>
          <w:rFonts w:hint="eastAsia" w:ascii="Times New Roman" w:hAnsi="Times New Roman" w:cs="Times New Roman"/>
          <w:kern w:val="0"/>
          <w:sz w:val="24"/>
          <w:szCs w:val="24"/>
          <w:lang w:val="en-US" w:eastAsia="zh-CN" w:bidi="ar-SA"/>
        </w:rPr>
        <w:t>S排放量可下降20%；②及时清粪可以减少NH</w:t>
      </w:r>
      <w:r>
        <w:rPr>
          <w:rFonts w:hint="eastAsia" w:ascii="Times New Roman" w:hAnsi="Times New Roman" w:cs="Times New Roman"/>
          <w:kern w:val="0"/>
          <w:sz w:val="24"/>
          <w:szCs w:val="24"/>
          <w:vertAlign w:val="subscript"/>
          <w:lang w:val="en-US" w:eastAsia="zh-CN" w:bidi="ar-SA"/>
        </w:rPr>
        <w:t>3</w:t>
      </w:r>
      <w:r>
        <w:rPr>
          <w:rFonts w:hint="eastAsia" w:ascii="Times New Roman" w:hAnsi="Times New Roman" w:cs="Times New Roman"/>
          <w:kern w:val="0"/>
          <w:sz w:val="24"/>
          <w:szCs w:val="24"/>
          <w:lang w:val="en-US" w:eastAsia="zh-CN" w:bidi="ar-SA"/>
        </w:rPr>
        <w:t>、H</w:t>
      </w:r>
      <w:r>
        <w:rPr>
          <w:rFonts w:hint="eastAsia" w:ascii="Times New Roman" w:hAnsi="Times New Roman" w:cs="Times New Roman"/>
          <w:kern w:val="0"/>
          <w:sz w:val="24"/>
          <w:szCs w:val="24"/>
          <w:vertAlign w:val="subscript"/>
          <w:lang w:val="en-US" w:eastAsia="zh-CN" w:bidi="ar-SA"/>
        </w:rPr>
        <w:t>2</w:t>
      </w:r>
      <w:r>
        <w:rPr>
          <w:rFonts w:hint="eastAsia" w:ascii="Times New Roman" w:hAnsi="Times New Roman" w:cs="Times New Roman"/>
          <w:kern w:val="0"/>
          <w:sz w:val="24"/>
          <w:szCs w:val="24"/>
          <w:lang w:val="en-US" w:eastAsia="zh-CN" w:bidi="ar-SA"/>
        </w:rPr>
        <w:t>S 60%以上的排放量。③机械通风方式下平均通风速率较自然通风速率高2~4倍，NH</w:t>
      </w:r>
      <w:r>
        <w:rPr>
          <w:rFonts w:hint="eastAsia" w:ascii="Times New Roman" w:hAnsi="Times New Roman" w:cs="Times New Roman"/>
          <w:kern w:val="0"/>
          <w:sz w:val="24"/>
          <w:szCs w:val="24"/>
          <w:vertAlign w:val="subscript"/>
          <w:lang w:val="en-US" w:eastAsia="zh-CN" w:bidi="ar-SA"/>
        </w:rPr>
        <w:t>3</w:t>
      </w:r>
      <w:r>
        <w:rPr>
          <w:rFonts w:hint="eastAsia" w:ascii="Times New Roman" w:hAnsi="Times New Roman" w:cs="Times New Roman"/>
          <w:kern w:val="0"/>
          <w:sz w:val="24"/>
          <w:szCs w:val="24"/>
          <w:lang w:val="en-US" w:eastAsia="zh-CN" w:bidi="ar-SA"/>
        </w:rPr>
        <w:t>、H</w:t>
      </w:r>
      <w:r>
        <w:rPr>
          <w:rFonts w:hint="eastAsia" w:ascii="Times New Roman" w:hAnsi="Times New Roman" w:cs="Times New Roman"/>
          <w:kern w:val="0"/>
          <w:sz w:val="24"/>
          <w:szCs w:val="24"/>
          <w:vertAlign w:val="subscript"/>
          <w:lang w:val="en-US" w:eastAsia="zh-CN" w:bidi="ar-SA"/>
        </w:rPr>
        <w:t>2</w:t>
      </w:r>
      <w:r>
        <w:rPr>
          <w:rFonts w:hint="eastAsia" w:ascii="Times New Roman" w:hAnsi="Times New Roman" w:cs="Times New Roman"/>
          <w:kern w:val="0"/>
          <w:sz w:val="24"/>
          <w:szCs w:val="24"/>
          <w:lang w:val="en-US" w:eastAsia="zh-CN" w:bidi="ar-SA"/>
        </w:rPr>
        <w:t>SS浓度降低33%~88%，降低猪舍环境温度可以减少猪粪中33%~88% NH</w:t>
      </w:r>
      <w:r>
        <w:rPr>
          <w:rFonts w:hint="eastAsia" w:ascii="Times New Roman" w:hAnsi="Times New Roman" w:cs="Times New Roman"/>
          <w:kern w:val="0"/>
          <w:sz w:val="24"/>
          <w:szCs w:val="24"/>
          <w:vertAlign w:val="subscript"/>
          <w:lang w:val="en-US" w:eastAsia="zh-CN" w:bidi="ar-SA"/>
        </w:rPr>
        <w:t>3</w:t>
      </w:r>
      <w:r>
        <w:rPr>
          <w:rFonts w:hint="eastAsia" w:ascii="Times New Roman" w:hAnsi="Times New Roman" w:cs="Times New Roman"/>
          <w:kern w:val="0"/>
          <w:sz w:val="24"/>
          <w:szCs w:val="24"/>
          <w:lang w:val="en-US" w:eastAsia="zh-CN" w:bidi="ar-SA"/>
        </w:rPr>
        <w:t>、H</w:t>
      </w:r>
      <w:r>
        <w:rPr>
          <w:rFonts w:hint="eastAsia" w:ascii="Times New Roman" w:hAnsi="Times New Roman" w:cs="Times New Roman"/>
          <w:kern w:val="0"/>
          <w:sz w:val="24"/>
          <w:szCs w:val="24"/>
          <w:vertAlign w:val="subscript"/>
          <w:lang w:val="en-US" w:eastAsia="zh-CN" w:bidi="ar-SA"/>
        </w:rPr>
        <w:t>2</w:t>
      </w:r>
      <w:r>
        <w:rPr>
          <w:rFonts w:hint="eastAsia" w:ascii="Times New Roman" w:hAnsi="Times New Roman" w:cs="Times New Roman"/>
          <w:kern w:val="0"/>
          <w:sz w:val="24"/>
          <w:szCs w:val="24"/>
          <w:lang w:val="en-US" w:eastAsia="zh-CN" w:bidi="ar-SA"/>
        </w:rPr>
        <w:t>S的产生量。</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另生物除臭剂是畜禽养殖场对猪舍进行喷洒除臭的一种处理药剂，该类生物除臭剂是由乳酸菌、酵母菌、光合菌等多种有益微生物发酵液组成，能快速抑制腐败菌的生存和繁殖，有效吸收和降解氨氮物、硫化氢、甲基硫醇等具恶臭味的有害物质（如万洁芬），该类纯微生物除臭剂对人体及动物无害，对环境不会造成二次污染，消除异味效果显著，根据《自然科学》现代化农业，2011年第6期（总第383期）“微生物除臭剂研究进展”（赵晓锋，隋文志）的资料，经国家环境分析测试中心和陕西环境监测中心测试万洁芬对NH</w:t>
      </w:r>
      <w:r>
        <w:rPr>
          <w:rFonts w:hint="eastAsia" w:ascii="Times New Roman" w:hAnsi="Times New Roman" w:cs="Times New Roman"/>
          <w:kern w:val="0"/>
          <w:sz w:val="24"/>
          <w:szCs w:val="24"/>
          <w:vertAlign w:val="subscript"/>
          <w:lang w:val="en-US" w:eastAsia="zh-CN" w:bidi="ar-SA"/>
        </w:rPr>
        <w:t>3</w:t>
      </w:r>
      <w:r>
        <w:rPr>
          <w:rFonts w:hint="eastAsia" w:ascii="Times New Roman" w:hAnsi="Times New Roman" w:cs="Times New Roman"/>
          <w:kern w:val="0"/>
          <w:sz w:val="24"/>
          <w:szCs w:val="24"/>
          <w:lang w:val="en-US" w:eastAsia="zh-CN" w:bidi="ar-SA"/>
        </w:rPr>
        <w:t>和H</w:t>
      </w:r>
      <w:r>
        <w:rPr>
          <w:rFonts w:hint="eastAsia" w:ascii="Times New Roman" w:hAnsi="Times New Roman" w:cs="Times New Roman"/>
          <w:kern w:val="0"/>
          <w:sz w:val="24"/>
          <w:szCs w:val="24"/>
          <w:vertAlign w:val="subscript"/>
          <w:lang w:val="en-US" w:eastAsia="zh-CN" w:bidi="ar-SA"/>
        </w:rPr>
        <w:t>2</w:t>
      </w:r>
      <w:r>
        <w:rPr>
          <w:rFonts w:hint="eastAsia" w:ascii="Times New Roman" w:hAnsi="Times New Roman" w:cs="Times New Roman"/>
          <w:kern w:val="0"/>
          <w:sz w:val="24"/>
          <w:szCs w:val="24"/>
          <w:lang w:val="en-US" w:eastAsia="zh-CN" w:bidi="ar-SA"/>
        </w:rPr>
        <w:t>S的去除效率分别为92.6%和89%，本次评价要求建设单位在猪舍内安装喷雾装置，喷洒生物除臭剂对猪舍进行除臭。</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综上，本评价要求建设单位减少猪舍漏缝面积至25%；采用干清粪工艺及时清理粪便，早晚各清一次，保持猪舍清洁，减少猪粪、猪尿在猪舍内的停留时间，猪粪的运输至集污池通过密闭输送管道；通过加强猪舍通风速率进行水帘降温，降低猪舍内温度；对猪舍定期喷洒生物除臭剂对猪舍进行除臭，降低猪舍内恶臭污染物的排放。采取上述措施后，NH</w:t>
      </w:r>
      <w:r>
        <w:rPr>
          <w:rFonts w:hint="eastAsia" w:ascii="Times New Roman" w:hAnsi="Times New Roman" w:cs="Times New Roman"/>
          <w:kern w:val="0"/>
          <w:sz w:val="24"/>
          <w:szCs w:val="24"/>
          <w:vertAlign w:val="subscript"/>
          <w:lang w:val="en-US" w:eastAsia="zh-CN" w:bidi="ar-SA"/>
        </w:rPr>
        <w:t>3</w:t>
      </w:r>
      <w:r>
        <w:rPr>
          <w:rFonts w:hint="eastAsia" w:ascii="Times New Roman" w:hAnsi="Times New Roman" w:cs="Times New Roman"/>
          <w:kern w:val="0"/>
          <w:sz w:val="24"/>
          <w:szCs w:val="24"/>
          <w:lang w:val="en-US" w:eastAsia="zh-CN" w:bidi="ar-SA"/>
        </w:rPr>
        <w:t>和H</w:t>
      </w:r>
      <w:r>
        <w:rPr>
          <w:rFonts w:hint="eastAsia" w:ascii="Times New Roman" w:hAnsi="Times New Roman" w:cs="Times New Roman"/>
          <w:kern w:val="0"/>
          <w:sz w:val="24"/>
          <w:szCs w:val="24"/>
          <w:vertAlign w:val="subscript"/>
          <w:lang w:val="en-US" w:eastAsia="zh-CN" w:bidi="ar-SA"/>
        </w:rPr>
        <w:t>2</w:t>
      </w:r>
      <w:r>
        <w:rPr>
          <w:rFonts w:hint="eastAsia" w:ascii="Times New Roman" w:hAnsi="Times New Roman" w:cs="Times New Roman"/>
          <w:kern w:val="0"/>
          <w:sz w:val="24"/>
          <w:szCs w:val="24"/>
          <w:lang w:val="en-US" w:eastAsia="zh-CN" w:bidi="ar-SA"/>
        </w:rPr>
        <w:t>S的去除率达到98%。则项目运营时NH</w:t>
      </w:r>
      <w:r>
        <w:rPr>
          <w:rFonts w:hint="eastAsia" w:ascii="Times New Roman" w:hAnsi="Times New Roman" w:cs="Times New Roman"/>
          <w:kern w:val="0"/>
          <w:sz w:val="24"/>
          <w:szCs w:val="24"/>
          <w:vertAlign w:val="subscript"/>
          <w:lang w:val="en-US" w:eastAsia="zh-CN" w:bidi="ar-SA"/>
        </w:rPr>
        <w:t>3</w:t>
      </w:r>
      <w:r>
        <w:rPr>
          <w:rFonts w:hint="eastAsia" w:ascii="Times New Roman" w:hAnsi="Times New Roman" w:cs="Times New Roman"/>
          <w:kern w:val="0"/>
          <w:sz w:val="24"/>
          <w:szCs w:val="24"/>
          <w:lang w:val="en-US" w:eastAsia="zh-CN" w:bidi="ar-SA"/>
        </w:rPr>
        <w:t>和H</w:t>
      </w:r>
      <w:r>
        <w:rPr>
          <w:rFonts w:hint="eastAsia" w:ascii="Times New Roman" w:hAnsi="Times New Roman" w:cs="Times New Roman"/>
          <w:kern w:val="0"/>
          <w:sz w:val="24"/>
          <w:szCs w:val="24"/>
          <w:vertAlign w:val="subscript"/>
          <w:lang w:val="en-US" w:eastAsia="zh-CN" w:bidi="ar-SA"/>
        </w:rPr>
        <w:t>2</w:t>
      </w:r>
      <w:r>
        <w:rPr>
          <w:rFonts w:hint="eastAsia" w:ascii="Times New Roman" w:hAnsi="Times New Roman" w:cs="Times New Roman"/>
          <w:kern w:val="0"/>
          <w:sz w:val="24"/>
          <w:szCs w:val="24"/>
          <w:lang w:val="en-US" w:eastAsia="zh-CN" w:bidi="ar-SA"/>
        </w:rPr>
        <w:t>S排放量分别约</w:t>
      </w:r>
      <w:r>
        <w:rPr>
          <w:rFonts w:hint="eastAsia" w:cs="Times New Roman"/>
          <w:kern w:val="0"/>
          <w:sz w:val="24"/>
          <w:szCs w:val="24"/>
          <w:lang w:val="en-US" w:eastAsia="zh-CN" w:bidi="ar-SA"/>
        </w:rPr>
        <w:t>0.044</w:t>
      </w:r>
      <w:r>
        <w:rPr>
          <w:rFonts w:hint="eastAsia" w:ascii="Times New Roman" w:hAnsi="Times New Roman" w:cs="Times New Roman"/>
          <w:kern w:val="0"/>
          <w:sz w:val="24"/>
          <w:szCs w:val="24"/>
          <w:lang w:val="en-US" w:eastAsia="zh-CN" w:bidi="ar-SA"/>
        </w:rPr>
        <w:t>t/a、</w:t>
      </w:r>
      <w:r>
        <w:rPr>
          <w:rFonts w:hint="eastAsia" w:cs="Times New Roman"/>
          <w:kern w:val="0"/>
          <w:sz w:val="24"/>
          <w:szCs w:val="24"/>
          <w:lang w:val="en-US" w:eastAsia="zh-CN" w:bidi="ar-SA"/>
        </w:rPr>
        <w:t>0.003</w:t>
      </w:r>
      <w:r>
        <w:rPr>
          <w:rFonts w:hint="eastAsia" w:ascii="Times New Roman" w:hAnsi="Times New Roman" w:cs="Times New Roman"/>
          <w:kern w:val="0"/>
          <w:sz w:val="24"/>
          <w:szCs w:val="24"/>
          <w:lang w:val="en-US" w:eastAsia="zh-CN" w:bidi="ar-SA"/>
        </w:rPr>
        <w:t>t/a，排放速率分别为</w:t>
      </w:r>
      <w:r>
        <w:rPr>
          <w:rFonts w:hint="eastAsia" w:cs="Times New Roman"/>
          <w:kern w:val="0"/>
          <w:sz w:val="24"/>
          <w:szCs w:val="24"/>
          <w:lang w:val="en-US" w:eastAsia="zh-CN" w:bidi="ar-SA"/>
        </w:rPr>
        <w:t>0.005</w:t>
      </w:r>
      <w:r>
        <w:rPr>
          <w:rFonts w:hint="eastAsia" w:ascii="Times New Roman" w:hAnsi="Times New Roman" w:cs="Times New Roman"/>
          <w:kern w:val="0"/>
          <w:sz w:val="24"/>
          <w:szCs w:val="24"/>
          <w:lang w:val="en-US" w:eastAsia="zh-CN" w:bidi="ar-SA"/>
        </w:rPr>
        <w:t>kg/h、0.000</w:t>
      </w:r>
      <w:r>
        <w:rPr>
          <w:rFonts w:hint="eastAsia" w:cs="Times New Roman"/>
          <w:kern w:val="0"/>
          <w:sz w:val="24"/>
          <w:szCs w:val="24"/>
          <w:lang w:val="en-US" w:eastAsia="zh-CN" w:bidi="ar-SA"/>
        </w:rPr>
        <w:t>3</w:t>
      </w:r>
      <w:r>
        <w:rPr>
          <w:rFonts w:hint="eastAsia" w:ascii="Times New Roman" w:hAnsi="Times New Roman" w:cs="Times New Roman"/>
          <w:kern w:val="0"/>
          <w:sz w:val="24"/>
          <w:szCs w:val="24"/>
          <w:lang w:val="en-US" w:eastAsia="zh-CN" w:bidi="ar-SA"/>
        </w:rPr>
        <w:t>kg/h。</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1" w:firstLineChars="200"/>
        <w:jc w:val="left"/>
        <w:textAlignment w:val="auto"/>
        <w:rPr>
          <w:rFonts w:hint="default" w:ascii="Times New Roman" w:hAnsi="Times New Roman" w:cs="Times New Roman"/>
          <w:b/>
          <w:bCs/>
          <w:kern w:val="0"/>
          <w:sz w:val="24"/>
          <w:szCs w:val="24"/>
          <w:lang w:val="en-US" w:eastAsia="zh-CN" w:bidi="ar-SA"/>
        </w:rPr>
      </w:pPr>
      <w:r>
        <w:rPr>
          <w:rFonts w:hint="eastAsia" w:cs="Times New Roman"/>
          <w:b/>
          <w:bCs/>
          <w:kern w:val="0"/>
          <w:sz w:val="24"/>
          <w:szCs w:val="24"/>
          <w:lang w:val="en-US" w:eastAsia="zh-CN" w:bidi="ar-SA"/>
        </w:rPr>
        <w:t>（2）污水处理设施恶臭</w:t>
      </w:r>
    </w:p>
    <w:p>
      <w:pPr>
        <w:keepNext w:val="0"/>
        <w:keepLines w:val="0"/>
        <w:pageBreakBefore w:val="0"/>
        <w:widowControl w:val="0"/>
        <w:kinsoku/>
        <w:wordWrap/>
        <w:overflowPunct/>
        <w:topLinePunct w:val="0"/>
        <w:bidi w:val="0"/>
        <w:adjustRightInd/>
        <w:snapToGrid/>
        <w:spacing w:line="360" w:lineRule="auto"/>
        <w:ind w:firstLine="480" w:firstLineChars="200"/>
        <w:jc w:val="left"/>
        <w:textAlignment w:val="auto"/>
        <w:rPr>
          <w:rFonts w:hint="eastAsia"/>
          <w:sz w:val="24"/>
        </w:rPr>
      </w:pPr>
      <w:r>
        <w:rPr>
          <w:rFonts w:hint="eastAsia"/>
          <w:sz w:val="24"/>
        </w:rPr>
        <w:t>为减小项目恶臭气体对周边环境的影响，评价要求在恶臭产气区域喷洒除臭剂进行脱臭。本项目污水收集设施位于项目厂区</w:t>
      </w:r>
      <w:r>
        <w:rPr>
          <w:rFonts w:hint="eastAsia"/>
          <w:color w:val="auto"/>
          <w:sz w:val="24"/>
          <w:lang w:eastAsia="zh-CN"/>
        </w:rPr>
        <w:t>北侧</w:t>
      </w:r>
      <w:r>
        <w:rPr>
          <w:rFonts w:hint="eastAsia"/>
          <w:color w:val="auto"/>
          <w:sz w:val="24"/>
        </w:rPr>
        <w:t>，</w:t>
      </w:r>
      <w:r>
        <w:rPr>
          <w:rFonts w:hint="eastAsia"/>
          <w:sz w:val="24"/>
        </w:rPr>
        <w:t>根据类比分析，污水收集设施恶臭产排情况见表3.</w:t>
      </w:r>
      <w:r>
        <w:rPr>
          <w:rFonts w:hint="eastAsia"/>
          <w:sz w:val="24"/>
          <w:lang w:val="en-US" w:eastAsia="zh-CN"/>
        </w:rPr>
        <w:t>3</w:t>
      </w:r>
      <w:r>
        <w:rPr>
          <w:rFonts w:hint="eastAsia"/>
          <w:sz w:val="24"/>
        </w:rPr>
        <w:t>-</w:t>
      </w:r>
      <w:r>
        <w:rPr>
          <w:rFonts w:hint="eastAsia"/>
          <w:sz w:val="24"/>
          <w:lang w:val="en-US" w:eastAsia="zh-CN"/>
        </w:rPr>
        <w:t>4</w:t>
      </w:r>
      <w:r>
        <w:rPr>
          <w:rFonts w:hint="eastAsia"/>
          <w:sz w:val="24"/>
        </w:rPr>
        <w:t>。</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eastAsia="宋体" w:cs="Times New Roman"/>
          <w:b/>
          <w:bCs/>
          <w:kern w:val="0"/>
          <w:sz w:val="21"/>
          <w:szCs w:val="21"/>
          <w:lang w:val="en-US" w:eastAsia="zh-CN" w:bidi="ar-SA"/>
        </w:rPr>
      </w:pPr>
      <w:r>
        <w:rPr>
          <w:rFonts w:hint="default" w:ascii="Times New Roman" w:hAnsi="Times New Roman" w:eastAsia="宋体" w:cs="Times New Roman"/>
          <w:b/>
          <w:bCs/>
          <w:kern w:val="0"/>
          <w:sz w:val="21"/>
          <w:szCs w:val="21"/>
          <w:lang w:val="en-US" w:eastAsia="zh-CN" w:bidi="ar-SA"/>
        </w:rPr>
        <w:t>表3.</w:t>
      </w:r>
      <w:r>
        <w:rPr>
          <w:rFonts w:hint="eastAsia" w:cs="Times New Roman"/>
          <w:b/>
          <w:bCs/>
          <w:kern w:val="0"/>
          <w:sz w:val="21"/>
          <w:szCs w:val="21"/>
          <w:lang w:val="en-US" w:eastAsia="zh-CN" w:bidi="ar-SA"/>
        </w:rPr>
        <w:t>3</w:t>
      </w:r>
      <w:r>
        <w:rPr>
          <w:rFonts w:hint="default" w:ascii="Times New Roman" w:hAnsi="Times New Roman" w:eastAsia="宋体" w:cs="Times New Roman"/>
          <w:b/>
          <w:bCs/>
          <w:kern w:val="0"/>
          <w:sz w:val="21"/>
          <w:szCs w:val="21"/>
          <w:lang w:val="en-US" w:eastAsia="zh-CN" w:bidi="ar-SA"/>
        </w:rPr>
        <w:t xml:space="preserve">-4  </w:t>
      </w:r>
      <w:r>
        <w:rPr>
          <w:rFonts w:hint="eastAsia" w:cs="Times New Roman"/>
          <w:b/>
          <w:bCs/>
          <w:kern w:val="0"/>
          <w:sz w:val="21"/>
          <w:szCs w:val="21"/>
          <w:lang w:val="en-US" w:eastAsia="zh-CN" w:bidi="ar-SA"/>
        </w:rPr>
        <w:t>项目</w:t>
      </w:r>
      <w:r>
        <w:rPr>
          <w:rFonts w:hint="default" w:ascii="Times New Roman" w:hAnsi="Times New Roman" w:eastAsia="宋体" w:cs="Times New Roman"/>
          <w:b/>
          <w:bCs/>
          <w:kern w:val="0"/>
          <w:sz w:val="21"/>
          <w:szCs w:val="21"/>
          <w:lang w:val="en-US" w:eastAsia="zh-CN" w:bidi="ar-SA"/>
        </w:rPr>
        <w:t>污水收集设施区域恶臭产排情况</w:t>
      </w:r>
      <w:r>
        <w:rPr>
          <w:rFonts w:hint="eastAsia" w:ascii="Times New Roman" w:hAnsi="Times New Roman" w:cs="Times New Roman"/>
          <w:b/>
          <w:bCs/>
          <w:kern w:val="0"/>
          <w:sz w:val="21"/>
          <w:szCs w:val="21"/>
          <w:lang w:val="en-US" w:eastAsia="zh-CN" w:bidi="ar-SA"/>
        </w:rPr>
        <w:t xml:space="preserve">   单位：</w:t>
      </w:r>
      <w:r>
        <w:rPr>
          <w:rFonts w:hint="eastAsia"/>
          <w:szCs w:val="21"/>
          <w:lang w:val="en-US" w:eastAsia="zh-CN"/>
        </w:rPr>
        <w:t>t</w:t>
      </w:r>
      <w:r>
        <w:rPr>
          <w:rFonts w:hint="eastAsia"/>
          <w:szCs w:val="21"/>
        </w:rPr>
        <w:t>/</w:t>
      </w:r>
      <w:r>
        <w:rPr>
          <w:rFonts w:hint="eastAsia"/>
          <w:szCs w:val="21"/>
          <w:lang w:val="en-US" w:eastAsia="zh-CN"/>
        </w:rPr>
        <w:t>a</w:t>
      </w:r>
    </w:p>
    <w:tbl>
      <w:tblPr>
        <w:tblStyle w:val="63"/>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871"/>
        <w:gridCol w:w="839"/>
        <w:gridCol w:w="1051"/>
        <w:gridCol w:w="4053"/>
        <w:gridCol w:w="867"/>
        <w:gridCol w:w="84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7" w:hRule="atLeast"/>
        </w:trPr>
        <w:tc>
          <w:tcPr>
            <w:tcW w:w="511" w:type="pct"/>
            <w:vMerge w:val="restart"/>
            <w:tcBorders>
              <w:top w:val="single" w:color="000000" w:sz="12" w:space="0"/>
              <w:left w:val="nil"/>
            </w:tcBorders>
            <w:noWrap w:val="0"/>
            <w:vAlign w:val="center"/>
          </w:tcPr>
          <w:p>
            <w:pPr>
              <w:jc w:val="center"/>
              <w:rPr>
                <w:rFonts w:hint="eastAsia"/>
                <w:szCs w:val="21"/>
              </w:rPr>
            </w:pPr>
            <w:r>
              <w:rPr>
                <w:rFonts w:hint="eastAsia"/>
                <w:szCs w:val="21"/>
              </w:rPr>
              <w:t>来源</w:t>
            </w:r>
          </w:p>
        </w:tc>
        <w:tc>
          <w:tcPr>
            <w:tcW w:w="1108" w:type="pct"/>
            <w:gridSpan w:val="2"/>
            <w:tcBorders>
              <w:top w:val="single" w:color="000000" w:sz="12" w:space="0"/>
            </w:tcBorders>
            <w:noWrap w:val="0"/>
            <w:vAlign w:val="center"/>
          </w:tcPr>
          <w:p>
            <w:pPr>
              <w:jc w:val="center"/>
              <w:rPr>
                <w:rFonts w:hint="eastAsia"/>
                <w:szCs w:val="21"/>
              </w:rPr>
            </w:pPr>
            <w:r>
              <w:rPr>
                <w:rFonts w:hint="eastAsia"/>
                <w:szCs w:val="21"/>
              </w:rPr>
              <w:t>污染物产生情况</w:t>
            </w:r>
          </w:p>
        </w:tc>
        <w:tc>
          <w:tcPr>
            <w:tcW w:w="2376" w:type="pct"/>
            <w:vMerge w:val="restart"/>
            <w:tcBorders>
              <w:top w:val="single" w:color="000000" w:sz="12" w:space="0"/>
            </w:tcBorders>
            <w:noWrap w:val="0"/>
            <w:vAlign w:val="center"/>
          </w:tcPr>
          <w:p>
            <w:pPr>
              <w:jc w:val="center"/>
              <w:rPr>
                <w:rFonts w:hint="eastAsia"/>
                <w:szCs w:val="21"/>
              </w:rPr>
            </w:pPr>
            <w:r>
              <w:rPr>
                <w:rFonts w:hint="eastAsia"/>
                <w:szCs w:val="21"/>
              </w:rPr>
              <w:t>拟处理措施</w:t>
            </w:r>
          </w:p>
        </w:tc>
        <w:tc>
          <w:tcPr>
            <w:tcW w:w="1001" w:type="pct"/>
            <w:gridSpan w:val="2"/>
            <w:tcBorders>
              <w:top w:val="single" w:color="000000" w:sz="12" w:space="0"/>
              <w:right w:val="nil"/>
            </w:tcBorders>
            <w:noWrap w:val="0"/>
            <w:vAlign w:val="center"/>
          </w:tcPr>
          <w:p>
            <w:pPr>
              <w:jc w:val="center"/>
              <w:rPr>
                <w:rFonts w:hint="eastAsia"/>
                <w:szCs w:val="21"/>
              </w:rPr>
            </w:pPr>
            <w:r>
              <w:rPr>
                <w:rFonts w:hint="eastAsia"/>
                <w:szCs w:val="21"/>
              </w:rPr>
              <w:t>污染物排放情况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62" w:hRule="atLeast"/>
        </w:trPr>
        <w:tc>
          <w:tcPr>
            <w:tcW w:w="511" w:type="pct"/>
            <w:vMerge w:val="continue"/>
            <w:tcBorders>
              <w:left w:val="nil"/>
              <w:bottom w:val="single" w:color="000000" w:sz="12" w:space="0"/>
            </w:tcBorders>
            <w:noWrap w:val="0"/>
            <w:vAlign w:val="center"/>
          </w:tcPr>
          <w:p>
            <w:pPr>
              <w:jc w:val="center"/>
              <w:rPr>
                <w:rFonts w:hint="eastAsia"/>
                <w:szCs w:val="21"/>
              </w:rPr>
            </w:pPr>
          </w:p>
        </w:tc>
        <w:tc>
          <w:tcPr>
            <w:tcW w:w="492" w:type="pct"/>
            <w:tcBorders>
              <w:bottom w:val="single" w:color="000000" w:sz="12" w:space="0"/>
            </w:tcBorders>
            <w:noWrap w:val="0"/>
            <w:vAlign w:val="center"/>
          </w:tcPr>
          <w:p>
            <w:pPr>
              <w:jc w:val="center"/>
              <w:rPr>
                <w:rFonts w:hint="eastAsia"/>
                <w:szCs w:val="21"/>
              </w:rPr>
            </w:pPr>
            <w:r>
              <w:rPr>
                <w:snapToGrid w:val="0"/>
                <w:spacing w:val="-4"/>
                <w:kern w:val="0"/>
                <w:szCs w:val="21"/>
              </w:rPr>
              <w:t>NH</w:t>
            </w:r>
            <w:r>
              <w:rPr>
                <w:snapToGrid w:val="0"/>
                <w:spacing w:val="-4"/>
                <w:kern w:val="0"/>
                <w:szCs w:val="21"/>
                <w:vertAlign w:val="subscript"/>
              </w:rPr>
              <w:t>3</w:t>
            </w:r>
          </w:p>
        </w:tc>
        <w:tc>
          <w:tcPr>
            <w:tcW w:w="616" w:type="pct"/>
            <w:tcBorders>
              <w:bottom w:val="single" w:color="000000" w:sz="12" w:space="0"/>
            </w:tcBorders>
            <w:noWrap w:val="0"/>
            <w:vAlign w:val="center"/>
          </w:tcPr>
          <w:p>
            <w:pPr>
              <w:jc w:val="center"/>
              <w:rPr>
                <w:rFonts w:hint="eastAsia"/>
                <w:szCs w:val="21"/>
              </w:rPr>
            </w:pPr>
            <w:r>
              <w:rPr>
                <w:snapToGrid w:val="0"/>
                <w:spacing w:val="-4"/>
                <w:kern w:val="0"/>
                <w:szCs w:val="21"/>
              </w:rPr>
              <w:t>H</w:t>
            </w:r>
            <w:r>
              <w:rPr>
                <w:snapToGrid w:val="0"/>
                <w:spacing w:val="-4"/>
                <w:kern w:val="0"/>
                <w:szCs w:val="21"/>
                <w:vertAlign w:val="subscript"/>
              </w:rPr>
              <w:t>2</w:t>
            </w:r>
            <w:r>
              <w:rPr>
                <w:snapToGrid w:val="0"/>
                <w:spacing w:val="-4"/>
                <w:kern w:val="0"/>
                <w:szCs w:val="21"/>
              </w:rPr>
              <w:t>S</w:t>
            </w:r>
          </w:p>
        </w:tc>
        <w:tc>
          <w:tcPr>
            <w:tcW w:w="2376" w:type="pct"/>
            <w:vMerge w:val="continue"/>
            <w:tcBorders>
              <w:bottom w:val="single" w:color="000000" w:sz="12" w:space="0"/>
            </w:tcBorders>
            <w:noWrap w:val="0"/>
            <w:vAlign w:val="center"/>
          </w:tcPr>
          <w:p>
            <w:pPr>
              <w:jc w:val="center"/>
              <w:rPr>
                <w:rFonts w:hint="eastAsia"/>
                <w:szCs w:val="21"/>
              </w:rPr>
            </w:pPr>
          </w:p>
        </w:tc>
        <w:tc>
          <w:tcPr>
            <w:tcW w:w="508" w:type="pct"/>
            <w:tcBorders>
              <w:bottom w:val="single" w:color="000000" w:sz="12" w:space="0"/>
            </w:tcBorders>
            <w:noWrap w:val="0"/>
            <w:vAlign w:val="center"/>
          </w:tcPr>
          <w:p>
            <w:pPr>
              <w:jc w:val="center"/>
              <w:rPr>
                <w:rFonts w:hint="eastAsia"/>
                <w:szCs w:val="21"/>
              </w:rPr>
            </w:pPr>
            <w:r>
              <w:rPr>
                <w:snapToGrid w:val="0"/>
                <w:spacing w:val="-4"/>
                <w:kern w:val="0"/>
                <w:szCs w:val="21"/>
              </w:rPr>
              <w:t>NH</w:t>
            </w:r>
            <w:r>
              <w:rPr>
                <w:snapToGrid w:val="0"/>
                <w:spacing w:val="-4"/>
                <w:kern w:val="0"/>
                <w:szCs w:val="21"/>
                <w:vertAlign w:val="subscript"/>
              </w:rPr>
              <w:t>3</w:t>
            </w:r>
          </w:p>
        </w:tc>
        <w:tc>
          <w:tcPr>
            <w:tcW w:w="492" w:type="pct"/>
            <w:tcBorders>
              <w:bottom w:val="single" w:color="000000" w:sz="12" w:space="0"/>
              <w:right w:val="nil"/>
            </w:tcBorders>
            <w:noWrap w:val="0"/>
            <w:vAlign w:val="center"/>
          </w:tcPr>
          <w:p>
            <w:pPr>
              <w:jc w:val="center"/>
              <w:rPr>
                <w:rFonts w:hint="eastAsia"/>
                <w:szCs w:val="21"/>
              </w:rPr>
            </w:pPr>
            <w:r>
              <w:rPr>
                <w:snapToGrid w:val="0"/>
                <w:spacing w:val="-4"/>
                <w:kern w:val="0"/>
                <w:szCs w:val="21"/>
              </w:rPr>
              <w:t>H</w:t>
            </w:r>
            <w:r>
              <w:rPr>
                <w:snapToGrid w:val="0"/>
                <w:spacing w:val="-4"/>
                <w:kern w:val="0"/>
                <w:szCs w:val="21"/>
                <w:vertAlign w:val="subscript"/>
              </w:rPr>
              <w:t>2</w:t>
            </w:r>
            <w:r>
              <w:rPr>
                <w:snapToGrid w:val="0"/>
                <w:spacing w:val="-4"/>
                <w:kern w:val="0"/>
                <w:szCs w:val="21"/>
              </w:rPr>
              <w:t>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09" w:hRule="atLeast"/>
        </w:trPr>
        <w:tc>
          <w:tcPr>
            <w:tcW w:w="511" w:type="pct"/>
            <w:tcBorders>
              <w:top w:val="single" w:color="000000" w:sz="12" w:space="0"/>
              <w:left w:val="nil"/>
              <w:bottom w:val="single" w:color="000000" w:sz="12" w:space="0"/>
            </w:tcBorders>
            <w:noWrap w:val="0"/>
            <w:vAlign w:val="center"/>
          </w:tcPr>
          <w:p>
            <w:pPr>
              <w:jc w:val="center"/>
              <w:rPr>
                <w:rFonts w:hint="eastAsia"/>
                <w:szCs w:val="21"/>
              </w:rPr>
            </w:pPr>
            <w:r>
              <w:rPr>
                <w:rFonts w:hint="eastAsia"/>
                <w:szCs w:val="21"/>
              </w:rPr>
              <w:t>污水收集设施</w:t>
            </w:r>
          </w:p>
        </w:tc>
        <w:tc>
          <w:tcPr>
            <w:tcW w:w="492" w:type="pct"/>
            <w:tcBorders>
              <w:top w:val="single" w:color="000000" w:sz="12" w:space="0"/>
              <w:bottom w:val="single" w:color="000000" w:sz="12" w:space="0"/>
            </w:tcBorders>
            <w:noWrap w:val="0"/>
            <w:vAlign w:val="center"/>
          </w:tcPr>
          <w:p>
            <w:pPr>
              <w:jc w:val="center"/>
              <w:rPr>
                <w:rFonts w:hint="eastAsia"/>
                <w:szCs w:val="21"/>
              </w:rPr>
            </w:pPr>
            <w:r>
              <w:rPr>
                <w:rFonts w:hint="eastAsia"/>
                <w:szCs w:val="21"/>
              </w:rPr>
              <w:t>0.04</w:t>
            </w:r>
          </w:p>
        </w:tc>
        <w:tc>
          <w:tcPr>
            <w:tcW w:w="616" w:type="pct"/>
            <w:tcBorders>
              <w:top w:val="single" w:color="000000" w:sz="12" w:space="0"/>
              <w:bottom w:val="single" w:color="000000" w:sz="12" w:space="0"/>
            </w:tcBorders>
            <w:noWrap w:val="0"/>
            <w:vAlign w:val="center"/>
          </w:tcPr>
          <w:p>
            <w:pPr>
              <w:jc w:val="center"/>
              <w:rPr>
                <w:rFonts w:hint="eastAsia"/>
                <w:szCs w:val="21"/>
              </w:rPr>
            </w:pPr>
            <w:r>
              <w:rPr>
                <w:rFonts w:hint="eastAsia"/>
                <w:szCs w:val="21"/>
              </w:rPr>
              <w:t>0.002</w:t>
            </w:r>
          </w:p>
        </w:tc>
        <w:tc>
          <w:tcPr>
            <w:tcW w:w="2376" w:type="pct"/>
            <w:tcBorders>
              <w:top w:val="single" w:color="000000" w:sz="12" w:space="0"/>
              <w:bottom w:val="single" w:color="000000" w:sz="12" w:space="0"/>
            </w:tcBorders>
            <w:noWrap w:val="0"/>
            <w:vAlign w:val="center"/>
          </w:tcPr>
          <w:p>
            <w:pPr>
              <w:jc w:val="center"/>
              <w:rPr>
                <w:rFonts w:hint="eastAsia"/>
                <w:szCs w:val="21"/>
              </w:rPr>
            </w:pPr>
            <w:r>
              <w:rPr>
                <w:rFonts w:hint="eastAsia"/>
                <w:szCs w:val="21"/>
              </w:rPr>
              <w:t>恶臭产气区域设置顶棚，喷洒EM除臭剂进行脱臭，处理效率：氨70%，硫化氢70%</w:t>
            </w:r>
          </w:p>
        </w:tc>
        <w:tc>
          <w:tcPr>
            <w:tcW w:w="508" w:type="pct"/>
            <w:tcBorders>
              <w:top w:val="single" w:color="000000" w:sz="12" w:space="0"/>
              <w:bottom w:val="single" w:color="000000" w:sz="12" w:space="0"/>
            </w:tcBorders>
            <w:noWrap w:val="0"/>
            <w:vAlign w:val="center"/>
          </w:tcPr>
          <w:p>
            <w:pPr>
              <w:jc w:val="center"/>
              <w:rPr>
                <w:rFonts w:hint="eastAsia"/>
                <w:szCs w:val="21"/>
              </w:rPr>
            </w:pPr>
            <w:r>
              <w:rPr>
                <w:rFonts w:hint="eastAsia"/>
                <w:szCs w:val="21"/>
              </w:rPr>
              <w:t>0.012</w:t>
            </w:r>
          </w:p>
        </w:tc>
        <w:tc>
          <w:tcPr>
            <w:tcW w:w="492" w:type="pct"/>
            <w:tcBorders>
              <w:top w:val="single" w:color="000000" w:sz="12" w:space="0"/>
              <w:bottom w:val="single" w:color="000000" w:sz="12" w:space="0"/>
              <w:right w:val="nil"/>
            </w:tcBorders>
            <w:noWrap w:val="0"/>
            <w:vAlign w:val="center"/>
          </w:tcPr>
          <w:p>
            <w:pPr>
              <w:jc w:val="center"/>
              <w:rPr>
                <w:rFonts w:hint="eastAsia"/>
                <w:szCs w:val="21"/>
              </w:rPr>
            </w:pPr>
            <w:r>
              <w:rPr>
                <w:rFonts w:hint="eastAsia"/>
                <w:szCs w:val="21"/>
              </w:rPr>
              <w:t>0.0006</w:t>
            </w:r>
          </w:p>
        </w:tc>
      </w:tr>
    </w:tbl>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1" w:firstLineChars="200"/>
        <w:jc w:val="left"/>
        <w:textAlignment w:val="auto"/>
        <w:rPr>
          <w:rFonts w:hint="default" w:ascii="Times New Roman" w:hAnsi="Times New Roman" w:eastAsia="宋体" w:cs="Times New Roman"/>
          <w:b/>
          <w:bCs/>
          <w:kern w:val="0"/>
          <w:sz w:val="24"/>
          <w:szCs w:val="24"/>
          <w:lang w:val="en-US" w:eastAsia="zh-CN" w:bidi="ar-SA"/>
        </w:rPr>
      </w:pPr>
      <w:r>
        <w:rPr>
          <w:rFonts w:hint="eastAsia" w:cs="Times New Roman"/>
          <w:b/>
          <w:bCs/>
          <w:kern w:val="0"/>
          <w:sz w:val="24"/>
          <w:szCs w:val="24"/>
          <w:lang w:val="en-US" w:eastAsia="zh-CN" w:bidi="ar-SA"/>
        </w:rPr>
        <w:t>（3）异位发酵床恶臭</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eastAsia" w:cs="Times New Roman"/>
          <w:color w:val="auto"/>
          <w:kern w:val="0"/>
          <w:sz w:val="24"/>
          <w:szCs w:val="24"/>
          <w:lang w:val="en-US" w:eastAsia="zh-CN" w:bidi="ar-SA"/>
        </w:rPr>
      </w:pPr>
      <w:r>
        <w:rPr>
          <w:rFonts w:hint="eastAsia" w:cs="Times New Roman"/>
          <w:color w:val="auto"/>
          <w:kern w:val="0"/>
          <w:sz w:val="24"/>
          <w:szCs w:val="24"/>
          <w:lang w:val="en-US" w:eastAsia="zh-CN" w:bidi="ar-SA"/>
        </w:rPr>
        <w:t>项目异位发酵床将会散发出恶臭气体，主要污染物为</w:t>
      </w:r>
      <w:r>
        <w:rPr>
          <w:rFonts w:hint="eastAsia" w:ascii="Times New Roman" w:hAnsi="Times New Roman" w:cs="Times New Roman"/>
          <w:color w:val="auto"/>
          <w:kern w:val="0"/>
          <w:sz w:val="24"/>
          <w:szCs w:val="24"/>
          <w:lang w:val="en-US" w:eastAsia="zh-CN" w:bidi="ar-SA"/>
        </w:rPr>
        <w:t>NH</w:t>
      </w:r>
      <w:r>
        <w:rPr>
          <w:rFonts w:hint="eastAsia" w:ascii="Times New Roman" w:hAnsi="Times New Roman" w:cs="Times New Roman"/>
          <w:color w:val="auto"/>
          <w:kern w:val="0"/>
          <w:sz w:val="24"/>
          <w:szCs w:val="24"/>
          <w:vertAlign w:val="subscript"/>
          <w:lang w:val="en-US" w:eastAsia="zh-CN" w:bidi="ar-SA"/>
        </w:rPr>
        <w:t>3</w:t>
      </w:r>
      <w:r>
        <w:rPr>
          <w:rFonts w:hint="eastAsia" w:ascii="Times New Roman" w:hAnsi="Times New Roman" w:cs="Times New Roman"/>
          <w:color w:val="auto"/>
          <w:kern w:val="0"/>
          <w:sz w:val="24"/>
          <w:szCs w:val="24"/>
          <w:lang w:val="en-US" w:eastAsia="zh-CN" w:bidi="ar-SA"/>
        </w:rPr>
        <w:t>、H</w:t>
      </w:r>
      <w:r>
        <w:rPr>
          <w:rFonts w:hint="eastAsia" w:ascii="Times New Roman" w:hAnsi="Times New Roman" w:cs="Times New Roman"/>
          <w:color w:val="auto"/>
          <w:kern w:val="0"/>
          <w:sz w:val="24"/>
          <w:szCs w:val="24"/>
          <w:vertAlign w:val="subscript"/>
          <w:lang w:val="en-US" w:eastAsia="zh-CN" w:bidi="ar-SA"/>
        </w:rPr>
        <w:t>2</w:t>
      </w:r>
      <w:r>
        <w:rPr>
          <w:rFonts w:hint="eastAsia" w:ascii="Times New Roman" w:hAnsi="Times New Roman" w:cs="Times New Roman"/>
          <w:color w:val="auto"/>
          <w:kern w:val="0"/>
          <w:sz w:val="24"/>
          <w:szCs w:val="24"/>
          <w:lang w:val="en-US" w:eastAsia="zh-CN" w:bidi="ar-SA"/>
        </w:rPr>
        <w:t>S</w:t>
      </w:r>
      <w:r>
        <w:rPr>
          <w:rFonts w:hint="eastAsia" w:cs="Times New Roman"/>
          <w:color w:val="auto"/>
          <w:kern w:val="0"/>
          <w:sz w:val="24"/>
          <w:szCs w:val="24"/>
          <w:lang w:val="en-US" w:eastAsia="zh-CN" w:bidi="ar-SA"/>
        </w:rPr>
        <w:t>。参考《养殖场恶臭影响量化分析及控制对策研究》中猪粪堆场的恶臭源强，项目异位发酵床NH</w:t>
      </w:r>
      <w:r>
        <w:rPr>
          <w:rFonts w:hint="eastAsia" w:cs="Times New Roman"/>
          <w:color w:val="auto"/>
          <w:kern w:val="0"/>
          <w:sz w:val="24"/>
          <w:szCs w:val="24"/>
          <w:vertAlign w:val="subscript"/>
          <w:lang w:val="en-US" w:eastAsia="zh-CN" w:bidi="ar-SA"/>
        </w:rPr>
        <w:t>3</w:t>
      </w:r>
      <w:r>
        <w:rPr>
          <w:rFonts w:hint="eastAsia" w:cs="Times New Roman"/>
          <w:color w:val="auto"/>
          <w:kern w:val="0"/>
          <w:sz w:val="24"/>
          <w:szCs w:val="24"/>
          <w:lang w:val="en-US" w:eastAsia="zh-CN" w:bidi="ar-SA"/>
        </w:rPr>
        <w:t>产生源强为4.35</w:t>
      </w:r>
      <w:r>
        <w:rPr>
          <w:rFonts w:hint="default" w:ascii="Times New Roman" w:hAnsi="Times New Roman" w:cs="Times New Roman"/>
          <w:color w:val="auto"/>
          <w:kern w:val="0"/>
          <w:sz w:val="24"/>
          <w:szCs w:val="24"/>
          <w:lang w:val="en-US" w:eastAsia="zh-CN" w:bidi="ar-SA"/>
        </w:rPr>
        <w:t>g（m</w:t>
      </w:r>
      <w:r>
        <w:rPr>
          <w:rFonts w:hint="default" w:ascii="Times New Roman" w:hAnsi="Times New Roman" w:cs="Times New Roman"/>
          <w:color w:val="auto"/>
          <w:kern w:val="0"/>
          <w:sz w:val="24"/>
          <w:szCs w:val="24"/>
          <w:vertAlign w:val="superscript"/>
          <w:lang w:val="en-US" w:eastAsia="zh-CN" w:bidi="ar-SA"/>
        </w:rPr>
        <w:t>2</w:t>
      </w:r>
      <w:r>
        <w:rPr>
          <w:rFonts w:hint="default" w:ascii="Times New Roman" w:hAnsi="Times New Roman" w:cs="Times New Roman"/>
          <w:color w:val="auto"/>
          <w:kern w:val="0"/>
          <w:sz w:val="24"/>
          <w:szCs w:val="24"/>
          <w:lang w:val="en-US" w:eastAsia="zh-CN" w:bidi="ar-SA"/>
        </w:rPr>
        <w:t>·d）</w:t>
      </w:r>
      <w:r>
        <w:rPr>
          <w:rFonts w:hint="eastAsia" w:ascii="Times New Roman" w:hAnsi="Times New Roman" w:cs="Times New Roman"/>
          <w:color w:val="auto"/>
          <w:kern w:val="0"/>
          <w:sz w:val="24"/>
          <w:szCs w:val="24"/>
          <w:lang w:val="en-US" w:eastAsia="zh-CN" w:bidi="ar-SA"/>
        </w:rPr>
        <w:t>。通过在发酵周边喷洒</w:t>
      </w:r>
      <w:r>
        <w:rPr>
          <w:rFonts w:hint="eastAsia" w:cs="Times New Roman"/>
          <w:color w:val="auto"/>
          <w:kern w:val="0"/>
          <w:sz w:val="24"/>
          <w:szCs w:val="24"/>
          <w:lang w:val="en-US" w:eastAsia="zh-CN" w:bidi="ar-SA"/>
        </w:rPr>
        <w:t>生物</w:t>
      </w:r>
      <w:r>
        <w:rPr>
          <w:rFonts w:hint="eastAsia" w:ascii="Times New Roman" w:hAnsi="Times New Roman" w:cs="Times New Roman"/>
          <w:color w:val="auto"/>
          <w:kern w:val="0"/>
          <w:sz w:val="24"/>
          <w:szCs w:val="24"/>
          <w:lang w:val="en-US" w:eastAsia="zh-CN" w:bidi="ar-SA"/>
        </w:rPr>
        <w:t>除臭剂等措施可有效减少恶臭产生，且对</w:t>
      </w:r>
      <w:r>
        <w:rPr>
          <w:rFonts w:hint="eastAsia" w:cs="Times New Roman"/>
          <w:color w:val="auto"/>
          <w:kern w:val="0"/>
          <w:sz w:val="24"/>
          <w:szCs w:val="24"/>
          <w:lang w:val="en-US" w:eastAsia="zh-CN" w:bidi="ar-SA"/>
        </w:rPr>
        <w:t>异位发酵床</w:t>
      </w:r>
      <w:r>
        <w:rPr>
          <w:rFonts w:hint="eastAsia" w:ascii="Times New Roman" w:hAnsi="Times New Roman" w:cs="Times New Roman"/>
          <w:color w:val="auto"/>
          <w:kern w:val="0"/>
          <w:sz w:val="24"/>
          <w:szCs w:val="24"/>
          <w:lang w:val="en-US" w:eastAsia="zh-CN" w:bidi="ar-SA"/>
        </w:rPr>
        <w:t>加盖顶棚以减少恶臭挥发。根据《畜禽养殖业污染治理工程技术规范》（HJ497-2009），采用</w:t>
      </w:r>
      <w:r>
        <w:rPr>
          <w:rFonts w:hint="eastAsia" w:cs="Times New Roman"/>
          <w:color w:val="auto"/>
          <w:kern w:val="0"/>
          <w:sz w:val="24"/>
          <w:szCs w:val="24"/>
          <w:lang w:val="en-US" w:eastAsia="zh-CN" w:bidi="ar-SA"/>
        </w:rPr>
        <w:t>生物+物理</w:t>
      </w:r>
      <w:r>
        <w:rPr>
          <w:rFonts w:hint="eastAsia" w:ascii="Times New Roman" w:hAnsi="Times New Roman" w:cs="Times New Roman"/>
          <w:color w:val="auto"/>
          <w:kern w:val="0"/>
          <w:sz w:val="24"/>
          <w:szCs w:val="24"/>
          <w:lang w:val="en-US" w:eastAsia="zh-CN" w:bidi="ar-SA"/>
        </w:rPr>
        <w:t>除臭方法，NH</w:t>
      </w:r>
      <w:r>
        <w:rPr>
          <w:rFonts w:hint="eastAsia" w:ascii="Times New Roman" w:hAnsi="Times New Roman" w:cs="Times New Roman"/>
          <w:color w:val="auto"/>
          <w:kern w:val="0"/>
          <w:sz w:val="24"/>
          <w:szCs w:val="24"/>
          <w:vertAlign w:val="subscript"/>
          <w:lang w:val="en-US" w:eastAsia="zh-CN" w:bidi="ar-SA"/>
        </w:rPr>
        <w:t>3</w:t>
      </w:r>
      <w:r>
        <w:rPr>
          <w:rFonts w:hint="eastAsia" w:ascii="Times New Roman" w:hAnsi="Times New Roman" w:cs="Times New Roman"/>
          <w:color w:val="auto"/>
          <w:kern w:val="0"/>
          <w:sz w:val="24"/>
          <w:szCs w:val="24"/>
          <w:lang w:val="en-US" w:eastAsia="zh-CN" w:bidi="ar-SA"/>
        </w:rPr>
        <w:t>排放可消减9</w:t>
      </w:r>
      <w:r>
        <w:rPr>
          <w:rFonts w:hint="eastAsia" w:cs="Times New Roman"/>
          <w:color w:val="auto"/>
          <w:kern w:val="0"/>
          <w:sz w:val="24"/>
          <w:szCs w:val="24"/>
          <w:lang w:val="en-US" w:eastAsia="zh-CN" w:bidi="ar-SA"/>
        </w:rPr>
        <w:t>8</w:t>
      </w:r>
      <w:r>
        <w:rPr>
          <w:rFonts w:hint="eastAsia" w:ascii="Times New Roman" w:hAnsi="Times New Roman" w:cs="Times New Roman"/>
          <w:color w:val="auto"/>
          <w:kern w:val="0"/>
          <w:sz w:val="24"/>
          <w:szCs w:val="24"/>
          <w:lang w:val="en-US" w:eastAsia="zh-CN" w:bidi="ar-SA"/>
        </w:rPr>
        <w:t>%，NH</w:t>
      </w:r>
      <w:r>
        <w:rPr>
          <w:rFonts w:hint="eastAsia" w:ascii="Times New Roman" w:hAnsi="Times New Roman" w:cs="Times New Roman"/>
          <w:color w:val="auto"/>
          <w:kern w:val="0"/>
          <w:sz w:val="24"/>
          <w:szCs w:val="24"/>
          <w:vertAlign w:val="subscript"/>
          <w:lang w:val="en-US" w:eastAsia="zh-CN" w:bidi="ar-SA"/>
        </w:rPr>
        <w:t>3</w:t>
      </w:r>
      <w:r>
        <w:rPr>
          <w:rFonts w:hint="eastAsia" w:cs="Times New Roman"/>
          <w:color w:val="auto"/>
          <w:kern w:val="0"/>
          <w:sz w:val="24"/>
          <w:szCs w:val="24"/>
          <w:lang w:val="en-US" w:eastAsia="zh-CN" w:bidi="ar-SA"/>
        </w:rPr>
        <w:t>排放量可降为0.087</w:t>
      </w:r>
      <w:r>
        <w:rPr>
          <w:rFonts w:hint="default" w:ascii="Times New Roman" w:hAnsi="Times New Roman" w:cs="Times New Roman"/>
          <w:color w:val="auto"/>
          <w:kern w:val="0"/>
          <w:sz w:val="24"/>
          <w:szCs w:val="24"/>
          <w:lang w:val="en-US" w:eastAsia="zh-CN" w:bidi="ar-SA"/>
        </w:rPr>
        <w:t>g（m</w:t>
      </w:r>
      <w:r>
        <w:rPr>
          <w:rFonts w:hint="default" w:ascii="Times New Roman" w:hAnsi="Times New Roman" w:cs="Times New Roman"/>
          <w:color w:val="auto"/>
          <w:kern w:val="0"/>
          <w:sz w:val="24"/>
          <w:szCs w:val="24"/>
          <w:vertAlign w:val="superscript"/>
          <w:lang w:val="en-US" w:eastAsia="zh-CN" w:bidi="ar-SA"/>
        </w:rPr>
        <w:t>2</w:t>
      </w:r>
      <w:r>
        <w:rPr>
          <w:rFonts w:hint="default" w:ascii="Times New Roman" w:hAnsi="Times New Roman" w:cs="Times New Roman"/>
          <w:color w:val="auto"/>
          <w:kern w:val="0"/>
          <w:sz w:val="24"/>
          <w:szCs w:val="24"/>
          <w:lang w:val="en-US" w:eastAsia="zh-CN" w:bidi="ar-SA"/>
        </w:rPr>
        <w:t>·d）</w:t>
      </w:r>
      <w:r>
        <w:rPr>
          <w:rFonts w:hint="eastAsia" w:cs="Times New Roman"/>
          <w:color w:val="auto"/>
          <w:kern w:val="0"/>
          <w:sz w:val="24"/>
          <w:szCs w:val="24"/>
          <w:lang w:val="en-US" w:eastAsia="zh-CN" w:bidi="ar-SA"/>
        </w:rPr>
        <w:t>，H</w:t>
      </w:r>
      <w:r>
        <w:rPr>
          <w:rFonts w:hint="eastAsia" w:cs="Times New Roman"/>
          <w:color w:val="auto"/>
          <w:kern w:val="0"/>
          <w:sz w:val="24"/>
          <w:szCs w:val="24"/>
          <w:vertAlign w:val="subscript"/>
          <w:lang w:val="en-US" w:eastAsia="zh-CN" w:bidi="ar-SA"/>
        </w:rPr>
        <w:t>2</w:t>
      </w:r>
      <w:r>
        <w:rPr>
          <w:rFonts w:hint="eastAsia" w:cs="Times New Roman"/>
          <w:color w:val="auto"/>
          <w:kern w:val="0"/>
          <w:sz w:val="24"/>
          <w:szCs w:val="24"/>
          <w:lang w:val="en-US" w:eastAsia="zh-CN" w:bidi="ar-SA"/>
        </w:rPr>
        <w:t>S排放量参照NH</w:t>
      </w:r>
      <w:r>
        <w:rPr>
          <w:rFonts w:hint="eastAsia" w:cs="Times New Roman"/>
          <w:color w:val="auto"/>
          <w:kern w:val="0"/>
          <w:sz w:val="24"/>
          <w:szCs w:val="24"/>
          <w:vertAlign w:val="subscript"/>
          <w:lang w:val="en-US" w:eastAsia="zh-CN" w:bidi="ar-SA"/>
        </w:rPr>
        <w:t>3</w:t>
      </w:r>
      <w:r>
        <w:rPr>
          <w:rFonts w:hint="eastAsia" w:cs="Times New Roman"/>
          <w:color w:val="auto"/>
          <w:kern w:val="0"/>
          <w:sz w:val="24"/>
          <w:szCs w:val="24"/>
          <w:lang w:val="en-US" w:eastAsia="zh-CN" w:bidi="ar-SA"/>
        </w:rPr>
        <w:t>排放源强的5%，即0.0044</w:t>
      </w:r>
      <w:r>
        <w:rPr>
          <w:rFonts w:hint="default" w:ascii="Times New Roman" w:hAnsi="Times New Roman" w:cs="Times New Roman"/>
          <w:color w:val="auto"/>
          <w:kern w:val="0"/>
          <w:sz w:val="24"/>
          <w:szCs w:val="24"/>
          <w:lang w:val="en-US" w:eastAsia="zh-CN" w:bidi="ar-SA"/>
        </w:rPr>
        <w:t>g（m</w:t>
      </w:r>
      <w:r>
        <w:rPr>
          <w:rFonts w:hint="default" w:ascii="Times New Roman" w:hAnsi="Times New Roman" w:cs="Times New Roman"/>
          <w:color w:val="auto"/>
          <w:kern w:val="0"/>
          <w:sz w:val="24"/>
          <w:szCs w:val="24"/>
          <w:vertAlign w:val="superscript"/>
          <w:lang w:val="en-US" w:eastAsia="zh-CN" w:bidi="ar-SA"/>
        </w:rPr>
        <w:t>2</w:t>
      </w:r>
      <w:r>
        <w:rPr>
          <w:rFonts w:hint="default" w:ascii="Times New Roman" w:hAnsi="Times New Roman" w:cs="Times New Roman"/>
          <w:color w:val="auto"/>
          <w:kern w:val="0"/>
          <w:sz w:val="24"/>
          <w:szCs w:val="24"/>
          <w:lang w:val="en-US" w:eastAsia="zh-CN" w:bidi="ar-SA"/>
        </w:rPr>
        <w:t>·d）</w:t>
      </w:r>
      <w:r>
        <w:rPr>
          <w:rFonts w:hint="eastAsia" w:cs="Times New Roman"/>
          <w:color w:val="auto"/>
          <w:kern w:val="0"/>
          <w:sz w:val="24"/>
          <w:szCs w:val="24"/>
          <w:lang w:val="en-US" w:eastAsia="zh-CN" w:bidi="ar-SA"/>
        </w:rPr>
        <w:t>。项目异位发酵床面积为780m</w:t>
      </w:r>
      <w:r>
        <w:rPr>
          <w:rFonts w:hint="eastAsia" w:cs="Times New Roman"/>
          <w:color w:val="auto"/>
          <w:kern w:val="0"/>
          <w:sz w:val="24"/>
          <w:szCs w:val="24"/>
          <w:vertAlign w:val="superscript"/>
          <w:lang w:val="en-US" w:eastAsia="zh-CN" w:bidi="ar-SA"/>
        </w:rPr>
        <w:t>2</w:t>
      </w:r>
      <w:r>
        <w:rPr>
          <w:rFonts w:hint="eastAsia" w:cs="Times New Roman"/>
          <w:color w:val="auto"/>
          <w:kern w:val="0"/>
          <w:sz w:val="24"/>
          <w:szCs w:val="24"/>
          <w:lang w:val="en-US" w:eastAsia="zh-CN" w:bidi="ar-SA"/>
        </w:rPr>
        <w:t>，则异位发酵床NH</w:t>
      </w:r>
      <w:r>
        <w:rPr>
          <w:rFonts w:hint="eastAsia" w:cs="Times New Roman"/>
          <w:color w:val="auto"/>
          <w:kern w:val="0"/>
          <w:sz w:val="24"/>
          <w:szCs w:val="24"/>
          <w:vertAlign w:val="subscript"/>
          <w:lang w:val="en-US" w:eastAsia="zh-CN" w:bidi="ar-SA"/>
        </w:rPr>
        <w:t>3</w:t>
      </w:r>
      <w:r>
        <w:rPr>
          <w:rFonts w:hint="eastAsia" w:cs="Times New Roman"/>
          <w:color w:val="auto"/>
          <w:kern w:val="0"/>
          <w:sz w:val="24"/>
          <w:szCs w:val="24"/>
          <w:lang w:val="en-US" w:eastAsia="zh-CN" w:bidi="ar-SA"/>
        </w:rPr>
        <w:t>和H</w:t>
      </w:r>
      <w:r>
        <w:rPr>
          <w:rFonts w:hint="eastAsia" w:cs="Times New Roman"/>
          <w:color w:val="auto"/>
          <w:kern w:val="0"/>
          <w:sz w:val="24"/>
          <w:szCs w:val="24"/>
          <w:vertAlign w:val="subscript"/>
          <w:lang w:val="en-US" w:eastAsia="zh-CN" w:bidi="ar-SA"/>
        </w:rPr>
        <w:t>2</w:t>
      </w:r>
      <w:r>
        <w:rPr>
          <w:rFonts w:hint="eastAsia" w:cs="Times New Roman"/>
          <w:color w:val="auto"/>
          <w:kern w:val="0"/>
          <w:sz w:val="24"/>
          <w:szCs w:val="24"/>
          <w:lang w:val="en-US" w:eastAsia="zh-CN" w:bidi="ar-SA"/>
        </w:rPr>
        <w:t>S排放量分别为0.067kg/d（0.024t/a）、0.0034kg/d（0.0012t/a）。</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1" w:firstLineChars="200"/>
        <w:jc w:val="left"/>
        <w:textAlignment w:val="auto"/>
        <w:rPr>
          <w:rFonts w:hint="eastAsia" w:cs="Times New Roman"/>
          <w:b/>
          <w:bCs/>
          <w:kern w:val="0"/>
          <w:sz w:val="24"/>
          <w:szCs w:val="24"/>
          <w:lang w:val="en-US" w:eastAsia="zh-CN" w:bidi="ar-SA"/>
        </w:rPr>
      </w:pPr>
      <w:r>
        <w:rPr>
          <w:rFonts w:hint="eastAsia" w:cs="Times New Roman"/>
          <w:b/>
          <w:bCs/>
          <w:kern w:val="0"/>
          <w:sz w:val="24"/>
          <w:szCs w:val="24"/>
          <w:lang w:val="en-US" w:eastAsia="zh-CN" w:bidi="ar-SA"/>
        </w:rPr>
        <w:t>（4）无害化处理间恶臭</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eastAsia" w:cs="Times New Roman"/>
          <w:kern w:val="0"/>
          <w:sz w:val="24"/>
          <w:szCs w:val="24"/>
          <w:lang w:val="en-US" w:eastAsia="zh-CN" w:bidi="ar-SA"/>
        </w:rPr>
      </w:pPr>
      <w:r>
        <w:rPr>
          <w:rFonts w:hint="eastAsia" w:cs="Times New Roman"/>
          <w:kern w:val="0"/>
          <w:sz w:val="24"/>
          <w:szCs w:val="24"/>
          <w:lang w:val="en-US" w:eastAsia="zh-CN" w:bidi="ar-SA"/>
        </w:rPr>
        <w:t xml:space="preserve">本项目对病死猪处理采用病死猪无害化处理机（化制法），通过添加生物菌种，经过分切、绞碎、高温发酵、高温杀菌、干燥等处理，处理废气产生量少，对周边环境极小。 </w:t>
      </w:r>
    </w:p>
    <w:p>
      <w:pPr>
        <w:pStyle w:val="6"/>
      </w:pPr>
      <w:r>
        <w:rPr>
          <w:rFonts w:hint="eastAsia" w:cs="Times New Roman"/>
          <w:b/>
          <w:bCs/>
          <w:kern w:val="0"/>
          <w:sz w:val="24"/>
          <w:szCs w:val="24"/>
          <w:lang w:val="en-US" w:eastAsia="zh-CN" w:bidi="ar-SA"/>
        </w:rPr>
        <w:t>食堂油烟</w:t>
      </w:r>
    </w:p>
    <w:p>
      <w:pPr>
        <w:spacing w:line="500" w:lineRule="exact"/>
        <w:ind w:firstLine="480" w:firstLineChars="200"/>
        <w:rPr>
          <w:bCs/>
          <w:sz w:val="24"/>
        </w:rPr>
      </w:pPr>
      <w:r>
        <w:rPr>
          <w:rFonts w:hint="eastAsia"/>
          <w:bCs/>
          <w:sz w:val="24"/>
        </w:rPr>
        <w:t>项目设计的食堂可容纳</w:t>
      </w:r>
      <w:r>
        <w:rPr>
          <w:rFonts w:hint="eastAsia"/>
          <w:bCs/>
          <w:sz w:val="24"/>
          <w:lang w:val="en-US" w:eastAsia="zh-CN"/>
        </w:rPr>
        <w:t>30</w:t>
      </w:r>
      <w:r>
        <w:rPr>
          <w:rFonts w:hint="eastAsia"/>
          <w:bCs/>
          <w:sz w:val="24"/>
        </w:rPr>
        <w:t>人，日提供就餐次数为</w:t>
      </w:r>
      <w:r>
        <w:rPr>
          <w:rFonts w:hint="eastAsia"/>
          <w:bCs/>
          <w:sz w:val="24"/>
          <w:lang w:val="en-US" w:eastAsia="zh-CN"/>
        </w:rPr>
        <w:t>3</w:t>
      </w:r>
      <w:r>
        <w:rPr>
          <w:rFonts w:hint="eastAsia"/>
          <w:bCs/>
          <w:sz w:val="24"/>
        </w:rPr>
        <w:t>次。</w:t>
      </w:r>
      <w:r>
        <w:rPr>
          <w:bCs/>
          <w:sz w:val="24"/>
        </w:rPr>
        <w:t>根据对有关统计资料的类比分析，以每位就餐员工将消耗生食品1.</w:t>
      </w:r>
      <w:r>
        <w:rPr>
          <w:rFonts w:hint="eastAsia"/>
          <w:bCs/>
          <w:sz w:val="24"/>
        </w:rPr>
        <w:t>0</w:t>
      </w:r>
      <w:r>
        <w:rPr>
          <w:bCs/>
          <w:sz w:val="24"/>
        </w:rPr>
        <w:t>kg/人餐，加工每吨生食品将消耗30kg的食用油，</w:t>
      </w:r>
      <w:r>
        <w:rPr>
          <w:rFonts w:hint="eastAsia"/>
          <w:bCs/>
          <w:sz w:val="24"/>
        </w:rPr>
        <w:t>则食用油用量为</w:t>
      </w:r>
      <w:r>
        <w:rPr>
          <w:rFonts w:hint="eastAsia"/>
          <w:bCs/>
          <w:sz w:val="24"/>
          <w:lang w:val="en-US" w:eastAsia="zh-CN"/>
        </w:rPr>
        <w:t>0.986</w:t>
      </w:r>
      <w:r>
        <w:rPr>
          <w:rFonts w:hint="eastAsia"/>
          <w:bCs/>
          <w:sz w:val="24"/>
        </w:rPr>
        <w:t>t/a。</w:t>
      </w:r>
      <w:r>
        <w:rPr>
          <w:bCs/>
          <w:sz w:val="24"/>
        </w:rPr>
        <w:t>烹饪时食用油的挥发量为</w:t>
      </w:r>
      <w:r>
        <w:rPr>
          <w:rFonts w:hint="eastAsia"/>
          <w:bCs/>
          <w:sz w:val="24"/>
          <w:lang w:val="en-US" w:eastAsia="zh-CN"/>
        </w:rPr>
        <w:t>5</w:t>
      </w:r>
      <w:r>
        <w:rPr>
          <w:bCs/>
          <w:sz w:val="24"/>
        </w:rPr>
        <w:t>%，项目油烟产生总量为</w:t>
      </w:r>
      <w:r>
        <w:rPr>
          <w:rFonts w:hint="eastAsia"/>
          <w:bCs/>
          <w:sz w:val="24"/>
          <w:lang w:val="en-US" w:eastAsia="zh-CN"/>
        </w:rPr>
        <w:t>0.049</w:t>
      </w:r>
      <w:r>
        <w:rPr>
          <w:rFonts w:hint="eastAsia"/>
          <w:bCs/>
          <w:sz w:val="24"/>
        </w:rPr>
        <w:t>t</w:t>
      </w:r>
      <w:r>
        <w:rPr>
          <w:bCs/>
          <w:sz w:val="24"/>
        </w:rPr>
        <w:t>/a</w:t>
      </w:r>
      <w:r>
        <w:rPr>
          <w:rFonts w:hint="eastAsia"/>
          <w:bCs/>
          <w:sz w:val="24"/>
        </w:rPr>
        <w:t>（约为</w:t>
      </w:r>
      <w:r>
        <w:rPr>
          <w:rFonts w:hint="eastAsia"/>
          <w:bCs/>
          <w:sz w:val="24"/>
          <w:lang w:val="en-US" w:eastAsia="zh-CN"/>
        </w:rPr>
        <w:t>0.034</w:t>
      </w:r>
      <w:r>
        <w:rPr>
          <w:rFonts w:hint="eastAsia"/>
          <w:bCs/>
          <w:sz w:val="24"/>
        </w:rPr>
        <w:t>kg/h，食堂每天使用时间</w:t>
      </w:r>
      <w:r>
        <w:rPr>
          <w:rFonts w:hint="eastAsia"/>
          <w:bCs/>
          <w:sz w:val="24"/>
          <w:lang w:val="en-US" w:eastAsia="zh-CN"/>
        </w:rPr>
        <w:t>4</w:t>
      </w:r>
      <w:r>
        <w:rPr>
          <w:rFonts w:hint="eastAsia"/>
          <w:bCs/>
          <w:sz w:val="24"/>
        </w:rPr>
        <w:t>h计）</w:t>
      </w:r>
      <w:r>
        <w:rPr>
          <w:bCs/>
          <w:sz w:val="24"/>
        </w:rPr>
        <w:t>。</w:t>
      </w:r>
      <w:r>
        <w:rPr>
          <w:rFonts w:hint="eastAsia"/>
          <w:bCs/>
          <w:sz w:val="24"/>
        </w:rPr>
        <w:t>项目安装油烟排风机</w:t>
      </w:r>
      <w:r>
        <w:rPr>
          <w:rFonts w:hint="eastAsia"/>
          <w:bCs/>
          <w:sz w:val="24"/>
          <w:lang w:val="en-US" w:eastAsia="zh-CN"/>
        </w:rPr>
        <w:t>4</w:t>
      </w:r>
      <w:r>
        <w:rPr>
          <w:rFonts w:hint="eastAsia"/>
          <w:bCs/>
          <w:sz w:val="24"/>
        </w:rPr>
        <w:t>000</w:t>
      </w:r>
      <w:r>
        <w:rPr>
          <w:bCs/>
          <w:sz w:val="24"/>
        </w:rPr>
        <w:t>m</w:t>
      </w:r>
      <w:r>
        <w:rPr>
          <w:bCs/>
          <w:sz w:val="24"/>
          <w:vertAlign w:val="superscript"/>
        </w:rPr>
        <w:t>3</w:t>
      </w:r>
      <w:r>
        <w:rPr>
          <w:bCs/>
          <w:sz w:val="24"/>
        </w:rPr>
        <w:t>/h</w:t>
      </w:r>
      <w:r>
        <w:rPr>
          <w:rFonts w:hint="eastAsia"/>
          <w:bCs/>
          <w:sz w:val="24"/>
        </w:rPr>
        <w:t>，则食堂油烟产生浓度</w:t>
      </w:r>
      <w:r>
        <w:rPr>
          <w:rFonts w:hint="eastAsia"/>
          <w:bCs/>
          <w:sz w:val="24"/>
          <w:lang w:val="en-US" w:eastAsia="zh-CN"/>
        </w:rPr>
        <w:t>8.5</w:t>
      </w:r>
      <w:r>
        <w:rPr>
          <w:rFonts w:hint="eastAsia"/>
          <w:bCs/>
          <w:sz w:val="24"/>
        </w:rPr>
        <w:t>mg/</w:t>
      </w:r>
      <w:r>
        <w:rPr>
          <w:bCs/>
          <w:sz w:val="24"/>
        </w:rPr>
        <w:t>m</w:t>
      </w:r>
      <w:r>
        <w:rPr>
          <w:bCs/>
          <w:sz w:val="24"/>
          <w:vertAlign w:val="superscript"/>
        </w:rPr>
        <w:t>3</w:t>
      </w:r>
      <w:r>
        <w:rPr>
          <w:rFonts w:hint="eastAsia"/>
          <w:bCs/>
          <w:sz w:val="24"/>
        </w:rPr>
        <w:t>，不满足</w:t>
      </w:r>
      <w:r>
        <w:rPr>
          <w:bCs/>
          <w:sz w:val="24"/>
        </w:rPr>
        <w:t>《饮食业油烟排放标准（试行）》</w:t>
      </w:r>
      <w:r>
        <w:rPr>
          <w:rFonts w:hint="eastAsia"/>
          <w:bCs/>
          <w:sz w:val="24"/>
        </w:rPr>
        <w:t>（</w:t>
      </w:r>
      <w:r>
        <w:rPr>
          <w:bCs/>
          <w:sz w:val="24"/>
        </w:rPr>
        <w:t>GB18483-2001</w:t>
      </w:r>
      <w:r>
        <w:rPr>
          <w:rFonts w:hint="eastAsia"/>
          <w:bCs/>
          <w:sz w:val="24"/>
        </w:rPr>
        <w:t>）</w:t>
      </w:r>
      <w:r>
        <w:rPr>
          <w:bCs/>
          <w:sz w:val="24"/>
        </w:rPr>
        <w:t>表2中最高允许排放浓度</w:t>
      </w:r>
      <w:r>
        <w:rPr>
          <w:rFonts w:hint="eastAsia"/>
          <w:bCs/>
          <w:sz w:val="24"/>
        </w:rPr>
        <w:t>“2.0mg/</w:t>
      </w:r>
      <w:r>
        <w:rPr>
          <w:bCs/>
          <w:sz w:val="24"/>
        </w:rPr>
        <w:t>m</w:t>
      </w:r>
      <w:r>
        <w:rPr>
          <w:bCs/>
          <w:sz w:val="24"/>
          <w:vertAlign w:val="superscript"/>
        </w:rPr>
        <w:t>3</w:t>
      </w:r>
      <w:r>
        <w:rPr>
          <w:rFonts w:hint="eastAsia"/>
          <w:bCs/>
          <w:sz w:val="24"/>
        </w:rPr>
        <w:t>”标</w:t>
      </w:r>
      <w:r>
        <w:rPr>
          <w:bCs/>
          <w:sz w:val="24"/>
        </w:rPr>
        <w:t>准。根据《饮食业油烟排放标准（试行）》</w:t>
      </w:r>
      <w:r>
        <w:rPr>
          <w:rFonts w:hint="eastAsia"/>
          <w:bCs/>
          <w:sz w:val="24"/>
        </w:rPr>
        <w:t>（</w:t>
      </w:r>
      <w:r>
        <w:rPr>
          <w:bCs/>
          <w:sz w:val="24"/>
        </w:rPr>
        <w:t>GB18483-2001</w:t>
      </w:r>
      <w:r>
        <w:rPr>
          <w:rFonts w:hint="eastAsia"/>
          <w:bCs/>
          <w:sz w:val="24"/>
        </w:rPr>
        <w:t>）</w:t>
      </w:r>
      <w:r>
        <w:rPr>
          <w:bCs/>
          <w:sz w:val="24"/>
        </w:rPr>
        <w:t>表2中</w:t>
      </w:r>
      <w:r>
        <w:rPr>
          <w:rFonts w:hint="eastAsia"/>
          <w:bCs/>
          <w:sz w:val="24"/>
        </w:rPr>
        <w:t>“</w:t>
      </w:r>
      <w:r>
        <w:rPr>
          <w:rFonts w:hint="eastAsia"/>
          <w:bCs/>
          <w:sz w:val="24"/>
          <w:lang w:eastAsia="zh-CN"/>
        </w:rPr>
        <w:t>小</w:t>
      </w:r>
      <w:r>
        <w:rPr>
          <w:rFonts w:hint="eastAsia"/>
          <w:bCs/>
          <w:sz w:val="24"/>
        </w:rPr>
        <w:t>型”</w:t>
      </w:r>
      <w:r>
        <w:rPr>
          <w:bCs/>
          <w:sz w:val="24"/>
        </w:rPr>
        <w:t>的要求，油烟净化设施的去除率应满足最低去除率</w:t>
      </w:r>
      <w:r>
        <w:rPr>
          <w:rFonts w:hint="eastAsia"/>
          <w:bCs/>
          <w:sz w:val="24"/>
          <w:lang w:val="en-US" w:eastAsia="zh-CN"/>
        </w:rPr>
        <w:t>60</w:t>
      </w:r>
      <w:r>
        <w:rPr>
          <w:bCs/>
          <w:sz w:val="24"/>
        </w:rPr>
        <w:t>%的要求。依据建设单位建设单位提供资料，食堂油烟净化器</w:t>
      </w:r>
      <w:r>
        <w:rPr>
          <w:rFonts w:hint="eastAsia"/>
          <w:bCs/>
          <w:sz w:val="24"/>
        </w:rPr>
        <w:t>将</w:t>
      </w:r>
      <w:r>
        <w:rPr>
          <w:bCs/>
          <w:sz w:val="24"/>
        </w:rPr>
        <w:t>委托相关资质的单位设计、安装、调试</w:t>
      </w:r>
      <w:r>
        <w:rPr>
          <w:rFonts w:hint="eastAsia"/>
          <w:bCs/>
          <w:sz w:val="24"/>
        </w:rPr>
        <w:t>，油烟净化器去除率为85%。</w:t>
      </w:r>
      <w:r>
        <w:rPr>
          <w:bCs/>
          <w:sz w:val="24"/>
        </w:rPr>
        <w:t>油烟经相应设施净化处理后，排放浓度约为</w:t>
      </w:r>
      <w:r>
        <w:rPr>
          <w:rFonts w:hint="eastAsia"/>
          <w:bCs/>
          <w:sz w:val="24"/>
          <w:lang w:val="en-US" w:eastAsia="zh-CN"/>
        </w:rPr>
        <w:t>1.28</w:t>
      </w:r>
      <w:r>
        <w:rPr>
          <w:bCs/>
          <w:sz w:val="24"/>
        </w:rPr>
        <w:t>mg/m</w:t>
      </w:r>
      <w:r>
        <w:rPr>
          <w:bCs/>
          <w:sz w:val="24"/>
          <w:vertAlign w:val="superscript"/>
        </w:rPr>
        <w:t>3</w:t>
      </w:r>
      <w:r>
        <w:rPr>
          <w:bCs/>
          <w:sz w:val="24"/>
        </w:rPr>
        <w:t>，排放量约为</w:t>
      </w:r>
      <w:r>
        <w:rPr>
          <w:rFonts w:hint="eastAsia"/>
          <w:bCs/>
          <w:sz w:val="24"/>
          <w:lang w:val="en-US" w:eastAsia="zh-CN"/>
        </w:rPr>
        <w:t>0.008</w:t>
      </w:r>
      <w:r>
        <w:rPr>
          <w:rFonts w:hint="eastAsia"/>
          <w:bCs/>
          <w:sz w:val="24"/>
        </w:rPr>
        <w:t>t</w:t>
      </w:r>
      <w:r>
        <w:rPr>
          <w:bCs/>
          <w:sz w:val="24"/>
        </w:rPr>
        <w:t>/a，油烟排放浓度将符合《饮食业油烟排放标准（试行）》</w:t>
      </w:r>
      <w:r>
        <w:rPr>
          <w:rFonts w:hint="eastAsia"/>
          <w:bCs/>
          <w:sz w:val="24"/>
        </w:rPr>
        <w:t>（</w:t>
      </w:r>
      <w:r>
        <w:rPr>
          <w:bCs/>
          <w:sz w:val="24"/>
        </w:rPr>
        <w:t>GB18483-2001</w:t>
      </w:r>
      <w:r>
        <w:rPr>
          <w:rFonts w:hint="eastAsia"/>
          <w:bCs/>
          <w:sz w:val="24"/>
        </w:rPr>
        <w:t>）</w:t>
      </w:r>
      <w:r>
        <w:rPr>
          <w:bCs/>
          <w:sz w:val="24"/>
        </w:rPr>
        <w:t>表2最高允许排放浓度</w:t>
      </w:r>
      <w:r>
        <w:rPr>
          <w:rFonts w:hint="eastAsia"/>
          <w:bCs/>
          <w:sz w:val="24"/>
        </w:rPr>
        <w:t>“2.0mg/</w:t>
      </w:r>
      <w:r>
        <w:rPr>
          <w:bCs/>
          <w:sz w:val="24"/>
        </w:rPr>
        <w:t>m</w:t>
      </w:r>
      <w:r>
        <w:rPr>
          <w:bCs/>
          <w:sz w:val="24"/>
          <w:vertAlign w:val="superscript"/>
        </w:rPr>
        <w:t>3</w:t>
      </w:r>
      <w:r>
        <w:rPr>
          <w:rFonts w:hint="eastAsia"/>
          <w:bCs/>
          <w:sz w:val="24"/>
        </w:rPr>
        <w:t>”</w:t>
      </w:r>
      <w:r>
        <w:rPr>
          <w:bCs/>
          <w:sz w:val="24"/>
        </w:rPr>
        <w:t>标准要求。</w:t>
      </w:r>
    </w:p>
    <w:p>
      <w:pPr>
        <w:pStyle w:val="6"/>
      </w:pPr>
      <w:r>
        <w:rPr>
          <w:rFonts w:hint="eastAsia" w:cs="Times New Roman"/>
          <w:b/>
          <w:bCs/>
          <w:kern w:val="0"/>
          <w:sz w:val="24"/>
          <w:szCs w:val="24"/>
          <w:lang w:val="en-US" w:eastAsia="zh-CN" w:bidi="ar-SA"/>
        </w:rPr>
        <w:t>小计</w:t>
      </w:r>
    </w:p>
    <w:p>
      <w:pPr>
        <w:pStyle w:val="19"/>
        <w:rPr>
          <w:rFonts w:hint="default" w:eastAsia="宋体"/>
          <w:bCs/>
          <w:sz w:val="24"/>
          <w:lang w:val="en-US" w:eastAsia="zh-CN"/>
        </w:rPr>
      </w:pPr>
      <w:r>
        <w:rPr>
          <w:rFonts w:hint="eastAsia"/>
          <w:bCs/>
          <w:sz w:val="24"/>
          <w:lang w:eastAsia="zh-CN"/>
        </w:rPr>
        <w:t>本项目大气污染物排放情况见下表</w:t>
      </w:r>
      <w:r>
        <w:rPr>
          <w:rFonts w:hint="eastAsia"/>
          <w:bCs/>
          <w:sz w:val="24"/>
          <w:lang w:val="en-US" w:eastAsia="zh-CN"/>
        </w:rPr>
        <w:t>3.3-5。</w:t>
      </w:r>
    </w:p>
    <w:p>
      <w:pPr>
        <w:keepNext w:val="0"/>
        <w:keepLines w:val="0"/>
        <w:pageBreakBefore w:val="0"/>
        <w:widowControl w:val="0"/>
        <w:kinsoku/>
        <w:wordWrap/>
        <w:overflowPunct/>
        <w:topLinePunct w:val="0"/>
        <w:autoSpaceDE/>
        <w:autoSpaceDN/>
        <w:bidi w:val="0"/>
        <w:adjustRightInd/>
        <w:snapToGrid/>
        <w:jc w:val="center"/>
        <w:textAlignment w:val="auto"/>
        <w:rPr>
          <w:rFonts w:hint="default" w:eastAsia="宋体"/>
          <w:b/>
          <w:bCs w:val="0"/>
          <w:sz w:val="21"/>
          <w:szCs w:val="21"/>
          <w:lang w:val="en-US" w:eastAsia="zh-CN"/>
        </w:rPr>
      </w:pPr>
      <w:r>
        <w:rPr>
          <w:rFonts w:hint="eastAsia"/>
          <w:b/>
          <w:bCs w:val="0"/>
          <w:sz w:val="21"/>
          <w:szCs w:val="21"/>
          <w:lang w:eastAsia="zh-CN"/>
        </w:rPr>
        <w:t>表</w:t>
      </w:r>
      <w:r>
        <w:rPr>
          <w:rFonts w:hint="eastAsia"/>
          <w:b/>
          <w:bCs w:val="0"/>
          <w:sz w:val="21"/>
          <w:szCs w:val="21"/>
          <w:lang w:val="en-US" w:eastAsia="zh-CN"/>
        </w:rPr>
        <w:t>3.3-5   本项目大气污染物排放情况汇总表  单位t/a</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0"/>
        <w:gridCol w:w="1327"/>
        <w:gridCol w:w="1155"/>
        <w:gridCol w:w="1170"/>
        <w:gridCol w:w="1275"/>
        <w:gridCol w:w="21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tcBorders>
              <w:top w:val="single" w:color="auto" w:sz="12" w:space="0"/>
              <w:left w:val="nil"/>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宋体"/>
                <w:b w:val="0"/>
                <w:bCs/>
                <w:sz w:val="21"/>
                <w:szCs w:val="21"/>
                <w:vertAlign w:val="baseline"/>
                <w:lang w:eastAsia="zh-CN"/>
              </w:rPr>
            </w:pPr>
            <w:r>
              <w:rPr>
                <w:rFonts w:hint="eastAsia"/>
                <w:b w:val="0"/>
                <w:bCs/>
                <w:sz w:val="21"/>
                <w:szCs w:val="21"/>
                <w:vertAlign w:val="baseline"/>
                <w:lang w:eastAsia="zh-CN"/>
              </w:rPr>
              <w:t>排放源</w:t>
            </w:r>
          </w:p>
        </w:tc>
        <w:tc>
          <w:tcPr>
            <w:tcW w:w="1327" w:type="dxa"/>
            <w:tcBorders>
              <w:top w:val="single" w:color="auto" w:sz="12" w:space="0"/>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宋体"/>
                <w:b w:val="0"/>
                <w:bCs/>
                <w:sz w:val="21"/>
                <w:szCs w:val="21"/>
                <w:vertAlign w:val="baseline"/>
                <w:lang w:eastAsia="zh-CN"/>
              </w:rPr>
            </w:pPr>
            <w:r>
              <w:rPr>
                <w:rFonts w:hint="eastAsia"/>
                <w:b w:val="0"/>
                <w:bCs/>
                <w:sz w:val="21"/>
                <w:szCs w:val="21"/>
                <w:vertAlign w:val="baseline"/>
                <w:lang w:eastAsia="zh-CN"/>
              </w:rPr>
              <w:t>污染物名称</w:t>
            </w:r>
          </w:p>
        </w:tc>
        <w:tc>
          <w:tcPr>
            <w:tcW w:w="1155" w:type="dxa"/>
            <w:tcBorders>
              <w:top w:val="single" w:color="auto" w:sz="12" w:space="0"/>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宋体"/>
                <w:b w:val="0"/>
                <w:bCs/>
                <w:sz w:val="21"/>
                <w:szCs w:val="21"/>
                <w:vertAlign w:val="baseline"/>
                <w:lang w:eastAsia="zh-CN"/>
              </w:rPr>
            </w:pPr>
            <w:r>
              <w:rPr>
                <w:rFonts w:hint="eastAsia"/>
                <w:b w:val="0"/>
                <w:bCs/>
                <w:sz w:val="21"/>
                <w:szCs w:val="21"/>
                <w:vertAlign w:val="baseline"/>
                <w:lang w:eastAsia="zh-CN"/>
              </w:rPr>
              <w:t>产生量</w:t>
            </w:r>
          </w:p>
        </w:tc>
        <w:tc>
          <w:tcPr>
            <w:tcW w:w="1170" w:type="dxa"/>
            <w:tcBorders>
              <w:top w:val="single" w:color="auto" w:sz="12" w:space="0"/>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宋体"/>
                <w:b w:val="0"/>
                <w:bCs/>
                <w:sz w:val="21"/>
                <w:szCs w:val="21"/>
                <w:vertAlign w:val="baseline"/>
                <w:lang w:eastAsia="zh-CN"/>
              </w:rPr>
            </w:pPr>
            <w:r>
              <w:rPr>
                <w:rFonts w:hint="eastAsia"/>
                <w:b w:val="0"/>
                <w:bCs/>
                <w:sz w:val="21"/>
                <w:szCs w:val="21"/>
                <w:vertAlign w:val="baseline"/>
                <w:lang w:eastAsia="zh-CN"/>
              </w:rPr>
              <w:t>削减量</w:t>
            </w:r>
          </w:p>
        </w:tc>
        <w:tc>
          <w:tcPr>
            <w:tcW w:w="1275" w:type="dxa"/>
            <w:tcBorders>
              <w:top w:val="single" w:color="auto" w:sz="12" w:space="0"/>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宋体"/>
                <w:b w:val="0"/>
                <w:bCs/>
                <w:sz w:val="21"/>
                <w:szCs w:val="21"/>
                <w:vertAlign w:val="baseline"/>
                <w:lang w:eastAsia="zh-CN"/>
              </w:rPr>
            </w:pPr>
            <w:r>
              <w:rPr>
                <w:rFonts w:hint="eastAsia"/>
                <w:b w:val="0"/>
                <w:bCs/>
                <w:sz w:val="21"/>
                <w:szCs w:val="21"/>
                <w:vertAlign w:val="baseline"/>
                <w:lang w:eastAsia="zh-CN"/>
              </w:rPr>
              <w:t>排放量</w:t>
            </w:r>
          </w:p>
        </w:tc>
        <w:tc>
          <w:tcPr>
            <w:tcW w:w="2175" w:type="dxa"/>
            <w:tcBorders>
              <w:top w:val="single" w:color="auto" w:sz="12" w:space="0"/>
              <w:bottom w:val="single" w:color="auto" w:sz="12" w:space="0"/>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宋体"/>
                <w:b w:val="0"/>
                <w:bCs/>
                <w:sz w:val="21"/>
                <w:szCs w:val="21"/>
                <w:vertAlign w:val="baseline"/>
                <w:lang w:eastAsia="zh-CN"/>
              </w:rPr>
            </w:pPr>
            <w:r>
              <w:rPr>
                <w:rFonts w:hint="eastAsia"/>
                <w:b w:val="0"/>
                <w:bCs/>
                <w:sz w:val="21"/>
                <w:szCs w:val="21"/>
                <w:vertAlign w:val="baseline"/>
                <w:lang w:eastAsia="zh-CN"/>
              </w:rPr>
              <w:t>去向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vMerge w:val="restart"/>
            <w:tcBorders>
              <w:top w:val="single" w:color="auto" w:sz="12" w:space="0"/>
              <w:lef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宋体"/>
                <w:b w:val="0"/>
                <w:bCs/>
                <w:sz w:val="21"/>
                <w:szCs w:val="21"/>
                <w:vertAlign w:val="baseline"/>
                <w:lang w:eastAsia="zh-CN"/>
              </w:rPr>
            </w:pPr>
            <w:r>
              <w:rPr>
                <w:rFonts w:hint="eastAsia"/>
                <w:b w:val="0"/>
                <w:bCs/>
                <w:sz w:val="21"/>
                <w:szCs w:val="21"/>
                <w:vertAlign w:val="baseline"/>
                <w:lang w:eastAsia="zh-CN"/>
              </w:rPr>
              <w:t>猪舍</w:t>
            </w:r>
          </w:p>
        </w:tc>
        <w:tc>
          <w:tcPr>
            <w:tcW w:w="1327" w:type="dxa"/>
            <w:tcBorders>
              <w:top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eastAsia="宋体"/>
                <w:b w:val="0"/>
                <w:bCs/>
                <w:sz w:val="21"/>
                <w:szCs w:val="21"/>
                <w:vertAlign w:val="baseline"/>
                <w:lang w:val="en-US" w:eastAsia="zh-CN"/>
              </w:rPr>
            </w:pPr>
            <w:r>
              <w:rPr>
                <w:rFonts w:hint="eastAsia"/>
                <w:b w:val="0"/>
                <w:bCs/>
                <w:sz w:val="21"/>
                <w:szCs w:val="21"/>
                <w:vertAlign w:val="baseline"/>
                <w:lang w:val="en-US" w:eastAsia="zh-CN"/>
              </w:rPr>
              <w:t>NH</w:t>
            </w:r>
            <w:r>
              <w:rPr>
                <w:rFonts w:hint="eastAsia"/>
                <w:b w:val="0"/>
                <w:bCs/>
                <w:sz w:val="21"/>
                <w:szCs w:val="21"/>
                <w:vertAlign w:val="subscript"/>
                <w:lang w:val="en-US" w:eastAsia="zh-CN"/>
              </w:rPr>
              <w:t>3</w:t>
            </w:r>
          </w:p>
        </w:tc>
        <w:tc>
          <w:tcPr>
            <w:tcW w:w="1155" w:type="dxa"/>
            <w:tcBorders>
              <w:top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FF0000"/>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2.21</w:t>
            </w:r>
          </w:p>
        </w:tc>
        <w:tc>
          <w:tcPr>
            <w:tcW w:w="1170" w:type="dxa"/>
            <w:tcBorders>
              <w:top w:val="single" w:color="auto" w:sz="12" w:space="0"/>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2.166</w:t>
            </w:r>
          </w:p>
        </w:tc>
        <w:tc>
          <w:tcPr>
            <w:tcW w:w="1275" w:type="dxa"/>
            <w:tcBorders>
              <w:top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FF0000"/>
                <w:sz w:val="21"/>
                <w:szCs w:val="21"/>
                <w:vertAlign w:val="baseline"/>
                <w:lang w:val="en-US" w:eastAsia="zh-CN"/>
              </w:rPr>
            </w:pPr>
            <w:r>
              <w:rPr>
                <w:rFonts w:hint="default" w:ascii="Times New Roman" w:hAnsi="Times New Roman" w:eastAsia="宋体" w:cs="Times New Roman"/>
                <w:kern w:val="0"/>
                <w:sz w:val="21"/>
                <w:szCs w:val="21"/>
                <w:lang w:val="en-US" w:eastAsia="zh-CN" w:bidi="ar-SA"/>
              </w:rPr>
              <w:t>0.044</w:t>
            </w:r>
          </w:p>
        </w:tc>
        <w:tc>
          <w:tcPr>
            <w:tcW w:w="2175" w:type="dxa"/>
            <w:vMerge w:val="restart"/>
            <w:tcBorders>
              <w:top w:val="single" w:color="auto" w:sz="12" w:space="0"/>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宋体"/>
                <w:b w:val="0"/>
                <w:bCs/>
                <w:sz w:val="21"/>
                <w:szCs w:val="21"/>
                <w:vertAlign w:val="baseline"/>
                <w:lang w:eastAsia="zh-CN"/>
              </w:rPr>
            </w:pPr>
            <w:r>
              <w:rPr>
                <w:rFonts w:hint="eastAsia"/>
                <w:b w:val="0"/>
                <w:bCs/>
                <w:sz w:val="21"/>
                <w:szCs w:val="21"/>
                <w:vertAlign w:val="baseline"/>
                <w:lang w:eastAsia="zh-CN"/>
              </w:rPr>
              <w:t>无组织面源形式排放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vMerge w:val="continue"/>
            <w:tcBorders>
              <w:lef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val="0"/>
                <w:bCs/>
                <w:sz w:val="21"/>
                <w:szCs w:val="21"/>
                <w:vertAlign w:val="baseline"/>
              </w:rPr>
            </w:pPr>
          </w:p>
        </w:tc>
        <w:tc>
          <w:tcPr>
            <w:tcW w:w="1327"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eastAsia="宋体"/>
                <w:b w:val="0"/>
                <w:bCs/>
                <w:sz w:val="21"/>
                <w:szCs w:val="21"/>
                <w:vertAlign w:val="baseline"/>
                <w:lang w:val="en-US" w:eastAsia="zh-CN"/>
              </w:rPr>
            </w:pPr>
            <w:r>
              <w:rPr>
                <w:rFonts w:hint="eastAsia"/>
                <w:b w:val="0"/>
                <w:bCs/>
                <w:sz w:val="21"/>
                <w:szCs w:val="21"/>
                <w:vertAlign w:val="baseline"/>
                <w:lang w:val="en-US" w:eastAsia="zh-CN"/>
              </w:rPr>
              <w:t>H</w:t>
            </w:r>
            <w:r>
              <w:rPr>
                <w:rFonts w:hint="eastAsia"/>
                <w:b w:val="0"/>
                <w:bCs/>
                <w:sz w:val="21"/>
                <w:szCs w:val="21"/>
                <w:vertAlign w:val="subscript"/>
                <w:lang w:val="en-US" w:eastAsia="zh-CN"/>
              </w:rPr>
              <w:t>2</w:t>
            </w:r>
            <w:r>
              <w:rPr>
                <w:rFonts w:hint="eastAsia"/>
                <w:b w:val="0"/>
                <w:bCs/>
                <w:sz w:val="21"/>
                <w:szCs w:val="21"/>
                <w:vertAlign w:val="baseline"/>
                <w:lang w:val="en-US" w:eastAsia="zh-CN"/>
              </w:rPr>
              <w:t>S</w:t>
            </w:r>
          </w:p>
        </w:tc>
        <w:tc>
          <w:tcPr>
            <w:tcW w:w="115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FF0000"/>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0.157</w:t>
            </w:r>
          </w:p>
        </w:tc>
        <w:tc>
          <w:tcPr>
            <w:tcW w:w="1170" w:type="dxa"/>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0.154</w:t>
            </w:r>
          </w:p>
        </w:tc>
        <w:tc>
          <w:tcPr>
            <w:tcW w:w="127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FF0000"/>
                <w:sz w:val="21"/>
                <w:szCs w:val="21"/>
                <w:vertAlign w:val="baseline"/>
                <w:lang w:val="en-US" w:eastAsia="zh-CN"/>
              </w:rPr>
            </w:pPr>
            <w:r>
              <w:rPr>
                <w:rFonts w:hint="default" w:ascii="Times New Roman" w:hAnsi="Times New Roman" w:eastAsia="宋体" w:cs="Times New Roman"/>
                <w:kern w:val="0"/>
                <w:sz w:val="21"/>
                <w:szCs w:val="21"/>
                <w:lang w:val="en-US" w:eastAsia="zh-CN" w:bidi="ar-SA"/>
              </w:rPr>
              <w:t>0.003</w:t>
            </w:r>
          </w:p>
        </w:tc>
        <w:tc>
          <w:tcPr>
            <w:tcW w:w="2175" w:type="dxa"/>
            <w:vMerge w:val="continue"/>
            <w:tcBorders>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val="0"/>
                <w:bCs/>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20" w:type="dxa"/>
            <w:vMerge w:val="restart"/>
            <w:tcBorders>
              <w:lef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宋体"/>
                <w:b w:val="0"/>
                <w:bCs/>
                <w:sz w:val="21"/>
                <w:szCs w:val="21"/>
                <w:vertAlign w:val="baseline"/>
                <w:lang w:eastAsia="zh-CN"/>
              </w:rPr>
            </w:pPr>
            <w:r>
              <w:rPr>
                <w:rFonts w:hint="eastAsia"/>
                <w:b w:val="0"/>
                <w:bCs/>
                <w:sz w:val="21"/>
                <w:szCs w:val="21"/>
                <w:vertAlign w:val="baseline"/>
                <w:lang w:eastAsia="zh-CN"/>
              </w:rPr>
              <w:t>污水处理设施</w:t>
            </w:r>
          </w:p>
        </w:tc>
        <w:tc>
          <w:tcPr>
            <w:tcW w:w="1327"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val="0"/>
                <w:bCs/>
                <w:sz w:val="21"/>
                <w:szCs w:val="21"/>
                <w:vertAlign w:val="baseline"/>
              </w:rPr>
            </w:pPr>
            <w:r>
              <w:rPr>
                <w:rFonts w:hint="eastAsia"/>
                <w:b w:val="0"/>
                <w:bCs/>
                <w:sz w:val="21"/>
                <w:szCs w:val="21"/>
                <w:vertAlign w:val="baseline"/>
                <w:lang w:val="en-US" w:eastAsia="zh-CN"/>
              </w:rPr>
              <w:t>NH</w:t>
            </w:r>
            <w:r>
              <w:rPr>
                <w:rFonts w:hint="eastAsia"/>
                <w:b w:val="0"/>
                <w:bCs/>
                <w:sz w:val="21"/>
                <w:szCs w:val="21"/>
                <w:vertAlign w:val="subscript"/>
                <w:lang w:val="en-US" w:eastAsia="zh-CN"/>
              </w:rPr>
              <w:t>3</w:t>
            </w:r>
          </w:p>
        </w:tc>
        <w:tc>
          <w:tcPr>
            <w:tcW w:w="115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eastAsia="宋体"/>
                <w:b w:val="0"/>
                <w:bCs/>
                <w:color w:val="FF0000"/>
                <w:sz w:val="21"/>
                <w:szCs w:val="21"/>
                <w:vertAlign w:val="baseline"/>
                <w:lang w:val="en-US" w:eastAsia="zh-CN"/>
              </w:rPr>
            </w:pPr>
            <w:r>
              <w:rPr>
                <w:rFonts w:hint="eastAsia"/>
                <w:sz w:val="21"/>
                <w:szCs w:val="21"/>
              </w:rPr>
              <w:t>0.04</w:t>
            </w:r>
          </w:p>
        </w:tc>
        <w:tc>
          <w:tcPr>
            <w:tcW w:w="1170" w:type="dxa"/>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0.028</w:t>
            </w:r>
          </w:p>
        </w:tc>
        <w:tc>
          <w:tcPr>
            <w:tcW w:w="127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eastAsia="宋体"/>
                <w:b w:val="0"/>
                <w:bCs/>
                <w:color w:val="FF0000"/>
                <w:sz w:val="21"/>
                <w:szCs w:val="21"/>
                <w:vertAlign w:val="baseline"/>
                <w:lang w:val="en-US" w:eastAsia="zh-CN"/>
              </w:rPr>
            </w:pPr>
            <w:r>
              <w:rPr>
                <w:rFonts w:hint="eastAsia"/>
                <w:sz w:val="21"/>
                <w:szCs w:val="21"/>
              </w:rPr>
              <w:t>0.012</w:t>
            </w:r>
          </w:p>
        </w:tc>
        <w:tc>
          <w:tcPr>
            <w:tcW w:w="2175" w:type="dxa"/>
            <w:vMerge w:val="restart"/>
            <w:tcBorders>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val="0"/>
                <w:bCs/>
                <w:sz w:val="21"/>
                <w:szCs w:val="21"/>
                <w:vertAlign w:val="baseline"/>
              </w:rPr>
            </w:pPr>
            <w:r>
              <w:rPr>
                <w:rFonts w:hint="eastAsia"/>
                <w:b w:val="0"/>
                <w:bCs/>
                <w:sz w:val="21"/>
                <w:szCs w:val="21"/>
                <w:vertAlign w:val="baseline"/>
                <w:lang w:eastAsia="zh-CN"/>
              </w:rPr>
              <w:t>无组织面源形式排放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vMerge w:val="continue"/>
            <w:tcBorders>
              <w:lef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val="0"/>
                <w:bCs/>
                <w:sz w:val="21"/>
                <w:szCs w:val="21"/>
                <w:vertAlign w:val="baseline"/>
              </w:rPr>
            </w:pPr>
          </w:p>
        </w:tc>
        <w:tc>
          <w:tcPr>
            <w:tcW w:w="1327"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val="0"/>
                <w:bCs/>
                <w:sz w:val="21"/>
                <w:szCs w:val="21"/>
                <w:vertAlign w:val="baseline"/>
              </w:rPr>
            </w:pPr>
            <w:r>
              <w:rPr>
                <w:rFonts w:hint="eastAsia"/>
                <w:b w:val="0"/>
                <w:bCs/>
                <w:sz w:val="21"/>
                <w:szCs w:val="21"/>
                <w:vertAlign w:val="baseline"/>
                <w:lang w:val="en-US" w:eastAsia="zh-CN"/>
              </w:rPr>
              <w:t>H</w:t>
            </w:r>
            <w:r>
              <w:rPr>
                <w:rFonts w:hint="eastAsia"/>
                <w:b w:val="0"/>
                <w:bCs/>
                <w:sz w:val="21"/>
                <w:szCs w:val="21"/>
                <w:vertAlign w:val="subscript"/>
                <w:lang w:val="en-US" w:eastAsia="zh-CN"/>
              </w:rPr>
              <w:t>2</w:t>
            </w:r>
            <w:r>
              <w:rPr>
                <w:rFonts w:hint="eastAsia"/>
                <w:b w:val="0"/>
                <w:bCs/>
                <w:sz w:val="21"/>
                <w:szCs w:val="21"/>
                <w:vertAlign w:val="baseline"/>
                <w:lang w:val="en-US" w:eastAsia="zh-CN"/>
              </w:rPr>
              <w:t>S</w:t>
            </w:r>
          </w:p>
        </w:tc>
        <w:tc>
          <w:tcPr>
            <w:tcW w:w="115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eastAsia="宋体"/>
                <w:b w:val="0"/>
                <w:bCs/>
                <w:color w:val="FF0000"/>
                <w:sz w:val="21"/>
                <w:szCs w:val="21"/>
                <w:vertAlign w:val="baseline"/>
                <w:lang w:val="en-US" w:eastAsia="zh-CN"/>
              </w:rPr>
            </w:pPr>
            <w:r>
              <w:rPr>
                <w:rFonts w:hint="eastAsia"/>
                <w:sz w:val="21"/>
                <w:szCs w:val="21"/>
              </w:rPr>
              <w:t>0.002</w:t>
            </w:r>
          </w:p>
        </w:tc>
        <w:tc>
          <w:tcPr>
            <w:tcW w:w="1170" w:type="dxa"/>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0.0014</w:t>
            </w:r>
          </w:p>
        </w:tc>
        <w:tc>
          <w:tcPr>
            <w:tcW w:w="127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eastAsia="宋体"/>
                <w:b w:val="0"/>
                <w:bCs/>
                <w:color w:val="FF0000"/>
                <w:sz w:val="21"/>
                <w:szCs w:val="21"/>
                <w:vertAlign w:val="baseline"/>
                <w:lang w:val="en-US" w:eastAsia="zh-CN"/>
              </w:rPr>
            </w:pPr>
            <w:r>
              <w:rPr>
                <w:rFonts w:hint="eastAsia"/>
                <w:sz w:val="21"/>
                <w:szCs w:val="21"/>
              </w:rPr>
              <w:t>0.0006</w:t>
            </w:r>
          </w:p>
        </w:tc>
        <w:tc>
          <w:tcPr>
            <w:tcW w:w="2175" w:type="dxa"/>
            <w:vMerge w:val="continue"/>
            <w:tcBorders>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val="0"/>
                <w:bCs/>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vMerge w:val="restart"/>
            <w:tcBorders>
              <w:lef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eastAsia="宋体"/>
                <w:b w:val="0"/>
                <w:bCs/>
                <w:sz w:val="21"/>
                <w:szCs w:val="21"/>
                <w:vertAlign w:val="baseline"/>
                <w:lang w:val="en-US" w:eastAsia="zh-CN"/>
              </w:rPr>
            </w:pPr>
            <w:r>
              <w:rPr>
                <w:rFonts w:hint="eastAsia"/>
                <w:b w:val="0"/>
                <w:bCs/>
                <w:sz w:val="21"/>
                <w:szCs w:val="21"/>
                <w:vertAlign w:val="baseline"/>
                <w:lang w:val="en-US" w:eastAsia="zh-CN"/>
              </w:rPr>
              <w:t>异位发酵床</w:t>
            </w:r>
          </w:p>
        </w:tc>
        <w:tc>
          <w:tcPr>
            <w:tcW w:w="1327"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val="0"/>
                <w:bCs/>
                <w:sz w:val="21"/>
                <w:szCs w:val="21"/>
                <w:vertAlign w:val="baseline"/>
              </w:rPr>
            </w:pPr>
            <w:r>
              <w:rPr>
                <w:rFonts w:hint="eastAsia"/>
                <w:b w:val="0"/>
                <w:bCs/>
                <w:sz w:val="21"/>
                <w:szCs w:val="21"/>
                <w:vertAlign w:val="baseline"/>
                <w:lang w:val="en-US" w:eastAsia="zh-CN"/>
              </w:rPr>
              <w:t>NH</w:t>
            </w:r>
            <w:r>
              <w:rPr>
                <w:rFonts w:hint="eastAsia"/>
                <w:b w:val="0"/>
                <w:bCs/>
                <w:sz w:val="21"/>
                <w:szCs w:val="21"/>
                <w:vertAlign w:val="subscript"/>
                <w:lang w:val="en-US" w:eastAsia="zh-CN"/>
              </w:rPr>
              <w:t>3</w:t>
            </w:r>
          </w:p>
        </w:tc>
        <w:tc>
          <w:tcPr>
            <w:tcW w:w="115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eastAsia="宋体"/>
                <w:b w:val="0"/>
                <w:bCs/>
                <w:color w:val="FF0000"/>
                <w:sz w:val="21"/>
                <w:szCs w:val="21"/>
                <w:vertAlign w:val="baseline"/>
                <w:lang w:val="en-US" w:eastAsia="zh-CN"/>
              </w:rPr>
            </w:pPr>
            <w:r>
              <w:rPr>
                <w:rFonts w:hint="eastAsia"/>
                <w:b w:val="0"/>
                <w:bCs/>
                <w:color w:val="auto"/>
                <w:sz w:val="21"/>
                <w:szCs w:val="21"/>
                <w:vertAlign w:val="baseline"/>
                <w:lang w:val="en-US" w:eastAsia="zh-CN"/>
              </w:rPr>
              <w:t>1.238</w:t>
            </w:r>
          </w:p>
        </w:tc>
        <w:tc>
          <w:tcPr>
            <w:tcW w:w="1170" w:type="dxa"/>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eastAsia" w:cs="Times New Roman"/>
                <w:i w:val="0"/>
                <w:color w:val="000000"/>
                <w:kern w:val="0"/>
                <w:sz w:val="21"/>
                <w:szCs w:val="21"/>
                <w:u w:val="none"/>
                <w:lang w:val="en-US" w:eastAsia="zh-CN" w:bidi="ar"/>
              </w:rPr>
              <w:t>1.2368</w:t>
            </w:r>
          </w:p>
        </w:tc>
        <w:tc>
          <w:tcPr>
            <w:tcW w:w="127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cs="Times New Roman"/>
                <w:b w:val="0"/>
                <w:bCs/>
                <w:color w:val="FF0000"/>
                <w:sz w:val="21"/>
                <w:szCs w:val="21"/>
                <w:vertAlign w:val="baseline"/>
                <w:lang w:val="en-US" w:eastAsia="zh-CN"/>
              </w:rPr>
            </w:pPr>
            <w:r>
              <w:rPr>
                <w:rFonts w:hint="eastAsia" w:cs="Times New Roman"/>
                <w:color w:val="auto"/>
                <w:kern w:val="0"/>
                <w:sz w:val="21"/>
                <w:szCs w:val="21"/>
                <w:lang w:val="en-US" w:eastAsia="zh-CN" w:bidi="ar-SA"/>
              </w:rPr>
              <w:t>0.024</w:t>
            </w:r>
          </w:p>
        </w:tc>
        <w:tc>
          <w:tcPr>
            <w:tcW w:w="2175" w:type="dxa"/>
            <w:vMerge w:val="restart"/>
            <w:tcBorders>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val="0"/>
                <w:bCs/>
                <w:sz w:val="21"/>
                <w:szCs w:val="21"/>
                <w:vertAlign w:val="baseline"/>
              </w:rPr>
            </w:pPr>
            <w:r>
              <w:rPr>
                <w:rFonts w:hint="eastAsia"/>
                <w:b w:val="0"/>
                <w:bCs/>
                <w:sz w:val="21"/>
                <w:szCs w:val="21"/>
                <w:vertAlign w:val="baseline"/>
                <w:lang w:eastAsia="zh-CN"/>
              </w:rPr>
              <w:t>无组织面源形式排放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vMerge w:val="continue"/>
            <w:tcBorders>
              <w:lef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val="0"/>
                <w:bCs/>
                <w:sz w:val="21"/>
                <w:szCs w:val="21"/>
                <w:vertAlign w:val="baseline"/>
              </w:rPr>
            </w:pPr>
          </w:p>
        </w:tc>
        <w:tc>
          <w:tcPr>
            <w:tcW w:w="1327"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val="0"/>
                <w:bCs/>
                <w:sz w:val="21"/>
                <w:szCs w:val="21"/>
                <w:vertAlign w:val="baseline"/>
              </w:rPr>
            </w:pPr>
            <w:r>
              <w:rPr>
                <w:rFonts w:hint="eastAsia"/>
                <w:b w:val="0"/>
                <w:bCs/>
                <w:sz w:val="21"/>
                <w:szCs w:val="21"/>
                <w:vertAlign w:val="baseline"/>
                <w:lang w:val="en-US" w:eastAsia="zh-CN"/>
              </w:rPr>
              <w:t>H</w:t>
            </w:r>
            <w:r>
              <w:rPr>
                <w:rFonts w:hint="eastAsia"/>
                <w:b w:val="0"/>
                <w:bCs/>
                <w:sz w:val="21"/>
                <w:szCs w:val="21"/>
                <w:vertAlign w:val="subscript"/>
                <w:lang w:val="en-US" w:eastAsia="zh-CN"/>
              </w:rPr>
              <w:t>2</w:t>
            </w:r>
            <w:r>
              <w:rPr>
                <w:rFonts w:hint="eastAsia"/>
                <w:b w:val="0"/>
                <w:bCs/>
                <w:sz w:val="21"/>
                <w:szCs w:val="21"/>
                <w:vertAlign w:val="baseline"/>
                <w:lang w:val="en-US" w:eastAsia="zh-CN"/>
              </w:rPr>
              <w:t>S</w:t>
            </w:r>
          </w:p>
        </w:tc>
        <w:tc>
          <w:tcPr>
            <w:tcW w:w="115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eastAsia="宋体"/>
                <w:b w:val="0"/>
                <w:bCs/>
                <w:color w:val="FF0000"/>
                <w:sz w:val="21"/>
                <w:szCs w:val="21"/>
                <w:vertAlign w:val="baseline"/>
                <w:lang w:val="en-US" w:eastAsia="zh-CN"/>
              </w:rPr>
            </w:pPr>
            <w:r>
              <w:rPr>
                <w:rFonts w:hint="eastAsia" w:cs="Times New Roman"/>
                <w:color w:val="auto"/>
                <w:kern w:val="0"/>
                <w:sz w:val="21"/>
                <w:szCs w:val="21"/>
                <w:lang w:val="en-US" w:eastAsia="zh-CN" w:bidi="ar-SA"/>
              </w:rPr>
              <w:t>0.024</w:t>
            </w:r>
          </w:p>
        </w:tc>
        <w:tc>
          <w:tcPr>
            <w:tcW w:w="1170" w:type="dxa"/>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eastAsia" w:cs="Times New Roman"/>
                <w:i w:val="0"/>
                <w:color w:val="000000"/>
                <w:kern w:val="0"/>
                <w:sz w:val="21"/>
                <w:szCs w:val="21"/>
                <w:u w:val="none"/>
                <w:lang w:val="en-US" w:eastAsia="zh-CN" w:bidi="ar"/>
              </w:rPr>
              <w:t>0.0228</w:t>
            </w:r>
          </w:p>
        </w:tc>
        <w:tc>
          <w:tcPr>
            <w:tcW w:w="127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eastAsia="宋体"/>
                <w:b w:val="0"/>
                <w:bCs/>
                <w:color w:val="FF0000"/>
                <w:sz w:val="21"/>
                <w:szCs w:val="21"/>
                <w:vertAlign w:val="baseline"/>
                <w:lang w:val="en-US" w:eastAsia="zh-CN"/>
              </w:rPr>
            </w:pPr>
            <w:r>
              <w:rPr>
                <w:rFonts w:hint="eastAsia" w:cs="Times New Roman"/>
                <w:color w:val="auto"/>
                <w:kern w:val="0"/>
                <w:sz w:val="21"/>
                <w:szCs w:val="21"/>
                <w:lang w:val="en-US" w:eastAsia="zh-CN" w:bidi="ar-SA"/>
              </w:rPr>
              <w:t>0.0012</w:t>
            </w:r>
          </w:p>
        </w:tc>
        <w:tc>
          <w:tcPr>
            <w:tcW w:w="2175" w:type="dxa"/>
            <w:vMerge w:val="continue"/>
            <w:tcBorders>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val="0"/>
                <w:bCs/>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20" w:type="dxa"/>
            <w:tcBorders>
              <w:left w:val="nil"/>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宋体"/>
                <w:b w:val="0"/>
                <w:bCs/>
                <w:sz w:val="21"/>
                <w:szCs w:val="21"/>
                <w:vertAlign w:val="baseline"/>
                <w:lang w:eastAsia="zh-CN"/>
              </w:rPr>
            </w:pPr>
            <w:r>
              <w:rPr>
                <w:rFonts w:hint="eastAsia"/>
                <w:b w:val="0"/>
                <w:bCs/>
                <w:sz w:val="21"/>
                <w:szCs w:val="21"/>
                <w:vertAlign w:val="baseline"/>
                <w:lang w:eastAsia="zh-CN"/>
              </w:rPr>
              <w:t>食堂</w:t>
            </w:r>
          </w:p>
        </w:tc>
        <w:tc>
          <w:tcPr>
            <w:tcW w:w="1327" w:type="dxa"/>
            <w:tcBorders>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宋体"/>
                <w:b w:val="0"/>
                <w:bCs/>
                <w:sz w:val="21"/>
                <w:szCs w:val="21"/>
                <w:vertAlign w:val="baseline"/>
                <w:lang w:eastAsia="zh-CN"/>
              </w:rPr>
            </w:pPr>
            <w:r>
              <w:rPr>
                <w:rFonts w:hint="eastAsia"/>
                <w:b w:val="0"/>
                <w:bCs/>
                <w:sz w:val="21"/>
                <w:szCs w:val="21"/>
                <w:vertAlign w:val="baseline"/>
                <w:lang w:eastAsia="zh-CN"/>
              </w:rPr>
              <w:t>食堂油烟</w:t>
            </w:r>
          </w:p>
        </w:tc>
        <w:tc>
          <w:tcPr>
            <w:tcW w:w="1155" w:type="dxa"/>
            <w:tcBorders>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val="0"/>
                <w:bCs/>
                <w:color w:val="FF0000"/>
                <w:sz w:val="21"/>
                <w:szCs w:val="21"/>
                <w:vertAlign w:val="baseline"/>
              </w:rPr>
            </w:pPr>
            <w:r>
              <w:rPr>
                <w:rFonts w:hint="eastAsia"/>
                <w:bCs/>
                <w:sz w:val="21"/>
                <w:szCs w:val="21"/>
                <w:lang w:val="en-US" w:eastAsia="zh-CN"/>
              </w:rPr>
              <w:t>0.049</w:t>
            </w:r>
          </w:p>
        </w:tc>
        <w:tc>
          <w:tcPr>
            <w:tcW w:w="1170" w:type="dxa"/>
            <w:tcBorders>
              <w:bottom w:val="single" w:color="auto" w:sz="12" w:space="0"/>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0.041</w:t>
            </w:r>
          </w:p>
        </w:tc>
        <w:tc>
          <w:tcPr>
            <w:tcW w:w="1275" w:type="dxa"/>
            <w:tcBorders>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b w:val="0"/>
                <w:bCs/>
                <w:color w:val="FF0000"/>
                <w:sz w:val="21"/>
                <w:szCs w:val="21"/>
                <w:vertAlign w:val="baseline"/>
              </w:rPr>
            </w:pPr>
            <w:r>
              <w:rPr>
                <w:rFonts w:hint="eastAsia"/>
                <w:bCs/>
                <w:sz w:val="21"/>
                <w:szCs w:val="21"/>
                <w:lang w:val="en-US" w:eastAsia="zh-CN"/>
              </w:rPr>
              <w:t>0.008</w:t>
            </w:r>
          </w:p>
        </w:tc>
        <w:tc>
          <w:tcPr>
            <w:tcW w:w="2175" w:type="dxa"/>
            <w:tcBorders>
              <w:bottom w:val="single" w:color="auto" w:sz="12" w:space="0"/>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eastAsia="宋体"/>
                <w:b w:val="0"/>
                <w:bCs/>
                <w:sz w:val="21"/>
                <w:szCs w:val="21"/>
                <w:vertAlign w:val="baseline"/>
                <w:lang w:eastAsia="zh-CN"/>
              </w:rPr>
            </w:pPr>
            <w:r>
              <w:rPr>
                <w:rFonts w:hint="eastAsia"/>
                <w:b w:val="0"/>
                <w:bCs/>
                <w:sz w:val="21"/>
                <w:szCs w:val="21"/>
                <w:vertAlign w:val="baseline"/>
                <w:lang w:eastAsia="zh-CN"/>
              </w:rPr>
              <w:t>食堂顶部排放</w:t>
            </w:r>
          </w:p>
        </w:tc>
      </w:tr>
    </w:tbl>
    <w:p>
      <w:pPr>
        <w:pStyle w:val="5"/>
        <w:ind w:firstLine="562"/>
      </w:pPr>
      <w:r>
        <w:rPr>
          <w:rFonts w:hint="eastAsia"/>
          <w:lang w:eastAsia="zh-CN"/>
        </w:rPr>
        <w:t>营运期废水污染源分析</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ascii="Times New Roman" w:hAnsi="Times New Roman" w:cs="Times New Roman"/>
          <w:kern w:val="0"/>
          <w:sz w:val="24"/>
          <w:szCs w:val="24"/>
          <w:lang w:val="en-US" w:eastAsia="zh-CN" w:bidi="ar-SA"/>
        </w:rPr>
        <w:t>运营期产生的废水包括生产废水、职工办公生活污水及初期雨水等。</w:t>
      </w:r>
    </w:p>
    <w:p>
      <w:pPr>
        <w:pStyle w:val="6"/>
      </w:pPr>
      <w:r>
        <w:rPr>
          <w:rFonts w:hint="eastAsia"/>
          <w:lang w:eastAsia="zh-CN"/>
        </w:rPr>
        <w:t>各废水污染源强分析</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1" w:firstLineChars="200"/>
        <w:jc w:val="left"/>
        <w:textAlignment w:val="auto"/>
        <w:rPr>
          <w:rFonts w:hint="default" w:ascii="Times New Roman" w:hAnsi="Times New Roman" w:eastAsia="宋体" w:cs="Times New Roman"/>
          <w:b/>
          <w:bCs/>
          <w:kern w:val="0"/>
          <w:sz w:val="24"/>
          <w:szCs w:val="24"/>
          <w:lang w:val="en-US" w:eastAsia="zh-CN" w:bidi="ar-SA"/>
        </w:rPr>
      </w:pPr>
      <w:r>
        <w:rPr>
          <w:rFonts w:hint="eastAsia" w:cs="Times New Roman"/>
          <w:b/>
          <w:bCs/>
          <w:kern w:val="0"/>
          <w:sz w:val="24"/>
          <w:szCs w:val="24"/>
          <w:lang w:val="en-US" w:eastAsia="zh-CN" w:bidi="ar-SA"/>
        </w:rPr>
        <w:t>（1）猪舍废水</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 xml:space="preserve">项目产生的猪舍废水包括生猪排泄的猪尿、猪舍清洗废水。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eastAsia" w:cs="Times New Roman"/>
          <w:kern w:val="0"/>
          <w:sz w:val="24"/>
          <w:szCs w:val="24"/>
          <w:lang w:val="en-US" w:eastAsia="zh-CN" w:bidi="ar-SA"/>
        </w:rPr>
        <w:t>1）猪尿</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hAnsi="宋体"/>
          <w:b w:val="0"/>
          <w:bCs/>
          <w:sz w:val="24"/>
          <w:szCs w:val="24"/>
        </w:rPr>
      </w:pPr>
      <w:r>
        <w:rPr>
          <w:rFonts w:hint="eastAsia" w:hAnsi="宋体"/>
          <w:b w:val="0"/>
          <w:bCs/>
          <w:sz w:val="24"/>
          <w:szCs w:val="24"/>
        </w:rPr>
        <w:t>根据建设单位提供资料，对比《我国第一次全国污染源普查 畜禽养殖业源产污排污系数手册》中关于不同类型猪只“中南地区畜禽养殖场产污系数”，项目不同类型猪只尿液产生量基本符合普查结果。项目不同猪只尿液产生量见表</w:t>
      </w:r>
      <w:r>
        <w:rPr>
          <w:rFonts w:hint="eastAsia" w:hAnsi="宋体"/>
          <w:b w:val="0"/>
          <w:bCs/>
          <w:sz w:val="24"/>
          <w:szCs w:val="24"/>
          <w:lang w:val="en-US" w:eastAsia="zh-CN"/>
        </w:rPr>
        <w:t>3.3-6</w:t>
      </w:r>
      <w:r>
        <w:rPr>
          <w:rFonts w:hint="eastAsia" w:hAnsi="宋体"/>
          <w:b w:val="0"/>
          <w:bCs/>
          <w:sz w:val="24"/>
          <w:szCs w:val="24"/>
        </w:rPr>
        <w:t>。</w:t>
      </w:r>
    </w:p>
    <w:p>
      <w:pPr>
        <w:jc w:val="center"/>
        <w:rPr>
          <w:rFonts w:hint="eastAsia" w:hAnsi="宋体"/>
          <w:b/>
          <w:szCs w:val="21"/>
        </w:rPr>
      </w:pPr>
      <w:r>
        <w:rPr>
          <w:rFonts w:hAnsi="宋体"/>
          <w:b/>
          <w:szCs w:val="21"/>
        </w:rPr>
        <w:t>表</w:t>
      </w:r>
      <w:r>
        <w:rPr>
          <w:rFonts w:hint="eastAsia"/>
          <w:b/>
          <w:szCs w:val="21"/>
          <w:lang w:val="en-US" w:eastAsia="zh-CN"/>
        </w:rPr>
        <w:t>3.3-6</w:t>
      </w:r>
      <w:r>
        <w:rPr>
          <w:b/>
          <w:szCs w:val="21"/>
        </w:rPr>
        <w:t xml:space="preserve">  </w:t>
      </w:r>
      <w:r>
        <w:rPr>
          <w:rFonts w:hAnsi="宋体"/>
          <w:b/>
          <w:szCs w:val="21"/>
        </w:rPr>
        <w:t>猪只尿液产生量</w:t>
      </w:r>
      <w:r>
        <w:rPr>
          <w:rFonts w:hint="eastAsia" w:hAnsi="宋体"/>
          <w:b/>
          <w:szCs w:val="21"/>
        </w:rPr>
        <w:t xml:space="preserve">  </w:t>
      </w:r>
    </w:p>
    <w:tbl>
      <w:tblPr>
        <w:tblStyle w:val="63"/>
        <w:tblW w:w="4998" w:type="pct"/>
        <w:jc w:val="center"/>
        <w:tblBorders>
          <w:top w:val="single" w:color="auto" w:sz="12" w:space="0"/>
          <w:left w:val="none" w:color="auto" w:sz="0" w:space="0"/>
          <w:bottom w:val="single" w:color="auto"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1352"/>
        <w:gridCol w:w="1028"/>
        <w:gridCol w:w="1161"/>
        <w:gridCol w:w="1302"/>
        <w:gridCol w:w="3676"/>
      </w:tblGrid>
      <w:tr>
        <w:tblPrEx>
          <w:tblBorders>
            <w:top w:val="single" w:color="auto"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jc w:val="center"/>
        </w:trPr>
        <w:tc>
          <w:tcPr>
            <w:tcW w:w="793" w:type="pct"/>
            <w:tcBorders>
              <w:top w:val="single" w:color="auto" w:sz="12" w:space="0"/>
              <w:bottom w:val="single" w:color="auto" w:sz="12" w:space="0"/>
            </w:tcBorders>
            <w:noWrap w:val="0"/>
            <w:vAlign w:val="center"/>
          </w:tcPr>
          <w:p>
            <w:pPr>
              <w:widowControl/>
              <w:spacing w:line="320" w:lineRule="exact"/>
              <w:jc w:val="center"/>
              <w:rPr>
                <w:kern w:val="0"/>
                <w:szCs w:val="21"/>
              </w:rPr>
            </w:pPr>
            <w:r>
              <w:rPr>
                <w:rFonts w:hAnsi="宋体"/>
                <w:kern w:val="0"/>
                <w:szCs w:val="21"/>
              </w:rPr>
              <w:t>猪只类型</w:t>
            </w:r>
          </w:p>
        </w:tc>
        <w:tc>
          <w:tcPr>
            <w:tcW w:w="603" w:type="pct"/>
            <w:tcBorders>
              <w:top w:val="single" w:color="auto" w:sz="12" w:space="0"/>
              <w:bottom w:val="single" w:color="auto" w:sz="12" w:space="0"/>
            </w:tcBorders>
            <w:noWrap w:val="0"/>
            <w:vAlign w:val="center"/>
          </w:tcPr>
          <w:p>
            <w:pPr>
              <w:widowControl/>
              <w:spacing w:line="320" w:lineRule="exact"/>
              <w:jc w:val="center"/>
              <w:rPr>
                <w:rFonts w:hint="eastAsia" w:hAnsi="宋体"/>
                <w:kern w:val="0"/>
                <w:szCs w:val="21"/>
              </w:rPr>
            </w:pPr>
            <w:r>
              <w:rPr>
                <w:rFonts w:hint="eastAsia" w:hAnsi="宋体"/>
                <w:kern w:val="0"/>
                <w:szCs w:val="21"/>
              </w:rPr>
              <w:t>数量（头）</w:t>
            </w:r>
          </w:p>
        </w:tc>
        <w:tc>
          <w:tcPr>
            <w:tcW w:w="681" w:type="pct"/>
            <w:tcBorders>
              <w:top w:val="single" w:color="auto" w:sz="12" w:space="0"/>
              <w:bottom w:val="single" w:color="auto" w:sz="12" w:space="0"/>
              <w:right w:val="single" w:color="auto" w:sz="2" w:space="0"/>
            </w:tcBorders>
            <w:noWrap w:val="0"/>
            <w:vAlign w:val="center"/>
          </w:tcPr>
          <w:p>
            <w:pPr>
              <w:widowControl/>
              <w:spacing w:line="320" w:lineRule="exact"/>
              <w:jc w:val="center"/>
              <w:rPr>
                <w:kern w:val="0"/>
                <w:szCs w:val="21"/>
              </w:rPr>
            </w:pPr>
            <w:r>
              <w:rPr>
                <w:rFonts w:hAnsi="宋体"/>
                <w:kern w:val="0"/>
                <w:szCs w:val="21"/>
              </w:rPr>
              <w:t>猪尿量（</w:t>
            </w:r>
            <w:r>
              <w:rPr>
                <w:szCs w:val="21"/>
              </w:rPr>
              <w:t>m</w:t>
            </w:r>
            <w:r>
              <w:rPr>
                <w:szCs w:val="21"/>
                <w:vertAlign w:val="superscript"/>
              </w:rPr>
              <w:t>3</w:t>
            </w:r>
            <w:r>
              <w:rPr>
                <w:szCs w:val="21"/>
              </w:rPr>
              <w:t>/</w:t>
            </w:r>
            <w:r>
              <w:rPr>
                <w:rFonts w:hint="eastAsia"/>
                <w:szCs w:val="21"/>
              </w:rPr>
              <w:t>d</w:t>
            </w:r>
            <w:r>
              <w:rPr>
                <w:rFonts w:hAnsi="宋体"/>
                <w:kern w:val="0"/>
                <w:szCs w:val="21"/>
              </w:rPr>
              <w:t>）</w:t>
            </w:r>
          </w:p>
        </w:tc>
        <w:tc>
          <w:tcPr>
            <w:tcW w:w="764" w:type="pct"/>
            <w:tcBorders>
              <w:top w:val="single" w:color="auto" w:sz="12" w:space="0"/>
              <w:bottom w:val="single" w:color="auto" w:sz="12" w:space="0"/>
              <w:right w:val="single" w:color="auto" w:sz="2" w:space="0"/>
            </w:tcBorders>
            <w:noWrap w:val="0"/>
            <w:vAlign w:val="center"/>
          </w:tcPr>
          <w:p>
            <w:pPr>
              <w:widowControl/>
              <w:spacing w:line="320" w:lineRule="exact"/>
              <w:jc w:val="center"/>
              <w:rPr>
                <w:rFonts w:hAnsi="宋体"/>
                <w:kern w:val="0"/>
                <w:szCs w:val="21"/>
              </w:rPr>
            </w:pPr>
            <w:r>
              <w:rPr>
                <w:rFonts w:hAnsi="宋体"/>
                <w:kern w:val="0"/>
                <w:szCs w:val="21"/>
              </w:rPr>
              <w:t>猪尿量（</w:t>
            </w:r>
            <w:r>
              <w:rPr>
                <w:szCs w:val="21"/>
              </w:rPr>
              <w:t>m</w:t>
            </w:r>
            <w:r>
              <w:rPr>
                <w:szCs w:val="21"/>
                <w:vertAlign w:val="superscript"/>
              </w:rPr>
              <w:t>3</w:t>
            </w:r>
            <w:r>
              <w:rPr>
                <w:szCs w:val="21"/>
              </w:rPr>
              <w:t>/</w:t>
            </w:r>
            <w:r>
              <w:rPr>
                <w:rFonts w:hint="eastAsia"/>
                <w:szCs w:val="21"/>
              </w:rPr>
              <w:t>a</w:t>
            </w:r>
            <w:r>
              <w:rPr>
                <w:rFonts w:hAnsi="宋体"/>
                <w:kern w:val="0"/>
                <w:szCs w:val="21"/>
              </w:rPr>
              <w:t>）</w:t>
            </w:r>
          </w:p>
        </w:tc>
        <w:tc>
          <w:tcPr>
            <w:tcW w:w="2157" w:type="pct"/>
            <w:tcBorders>
              <w:top w:val="single" w:color="auto" w:sz="12" w:space="0"/>
              <w:left w:val="single" w:color="auto" w:sz="2" w:space="0"/>
              <w:bottom w:val="single" w:color="auto" w:sz="12" w:space="0"/>
            </w:tcBorders>
            <w:noWrap w:val="0"/>
            <w:vAlign w:val="center"/>
          </w:tcPr>
          <w:p>
            <w:pPr>
              <w:widowControl/>
              <w:spacing w:line="320" w:lineRule="exact"/>
              <w:jc w:val="center"/>
              <w:rPr>
                <w:rFonts w:hint="eastAsia"/>
                <w:kern w:val="0"/>
                <w:szCs w:val="21"/>
              </w:rPr>
            </w:pPr>
            <w:r>
              <w:rPr>
                <w:rFonts w:hAnsi="宋体"/>
                <w:kern w:val="0"/>
                <w:szCs w:val="21"/>
              </w:rPr>
              <w:t>中南地区猪只尿液产生系数（</w:t>
            </w:r>
            <w:r>
              <w:rPr>
                <w:kern w:val="0"/>
                <w:szCs w:val="21"/>
              </w:rPr>
              <w:t>L/</w:t>
            </w:r>
            <w:r>
              <w:rPr>
                <w:rFonts w:hAnsi="宋体"/>
                <w:kern w:val="0"/>
                <w:szCs w:val="21"/>
              </w:rPr>
              <w:t>头</w:t>
            </w:r>
            <w:r>
              <w:rPr>
                <w:kern w:val="0"/>
                <w:szCs w:val="21"/>
              </w:rPr>
              <w:t>·d</w:t>
            </w:r>
            <w:r>
              <w:rPr>
                <w:rFonts w:hAnsi="宋体"/>
                <w:kern w:val="0"/>
                <w:szCs w:val="21"/>
              </w:rPr>
              <w:t>）</w:t>
            </w:r>
          </w:p>
        </w:tc>
      </w:tr>
      <w:tr>
        <w:tblPrEx>
          <w:tblBorders>
            <w:top w:val="single" w:color="auto"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jc w:val="center"/>
        </w:trPr>
        <w:tc>
          <w:tcPr>
            <w:tcW w:w="793" w:type="pct"/>
            <w:noWrap w:val="0"/>
            <w:vAlign w:val="center"/>
          </w:tcPr>
          <w:p>
            <w:pPr>
              <w:widowControl/>
              <w:spacing w:line="320" w:lineRule="exact"/>
              <w:jc w:val="center"/>
              <w:rPr>
                <w:rFonts w:hAnsi="宋体"/>
                <w:kern w:val="0"/>
                <w:szCs w:val="21"/>
              </w:rPr>
            </w:pPr>
            <w:r>
              <w:rPr>
                <w:rFonts w:hAnsi="宋体"/>
                <w:kern w:val="0"/>
                <w:szCs w:val="21"/>
              </w:rPr>
              <w:t>保育</w:t>
            </w:r>
            <w:r>
              <w:rPr>
                <w:rFonts w:hint="eastAsia" w:hAnsi="宋体"/>
                <w:kern w:val="0"/>
                <w:szCs w:val="21"/>
              </w:rPr>
              <w:t>仔</w:t>
            </w:r>
            <w:r>
              <w:rPr>
                <w:rFonts w:hAnsi="宋体"/>
                <w:kern w:val="0"/>
                <w:szCs w:val="21"/>
              </w:rPr>
              <w:t>猪</w:t>
            </w:r>
          </w:p>
        </w:tc>
        <w:tc>
          <w:tcPr>
            <w:tcW w:w="603" w:type="pct"/>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vertAlign w:val="baseline"/>
                <w:lang w:val="en-US" w:eastAsia="zh-CN" w:bidi="ar-SA"/>
              </w:rPr>
              <w:t>1855</w:t>
            </w:r>
          </w:p>
        </w:tc>
        <w:tc>
          <w:tcPr>
            <w:tcW w:w="681" w:type="pct"/>
            <w:tcBorders>
              <w:right w:val="single" w:color="auto" w:sz="2" w:space="0"/>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lang w:val="en-US" w:eastAsia="zh-CN"/>
              </w:rPr>
              <w:t>3.49</w:t>
            </w:r>
          </w:p>
        </w:tc>
        <w:tc>
          <w:tcPr>
            <w:tcW w:w="764" w:type="pct"/>
            <w:tcBorders>
              <w:right w:val="single" w:color="auto" w:sz="2" w:space="0"/>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lang w:val="en-US" w:eastAsia="zh-CN"/>
              </w:rPr>
              <w:t>1273.85</w:t>
            </w:r>
          </w:p>
        </w:tc>
        <w:tc>
          <w:tcPr>
            <w:tcW w:w="2157" w:type="pct"/>
            <w:tcBorders>
              <w:left w:val="single" w:color="auto" w:sz="2" w:space="0"/>
            </w:tcBorders>
            <w:noWrap w:val="0"/>
            <w:vAlign w:val="center"/>
          </w:tcPr>
          <w:p>
            <w:pPr>
              <w:widowControl/>
              <w:spacing w:line="320" w:lineRule="exact"/>
              <w:jc w:val="center"/>
              <w:rPr>
                <w:kern w:val="0"/>
                <w:szCs w:val="21"/>
              </w:rPr>
            </w:pPr>
            <w:r>
              <w:rPr>
                <w:kern w:val="0"/>
                <w:szCs w:val="21"/>
              </w:rPr>
              <w:t>1.88</w:t>
            </w:r>
          </w:p>
        </w:tc>
      </w:tr>
      <w:tr>
        <w:tblPrEx>
          <w:tblBorders>
            <w:top w:val="single" w:color="auto" w:sz="12" w:space="0"/>
            <w:left w:val="none" w:color="auto" w:sz="0" w:space="0"/>
            <w:bottom w:val="single" w:color="auto"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jc w:val="center"/>
        </w:trPr>
        <w:tc>
          <w:tcPr>
            <w:tcW w:w="793" w:type="pct"/>
            <w:noWrap w:val="0"/>
            <w:vAlign w:val="center"/>
          </w:tcPr>
          <w:p>
            <w:pPr>
              <w:widowControl/>
              <w:spacing w:line="320" w:lineRule="exact"/>
              <w:jc w:val="center"/>
              <w:rPr>
                <w:rFonts w:hint="eastAsia" w:hAnsi="宋体"/>
                <w:kern w:val="0"/>
                <w:szCs w:val="21"/>
              </w:rPr>
            </w:pPr>
            <w:r>
              <w:rPr>
                <w:rFonts w:hAnsi="宋体"/>
                <w:kern w:val="0"/>
                <w:szCs w:val="21"/>
              </w:rPr>
              <w:t>育肥猪</w:t>
            </w:r>
          </w:p>
        </w:tc>
        <w:tc>
          <w:tcPr>
            <w:tcW w:w="603" w:type="pct"/>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vertAlign w:val="baseline"/>
                <w:lang w:val="en-US" w:eastAsia="zh-CN" w:bidi="ar-SA"/>
              </w:rPr>
              <w:t>5500</w:t>
            </w:r>
          </w:p>
        </w:tc>
        <w:tc>
          <w:tcPr>
            <w:tcW w:w="681" w:type="pct"/>
            <w:tcBorders>
              <w:right w:val="single" w:color="auto" w:sz="2" w:space="0"/>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lang w:val="en-US" w:eastAsia="zh-CN"/>
              </w:rPr>
              <w:t>17.49</w:t>
            </w:r>
          </w:p>
        </w:tc>
        <w:tc>
          <w:tcPr>
            <w:tcW w:w="764" w:type="pct"/>
            <w:tcBorders>
              <w:right w:val="single" w:color="auto" w:sz="2" w:space="0"/>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lang w:val="en-US" w:eastAsia="zh-CN"/>
              </w:rPr>
              <w:t>6383.85</w:t>
            </w:r>
          </w:p>
        </w:tc>
        <w:tc>
          <w:tcPr>
            <w:tcW w:w="2157" w:type="pct"/>
            <w:tcBorders>
              <w:left w:val="single" w:color="auto" w:sz="2" w:space="0"/>
            </w:tcBorders>
            <w:noWrap w:val="0"/>
            <w:vAlign w:val="center"/>
          </w:tcPr>
          <w:p>
            <w:pPr>
              <w:widowControl/>
              <w:spacing w:line="320" w:lineRule="exact"/>
              <w:jc w:val="center"/>
              <w:rPr>
                <w:kern w:val="0"/>
                <w:szCs w:val="21"/>
              </w:rPr>
            </w:pPr>
            <w:r>
              <w:rPr>
                <w:kern w:val="0"/>
                <w:szCs w:val="21"/>
              </w:rPr>
              <w:t>3.18</w:t>
            </w:r>
          </w:p>
        </w:tc>
      </w:tr>
      <w:tr>
        <w:tblPrEx>
          <w:tblBorders>
            <w:top w:val="single" w:color="auto" w:sz="12" w:space="0"/>
            <w:left w:val="none" w:color="auto" w:sz="0" w:space="0"/>
            <w:bottom w:val="single" w:color="auto" w:sz="12" w:space="0"/>
            <w:right w:val="none" w:color="auto" w:sz="0" w:space="0"/>
            <w:insideH w:val="single" w:color="000000" w:sz="4" w:space="0"/>
            <w:insideV w:val="single" w:color="000000" w:sz="4" w:space="0"/>
          </w:tblBorders>
        </w:tblPrEx>
        <w:trPr>
          <w:jc w:val="center"/>
        </w:trPr>
        <w:tc>
          <w:tcPr>
            <w:tcW w:w="793" w:type="pct"/>
            <w:noWrap w:val="0"/>
            <w:vAlign w:val="center"/>
          </w:tcPr>
          <w:p>
            <w:pPr>
              <w:widowControl/>
              <w:spacing w:line="320" w:lineRule="exact"/>
              <w:jc w:val="center"/>
              <w:rPr>
                <w:kern w:val="0"/>
                <w:szCs w:val="21"/>
              </w:rPr>
            </w:pPr>
            <w:r>
              <w:rPr>
                <w:rFonts w:hAnsi="宋体"/>
                <w:kern w:val="0"/>
                <w:szCs w:val="21"/>
              </w:rPr>
              <w:t>合</w:t>
            </w:r>
            <w:r>
              <w:rPr>
                <w:kern w:val="0"/>
                <w:szCs w:val="21"/>
              </w:rPr>
              <w:t xml:space="preserve"> </w:t>
            </w:r>
            <w:r>
              <w:rPr>
                <w:rFonts w:hAnsi="宋体"/>
                <w:kern w:val="0"/>
                <w:szCs w:val="21"/>
              </w:rPr>
              <w:t>计</w:t>
            </w:r>
          </w:p>
        </w:tc>
        <w:tc>
          <w:tcPr>
            <w:tcW w:w="603" w:type="pct"/>
            <w:noWrap w:val="0"/>
            <w:vAlign w:val="center"/>
          </w:tcPr>
          <w:p>
            <w:pPr>
              <w:widowControl/>
              <w:spacing w:line="320" w:lineRule="exact"/>
              <w:jc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lang w:val="en-US" w:eastAsia="zh-CN"/>
              </w:rPr>
              <w:t>7355</w:t>
            </w:r>
          </w:p>
        </w:tc>
        <w:tc>
          <w:tcPr>
            <w:tcW w:w="1161" w:type="dxa"/>
            <w:tcBorders>
              <w:right w:val="single" w:color="auto" w:sz="2" w:space="0"/>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20.98</w:t>
            </w:r>
          </w:p>
        </w:tc>
        <w:tc>
          <w:tcPr>
            <w:tcW w:w="1302" w:type="dxa"/>
            <w:tcBorders>
              <w:right w:val="single" w:color="auto" w:sz="2" w:space="0"/>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7657.7</w:t>
            </w:r>
          </w:p>
        </w:tc>
        <w:tc>
          <w:tcPr>
            <w:tcW w:w="2157" w:type="pct"/>
            <w:tcBorders>
              <w:left w:val="single" w:color="auto" w:sz="2" w:space="0"/>
            </w:tcBorders>
            <w:noWrap w:val="0"/>
            <w:vAlign w:val="center"/>
          </w:tcPr>
          <w:p>
            <w:pPr>
              <w:widowControl/>
              <w:spacing w:line="320" w:lineRule="exact"/>
              <w:jc w:val="center"/>
              <w:rPr>
                <w:kern w:val="0"/>
                <w:szCs w:val="21"/>
              </w:rPr>
            </w:pPr>
            <w:r>
              <w:rPr>
                <w:kern w:val="0"/>
                <w:szCs w:val="21"/>
              </w:rPr>
              <w:t>/</w:t>
            </w:r>
          </w:p>
        </w:tc>
      </w:tr>
    </w:tbl>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由表</w:t>
      </w:r>
      <w:r>
        <w:rPr>
          <w:rFonts w:hint="eastAsia" w:cs="Times New Roman"/>
          <w:kern w:val="0"/>
          <w:sz w:val="24"/>
          <w:szCs w:val="24"/>
          <w:lang w:val="en-US" w:eastAsia="zh-CN" w:bidi="ar-SA"/>
        </w:rPr>
        <w:t>3.3-6</w:t>
      </w:r>
      <w:r>
        <w:rPr>
          <w:rFonts w:hint="default" w:ascii="Times New Roman" w:hAnsi="Times New Roman" w:eastAsia="宋体" w:cs="Times New Roman"/>
          <w:kern w:val="0"/>
          <w:sz w:val="24"/>
          <w:szCs w:val="24"/>
          <w:lang w:val="en-US" w:eastAsia="zh-CN" w:bidi="ar-SA"/>
        </w:rPr>
        <w:t>可知，本项目猪舍排尿量为</w:t>
      </w:r>
      <w:r>
        <w:rPr>
          <w:rFonts w:hint="eastAsia" w:cs="Times New Roman"/>
          <w:kern w:val="0"/>
          <w:sz w:val="24"/>
          <w:szCs w:val="24"/>
          <w:lang w:val="en-US" w:eastAsia="zh-CN" w:bidi="ar-SA"/>
        </w:rPr>
        <w:t>20.98</w:t>
      </w:r>
      <w:r>
        <w:rPr>
          <w:rFonts w:hint="default" w:ascii="Times New Roman" w:hAnsi="Times New Roman" w:eastAsia="宋体" w:cs="Times New Roman"/>
          <w:kern w:val="0"/>
          <w:sz w:val="24"/>
          <w:szCs w:val="24"/>
          <w:lang w:val="en-US" w:eastAsia="zh-CN" w:bidi="ar-SA"/>
        </w:rPr>
        <w:t>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/d，</w:t>
      </w:r>
      <w:r>
        <w:rPr>
          <w:rFonts w:hint="eastAsia" w:cs="Times New Roman"/>
          <w:kern w:val="0"/>
          <w:sz w:val="24"/>
          <w:szCs w:val="24"/>
          <w:lang w:val="en-US" w:eastAsia="zh-CN" w:bidi="ar-SA"/>
        </w:rPr>
        <w:t>7657.7</w:t>
      </w:r>
      <w:r>
        <w:rPr>
          <w:rFonts w:hint="default" w:ascii="Times New Roman" w:hAnsi="Times New Roman" w:eastAsia="宋体" w:cs="Times New Roman"/>
          <w:kern w:val="0"/>
          <w:sz w:val="24"/>
          <w:szCs w:val="24"/>
          <w:lang w:val="en-US" w:eastAsia="zh-CN" w:bidi="ar-SA"/>
        </w:rPr>
        <w:t>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/a。项目猪尿由专门尿液管道排入污水处理</w:t>
      </w:r>
      <w:r>
        <w:rPr>
          <w:rFonts w:hint="eastAsia" w:cs="Times New Roman"/>
          <w:kern w:val="0"/>
          <w:sz w:val="24"/>
          <w:szCs w:val="24"/>
          <w:lang w:val="en-US" w:eastAsia="zh-CN" w:bidi="ar-SA"/>
        </w:rPr>
        <w:t>设施</w:t>
      </w:r>
      <w:r>
        <w:rPr>
          <w:rFonts w:hint="default" w:ascii="Times New Roman" w:hAnsi="Times New Roman" w:eastAsia="宋体" w:cs="Times New Roman"/>
          <w:kern w:val="0"/>
          <w:sz w:val="24"/>
          <w:szCs w:val="24"/>
          <w:lang w:val="en-US" w:eastAsia="zh-CN" w:bidi="ar-SA"/>
        </w:rPr>
        <w:t>处理。尿液主要含CODcr、BOD</w:t>
      </w:r>
      <w:r>
        <w:rPr>
          <w:rFonts w:hint="default" w:ascii="Times New Roman" w:hAnsi="Times New Roman" w:eastAsia="宋体" w:cs="Times New Roman"/>
          <w:kern w:val="0"/>
          <w:sz w:val="24"/>
          <w:szCs w:val="24"/>
          <w:vertAlign w:val="subscript"/>
          <w:lang w:val="en-US" w:eastAsia="zh-CN" w:bidi="ar-SA"/>
        </w:rPr>
        <w:t>5</w:t>
      </w:r>
      <w:r>
        <w:rPr>
          <w:rFonts w:hint="default" w:ascii="Times New Roman" w:hAnsi="Times New Roman" w:eastAsia="宋体" w:cs="Times New Roman"/>
          <w:kern w:val="0"/>
          <w:sz w:val="24"/>
          <w:szCs w:val="24"/>
          <w:lang w:val="en-US" w:eastAsia="zh-CN" w:bidi="ar-SA"/>
        </w:rPr>
        <w:t>、SS、NH</w:t>
      </w:r>
      <w:r>
        <w:rPr>
          <w:rFonts w:hint="default" w:ascii="Times New Roman" w:hAnsi="Times New Roman" w:eastAsia="宋体" w:cs="Times New Roman"/>
          <w:kern w:val="0"/>
          <w:sz w:val="24"/>
          <w:szCs w:val="24"/>
          <w:vertAlign w:val="subscript"/>
          <w:lang w:val="en-US" w:eastAsia="zh-CN" w:bidi="ar-SA"/>
        </w:rPr>
        <w:t>3</w:t>
      </w:r>
      <w:r>
        <w:rPr>
          <w:rFonts w:hint="default" w:ascii="Times New Roman" w:hAnsi="Times New Roman" w:eastAsia="宋体" w:cs="Times New Roman"/>
          <w:kern w:val="0"/>
          <w:sz w:val="24"/>
          <w:szCs w:val="24"/>
          <w:lang w:val="en-US" w:eastAsia="zh-CN" w:bidi="ar-SA"/>
        </w:rPr>
        <w:t xml:space="preserve">-N、TP、粪大肠菌群数等污染物。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color w:val="auto"/>
          <w:kern w:val="0"/>
          <w:sz w:val="24"/>
          <w:szCs w:val="24"/>
          <w:lang w:val="en-US" w:eastAsia="zh-CN" w:bidi="ar-SA"/>
        </w:rPr>
      </w:pPr>
      <w:r>
        <w:rPr>
          <w:rFonts w:hint="eastAsia" w:cs="Times New Roman"/>
          <w:color w:val="auto"/>
          <w:kern w:val="0"/>
          <w:sz w:val="24"/>
          <w:szCs w:val="24"/>
          <w:lang w:val="en-US" w:eastAsia="zh-CN" w:bidi="ar-SA"/>
        </w:rPr>
        <w:t>2）猪舍冲洗废水</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color w:val="FF0000"/>
          <w:kern w:val="0"/>
          <w:sz w:val="24"/>
          <w:szCs w:val="24"/>
          <w:lang w:val="en-US" w:eastAsia="zh-CN" w:bidi="ar-SA"/>
        </w:rPr>
      </w:pPr>
      <w:r>
        <w:rPr>
          <w:rFonts w:hint="default" w:ascii="Times New Roman" w:hAnsi="Times New Roman" w:eastAsia="宋体" w:cs="Times New Roman"/>
          <w:color w:val="auto"/>
          <w:sz w:val="24"/>
          <w:szCs w:val="24"/>
        </w:rPr>
        <w:t>根据工程分析可知，猪舍单次冲洗用水总量为</w:t>
      </w:r>
      <w:r>
        <w:rPr>
          <w:rFonts w:hint="default" w:ascii="Times New Roman" w:hAnsi="Times New Roman" w:eastAsia="宋体" w:cs="Times New Roman"/>
          <w:color w:val="auto"/>
          <w:sz w:val="24"/>
          <w:szCs w:val="24"/>
          <w:lang w:val="en-US" w:eastAsia="zh-CN"/>
        </w:rPr>
        <w:t>106.272</w:t>
      </w:r>
      <w:r>
        <w:rPr>
          <w:rFonts w:hint="default" w:ascii="Times New Roman" w:hAnsi="Times New Roman" w:eastAsia="宋体" w:cs="Times New Roman"/>
          <w:color w:val="auto"/>
          <w:sz w:val="24"/>
          <w:szCs w:val="24"/>
        </w:rPr>
        <w:t>m</w:t>
      </w:r>
      <w:r>
        <w:rPr>
          <w:rFonts w:hint="default" w:ascii="Times New Roman" w:hAnsi="Times New Roman" w:eastAsia="宋体" w:cs="Times New Roman"/>
          <w:color w:val="auto"/>
          <w:sz w:val="24"/>
          <w:szCs w:val="24"/>
          <w:vertAlign w:val="superscript"/>
        </w:rPr>
        <w:t>3</w:t>
      </w:r>
      <w:r>
        <w:rPr>
          <w:rFonts w:hint="default" w:ascii="Times New Roman" w:hAnsi="Times New Roman" w:eastAsia="宋体" w:cs="Times New Roman"/>
          <w:color w:val="auto"/>
          <w:sz w:val="24"/>
          <w:szCs w:val="24"/>
        </w:rPr>
        <w:t>/d，年冲洗用水总量为</w:t>
      </w:r>
      <w:r>
        <w:rPr>
          <w:rFonts w:hint="default" w:ascii="Times New Roman" w:hAnsi="Times New Roman" w:eastAsia="宋体" w:cs="Times New Roman"/>
          <w:color w:val="auto"/>
          <w:sz w:val="24"/>
          <w:szCs w:val="24"/>
          <w:lang w:val="en-US" w:eastAsia="zh-CN"/>
        </w:rPr>
        <w:t>370.856</w:t>
      </w:r>
      <w:r>
        <w:rPr>
          <w:rFonts w:hint="default" w:ascii="Times New Roman" w:hAnsi="Times New Roman" w:eastAsia="宋体" w:cs="Times New Roman"/>
          <w:color w:val="auto"/>
          <w:sz w:val="24"/>
          <w:szCs w:val="24"/>
        </w:rPr>
        <w:t>m</w:t>
      </w:r>
      <w:r>
        <w:rPr>
          <w:rFonts w:hint="default" w:ascii="Times New Roman" w:hAnsi="Times New Roman" w:eastAsia="宋体" w:cs="Times New Roman"/>
          <w:color w:val="auto"/>
          <w:sz w:val="24"/>
          <w:szCs w:val="24"/>
          <w:vertAlign w:val="superscript"/>
        </w:rPr>
        <w:t>3</w:t>
      </w:r>
      <w:r>
        <w:rPr>
          <w:rFonts w:hint="default" w:ascii="Times New Roman" w:hAnsi="Times New Roman" w:eastAsia="宋体" w:cs="Times New Roman"/>
          <w:color w:val="auto"/>
          <w:sz w:val="24"/>
          <w:szCs w:val="24"/>
        </w:rPr>
        <w:t>/a。猪舍冲洗废水产生系数按用水量的为90%，则废水产生量为</w:t>
      </w:r>
      <w:r>
        <w:rPr>
          <w:rFonts w:hint="eastAsia" w:cs="Times New Roman"/>
          <w:color w:val="auto"/>
          <w:sz w:val="24"/>
          <w:szCs w:val="24"/>
          <w:lang w:val="en-US" w:eastAsia="zh-CN"/>
        </w:rPr>
        <w:t>95.645</w:t>
      </w:r>
      <w:r>
        <w:rPr>
          <w:rFonts w:hint="default" w:ascii="Times New Roman" w:hAnsi="Times New Roman" w:eastAsia="宋体" w:cs="Times New Roman"/>
          <w:color w:val="auto"/>
          <w:sz w:val="24"/>
          <w:szCs w:val="24"/>
        </w:rPr>
        <w:t>m</w:t>
      </w:r>
      <w:r>
        <w:rPr>
          <w:rFonts w:hint="default" w:ascii="Times New Roman" w:hAnsi="Times New Roman" w:eastAsia="宋体" w:cs="Times New Roman"/>
          <w:color w:val="auto"/>
          <w:sz w:val="24"/>
          <w:szCs w:val="24"/>
          <w:vertAlign w:val="superscript"/>
        </w:rPr>
        <w:t>3</w:t>
      </w:r>
      <w:r>
        <w:rPr>
          <w:rFonts w:hint="default" w:ascii="Times New Roman" w:hAnsi="Times New Roman" w:eastAsia="宋体" w:cs="Times New Roman"/>
          <w:color w:val="auto"/>
          <w:sz w:val="24"/>
          <w:szCs w:val="24"/>
        </w:rPr>
        <w:t>/d，</w:t>
      </w:r>
      <w:r>
        <w:rPr>
          <w:rFonts w:hint="eastAsia" w:cs="Times New Roman"/>
          <w:color w:val="auto"/>
          <w:sz w:val="24"/>
          <w:szCs w:val="24"/>
          <w:lang w:val="en-US" w:eastAsia="zh-CN"/>
        </w:rPr>
        <w:t>333.77</w:t>
      </w:r>
      <w:r>
        <w:rPr>
          <w:rFonts w:hint="default" w:ascii="Times New Roman" w:hAnsi="Times New Roman" w:eastAsia="宋体" w:cs="Times New Roman"/>
          <w:color w:val="auto"/>
          <w:sz w:val="24"/>
          <w:szCs w:val="24"/>
        </w:rPr>
        <w:t>m</w:t>
      </w:r>
      <w:r>
        <w:rPr>
          <w:rFonts w:hint="default" w:ascii="Times New Roman" w:hAnsi="Times New Roman" w:eastAsia="宋体" w:cs="Times New Roman"/>
          <w:color w:val="auto"/>
          <w:sz w:val="24"/>
          <w:szCs w:val="24"/>
          <w:vertAlign w:val="superscript"/>
        </w:rPr>
        <w:t>3</w:t>
      </w:r>
      <w:r>
        <w:rPr>
          <w:rFonts w:hint="default" w:ascii="Times New Roman" w:hAnsi="Times New Roman" w:eastAsia="宋体" w:cs="Times New Roman"/>
          <w:color w:val="auto"/>
          <w:sz w:val="24"/>
          <w:szCs w:val="24"/>
        </w:rPr>
        <w:t>/a。根据《畜禽养殖业污染治理工程技术规范》（HJ497-2009）的相关统计数据，干清粪工艺养殖废水中污染物浓度为COD 2640mg/L、BOD</w:t>
      </w:r>
      <w:r>
        <w:rPr>
          <w:rFonts w:hint="default" w:ascii="Times New Roman" w:hAnsi="Times New Roman" w:eastAsia="宋体" w:cs="Times New Roman"/>
          <w:color w:val="auto"/>
          <w:sz w:val="24"/>
          <w:szCs w:val="24"/>
          <w:vertAlign w:val="subscript"/>
        </w:rPr>
        <w:t>5</w:t>
      </w:r>
      <w:r>
        <w:rPr>
          <w:rFonts w:hint="default" w:ascii="Times New Roman" w:hAnsi="Times New Roman" w:eastAsia="宋体" w:cs="Times New Roman"/>
          <w:color w:val="auto"/>
          <w:sz w:val="24"/>
          <w:szCs w:val="24"/>
        </w:rPr>
        <w:t>1000mg/L、SS600mg/L、NH</w:t>
      </w:r>
      <w:r>
        <w:rPr>
          <w:rFonts w:hint="default" w:ascii="Times New Roman" w:hAnsi="Times New Roman" w:eastAsia="宋体" w:cs="Times New Roman"/>
          <w:color w:val="auto"/>
          <w:sz w:val="24"/>
          <w:szCs w:val="24"/>
          <w:vertAlign w:val="subscript"/>
        </w:rPr>
        <w:t>3</w:t>
      </w:r>
      <w:r>
        <w:rPr>
          <w:rFonts w:hint="default" w:ascii="Times New Roman" w:hAnsi="Times New Roman" w:eastAsia="宋体" w:cs="Times New Roman"/>
          <w:color w:val="auto"/>
          <w:sz w:val="24"/>
          <w:szCs w:val="24"/>
        </w:rPr>
        <w:t xml:space="preserve">-N261mg/L、总氮370mg/L、TP43.5mg/L。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color w:val="auto"/>
          <w:kern w:val="0"/>
          <w:sz w:val="24"/>
          <w:szCs w:val="24"/>
          <w:lang w:val="en-US" w:eastAsia="zh-CN" w:bidi="ar-SA"/>
        </w:rPr>
        <w:t>项目猪舍地面冲洗废水污染物产排情况见表</w:t>
      </w:r>
      <w:r>
        <w:rPr>
          <w:rFonts w:hint="eastAsia" w:cs="Times New Roman"/>
          <w:color w:val="auto"/>
          <w:kern w:val="0"/>
          <w:sz w:val="24"/>
          <w:szCs w:val="24"/>
          <w:lang w:val="en-US" w:eastAsia="zh-CN" w:bidi="ar-SA"/>
        </w:rPr>
        <w:t>3</w:t>
      </w:r>
      <w:r>
        <w:rPr>
          <w:rFonts w:hint="default" w:ascii="Times New Roman" w:hAnsi="Times New Roman" w:eastAsia="宋体" w:cs="Times New Roman"/>
          <w:color w:val="auto"/>
          <w:kern w:val="0"/>
          <w:sz w:val="24"/>
          <w:szCs w:val="24"/>
          <w:lang w:val="en-US" w:eastAsia="zh-CN" w:bidi="ar-SA"/>
        </w:rPr>
        <w:t>.</w:t>
      </w:r>
      <w:r>
        <w:rPr>
          <w:rFonts w:hint="eastAsia" w:cs="Times New Roman"/>
          <w:color w:val="auto"/>
          <w:kern w:val="0"/>
          <w:sz w:val="24"/>
          <w:szCs w:val="24"/>
          <w:lang w:val="en-US" w:eastAsia="zh-CN" w:bidi="ar-SA"/>
        </w:rPr>
        <w:t>3</w:t>
      </w:r>
      <w:r>
        <w:rPr>
          <w:rFonts w:hint="default" w:ascii="Times New Roman" w:hAnsi="Times New Roman" w:eastAsia="宋体" w:cs="Times New Roman"/>
          <w:color w:val="auto"/>
          <w:kern w:val="0"/>
          <w:sz w:val="24"/>
          <w:szCs w:val="24"/>
          <w:lang w:val="en-US" w:eastAsia="zh-CN" w:bidi="ar-SA"/>
        </w:rPr>
        <w:t>-</w:t>
      </w:r>
      <w:r>
        <w:rPr>
          <w:rFonts w:hint="eastAsia" w:cs="Times New Roman"/>
          <w:color w:val="auto"/>
          <w:kern w:val="0"/>
          <w:sz w:val="24"/>
          <w:szCs w:val="24"/>
          <w:lang w:val="en-US" w:eastAsia="zh-CN" w:bidi="ar-SA"/>
        </w:rPr>
        <w:t>7</w:t>
      </w:r>
      <w:r>
        <w:rPr>
          <w:rFonts w:hint="default" w:ascii="Times New Roman" w:hAnsi="Times New Roman" w:eastAsia="宋体" w:cs="Times New Roman"/>
          <w:color w:val="auto"/>
          <w:kern w:val="0"/>
          <w:sz w:val="24"/>
          <w:szCs w:val="24"/>
          <w:lang w:val="en-US" w:eastAsia="zh-CN" w:bidi="ar-SA"/>
        </w:rPr>
        <w:t xml:space="preserve">。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lang w:val="en-US" w:eastAsia="zh-CN" w:bidi="ar-SA"/>
        </w:rPr>
      </w:pPr>
      <w:r>
        <w:rPr>
          <w:rFonts w:hint="eastAsia" w:cs="Times New Roman"/>
          <w:b/>
          <w:bCs/>
          <w:color w:val="auto"/>
          <w:kern w:val="0"/>
          <w:sz w:val="21"/>
          <w:szCs w:val="21"/>
          <w:lang w:val="en-US" w:eastAsia="zh-CN" w:bidi="ar-SA"/>
        </w:rPr>
        <w:t>表3.3-7  猪舍地面冲洗废水中污染物产生情况</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Merge w:val="restart"/>
            <w:tcBorders>
              <w:top w:val="single" w:color="auto" w:sz="12" w:space="0"/>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污染物</w:t>
            </w:r>
          </w:p>
        </w:tc>
        <w:tc>
          <w:tcPr>
            <w:tcW w:w="2130" w:type="dxa"/>
            <w:vMerge w:val="restart"/>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废水量（m</w:t>
            </w:r>
            <w:r>
              <w:rPr>
                <w:rFonts w:hint="eastAsia" w:cs="Times New Roman"/>
                <w:color w:val="auto"/>
                <w:kern w:val="0"/>
                <w:sz w:val="21"/>
                <w:szCs w:val="21"/>
                <w:vertAlign w:val="superscript"/>
                <w:lang w:val="en-US" w:eastAsia="zh-CN" w:bidi="ar-SA"/>
              </w:rPr>
              <w:t>3</w:t>
            </w:r>
            <w:r>
              <w:rPr>
                <w:rFonts w:hint="eastAsia" w:cs="Times New Roman"/>
                <w:color w:val="auto"/>
                <w:kern w:val="0"/>
                <w:sz w:val="21"/>
                <w:szCs w:val="21"/>
                <w:vertAlign w:val="baseline"/>
                <w:lang w:val="en-US" w:eastAsia="zh-CN" w:bidi="ar-SA"/>
              </w:rPr>
              <w:t>/a）</w:t>
            </w:r>
          </w:p>
        </w:tc>
        <w:tc>
          <w:tcPr>
            <w:tcW w:w="4262" w:type="dxa"/>
            <w:gridSpan w:val="2"/>
            <w:tcBorders>
              <w:top w:val="single" w:color="auto" w:sz="12" w:space="0"/>
              <w:bottom w:val="single" w:color="auto" w:sz="4"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产生情况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Merge w:val="continue"/>
            <w:tcBorders>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p>
        </w:tc>
        <w:tc>
          <w:tcPr>
            <w:tcW w:w="2130" w:type="dxa"/>
            <w:vMerge w:val="continue"/>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p>
        </w:tc>
        <w:tc>
          <w:tcPr>
            <w:tcW w:w="2131" w:type="dxa"/>
            <w:tcBorders>
              <w:top w:val="single" w:color="auto" w:sz="4"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产生浓度（mg/L）</w:t>
            </w:r>
          </w:p>
        </w:tc>
        <w:tc>
          <w:tcPr>
            <w:tcW w:w="2131" w:type="dxa"/>
            <w:tcBorders>
              <w:top w:val="single" w:color="auto" w:sz="4" w:space="0"/>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产生量（t/a）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Borders>
              <w:top w:val="single" w:color="auto" w:sz="12" w:space="0"/>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COD</w:t>
            </w:r>
          </w:p>
        </w:tc>
        <w:tc>
          <w:tcPr>
            <w:tcW w:w="2130" w:type="dxa"/>
            <w:vMerge w:val="restart"/>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333.77</w:t>
            </w:r>
          </w:p>
        </w:tc>
        <w:tc>
          <w:tcPr>
            <w:tcW w:w="2131" w:type="dxa"/>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2640</w:t>
            </w:r>
          </w:p>
        </w:tc>
        <w:tc>
          <w:tcPr>
            <w:tcW w:w="2131" w:type="dxa"/>
            <w:tcBorders>
              <w:top w:val="single" w:color="auto" w:sz="12" w:space="0"/>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ascii="宋体" w:hAnsi="宋体" w:eastAsia="宋体" w:cs="宋体"/>
                <w:i w:val="0"/>
                <w:color w:val="auto"/>
                <w:kern w:val="0"/>
                <w:sz w:val="21"/>
                <w:szCs w:val="21"/>
                <w:u w:val="none"/>
                <w:lang w:val="en-US" w:eastAsia="zh-CN" w:bidi="ar"/>
              </w:rPr>
              <w:t>0.881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130" w:type="dxa"/>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BOD</w:t>
            </w:r>
            <w:r>
              <w:rPr>
                <w:rFonts w:hint="eastAsia" w:cs="Times New Roman"/>
                <w:color w:val="auto"/>
                <w:kern w:val="0"/>
                <w:sz w:val="21"/>
                <w:szCs w:val="21"/>
                <w:vertAlign w:val="subscript"/>
                <w:lang w:val="en-US" w:eastAsia="zh-CN" w:bidi="ar-SA"/>
              </w:rPr>
              <w:t>5</w:t>
            </w:r>
          </w:p>
        </w:tc>
        <w:tc>
          <w:tcPr>
            <w:tcW w:w="2130"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p>
        </w:tc>
        <w:tc>
          <w:tcPr>
            <w:tcW w:w="2131"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1000</w:t>
            </w:r>
          </w:p>
        </w:tc>
        <w:tc>
          <w:tcPr>
            <w:tcW w:w="2131" w:type="dxa"/>
            <w:tcBorders>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ascii="宋体" w:hAnsi="宋体" w:eastAsia="宋体" w:cs="宋体"/>
                <w:i w:val="0"/>
                <w:color w:val="auto"/>
                <w:kern w:val="0"/>
                <w:sz w:val="21"/>
                <w:szCs w:val="21"/>
                <w:u w:val="none"/>
                <w:lang w:val="en-US" w:eastAsia="zh-CN" w:bidi="ar"/>
              </w:rPr>
              <w:t>0.334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SS</w:t>
            </w:r>
          </w:p>
        </w:tc>
        <w:tc>
          <w:tcPr>
            <w:tcW w:w="2130"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p>
        </w:tc>
        <w:tc>
          <w:tcPr>
            <w:tcW w:w="2131"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800</w:t>
            </w:r>
          </w:p>
        </w:tc>
        <w:tc>
          <w:tcPr>
            <w:tcW w:w="2131" w:type="dxa"/>
            <w:tcBorders>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ascii="宋体" w:hAnsi="宋体" w:eastAsia="宋体" w:cs="宋体"/>
                <w:i w:val="0"/>
                <w:color w:val="auto"/>
                <w:kern w:val="0"/>
                <w:sz w:val="21"/>
                <w:szCs w:val="21"/>
                <w:u w:val="none"/>
                <w:lang w:val="en-US" w:eastAsia="zh-CN" w:bidi="ar"/>
              </w:rPr>
              <w:t>0.267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NH</w:t>
            </w:r>
            <w:r>
              <w:rPr>
                <w:rFonts w:hint="eastAsia" w:cs="Times New Roman"/>
                <w:color w:val="auto"/>
                <w:kern w:val="0"/>
                <w:sz w:val="21"/>
                <w:szCs w:val="21"/>
                <w:vertAlign w:val="subscript"/>
                <w:lang w:val="en-US" w:eastAsia="zh-CN" w:bidi="ar-SA"/>
              </w:rPr>
              <w:t>3</w:t>
            </w:r>
            <w:r>
              <w:rPr>
                <w:rFonts w:hint="eastAsia" w:cs="Times New Roman"/>
                <w:color w:val="auto"/>
                <w:kern w:val="0"/>
                <w:sz w:val="21"/>
                <w:szCs w:val="21"/>
                <w:vertAlign w:val="baseline"/>
                <w:lang w:val="en-US" w:eastAsia="zh-CN" w:bidi="ar-SA"/>
              </w:rPr>
              <w:t>-N</w:t>
            </w:r>
          </w:p>
        </w:tc>
        <w:tc>
          <w:tcPr>
            <w:tcW w:w="2130"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p>
        </w:tc>
        <w:tc>
          <w:tcPr>
            <w:tcW w:w="2131"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261</w:t>
            </w:r>
          </w:p>
        </w:tc>
        <w:tc>
          <w:tcPr>
            <w:tcW w:w="2131" w:type="dxa"/>
            <w:tcBorders>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ascii="宋体" w:hAnsi="宋体" w:eastAsia="宋体" w:cs="宋体"/>
                <w:i w:val="0"/>
                <w:color w:val="auto"/>
                <w:kern w:val="0"/>
                <w:sz w:val="21"/>
                <w:szCs w:val="21"/>
                <w:u w:val="none"/>
                <w:lang w:val="en-US" w:eastAsia="zh-CN" w:bidi="ar"/>
              </w:rPr>
              <w:t>0.087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总氮</w:t>
            </w:r>
          </w:p>
        </w:tc>
        <w:tc>
          <w:tcPr>
            <w:tcW w:w="2130"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p>
        </w:tc>
        <w:tc>
          <w:tcPr>
            <w:tcW w:w="2131"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370</w:t>
            </w:r>
          </w:p>
        </w:tc>
        <w:tc>
          <w:tcPr>
            <w:tcW w:w="2131" w:type="dxa"/>
            <w:tcBorders>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ascii="宋体" w:hAnsi="宋体" w:eastAsia="宋体" w:cs="宋体"/>
                <w:i w:val="0"/>
                <w:color w:val="auto"/>
                <w:kern w:val="0"/>
                <w:sz w:val="21"/>
                <w:szCs w:val="21"/>
                <w:u w:val="none"/>
                <w:lang w:val="en-US" w:eastAsia="zh-CN" w:bidi="ar"/>
              </w:rPr>
              <w:t>0.123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130" w:type="dxa"/>
            <w:tcBorders>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TP</w:t>
            </w:r>
          </w:p>
        </w:tc>
        <w:tc>
          <w:tcPr>
            <w:tcW w:w="2130" w:type="dxa"/>
            <w:vMerge w:val="continue"/>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p>
        </w:tc>
        <w:tc>
          <w:tcPr>
            <w:tcW w:w="2131" w:type="dxa"/>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43.5</w:t>
            </w:r>
          </w:p>
        </w:tc>
        <w:tc>
          <w:tcPr>
            <w:tcW w:w="2131" w:type="dxa"/>
            <w:tcBorders>
              <w:bottom w:val="single" w:color="auto" w:sz="12" w:space="0"/>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ascii="宋体" w:hAnsi="宋体" w:eastAsia="宋体" w:cs="宋体"/>
                <w:i w:val="0"/>
                <w:color w:val="auto"/>
                <w:kern w:val="0"/>
                <w:sz w:val="21"/>
                <w:szCs w:val="21"/>
                <w:u w:val="none"/>
                <w:lang w:val="en-US" w:eastAsia="zh-CN" w:bidi="ar"/>
              </w:rPr>
              <w:t>0.015</w:t>
            </w:r>
          </w:p>
        </w:tc>
      </w:tr>
    </w:tbl>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1" w:firstLineChars="200"/>
        <w:jc w:val="left"/>
        <w:textAlignment w:val="auto"/>
        <w:rPr>
          <w:rFonts w:hint="default" w:ascii="Times New Roman" w:hAnsi="Times New Roman" w:eastAsia="宋体" w:cs="Times New Roman"/>
          <w:b/>
          <w:bCs/>
          <w:kern w:val="0"/>
          <w:sz w:val="24"/>
          <w:szCs w:val="24"/>
          <w:lang w:val="en-US" w:eastAsia="zh-CN" w:bidi="ar-SA"/>
        </w:rPr>
      </w:pPr>
      <w:r>
        <w:rPr>
          <w:rFonts w:hint="eastAsia" w:cs="Times New Roman"/>
          <w:b/>
          <w:bCs/>
          <w:kern w:val="0"/>
          <w:sz w:val="24"/>
          <w:szCs w:val="24"/>
          <w:lang w:val="en-US" w:eastAsia="zh-CN" w:bidi="ar-SA"/>
        </w:rPr>
        <w:t>（2）夏季水帘降温用水</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夏季水帘降温总</w:t>
      </w:r>
      <w:r>
        <w:rPr>
          <w:rFonts w:hint="eastAsia" w:cs="Times New Roman"/>
          <w:kern w:val="0"/>
          <w:sz w:val="24"/>
          <w:szCs w:val="24"/>
          <w:lang w:val="en-US" w:eastAsia="zh-CN" w:bidi="ar-SA"/>
        </w:rPr>
        <w:t>新鲜</w:t>
      </w:r>
      <w:r>
        <w:rPr>
          <w:rFonts w:hint="default" w:ascii="Times New Roman" w:hAnsi="Times New Roman" w:eastAsia="宋体" w:cs="Times New Roman"/>
          <w:kern w:val="0"/>
          <w:sz w:val="24"/>
          <w:szCs w:val="24"/>
          <w:lang w:val="en-US" w:eastAsia="zh-CN" w:bidi="ar-SA"/>
        </w:rPr>
        <w:t>用水量为506m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 xml:space="preserve">/a。降温用水循环使用，不外排。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1" w:firstLineChars="200"/>
        <w:jc w:val="left"/>
        <w:textAlignment w:val="auto"/>
        <w:rPr>
          <w:rFonts w:hint="default" w:ascii="Times New Roman" w:hAnsi="Times New Roman" w:eastAsia="宋体" w:cs="Times New Roman"/>
          <w:b/>
          <w:bCs/>
          <w:kern w:val="0"/>
          <w:sz w:val="24"/>
          <w:szCs w:val="24"/>
          <w:lang w:val="en-US" w:eastAsia="zh-CN" w:bidi="ar-SA"/>
        </w:rPr>
      </w:pPr>
      <w:r>
        <w:rPr>
          <w:rFonts w:hint="eastAsia" w:cs="Times New Roman"/>
          <w:b/>
          <w:bCs/>
          <w:kern w:val="0"/>
          <w:sz w:val="24"/>
          <w:szCs w:val="24"/>
          <w:lang w:val="en-US" w:eastAsia="zh-CN" w:bidi="ar-SA"/>
        </w:rPr>
        <w:t>（3）消毒用水</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项目消毒用水量为</w:t>
      </w:r>
      <w:r>
        <w:rPr>
          <w:rFonts w:hint="eastAsia" w:cs="Times New Roman"/>
          <w:kern w:val="0"/>
          <w:sz w:val="24"/>
          <w:szCs w:val="24"/>
          <w:lang w:val="en-US" w:eastAsia="zh-CN" w:bidi="ar-SA"/>
        </w:rPr>
        <w:t>5</w:t>
      </w:r>
      <w:r>
        <w:rPr>
          <w:rFonts w:hint="default" w:ascii="Times New Roman" w:hAnsi="Times New Roman" w:eastAsia="宋体" w:cs="Times New Roman"/>
          <w:kern w:val="0"/>
          <w:sz w:val="24"/>
          <w:szCs w:val="24"/>
          <w:lang w:val="en-US" w:eastAsia="zh-CN" w:bidi="ar-SA"/>
        </w:rPr>
        <w:t>00m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 xml:space="preserve">/a。消毒用水全部挥发损耗，不外排。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1" w:firstLineChars="200"/>
        <w:jc w:val="left"/>
        <w:textAlignment w:val="auto"/>
        <w:rPr>
          <w:rFonts w:hint="default" w:ascii="Times New Roman" w:hAnsi="Times New Roman" w:eastAsia="宋体" w:cs="Times New Roman"/>
          <w:b/>
          <w:bCs/>
          <w:kern w:val="0"/>
          <w:sz w:val="24"/>
          <w:szCs w:val="24"/>
          <w:lang w:val="en-US" w:eastAsia="zh-CN" w:bidi="ar-SA"/>
        </w:rPr>
      </w:pPr>
      <w:r>
        <w:rPr>
          <w:rFonts w:hint="eastAsia" w:cs="Times New Roman"/>
          <w:b/>
          <w:bCs/>
          <w:kern w:val="0"/>
          <w:sz w:val="24"/>
          <w:szCs w:val="24"/>
          <w:lang w:val="en-US" w:eastAsia="zh-CN" w:bidi="ar-SA"/>
        </w:rPr>
        <w:t>（4）车辆冲洗废水</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车辆清洁用水为4m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/d，即1460m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/a。车辆清洁水每天更换一次，其废水产生量按用水量的80%计，则车辆清洁废水产生量为3.2m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/d，即1168m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 xml:space="preserve">/a。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1" w:firstLineChars="200"/>
        <w:jc w:val="left"/>
        <w:textAlignment w:val="auto"/>
        <w:rPr>
          <w:rFonts w:hint="default" w:ascii="Times New Roman" w:hAnsi="Times New Roman" w:eastAsia="宋体" w:cs="Times New Roman"/>
          <w:b/>
          <w:bCs/>
          <w:kern w:val="0"/>
          <w:sz w:val="24"/>
          <w:szCs w:val="24"/>
          <w:lang w:val="en-US" w:eastAsia="zh-CN" w:bidi="ar-SA"/>
        </w:rPr>
      </w:pPr>
      <w:r>
        <w:rPr>
          <w:rFonts w:hint="eastAsia" w:cs="Times New Roman"/>
          <w:b/>
          <w:bCs/>
          <w:kern w:val="0"/>
          <w:sz w:val="24"/>
          <w:szCs w:val="24"/>
          <w:lang w:val="en-US" w:eastAsia="zh-CN" w:bidi="ar-SA"/>
        </w:rPr>
        <w:t>（5）生活污水</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项目职工生活用水量为</w:t>
      </w:r>
      <w:r>
        <w:rPr>
          <w:rFonts w:hint="eastAsia" w:cs="Times New Roman"/>
          <w:kern w:val="0"/>
          <w:sz w:val="24"/>
          <w:szCs w:val="24"/>
          <w:lang w:val="en-US" w:eastAsia="zh-CN" w:bidi="ar-SA"/>
        </w:rPr>
        <w:t>6</w:t>
      </w:r>
      <w:r>
        <w:rPr>
          <w:rFonts w:hint="default" w:ascii="Times New Roman" w:hAnsi="Times New Roman" w:eastAsia="宋体" w:cs="Times New Roman"/>
          <w:kern w:val="0"/>
          <w:sz w:val="24"/>
          <w:szCs w:val="24"/>
          <w:lang w:val="en-US" w:eastAsia="zh-CN" w:bidi="ar-SA"/>
        </w:rPr>
        <w:t>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/d、</w:t>
      </w:r>
      <w:r>
        <w:rPr>
          <w:rFonts w:hint="eastAsia" w:cs="Times New Roman"/>
          <w:kern w:val="0"/>
          <w:sz w:val="24"/>
          <w:szCs w:val="24"/>
          <w:lang w:val="en-US" w:eastAsia="zh-CN" w:bidi="ar-SA"/>
        </w:rPr>
        <w:t>2190</w:t>
      </w:r>
      <w:r>
        <w:rPr>
          <w:rFonts w:hint="default" w:ascii="Times New Roman" w:hAnsi="Times New Roman" w:eastAsia="宋体" w:cs="Times New Roman"/>
          <w:kern w:val="0"/>
          <w:sz w:val="24"/>
          <w:szCs w:val="24"/>
          <w:lang w:val="en-US" w:eastAsia="zh-CN" w:bidi="ar-SA"/>
        </w:rPr>
        <w:t>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/a，排放系数按0.8计，则生活污水排放量为</w:t>
      </w:r>
      <w:r>
        <w:rPr>
          <w:rFonts w:hint="eastAsia" w:cs="Times New Roman"/>
          <w:kern w:val="0"/>
          <w:sz w:val="24"/>
          <w:szCs w:val="24"/>
          <w:lang w:val="en-US" w:eastAsia="zh-CN" w:bidi="ar-SA"/>
        </w:rPr>
        <w:t>4.8</w:t>
      </w:r>
      <w:r>
        <w:rPr>
          <w:rFonts w:hint="default" w:ascii="Times New Roman" w:hAnsi="Times New Roman" w:eastAsia="宋体" w:cs="Times New Roman"/>
          <w:kern w:val="0"/>
          <w:sz w:val="24"/>
          <w:szCs w:val="24"/>
          <w:lang w:val="en-US" w:eastAsia="zh-CN" w:bidi="ar-SA"/>
        </w:rPr>
        <w:t>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/d、</w:t>
      </w:r>
      <w:r>
        <w:rPr>
          <w:rFonts w:hint="eastAsia" w:cs="Times New Roman"/>
          <w:kern w:val="0"/>
          <w:sz w:val="24"/>
          <w:szCs w:val="24"/>
          <w:lang w:val="en-US" w:eastAsia="zh-CN" w:bidi="ar-SA"/>
        </w:rPr>
        <w:t>1752</w:t>
      </w:r>
      <w:r>
        <w:rPr>
          <w:rFonts w:hint="default" w:ascii="Times New Roman" w:hAnsi="Times New Roman" w:eastAsia="宋体" w:cs="Times New Roman"/>
          <w:kern w:val="0"/>
          <w:sz w:val="24"/>
          <w:szCs w:val="24"/>
          <w:lang w:val="en-US" w:eastAsia="zh-CN" w:bidi="ar-SA"/>
        </w:rPr>
        <w:t>m</w:t>
      </w:r>
      <w:r>
        <w:rPr>
          <w:rFonts w:hint="default" w:ascii="Times New Roman" w:hAnsi="Times New Roman" w:eastAsia="宋体" w:cs="Times New Roman"/>
          <w:kern w:val="0"/>
          <w:sz w:val="24"/>
          <w:szCs w:val="24"/>
          <w:vertAlign w:val="superscript"/>
          <w:lang w:val="en-US" w:eastAsia="zh-CN" w:bidi="ar-SA"/>
        </w:rPr>
        <w:t>3</w:t>
      </w:r>
      <w:r>
        <w:rPr>
          <w:rFonts w:hint="default" w:ascii="Times New Roman" w:hAnsi="Times New Roman" w:eastAsia="宋体" w:cs="Times New Roman"/>
          <w:kern w:val="0"/>
          <w:sz w:val="24"/>
          <w:szCs w:val="24"/>
          <w:lang w:val="en-US" w:eastAsia="zh-CN" w:bidi="ar-SA"/>
        </w:rPr>
        <w:t>/a。生活污水</w:t>
      </w:r>
      <w:r>
        <w:rPr>
          <w:rFonts w:hint="eastAsia" w:cs="Times New Roman"/>
          <w:kern w:val="0"/>
          <w:sz w:val="24"/>
          <w:szCs w:val="24"/>
          <w:lang w:val="en-US" w:eastAsia="zh-CN" w:bidi="ar-SA"/>
        </w:rPr>
        <w:t>排入</w:t>
      </w:r>
      <w:r>
        <w:rPr>
          <w:rFonts w:hint="default" w:ascii="Times New Roman" w:hAnsi="Times New Roman" w:eastAsia="宋体" w:cs="Times New Roman"/>
          <w:kern w:val="0"/>
          <w:sz w:val="24"/>
          <w:szCs w:val="24"/>
          <w:lang w:val="en-US" w:eastAsia="zh-CN" w:bidi="ar-SA"/>
        </w:rPr>
        <w:t>地埋式一体化污水处理设施处理。</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1" w:firstLineChars="200"/>
        <w:jc w:val="left"/>
        <w:textAlignment w:val="auto"/>
        <w:rPr>
          <w:rFonts w:hint="default" w:ascii="Times New Roman" w:hAnsi="Times New Roman" w:eastAsia="宋体" w:cs="Times New Roman"/>
          <w:b/>
          <w:bCs/>
          <w:color w:val="auto"/>
          <w:kern w:val="0"/>
          <w:sz w:val="24"/>
          <w:szCs w:val="24"/>
          <w:lang w:val="en-US" w:eastAsia="zh-CN" w:bidi="ar-SA"/>
        </w:rPr>
      </w:pPr>
      <w:r>
        <w:rPr>
          <w:rFonts w:hint="eastAsia" w:cs="Times New Roman"/>
          <w:b/>
          <w:bCs/>
          <w:color w:val="auto"/>
          <w:kern w:val="0"/>
          <w:sz w:val="24"/>
          <w:szCs w:val="24"/>
          <w:lang w:val="en-US" w:eastAsia="zh-CN" w:bidi="ar-SA"/>
        </w:rPr>
        <w:t>（6）</w:t>
      </w:r>
      <w:r>
        <w:rPr>
          <w:rFonts w:hint="default" w:ascii="Times New Roman" w:hAnsi="Times New Roman" w:eastAsia="宋体" w:cs="Times New Roman"/>
          <w:b/>
          <w:bCs/>
          <w:color w:val="auto"/>
          <w:kern w:val="0"/>
          <w:sz w:val="24"/>
          <w:szCs w:val="24"/>
          <w:lang w:val="en-US" w:eastAsia="zh-CN" w:bidi="ar-SA"/>
        </w:rPr>
        <w:t>绿化及道路浇洒用水</w:t>
      </w:r>
    </w:p>
    <w:p>
      <w:pPr>
        <w:adjustRightInd w:val="0"/>
        <w:snapToGrid w:val="0"/>
        <w:spacing w:line="500" w:lineRule="exact"/>
        <w:ind w:firstLine="480" w:firstLineChars="200"/>
        <w:rPr>
          <w:rFonts w:hint="eastAsia" w:hAnsi="宋体"/>
          <w:color w:val="auto"/>
          <w:sz w:val="24"/>
        </w:rPr>
      </w:pPr>
      <w:r>
        <w:rPr>
          <w:rFonts w:hint="eastAsia" w:hAnsi="宋体"/>
          <w:sz w:val="24"/>
        </w:rPr>
        <w:t>项目绿化面积为</w:t>
      </w:r>
      <w:r>
        <w:rPr>
          <w:rFonts w:hint="eastAsia" w:hAnsi="宋体"/>
          <w:sz w:val="24"/>
          <w:lang w:val="en-US" w:eastAsia="zh-CN"/>
        </w:rPr>
        <w:t>54000</w:t>
      </w:r>
      <w:r>
        <w:rPr>
          <w:rFonts w:hint="eastAsia" w:hAnsi="宋体"/>
          <w:sz w:val="24"/>
        </w:rPr>
        <w:t>m</w:t>
      </w:r>
      <w:r>
        <w:rPr>
          <w:rFonts w:hint="eastAsia" w:hAnsi="宋体"/>
          <w:sz w:val="24"/>
          <w:vertAlign w:val="superscript"/>
        </w:rPr>
        <w:t>2</w:t>
      </w:r>
      <w:r>
        <w:rPr>
          <w:rFonts w:hint="eastAsia" w:hAnsi="宋体"/>
          <w:sz w:val="24"/>
        </w:rPr>
        <w:t>，根据《广东省用水定额》</w:t>
      </w:r>
      <w:r>
        <w:rPr>
          <w:rFonts w:hint="eastAsia" w:hAnsi="宋体"/>
          <w:sz w:val="24"/>
          <w:lang w:eastAsia="zh-CN"/>
        </w:rPr>
        <w:t>（DB44/T 1461—2014）</w:t>
      </w:r>
      <w:r>
        <w:rPr>
          <w:rFonts w:hint="eastAsia" w:hAnsi="宋体"/>
          <w:sz w:val="24"/>
        </w:rPr>
        <w:t>，绿化浇洒用水定额取0.00</w:t>
      </w:r>
      <w:r>
        <w:rPr>
          <w:rFonts w:hint="eastAsia" w:hAnsi="宋体"/>
          <w:sz w:val="24"/>
          <w:lang w:val="en-US" w:eastAsia="zh-CN"/>
        </w:rPr>
        <w:t>11</w:t>
      </w:r>
      <w:r>
        <w:rPr>
          <w:rFonts w:hint="eastAsia" w:hAnsi="宋体"/>
          <w:sz w:val="24"/>
        </w:rPr>
        <w:t>m</w:t>
      </w:r>
      <w:r>
        <w:rPr>
          <w:rFonts w:hint="eastAsia" w:hAnsi="宋体"/>
          <w:sz w:val="24"/>
          <w:vertAlign w:val="superscript"/>
        </w:rPr>
        <w:t>3</w:t>
      </w:r>
      <w:r>
        <w:rPr>
          <w:rFonts w:hint="eastAsia" w:hAnsi="宋体"/>
          <w:sz w:val="24"/>
        </w:rPr>
        <w:t>/m</w:t>
      </w:r>
      <w:r>
        <w:rPr>
          <w:rFonts w:hint="eastAsia" w:hAnsi="宋体"/>
          <w:sz w:val="24"/>
          <w:vertAlign w:val="superscript"/>
        </w:rPr>
        <w:t>2</w:t>
      </w:r>
      <w:r>
        <w:rPr>
          <w:rFonts w:hint="eastAsia" w:hAnsi="宋体"/>
          <w:sz w:val="24"/>
        </w:rPr>
        <w:t>·d，项目绿化天数为</w:t>
      </w:r>
      <w:r>
        <w:rPr>
          <w:rFonts w:hint="eastAsia" w:hAnsi="宋体"/>
          <w:sz w:val="24"/>
          <w:lang w:val="en-US" w:eastAsia="zh-CN"/>
        </w:rPr>
        <w:t>10</w:t>
      </w:r>
      <w:r>
        <w:rPr>
          <w:rFonts w:hint="eastAsia" w:hAnsi="宋体"/>
          <w:sz w:val="24"/>
        </w:rPr>
        <w:t>0d/a，则项目绿化用水为</w:t>
      </w:r>
      <w:r>
        <w:rPr>
          <w:rFonts w:hint="eastAsia" w:hAnsi="宋体"/>
          <w:sz w:val="24"/>
          <w:lang w:val="en-US" w:eastAsia="zh-CN"/>
        </w:rPr>
        <w:t>5940</w:t>
      </w:r>
      <w:r>
        <w:rPr>
          <w:rFonts w:hint="eastAsia" w:hAnsi="宋体"/>
          <w:sz w:val="24"/>
        </w:rPr>
        <w:t>m</w:t>
      </w:r>
      <w:r>
        <w:rPr>
          <w:rFonts w:hint="eastAsia" w:hAnsi="宋体"/>
          <w:sz w:val="24"/>
          <w:vertAlign w:val="superscript"/>
        </w:rPr>
        <w:t>3</w:t>
      </w:r>
      <w:r>
        <w:rPr>
          <w:rFonts w:hint="eastAsia" w:hAnsi="宋体"/>
          <w:sz w:val="24"/>
        </w:rPr>
        <w:t>/a，全部蒸发，无外排</w:t>
      </w:r>
      <w:r>
        <w:rPr>
          <w:rFonts w:hint="eastAsia" w:hAnsi="宋体"/>
          <w:color w:val="auto"/>
          <w:sz w:val="24"/>
        </w:rPr>
        <w:t>。</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1" w:firstLineChars="200"/>
        <w:jc w:val="left"/>
        <w:textAlignment w:val="auto"/>
        <w:rPr>
          <w:rFonts w:hint="default" w:ascii="Times New Roman" w:hAnsi="Times New Roman" w:eastAsia="宋体" w:cs="Times New Roman"/>
          <w:b/>
          <w:bCs/>
          <w:kern w:val="0"/>
          <w:sz w:val="24"/>
          <w:szCs w:val="24"/>
          <w:lang w:val="en-US" w:eastAsia="zh-CN" w:bidi="ar-SA"/>
        </w:rPr>
      </w:pPr>
      <w:r>
        <w:rPr>
          <w:rFonts w:hint="eastAsia" w:cs="Times New Roman"/>
          <w:b/>
          <w:bCs/>
          <w:kern w:val="0"/>
          <w:sz w:val="24"/>
          <w:szCs w:val="24"/>
          <w:lang w:val="en-US" w:eastAsia="zh-CN" w:bidi="ar-SA"/>
        </w:rPr>
        <w:t>（7）小计</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eastAsia" w:cs="Times New Roman"/>
          <w:kern w:val="0"/>
          <w:sz w:val="24"/>
          <w:szCs w:val="24"/>
          <w:lang w:val="en-US" w:eastAsia="zh-CN" w:bidi="ar-SA"/>
        </w:rPr>
        <w:t>本项目废水主要源于生产废水（猪粪尿污水和冲洗废水等）和员工生活污水。综合上述水污染源分析，得到本项目的废水及污染物总产生量，见表3.3-8</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bCs/>
          <w:kern w:val="0"/>
          <w:sz w:val="21"/>
          <w:szCs w:val="21"/>
          <w:lang w:val="en-US" w:eastAsia="zh-CN" w:bidi="ar-SA"/>
        </w:rPr>
      </w:pPr>
      <w:r>
        <w:rPr>
          <w:rFonts w:hint="default" w:ascii="Times New Roman" w:hAnsi="Times New Roman" w:eastAsia="宋体" w:cs="Times New Roman"/>
          <w:b/>
          <w:bCs/>
          <w:kern w:val="0"/>
          <w:sz w:val="21"/>
          <w:szCs w:val="21"/>
          <w:lang w:val="en-US" w:eastAsia="zh-CN" w:bidi="ar-SA"/>
        </w:rPr>
        <w:t>表3.</w:t>
      </w:r>
      <w:r>
        <w:rPr>
          <w:rFonts w:hint="eastAsia" w:cs="Times New Roman"/>
          <w:b/>
          <w:bCs/>
          <w:kern w:val="0"/>
          <w:sz w:val="21"/>
          <w:szCs w:val="21"/>
          <w:lang w:val="en-US" w:eastAsia="zh-CN" w:bidi="ar-SA"/>
        </w:rPr>
        <w:t>3</w:t>
      </w:r>
      <w:r>
        <w:rPr>
          <w:rFonts w:hint="default" w:ascii="Times New Roman" w:hAnsi="Times New Roman" w:eastAsia="宋体" w:cs="Times New Roman"/>
          <w:b/>
          <w:bCs/>
          <w:kern w:val="0"/>
          <w:sz w:val="21"/>
          <w:szCs w:val="21"/>
          <w:lang w:val="en-US" w:eastAsia="zh-CN" w:bidi="ar-SA"/>
        </w:rPr>
        <w:t>-</w:t>
      </w:r>
      <w:r>
        <w:rPr>
          <w:rFonts w:hint="eastAsia" w:cs="Times New Roman"/>
          <w:b/>
          <w:bCs/>
          <w:kern w:val="0"/>
          <w:sz w:val="21"/>
          <w:szCs w:val="21"/>
          <w:lang w:val="en-US" w:eastAsia="zh-CN" w:bidi="ar-SA"/>
        </w:rPr>
        <w:t>8</w:t>
      </w:r>
      <w:r>
        <w:rPr>
          <w:rFonts w:hint="default" w:ascii="Times New Roman" w:hAnsi="Times New Roman" w:eastAsia="宋体" w:cs="Times New Roman"/>
          <w:b/>
          <w:bCs/>
          <w:kern w:val="0"/>
          <w:sz w:val="21"/>
          <w:szCs w:val="21"/>
          <w:lang w:val="en-US" w:eastAsia="zh-CN" w:bidi="ar-SA"/>
        </w:rPr>
        <w:t xml:space="preserve">   本项目废水及污染物产排情况一览表</w:t>
      </w:r>
    </w:p>
    <w:tbl>
      <w:tblPr>
        <w:tblStyle w:val="64"/>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756"/>
        <w:gridCol w:w="1731"/>
        <w:gridCol w:w="1072"/>
        <w:gridCol w:w="987"/>
        <w:gridCol w:w="1028"/>
        <w:gridCol w:w="1112"/>
        <w:gridCol w:w="83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487" w:type="dxa"/>
            <w:gridSpan w:val="2"/>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p>
        </w:tc>
        <w:tc>
          <w:tcPr>
            <w:tcW w:w="1072" w:type="dxa"/>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COD</w:t>
            </w:r>
          </w:p>
        </w:tc>
        <w:tc>
          <w:tcPr>
            <w:tcW w:w="987" w:type="dxa"/>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BOD</w:t>
            </w:r>
            <w:r>
              <w:rPr>
                <w:rFonts w:hint="eastAsia" w:ascii="Times New Roman" w:hAnsi="Times New Roman" w:cs="Times New Roman"/>
                <w:color w:val="auto"/>
                <w:kern w:val="0"/>
                <w:sz w:val="21"/>
                <w:szCs w:val="21"/>
                <w:vertAlign w:val="subscript"/>
                <w:lang w:val="en-US" w:eastAsia="zh-CN" w:bidi="ar-SA"/>
              </w:rPr>
              <w:t>5</w:t>
            </w:r>
          </w:p>
        </w:tc>
        <w:tc>
          <w:tcPr>
            <w:tcW w:w="1028" w:type="dxa"/>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SS</w:t>
            </w:r>
          </w:p>
        </w:tc>
        <w:tc>
          <w:tcPr>
            <w:tcW w:w="1112" w:type="dxa"/>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NH</w:t>
            </w:r>
            <w:r>
              <w:rPr>
                <w:rFonts w:hint="eastAsia" w:ascii="Times New Roman" w:hAnsi="Times New Roman" w:cs="Times New Roman"/>
                <w:color w:val="auto"/>
                <w:kern w:val="0"/>
                <w:sz w:val="21"/>
                <w:szCs w:val="21"/>
                <w:vertAlign w:val="subscript"/>
                <w:lang w:val="en-US" w:eastAsia="zh-CN" w:bidi="ar-SA"/>
              </w:rPr>
              <w:t>3</w:t>
            </w:r>
            <w:r>
              <w:rPr>
                <w:rFonts w:hint="eastAsia" w:ascii="Times New Roman" w:hAnsi="Times New Roman" w:cs="Times New Roman"/>
                <w:color w:val="auto"/>
                <w:kern w:val="0"/>
                <w:sz w:val="21"/>
                <w:szCs w:val="21"/>
                <w:vertAlign w:val="baseline"/>
                <w:lang w:val="en-US" w:eastAsia="zh-CN" w:bidi="ar-SA"/>
              </w:rPr>
              <w:t>-N</w:t>
            </w:r>
          </w:p>
        </w:tc>
        <w:tc>
          <w:tcPr>
            <w:tcW w:w="836" w:type="dxa"/>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TP</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756" w:type="dxa"/>
            <w:vMerge w:val="restart"/>
            <w:tcBorders>
              <w:top w:val="single" w:color="auto" w:sz="12" w:space="0"/>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生活污水</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（1752m</w:t>
            </w:r>
            <w:r>
              <w:rPr>
                <w:rFonts w:hint="eastAsia" w:ascii="Times New Roman" w:hAnsi="Times New Roman" w:cs="Times New Roman"/>
                <w:color w:val="auto"/>
                <w:kern w:val="0"/>
                <w:sz w:val="21"/>
                <w:szCs w:val="21"/>
                <w:vertAlign w:val="superscript"/>
                <w:lang w:val="en-US" w:eastAsia="zh-CN" w:bidi="ar-SA"/>
              </w:rPr>
              <w:t>3</w:t>
            </w:r>
            <w:r>
              <w:rPr>
                <w:rFonts w:hint="eastAsia" w:ascii="Times New Roman" w:hAnsi="Times New Roman" w:cs="Times New Roman"/>
                <w:color w:val="auto"/>
                <w:kern w:val="0"/>
                <w:sz w:val="21"/>
                <w:szCs w:val="21"/>
                <w:vertAlign w:val="baseline"/>
                <w:lang w:val="en-US" w:eastAsia="zh-CN" w:bidi="ar-SA"/>
              </w:rPr>
              <w:t>/a）</w:t>
            </w:r>
          </w:p>
        </w:tc>
        <w:tc>
          <w:tcPr>
            <w:tcW w:w="1731" w:type="dxa"/>
            <w:tcBorders>
              <w:top w:val="single" w:color="auto" w:sz="12" w:space="0"/>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产生浓度（mg/L）</w:t>
            </w:r>
          </w:p>
        </w:tc>
        <w:tc>
          <w:tcPr>
            <w:tcW w:w="1072" w:type="dxa"/>
            <w:tcBorders>
              <w:top w:val="single" w:color="auto" w:sz="12" w:space="0"/>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350</w:t>
            </w:r>
          </w:p>
        </w:tc>
        <w:tc>
          <w:tcPr>
            <w:tcW w:w="987" w:type="dxa"/>
            <w:tcBorders>
              <w:top w:val="single" w:color="auto" w:sz="12" w:space="0"/>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250</w:t>
            </w:r>
          </w:p>
        </w:tc>
        <w:tc>
          <w:tcPr>
            <w:tcW w:w="1028" w:type="dxa"/>
            <w:tcBorders>
              <w:top w:val="single" w:color="auto" w:sz="12" w:space="0"/>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250</w:t>
            </w:r>
          </w:p>
        </w:tc>
        <w:tc>
          <w:tcPr>
            <w:tcW w:w="1112" w:type="dxa"/>
            <w:tcBorders>
              <w:top w:val="single" w:color="auto" w:sz="12" w:space="0"/>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30</w:t>
            </w:r>
          </w:p>
        </w:tc>
        <w:tc>
          <w:tcPr>
            <w:tcW w:w="836" w:type="dxa"/>
            <w:tcBorders>
              <w:top w:val="single" w:color="auto" w:sz="12" w:space="0"/>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756" w:type="dxa"/>
            <w:vMerge w:val="continue"/>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p>
        </w:tc>
        <w:tc>
          <w:tcPr>
            <w:tcW w:w="1731" w:type="dxa"/>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产生量（t/a）</w:t>
            </w:r>
          </w:p>
        </w:tc>
        <w:tc>
          <w:tcPr>
            <w:tcW w:w="1072"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0.613</w:t>
            </w:r>
          </w:p>
        </w:tc>
        <w:tc>
          <w:tcPr>
            <w:tcW w:w="987"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0.438</w:t>
            </w:r>
          </w:p>
        </w:tc>
        <w:tc>
          <w:tcPr>
            <w:tcW w:w="1028"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0.438</w:t>
            </w:r>
          </w:p>
        </w:tc>
        <w:tc>
          <w:tcPr>
            <w:tcW w:w="1112"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0.053</w:t>
            </w:r>
          </w:p>
        </w:tc>
        <w:tc>
          <w:tcPr>
            <w:tcW w:w="836"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0.014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jc w:val="center"/>
        </w:trPr>
        <w:tc>
          <w:tcPr>
            <w:tcW w:w="1756" w:type="dxa"/>
            <w:vMerge w:val="continue"/>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p>
        </w:tc>
        <w:tc>
          <w:tcPr>
            <w:tcW w:w="1731" w:type="dxa"/>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排放</w:t>
            </w:r>
            <w:r>
              <w:rPr>
                <w:rFonts w:hint="eastAsia" w:ascii="Times New Roman" w:hAnsi="Times New Roman" w:cs="Times New Roman"/>
                <w:color w:val="auto"/>
                <w:kern w:val="0"/>
                <w:sz w:val="21"/>
                <w:szCs w:val="21"/>
                <w:vertAlign w:val="baseline"/>
                <w:lang w:val="en-US" w:eastAsia="zh-CN" w:bidi="ar-SA"/>
              </w:rPr>
              <w:t>浓度（mg/L）</w:t>
            </w:r>
          </w:p>
        </w:tc>
        <w:tc>
          <w:tcPr>
            <w:tcW w:w="1072"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90</w:t>
            </w:r>
          </w:p>
        </w:tc>
        <w:tc>
          <w:tcPr>
            <w:tcW w:w="987"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20</w:t>
            </w:r>
          </w:p>
        </w:tc>
        <w:tc>
          <w:tcPr>
            <w:tcW w:w="1028"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60</w:t>
            </w:r>
          </w:p>
        </w:tc>
        <w:tc>
          <w:tcPr>
            <w:tcW w:w="1112"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10</w:t>
            </w:r>
          </w:p>
        </w:tc>
        <w:tc>
          <w:tcPr>
            <w:tcW w:w="836"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756" w:type="dxa"/>
            <w:vMerge w:val="continue"/>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p>
        </w:tc>
        <w:tc>
          <w:tcPr>
            <w:tcW w:w="1731" w:type="dxa"/>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排放</w:t>
            </w:r>
            <w:r>
              <w:rPr>
                <w:rFonts w:hint="eastAsia" w:ascii="Times New Roman" w:hAnsi="Times New Roman" w:cs="Times New Roman"/>
                <w:color w:val="auto"/>
                <w:kern w:val="0"/>
                <w:sz w:val="21"/>
                <w:szCs w:val="21"/>
                <w:vertAlign w:val="baseline"/>
                <w:lang w:val="en-US" w:eastAsia="zh-CN" w:bidi="ar-SA"/>
              </w:rPr>
              <w:t>量（t/a）</w:t>
            </w:r>
          </w:p>
        </w:tc>
        <w:tc>
          <w:tcPr>
            <w:tcW w:w="1072"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0.158</w:t>
            </w:r>
          </w:p>
        </w:tc>
        <w:tc>
          <w:tcPr>
            <w:tcW w:w="987"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0.035</w:t>
            </w:r>
          </w:p>
        </w:tc>
        <w:tc>
          <w:tcPr>
            <w:tcW w:w="1028"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0.105</w:t>
            </w:r>
          </w:p>
        </w:tc>
        <w:tc>
          <w:tcPr>
            <w:tcW w:w="1112"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0.018</w:t>
            </w:r>
          </w:p>
        </w:tc>
        <w:tc>
          <w:tcPr>
            <w:tcW w:w="836"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ind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0.007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756" w:type="dxa"/>
            <w:vMerge w:val="restart"/>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生产废水（</w:t>
            </w:r>
            <w:r>
              <w:rPr>
                <w:rFonts w:hint="eastAsia" w:cs="Times New Roman"/>
                <w:color w:val="auto"/>
                <w:kern w:val="0"/>
                <w:sz w:val="21"/>
                <w:szCs w:val="21"/>
                <w:vertAlign w:val="baseline"/>
                <w:lang w:val="en-US" w:eastAsia="zh-CN" w:bidi="ar-SA"/>
              </w:rPr>
              <w:t>9159.47</w:t>
            </w:r>
            <w:r>
              <w:rPr>
                <w:rFonts w:hint="eastAsia" w:ascii="Times New Roman" w:hAnsi="Times New Roman" w:cs="Times New Roman"/>
                <w:color w:val="auto"/>
                <w:kern w:val="0"/>
                <w:sz w:val="21"/>
                <w:szCs w:val="21"/>
                <w:vertAlign w:val="baseline"/>
                <w:lang w:val="en-US" w:eastAsia="zh-CN" w:bidi="ar-SA"/>
              </w:rPr>
              <w:t>m</w:t>
            </w:r>
            <w:r>
              <w:rPr>
                <w:rFonts w:hint="eastAsia" w:ascii="Times New Roman" w:hAnsi="Times New Roman" w:cs="Times New Roman"/>
                <w:color w:val="auto"/>
                <w:kern w:val="0"/>
                <w:sz w:val="21"/>
                <w:szCs w:val="21"/>
                <w:vertAlign w:val="superscript"/>
                <w:lang w:val="en-US" w:eastAsia="zh-CN" w:bidi="ar-SA"/>
              </w:rPr>
              <w:t>3</w:t>
            </w:r>
            <w:r>
              <w:rPr>
                <w:rFonts w:hint="eastAsia" w:ascii="Times New Roman" w:hAnsi="Times New Roman" w:cs="Times New Roman"/>
                <w:color w:val="auto"/>
                <w:kern w:val="0"/>
                <w:sz w:val="21"/>
                <w:szCs w:val="21"/>
                <w:vertAlign w:val="baseline"/>
                <w:lang w:val="en-US" w:eastAsia="zh-CN" w:bidi="ar-SA"/>
              </w:rPr>
              <w:t>/a）</w:t>
            </w:r>
          </w:p>
        </w:tc>
        <w:tc>
          <w:tcPr>
            <w:tcW w:w="1731" w:type="dxa"/>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产生浓度（mg/L）</w:t>
            </w:r>
          </w:p>
        </w:tc>
        <w:tc>
          <w:tcPr>
            <w:tcW w:w="1072" w:type="dxa"/>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6000</w:t>
            </w:r>
          </w:p>
        </w:tc>
        <w:tc>
          <w:tcPr>
            <w:tcW w:w="987" w:type="dxa"/>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4000</w:t>
            </w:r>
          </w:p>
        </w:tc>
        <w:tc>
          <w:tcPr>
            <w:tcW w:w="1028" w:type="dxa"/>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1200</w:t>
            </w:r>
          </w:p>
        </w:tc>
        <w:tc>
          <w:tcPr>
            <w:tcW w:w="1112" w:type="dxa"/>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400</w:t>
            </w:r>
          </w:p>
        </w:tc>
        <w:tc>
          <w:tcPr>
            <w:tcW w:w="836" w:type="dxa"/>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250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756" w:type="dxa"/>
            <w:vMerge w:val="continue"/>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p>
        </w:tc>
        <w:tc>
          <w:tcPr>
            <w:tcW w:w="1731" w:type="dxa"/>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产生量（t/a）</w:t>
            </w:r>
          </w:p>
        </w:tc>
        <w:tc>
          <w:tcPr>
            <w:tcW w:w="1072"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54.957</w:t>
            </w:r>
          </w:p>
        </w:tc>
        <w:tc>
          <w:tcPr>
            <w:tcW w:w="987"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36.638</w:t>
            </w:r>
          </w:p>
        </w:tc>
        <w:tc>
          <w:tcPr>
            <w:tcW w:w="1028"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10.991</w:t>
            </w:r>
          </w:p>
        </w:tc>
        <w:tc>
          <w:tcPr>
            <w:tcW w:w="1112"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3.664</w:t>
            </w:r>
          </w:p>
        </w:tc>
        <w:tc>
          <w:tcPr>
            <w:tcW w:w="836"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2.29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8522" w:type="dxa"/>
            <w:gridSpan w:val="7"/>
            <w:tcBorders>
              <w:tl2br w:val="nil"/>
              <w:tr2bl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ascii="Times New Roman" w:hAnsi="Times New Roman"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猪场产生的生活污水经地埋式一体化生化处理达到《畜禽养殖业污染物排放标准》（DB44/613-2009）中集约化畜禽养殖业水污染物最高允许日排放浓度和《农田灌溉水质标准》（GB5084-2005）旱作水质标准严者后全部</w:t>
            </w:r>
            <w:r>
              <w:rPr>
                <w:rFonts w:hint="eastAsia" w:cs="Times New Roman"/>
                <w:color w:val="auto"/>
                <w:kern w:val="0"/>
                <w:sz w:val="21"/>
                <w:szCs w:val="21"/>
                <w:vertAlign w:val="baseline"/>
                <w:lang w:val="en-US" w:eastAsia="zh-CN" w:bidi="ar-SA"/>
              </w:rPr>
              <w:t>用于周围农田及林业灌溉</w:t>
            </w:r>
            <w:r>
              <w:rPr>
                <w:rFonts w:hint="eastAsia" w:ascii="Times New Roman" w:hAnsi="Times New Roman" w:cs="Times New Roman"/>
                <w:color w:val="auto"/>
                <w:kern w:val="0"/>
                <w:sz w:val="21"/>
                <w:szCs w:val="21"/>
                <w:vertAlign w:val="baseline"/>
                <w:lang w:val="en-US" w:eastAsia="zh-CN" w:bidi="ar-SA"/>
              </w:rPr>
              <w:t>，不外排。</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cs="Times New Roman"/>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生产废水（含猪粪）经集液池混合均匀后，喷淋至异位发酵床处理，得到有机肥料。</w:t>
            </w:r>
          </w:p>
        </w:tc>
      </w:tr>
    </w:tbl>
    <w:p>
      <w:pPr>
        <w:pStyle w:val="6"/>
      </w:pPr>
      <w:r>
        <w:rPr>
          <w:rFonts w:hint="eastAsia"/>
          <w:lang w:eastAsia="zh-CN"/>
        </w:rPr>
        <w:t>项目水平衡分析</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项目产排情况见表</w:t>
      </w:r>
      <w:r>
        <w:rPr>
          <w:rFonts w:hint="eastAsia" w:cs="Times New Roman"/>
          <w:kern w:val="0"/>
          <w:sz w:val="24"/>
          <w:szCs w:val="24"/>
          <w:lang w:val="en-US" w:eastAsia="zh-CN" w:bidi="ar-SA"/>
        </w:rPr>
        <w:t>3</w:t>
      </w:r>
      <w:r>
        <w:rPr>
          <w:rFonts w:hint="default" w:ascii="Times New Roman" w:hAnsi="Times New Roman" w:eastAsia="宋体" w:cs="Times New Roman"/>
          <w:kern w:val="0"/>
          <w:sz w:val="24"/>
          <w:szCs w:val="24"/>
          <w:lang w:val="en-US" w:eastAsia="zh-CN" w:bidi="ar-SA"/>
        </w:rPr>
        <w:t>.</w:t>
      </w:r>
      <w:r>
        <w:rPr>
          <w:rFonts w:hint="eastAsia" w:cs="Times New Roman"/>
          <w:kern w:val="0"/>
          <w:sz w:val="24"/>
          <w:szCs w:val="24"/>
          <w:lang w:val="en-US" w:eastAsia="zh-CN" w:bidi="ar-SA"/>
        </w:rPr>
        <w:t>3</w:t>
      </w:r>
      <w:r>
        <w:rPr>
          <w:rFonts w:hint="default" w:ascii="Times New Roman" w:hAnsi="Times New Roman" w:eastAsia="宋体" w:cs="Times New Roman"/>
          <w:kern w:val="0"/>
          <w:sz w:val="24"/>
          <w:szCs w:val="24"/>
          <w:lang w:val="en-US" w:eastAsia="zh-CN" w:bidi="ar-SA"/>
        </w:rPr>
        <w:t>-</w:t>
      </w:r>
      <w:r>
        <w:rPr>
          <w:rFonts w:hint="eastAsia" w:cs="Times New Roman"/>
          <w:kern w:val="0"/>
          <w:sz w:val="24"/>
          <w:szCs w:val="24"/>
          <w:lang w:val="en-US" w:eastAsia="zh-CN" w:bidi="ar-SA"/>
        </w:rPr>
        <w:t>9</w:t>
      </w:r>
      <w:r>
        <w:rPr>
          <w:rFonts w:hint="default" w:ascii="Times New Roman" w:hAnsi="Times New Roman" w:eastAsia="宋体" w:cs="Times New Roman"/>
          <w:kern w:val="0"/>
          <w:sz w:val="24"/>
          <w:szCs w:val="24"/>
          <w:lang w:val="en-US" w:eastAsia="zh-CN" w:bidi="ar-SA"/>
        </w:rPr>
        <w:t>，水平衡图见</w:t>
      </w:r>
      <w:r>
        <w:rPr>
          <w:rFonts w:hint="eastAsia" w:cs="Times New Roman"/>
          <w:kern w:val="0"/>
          <w:sz w:val="24"/>
          <w:szCs w:val="24"/>
          <w:lang w:val="en-US" w:eastAsia="zh-CN" w:bidi="ar-SA"/>
        </w:rPr>
        <w:t>3</w:t>
      </w:r>
      <w:r>
        <w:rPr>
          <w:rFonts w:hint="default" w:ascii="Times New Roman" w:hAnsi="Times New Roman" w:eastAsia="宋体" w:cs="Times New Roman"/>
          <w:kern w:val="0"/>
          <w:sz w:val="24"/>
          <w:szCs w:val="24"/>
          <w:lang w:val="en-US" w:eastAsia="zh-CN" w:bidi="ar-SA"/>
        </w:rPr>
        <w:t>.</w:t>
      </w:r>
      <w:r>
        <w:rPr>
          <w:rFonts w:hint="eastAsia" w:cs="Times New Roman"/>
          <w:kern w:val="0"/>
          <w:sz w:val="24"/>
          <w:szCs w:val="24"/>
          <w:lang w:val="en-US" w:eastAsia="zh-CN" w:bidi="ar-SA"/>
        </w:rPr>
        <w:t>3</w:t>
      </w:r>
      <w:r>
        <w:rPr>
          <w:rFonts w:hint="default" w:ascii="Times New Roman" w:hAnsi="Times New Roman" w:eastAsia="宋体" w:cs="Times New Roman"/>
          <w:kern w:val="0"/>
          <w:sz w:val="24"/>
          <w:szCs w:val="24"/>
          <w:lang w:val="en-US" w:eastAsia="zh-CN" w:bidi="ar-SA"/>
        </w:rPr>
        <w:t>-1</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b/>
          <w:bCs/>
          <w:kern w:val="0"/>
          <w:sz w:val="21"/>
          <w:szCs w:val="21"/>
          <w:lang w:val="en-US" w:eastAsia="zh-CN" w:bidi="ar-SA"/>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b/>
          <w:bCs/>
          <w:kern w:val="0"/>
          <w:sz w:val="21"/>
          <w:szCs w:val="21"/>
          <w:lang w:val="en-US" w:eastAsia="zh-CN" w:bidi="ar-SA"/>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b/>
          <w:bCs/>
          <w:kern w:val="0"/>
          <w:sz w:val="21"/>
          <w:szCs w:val="21"/>
          <w:lang w:val="en-US" w:eastAsia="zh-CN" w:bidi="ar-SA"/>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b/>
          <w:bCs/>
          <w:kern w:val="0"/>
          <w:sz w:val="21"/>
          <w:szCs w:val="21"/>
          <w:lang w:val="en-US" w:eastAsia="zh-CN" w:bidi="ar-SA"/>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bCs/>
          <w:kern w:val="0"/>
          <w:sz w:val="21"/>
          <w:szCs w:val="21"/>
          <w:lang w:val="en-US" w:eastAsia="zh-CN" w:bidi="ar-SA"/>
        </w:rPr>
      </w:pPr>
      <w:r>
        <w:rPr>
          <w:rFonts w:hint="eastAsia" w:cs="Times New Roman"/>
          <w:b/>
          <w:bCs/>
          <w:kern w:val="0"/>
          <w:sz w:val="21"/>
          <w:szCs w:val="21"/>
          <w:lang w:val="en-US" w:eastAsia="zh-CN" w:bidi="ar-SA"/>
        </w:rPr>
        <w:t>表3.3-9   项目各项用水、排水量一览表   单位：</w:t>
      </w:r>
      <w:r>
        <w:rPr>
          <w:rFonts w:hint="eastAsia" w:cs="Times New Roman"/>
          <w:kern w:val="0"/>
          <w:sz w:val="21"/>
          <w:szCs w:val="21"/>
          <w:vertAlign w:val="baseline"/>
          <w:lang w:val="en-US" w:eastAsia="zh-CN" w:bidi="ar-SA"/>
        </w:rPr>
        <w:t>m</w:t>
      </w:r>
      <w:r>
        <w:rPr>
          <w:rFonts w:hint="eastAsia" w:cs="Times New Roman"/>
          <w:kern w:val="0"/>
          <w:sz w:val="21"/>
          <w:szCs w:val="21"/>
          <w:vertAlign w:val="superscript"/>
          <w:lang w:val="en-US" w:eastAsia="zh-CN" w:bidi="ar-SA"/>
        </w:rPr>
        <w:t>3</w:t>
      </w:r>
      <w:r>
        <w:rPr>
          <w:rFonts w:hint="eastAsia" w:cs="Times New Roman"/>
          <w:kern w:val="0"/>
          <w:sz w:val="21"/>
          <w:szCs w:val="21"/>
          <w:vertAlign w:val="baseline"/>
          <w:lang w:val="en-US" w:eastAsia="zh-CN" w:bidi="ar-SA"/>
        </w:rPr>
        <w:t>/d</w:t>
      </w:r>
    </w:p>
    <w:tbl>
      <w:tblPr>
        <w:tblStyle w:val="6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0"/>
        <w:gridCol w:w="1933"/>
        <w:gridCol w:w="1108"/>
        <w:gridCol w:w="1108"/>
        <w:gridCol w:w="1004"/>
        <w:gridCol w:w="25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trPr>
        <w:tc>
          <w:tcPr>
            <w:tcW w:w="475" w:type="pct"/>
            <w:tcBorders>
              <w:top w:val="single" w:color="auto" w:sz="12" w:space="0"/>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序号</w:t>
            </w:r>
          </w:p>
        </w:tc>
        <w:tc>
          <w:tcPr>
            <w:tcW w:w="1133" w:type="pct"/>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用水环节</w:t>
            </w:r>
          </w:p>
        </w:tc>
        <w:tc>
          <w:tcPr>
            <w:tcW w:w="650" w:type="pct"/>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用水量</w:t>
            </w:r>
          </w:p>
        </w:tc>
        <w:tc>
          <w:tcPr>
            <w:tcW w:w="650" w:type="pct"/>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损耗量</w:t>
            </w:r>
          </w:p>
        </w:tc>
        <w:tc>
          <w:tcPr>
            <w:tcW w:w="589" w:type="pct"/>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排水量</w:t>
            </w:r>
          </w:p>
        </w:tc>
        <w:tc>
          <w:tcPr>
            <w:tcW w:w="1500" w:type="pct"/>
            <w:tcBorders>
              <w:top w:val="single" w:color="auto" w:sz="12" w:space="0"/>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5" w:type="pct"/>
            <w:tcBorders>
              <w:top w:val="single" w:color="auto" w:sz="12" w:space="0"/>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w:t>
            </w:r>
          </w:p>
        </w:tc>
        <w:tc>
          <w:tcPr>
            <w:tcW w:w="1133" w:type="pct"/>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猪只饮用水</w:t>
            </w:r>
          </w:p>
        </w:tc>
        <w:tc>
          <w:tcPr>
            <w:tcW w:w="650" w:type="pct"/>
            <w:tcBorders>
              <w:top w:val="single" w:color="auto" w:sz="12" w:space="0"/>
            </w:tcBorders>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lang w:val="en-US" w:eastAsia="zh-CN" w:bidi="ar-SA"/>
              </w:rPr>
              <w:t>58.71</w:t>
            </w:r>
          </w:p>
        </w:tc>
        <w:tc>
          <w:tcPr>
            <w:tcW w:w="650" w:type="pct"/>
            <w:tcBorders>
              <w:top w:val="single" w:color="auto" w:sz="12" w:space="0"/>
            </w:tcBorders>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37.73</w:t>
            </w:r>
          </w:p>
        </w:tc>
        <w:tc>
          <w:tcPr>
            <w:tcW w:w="589" w:type="pct"/>
            <w:tcBorders>
              <w:top w:val="single" w:color="auto" w:sz="12" w:space="0"/>
            </w:tcBorders>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i w:val="0"/>
                <w:color w:val="auto"/>
                <w:kern w:val="0"/>
                <w:sz w:val="21"/>
                <w:szCs w:val="21"/>
                <w:u w:val="none"/>
                <w:lang w:val="en-US" w:eastAsia="zh-CN" w:bidi="ar"/>
              </w:rPr>
              <w:t>20.98</w:t>
            </w:r>
          </w:p>
        </w:tc>
        <w:tc>
          <w:tcPr>
            <w:tcW w:w="1500" w:type="pct"/>
            <w:tcBorders>
              <w:top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进异位发酵床制有机肥</w:t>
            </w:r>
            <w:r>
              <w:rPr>
                <w:rFonts w:hint="eastAsia" w:cs="Times New Roman"/>
                <w:color w:val="auto"/>
                <w:kern w:val="0"/>
                <w:sz w:val="21"/>
                <w:szCs w:val="21"/>
                <w:vertAlign w:val="baseline"/>
                <w:lang w:val="en-US" w:eastAsia="zh-CN" w:bidi="ar-SA"/>
              </w:rPr>
              <w:t>，其中10%蒸发，90%制得有机肥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5" w:type="pc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w:t>
            </w:r>
          </w:p>
        </w:tc>
        <w:tc>
          <w:tcPr>
            <w:tcW w:w="1133"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猪舍清洗水</w:t>
            </w:r>
          </w:p>
        </w:tc>
        <w:tc>
          <w:tcPr>
            <w:tcW w:w="650" w:type="pct"/>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1.02</w:t>
            </w:r>
          </w:p>
        </w:tc>
        <w:tc>
          <w:tcPr>
            <w:tcW w:w="650" w:type="pct"/>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0.11</w:t>
            </w:r>
          </w:p>
        </w:tc>
        <w:tc>
          <w:tcPr>
            <w:tcW w:w="589" w:type="pct"/>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sz w:val="21"/>
                <w:szCs w:val="21"/>
                <w:lang w:val="en-US" w:eastAsia="zh-CN"/>
              </w:rPr>
              <w:t>0.91</w:t>
            </w:r>
          </w:p>
        </w:tc>
        <w:tc>
          <w:tcPr>
            <w:tcW w:w="1500" w:type="pct"/>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进异位发酵床制有机肥</w:t>
            </w:r>
            <w:r>
              <w:rPr>
                <w:rFonts w:hint="eastAsia" w:cs="Times New Roman"/>
                <w:color w:val="auto"/>
                <w:kern w:val="0"/>
                <w:sz w:val="21"/>
                <w:szCs w:val="21"/>
                <w:vertAlign w:val="baseline"/>
                <w:lang w:val="en-US" w:eastAsia="zh-CN" w:bidi="ar-SA"/>
              </w:rPr>
              <w:t>，其中10%蒸发，90%制得有机肥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5" w:type="pc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3</w:t>
            </w:r>
          </w:p>
        </w:tc>
        <w:tc>
          <w:tcPr>
            <w:tcW w:w="1133"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消毒用水</w:t>
            </w:r>
          </w:p>
        </w:tc>
        <w:tc>
          <w:tcPr>
            <w:tcW w:w="650" w:type="pct"/>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lang w:val="en-US" w:eastAsia="zh-CN" w:bidi="ar-SA"/>
              </w:rPr>
              <w:t>1.37</w:t>
            </w:r>
          </w:p>
        </w:tc>
        <w:tc>
          <w:tcPr>
            <w:tcW w:w="1109" w:type="dxa"/>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lang w:val="en-US" w:eastAsia="zh-CN" w:bidi="ar-SA"/>
              </w:rPr>
              <w:t>1.37</w:t>
            </w:r>
          </w:p>
        </w:tc>
        <w:tc>
          <w:tcPr>
            <w:tcW w:w="589" w:type="pct"/>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0</w:t>
            </w:r>
          </w:p>
        </w:tc>
        <w:tc>
          <w:tcPr>
            <w:tcW w:w="1500" w:type="pct"/>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全部挥发，不外排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5" w:type="pc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4</w:t>
            </w:r>
          </w:p>
        </w:tc>
        <w:tc>
          <w:tcPr>
            <w:tcW w:w="1133"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降温用水</w:t>
            </w:r>
          </w:p>
        </w:tc>
        <w:tc>
          <w:tcPr>
            <w:tcW w:w="650" w:type="pct"/>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lang w:val="en-US" w:eastAsia="zh-CN" w:bidi="ar-SA"/>
              </w:rPr>
              <w:t>1.39</w:t>
            </w:r>
          </w:p>
        </w:tc>
        <w:tc>
          <w:tcPr>
            <w:tcW w:w="1109" w:type="dxa"/>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lang w:val="en-US" w:eastAsia="zh-CN" w:bidi="ar-SA"/>
              </w:rPr>
              <w:t>1.39</w:t>
            </w:r>
          </w:p>
        </w:tc>
        <w:tc>
          <w:tcPr>
            <w:tcW w:w="589" w:type="pct"/>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0</w:t>
            </w:r>
          </w:p>
        </w:tc>
        <w:tc>
          <w:tcPr>
            <w:tcW w:w="1500" w:type="pct"/>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全部挥发，不外排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5" w:type="pc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5</w:t>
            </w:r>
          </w:p>
        </w:tc>
        <w:tc>
          <w:tcPr>
            <w:tcW w:w="1133"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车辆清洗水</w:t>
            </w:r>
          </w:p>
        </w:tc>
        <w:tc>
          <w:tcPr>
            <w:tcW w:w="650" w:type="pct"/>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lang w:val="en-US" w:eastAsia="zh-CN" w:bidi="ar-SA"/>
              </w:rPr>
              <w:t>4</w:t>
            </w:r>
          </w:p>
        </w:tc>
        <w:tc>
          <w:tcPr>
            <w:tcW w:w="650" w:type="pct"/>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0.8</w:t>
            </w:r>
          </w:p>
        </w:tc>
        <w:tc>
          <w:tcPr>
            <w:tcW w:w="589" w:type="pct"/>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lang w:val="en-US" w:eastAsia="zh-CN" w:bidi="ar-SA"/>
              </w:rPr>
              <w:t>3.2</w:t>
            </w:r>
          </w:p>
        </w:tc>
        <w:tc>
          <w:tcPr>
            <w:tcW w:w="1500" w:type="pct"/>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进异位发酵床制有机肥</w:t>
            </w:r>
            <w:r>
              <w:rPr>
                <w:rFonts w:hint="eastAsia" w:cs="Times New Roman"/>
                <w:color w:val="auto"/>
                <w:kern w:val="0"/>
                <w:sz w:val="21"/>
                <w:szCs w:val="21"/>
                <w:vertAlign w:val="baseline"/>
                <w:lang w:val="en-US" w:eastAsia="zh-CN" w:bidi="ar-SA"/>
              </w:rPr>
              <w:t>，其中10%蒸发，90%制得有机肥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5" w:type="pc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6</w:t>
            </w:r>
          </w:p>
        </w:tc>
        <w:tc>
          <w:tcPr>
            <w:tcW w:w="1133"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生活用水</w:t>
            </w:r>
          </w:p>
        </w:tc>
        <w:tc>
          <w:tcPr>
            <w:tcW w:w="650" w:type="pct"/>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lang w:val="en-US" w:eastAsia="zh-CN" w:bidi="ar-SA"/>
              </w:rPr>
              <w:t>6</w:t>
            </w:r>
          </w:p>
        </w:tc>
        <w:tc>
          <w:tcPr>
            <w:tcW w:w="650" w:type="pct"/>
            <w:vAlign w:val="center"/>
          </w:tcPr>
          <w:p>
            <w:pPr>
              <w:keepNext w:val="0"/>
              <w:keepLines w:val="0"/>
              <w:widowControl/>
              <w:suppressLineNumbers w:val="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1.2</w:t>
            </w:r>
          </w:p>
        </w:tc>
        <w:tc>
          <w:tcPr>
            <w:tcW w:w="589" w:type="pct"/>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lang w:val="en-US" w:eastAsia="zh-CN" w:bidi="ar-SA"/>
              </w:rPr>
              <w:t>4.8</w:t>
            </w:r>
          </w:p>
        </w:tc>
        <w:tc>
          <w:tcPr>
            <w:tcW w:w="1500" w:type="pct"/>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lang w:val="en-US" w:eastAsia="zh-CN" w:bidi="ar-SA"/>
              </w:rPr>
              <w:t>进污水处理设施处理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5" w:type="pc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7</w:t>
            </w:r>
          </w:p>
        </w:tc>
        <w:tc>
          <w:tcPr>
            <w:tcW w:w="1133"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绿化用水</w:t>
            </w:r>
          </w:p>
        </w:tc>
        <w:tc>
          <w:tcPr>
            <w:tcW w:w="650" w:type="pct"/>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16.27</w:t>
            </w:r>
          </w:p>
        </w:tc>
        <w:tc>
          <w:tcPr>
            <w:tcW w:w="650" w:type="pct"/>
            <w:vAlign w:val="center"/>
          </w:tcPr>
          <w:p>
            <w:pPr>
              <w:keepNext w:val="0"/>
              <w:keepLines w:val="0"/>
              <w:widowControl/>
              <w:suppressLineNumbers w:val="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eastAsia" w:cs="Times New Roman"/>
                <w:i w:val="0"/>
                <w:color w:val="auto"/>
                <w:kern w:val="0"/>
                <w:sz w:val="21"/>
                <w:szCs w:val="21"/>
                <w:u w:val="none"/>
                <w:lang w:val="en-US" w:eastAsia="zh-CN" w:bidi="ar"/>
              </w:rPr>
              <w:t>16.27</w:t>
            </w:r>
          </w:p>
        </w:tc>
        <w:tc>
          <w:tcPr>
            <w:tcW w:w="589" w:type="pct"/>
            <w:vAlign w:val="center"/>
          </w:tcPr>
          <w:p>
            <w:pPr>
              <w:keepNext w:val="0"/>
              <w:keepLines w:val="0"/>
              <w:pageBreakBefore w:val="0"/>
              <w:widowControl/>
              <w:suppressLineNumbers w:val="0"/>
              <w:kinsoku/>
              <w:wordWrap/>
              <w:overflowPunct/>
              <w:topLinePunct w:val="0"/>
              <w:autoSpaceDE/>
              <w:autoSpaceDN/>
              <w:bidi w:val="0"/>
              <w:adjustRightInd/>
              <w:snapToGrid/>
              <w:ind w:firstLine="0" w:firstLineChars="0"/>
              <w:jc w:val="center"/>
              <w:textAlignment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0</w:t>
            </w:r>
          </w:p>
        </w:tc>
        <w:tc>
          <w:tcPr>
            <w:tcW w:w="1500" w:type="pct"/>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全部挥发，不外排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9" w:type="pct"/>
            <w:gridSpan w:val="2"/>
            <w:tcBorders>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合计</w:t>
            </w:r>
          </w:p>
        </w:tc>
        <w:tc>
          <w:tcPr>
            <w:tcW w:w="1108" w:type="dxa"/>
            <w:tcBorders>
              <w:bottom w:val="single" w:color="auto" w:sz="12" w:space="0"/>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88.76</w:t>
            </w:r>
          </w:p>
        </w:tc>
        <w:tc>
          <w:tcPr>
            <w:tcW w:w="1108" w:type="dxa"/>
            <w:tcBorders>
              <w:bottom w:val="single" w:color="auto" w:sz="12" w:space="0"/>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58.87</w:t>
            </w:r>
          </w:p>
        </w:tc>
        <w:tc>
          <w:tcPr>
            <w:tcW w:w="1004" w:type="dxa"/>
            <w:tcBorders>
              <w:bottom w:val="single" w:color="auto" w:sz="12" w:space="0"/>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auto"/>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29.89</w:t>
            </w:r>
          </w:p>
        </w:tc>
        <w:tc>
          <w:tcPr>
            <w:tcW w:w="1500" w:type="pct"/>
            <w:tcBorders>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vertAlign w:val="baseline"/>
                <w:lang w:val="en-US" w:eastAsia="zh-CN" w:bidi="ar-SA"/>
              </w:rPr>
              <w:t>/</w:t>
            </w:r>
          </w:p>
        </w:tc>
      </w:tr>
    </w:tbl>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object>
          <v:shape id="_x0000_i1034" o:spt="75" type="#_x0000_t75" style="height:209.15pt;width:347.45pt;" o:ole="t" filled="f" o:preferrelative="t" stroked="f" coordsize="21600,21600">
            <v:path/>
            <v:fill on="f" focussize="0,0"/>
            <v:stroke on="f"/>
            <v:imagedata r:id="rId42" o:title=""/>
            <o:lock v:ext="edit" aspectratio="f"/>
            <w10:wrap type="none"/>
            <w10:anchorlock/>
          </v:shape>
          <o:OLEObject Type="Embed" ProgID="Visio.Drawing.11" ShapeID="_x0000_i1034" DrawAspect="Content" ObjectID="_1468075734" r:id="rId41">
            <o:LockedField>false</o:LockedField>
          </o:OLEObject>
        </w:objec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b/>
          <w:bCs/>
          <w:color w:val="auto"/>
          <w:kern w:val="0"/>
          <w:sz w:val="21"/>
          <w:szCs w:val="21"/>
          <w:lang w:val="en-US" w:eastAsia="zh-CN" w:bidi="ar-SA"/>
        </w:rPr>
      </w:pPr>
      <w:r>
        <w:rPr>
          <w:rFonts w:hint="eastAsia" w:cs="Times New Roman"/>
          <w:b/>
          <w:bCs/>
          <w:color w:val="auto"/>
          <w:kern w:val="0"/>
          <w:sz w:val="21"/>
          <w:szCs w:val="21"/>
          <w:lang w:val="en-US" w:eastAsia="zh-CN" w:bidi="ar-SA"/>
        </w:rPr>
        <w:t>图3.4-1   项目水平衡示意图  单位：m</w:t>
      </w:r>
      <w:r>
        <w:rPr>
          <w:rFonts w:hint="eastAsia" w:cs="Times New Roman"/>
          <w:b/>
          <w:bCs/>
          <w:color w:val="auto"/>
          <w:kern w:val="0"/>
          <w:sz w:val="21"/>
          <w:szCs w:val="21"/>
          <w:vertAlign w:val="superscript"/>
          <w:lang w:val="en-US" w:eastAsia="zh-CN" w:bidi="ar-SA"/>
        </w:rPr>
        <w:t>3</w:t>
      </w:r>
      <w:r>
        <w:rPr>
          <w:rFonts w:hint="eastAsia" w:cs="Times New Roman"/>
          <w:b/>
          <w:bCs/>
          <w:color w:val="auto"/>
          <w:kern w:val="0"/>
          <w:sz w:val="21"/>
          <w:szCs w:val="21"/>
          <w:lang w:val="en-US" w:eastAsia="zh-CN" w:bidi="ar-SA"/>
        </w:rPr>
        <w:t>/d</w:t>
      </w:r>
    </w:p>
    <w:p>
      <w:pPr>
        <w:pStyle w:val="6"/>
      </w:pPr>
      <w:r>
        <w:rPr>
          <w:rFonts w:hint="eastAsia"/>
          <w:lang w:eastAsia="zh-CN"/>
        </w:rPr>
        <w:t>项目饲料平衡分析</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eastAsia" w:cs="Times New Roman"/>
          <w:b w:val="0"/>
          <w:bCs w:val="0"/>
          <w:kern w:val="0"/>
          <w:sz w:val="24"/>
          <w:szCs w:val="24"/>
          <w:lang w:val="en-US" w:eastAsia="zh-CN" w:bidi="ar-SA"/>
        </w:rPr>
      </w:pPr>
      <w:r>
        <w:rPr>
          <w:rFonts w:hint="eastAsia" w:cs="Times New Roman"/>
          <w:b w:val="0"/>
          <w:bCs w:val="0"/>
          <w:kern w:val="0"/>
          <w:sz w:val="24"/>
          <w:szCs w:val="24"/>
          <w:lang w:val="en-US" w:eastAsia="zh-CN" w:bidi="ar-SA"/>
        </w:rPr>
        <w:t>根据业主提供的资料和同行业的类比分析及《第一次全国污染源普查畜禽养殖业源产排污系数手册》相关资料可知，本项目猪只饲养喂养量与猪粪产生量情况如下：</w:t>
      </w:r>
    </w:p>
    <w:p>
      <w:pPr>
        <w:jc w:val="center"/>
        <w:rPr>
          <w:rFonts w:hint="eastAsia" w:hAnsi="宋体"/>
          <w:b/>
          <w:bCs/>
          <w:szCs w:val="21"/>
        </w:rPr>
      </w:pPr>
      <w:r>
        <w:rPr>
          <w:rFonts w:hint="eastAsia" w:hAnsi="宋体"/>
          <w:b/>
          <w:bCs/>
          <w:szCs w:val="21"/>
        </w:rPr>
        <w:t>表3.</w:t>
      </w:r>
      <w:r>
        <w:rPr>
          <w:rFonts w:hint="eastAsia" w:hAnsi="宋体"/>
          <w:b/>
          <w:bCs/>
          <w:szCs w:val="21"/>
          <w:lang w:val="en-US" w:eastAsia="zh-CN"/>
        </w:rPr>
        <w:t>4</w:t>
      </w:r>
      <w:r>
        <w:rPr>
          <w:rFonts w:hint="eastAsia" w:hAnsi="宋体"/>
          <w:b/>
          <w:bCs/>
          <w:szCs w:val="21"/>
        </w:rPr>
        <w:t>-</w:t>
      </w:r>
      <w:r>
        <w:rPr>
          <w:rFonts w:hint="eastAsia" w:hAnsi="宋体"/>
          <w:b/>
          <w:bCs/>
          <w:szCs w:val="21"/>
          <w:lang w:val="en-US" w:eastAsia="zh-CN"/>
        </w:rPr>
        <w:t>10</w:t>
      </w:r>
      <w:r>
        <w:rPr>
          <w:rFonts w:hint="eastAsia" w:hAnsi="宋体"/>
          <w:b/>
          <w:bCs/>
          <w:szCs w:val="21"/>
        </w:rPr>
        <w:t xml:space="preserve"> 猪只饲养喂养量与猪粪产生量情况一览表</w:t>
      </w:r>
    </w:p>
    <w:tbl>
      <w:tblPr>
        <w:tblStyle w:val="63"/>
        <w:tblW w:w="4997"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25"/>
        <w:gridCol w:w="846"/>
        <w:gridCol w:w="1263"/>
        <w:gridCol w:w="948"/>
        <w:gridCol w:w="932"/>
        <w:gridCol w:w="1534"/>
        <w:gridCol w:w="964"/>
        <w:gridCol w:w="100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08" w:type="pct"/>
            <w:tcBorders>
              <w:bottom w:val="single" w:color="auto" w:sz="12" w:space="0"/>
            </w:tcBorders>
            <w:noWrap w:val="0"/>
            <w:vAlign w:val="center"/>
          </w:tcPr>
          <w:p>
            <w:pPr>
              <w:spacing w:line="300" w:lineRule="exact"/>
              <w:jc w:val="center"/>
              <w:rPr>
                <w:rFonts w:hint="eastAsia"/>
                <w:bCs/>
                <w:szCs w:val="21"/>
              </w:rPr>
            </w:pPr>
            <w:r>
              <w:rPr>
                <w:rFonts w:hint="eastAsia"/>
                <w:bCs/>
                <w:szCs w:val="21"/>
              </w:rPr>
              <w:t>猪只</w:t>
            </w:r>
          </w:p>
          <w:p>
            <w:pPr>
              <w:spacing w:line="300" w:lineRule="exact"/>
              <w:jc w:val="center"/>
              <w:rPr>
                <w:rFonts w:hint="eastAsia"/>
                <w:bCs/>
                <w:szCs w:val="21"/>
              </w:rPr>
            </w:pPr>
            <w:r>
              <w:rPr>
                <w:rFonts w:hint="eastAsia"/>
                <w:bCs/>
                <w:szCs w:val="21"/>
              </w:rPr>
              <w:t>种类</w:t>
            </w:r>
          </w:p>
        </w:tc>
        <w:tc>
          <w:tcPr>
            <w:tcW w:w="484" w:type="pct"/>
            <w:tcBorders>
              <w:bottom w:val="single" w:color="auto" w:sz="12" w:space="0"/>
            </w:tcBorders>
            <w:noWrap w:val="0"/>
            <w:vAlign w:val="center"/>
          </w:tcPr>
          <w:p>
            <w:pPr>
              <w:spacing w:line="300" w:lineRule="exact"/>
              <w:jc w:val="center"/>
              <w:rPr>
                <w:rFonts w:hint="eastAsia"/>
                <w:bCs/>
                <w:szCs w:val="21"/>
              </w:rPr>
            </w:pPr>
            <w:r>
              <w:rPr>
                <w:rFonts w:hint="eastAsia"/>
                <w:bCs/>
                <w:szCs w:val="21"/>
              </w:rPr>
              <w:t>数量（头）</w:t>
            </w:r>
          </w:p>
        </w:tc>
        <w:tc>
          <w:tcPr>
            <w:tcW w:w="748" w:type="pct"/>
            <w:tcBorders>
              <w:bottom w:val="single" w:color="auto" w:sz="12" w:space="0"/>
            </w:tcBorders>
            <w:noWrap w:val="0"/>
            <w:vAlign w:val="center"/>
          </w:tcPr>
          <w:p>
            <w:pPr>
              <w:spacing w:line="300" w:lineRule="exact"/>
              <w:jc w:val="center"/>
              <w:rPr>
                <w:rFonts w:hint="eastAsia"/>
                <w:bCs/>
                <w:szCs w:val="21"/>
              </w:rPr>
            </w:pPr>
            <w:r>
              <w:rPr>
                <w:rFonts w:hint="eastAsia"/>
                <w:bCs/>
                <w:szCs w:val="21"/>
              </w:rPr>
              <w:t>喂食系数</w:t>
            </w:r>
          </w:p>
          <w:p>
            <w:pPr>
              <w:spacing w:line="300" w:lineRule="exact"/>
              <w:jc w:val="center"/>
              <w:rPr>
                <w:rFonts w:hint="eastAsia"/>
                <w:bCs/>
                <w:szCs w:val="21"/>
              </w:rPr>
            </w:pPr>
            <w:r>
              <w:rPr>
                <w:rFonts w:hint="eastAsia"/>
                <w:bCs/>
                <w:szCs w:val="21"/>
              </w:rPr>
              <w:t>（kg/头·d）</w:t>
            </w:r>
          </w:p>
        </w:tc>
        <w:tc>
          <w:tcPr>
            <w:tcW w:w="563" w:type="pct"/>
            <w:tcBorders>
              <w:bottom w:val="single" w:color="auto" w:sz="12" w:space="0"/>
            </w:tcBorders>
            <w:noWrap w:val="0"/>
            <w:vAlign w:val="center"/>
          </w:tcPr>
          <w:p>
            <w:pPr>
              <w:spacing w:line="300" w:lineRule="exact"/>
              <w:jc w:val="center"/>
              <w:rPr>
                <w:rFonts w:hint="eastAsia"/>
                <w:bCs/>
                <w:szCs w:val="21"/>
              </w:rPr>
            </w:pPr>
            <w:r>
              <w:rPr>
                <w:rFonts w:hint="eastAsia"/>
                <w:bCs/>
                <w:szCs w:val="21"/>
              </w:rPr>
              <w:t>喂食量</w:t>
            </w:r>
          </w:p>
          <w:p>
            <w:pPr>
              <w:spacing w:line="300" w:lineRule="exact"/>
              <w:jc w:val="center"/>
              <w:rPr>
                <w:rFonts w:hint="eastAsia"/>
                <w:bCs/>
                <w:szCs w:val="21"/>
              </w:rPr>
            </w:pPr>
            <w:r>
              <w:rPr>
                <w:rFonts w:hint="eastAsia"/>
                <w:bCs/>
                <w:szCs w:val="21"/>
              </w:rPr>
              <w:t>（t/d）</w:t>
            </w:r>
          </w:p>
        </w:tc>
        <w:tc>
          <w:tcPr>
            <w:tcW w:w="554" w:type="pct"/>
            <w:tcBorders>
              <w:bottom w:val="single" w:color="auto" w:sz="12" w:space="0"/>
            </w:tcBorders>
            <w:noWrap w:val="0"/>
            <w:vAlign w:val="center"/>
          </w:tcPr>
          <w:p>
            <w:pPr>
              <w:spacing w:line="300" w:lineRule="exact"/>
              <w:jc w:val="center"/>
              <w:rPr>
                <w:rFonts w:hint="eastAsia"/>
                <w:bCs/>
                <w:szCs w:val="21"/>
              </w:rPr>
            </w:pPr>
            <w:r>
              <w:rPr>
                <w:rFonts w:hint="eastAsia"/>
                <w:bCs/>
                <w:szCs w:val="21"/>
              </w:rPr>
              <w:t>喂食量</w:t>
            </w:r>
          </w:p>
          <w:p>
            <w:pPr>
              <w:spacing w:line="300" w:lineRule="exact"/>
              <w:jc w:val="center"/>
              <w:rPr>
                <w:rFonts w:hint="eastAsia"/>
                <w:bCs/>
                <w:szCs w:val="21"/>
              </w:rPr>
            </w:pPr>
            <w:r>
              <w:rPr>
                <w:rFonts w:hint="eastAsia"/>
                <w:bCs/>
                <w:szCs w:val="21"/>
              </w:rPr>
              <w:t>（t/a）</w:t>
            </w:r>
          </w:p>
        </w:tc>
        <w:tc>
          <w:tcPr>
            <w:tcW w:w="907" w:type="pct"/>
            <w:tcBorders>
              <w:bottom w:val="single" w:color="auto" w:sz="12" w:space="0"/>
            </w:tcBorders>
            <w:noWrap w:val="0"/>
            <w:vAlign w:val="center"/>
          </w:tcPr>
          <w:p>
            <w:pPr>
              <w:spacing w:line="300" w:lineRule="exact"/>
              <w:jc w:val="center"/>
              <w:rPr>
                <w:rFonts w:hint="eastAsia"/>
                <w:bCs/>
                <w:szCs w:val="21"/>
              </w:rPr>
            </w:pPr>
            <w:r>
              <w:rPr>
                <w:rFonts w:hint="eastAsia"/>
                <w:bCs/>
                <w:szCs w:val="21"/>
              </w:rPr>
              <w:t>粪便产生系数</w:t>
            </w:r>
          </w:p>
          <w:p>
            <w:pPr>
              <w:spacing w:line="300" w:lineRule="exact"/>
              <w:jc w:val="center"/>
              <w:rPr>
                <w:rFonts w:hint="eastAsia"/>
                <w:bCs/>
                <w:szCs w:val="21"/>
              </w:rPr>
            </w:pPr>
            <w:r>
              <w:rPr>
                <w:rFonts w:hint="eastAsia"/>
                <w:bCs/>
                <w:szCs w:val="21"/>
              </w:rPr>
              <w:t>（kg/头·d）</w:t>
            </w:r>
          </w:p>
        </w:tc>
        <w:tc>
          <w:tcPr>
            <w:tcW w:w="572" w:type="pct"/>
            <w:tcBorders>
              <w:bottom w:val="single" w:color="auto" w:sz="12" w:space="0"/>
            </w:tcBorders>
            <w:noWrap w:val="0"/>
            <w:vAlign w:val="center"/>
          </w:tcPr>
          <w:p>
            <w:pPr>
              <w:spacing w:line="300" w:lineRule="exact"/>
              <w:jc w:val="center"/>
              <w:rPr>
                <w:rFonts w:hint="eastAsia"/>
                <w:bCs/>
                <w:szCs w:val="21"/>
              </w:rPr>
            </w:pPr>
            <w:r>
              <w:rPr>
                <w:rFonts w:hint="eastAsia"/>
                <w:bCs/>
                <w:szCs w:val="21"/>
              </w:rPr>
              <w:t>产生量</w:t>
            </w:r>
          </w:p>
          <w:p>
            <w:pPr>
              <w:spacing w:line="300" w:lineRule="exact"/>
              <w:jc w:val="center"/>
              <w:rPr>
                <w:rFonts w:hint="eastAsia"/>
                <w:bCs/>
                <w:szCs w:val="21"/>
              </w:rPr>
            </w:pPr>
            <w:r>
              <w:rPr>
                <w:rFonts w:hint="eastAsia"/>
                <w:bCs/>
                <w:szCs w:val="21"/>
              </w:rPr>
              <w:t>（t/d）</w:t>
            </w:r>
          </w:p>
        </w:tc>
        <w:tc>
          <w:tcPr>
            <w:tcW w:w="560" w:type="pct"/>
            <w:tcBorders>
              <w:bottom w:val="single" w:color="auto" w:sz="12" w:space="0"/>
            </w:tcBorders>
            <w:noWrap w:val="0"/>
            <w:vAlign w:val="center"/>
          </w:tcPr>
          <w:p>
            <w:pPr>
              <w:spacing w:line="300" w:lineRule="exact"/>
              <w:jc w:val="center"/>
              <w:rPr>
                <w:rFonts w:hint="eastAsia"/>
                <w:bCs/>
                <w:szCs w:val="21"/>
              </w:rPr>
            </w:pPr>
            <w:r>
              <w:rPr>
                <w:rFonts w:hint="eastAsia"/>
                <w:bCs/>
                <w:szCs w:val="21"/>
              </w:rPr>
              <w:t>产生量</w:t>
            </w:r>
          </w:p>
          <w:p>
            <w:pPr>
              <w:spacing w:line="300" w:lineRule="exact"/>
              <w:jc w:val="center"/>
              <w:rPr>
                <w:rFonts w:hint="eastAsia"/>
                <w:bCs/>
                <w:szCs w:val="21"/>
              </w:rPr>
            </w:pPr>
            <w:r>
              <w:rPr>
                <w:rFonts w:hint="eastAsia"/>
                <w:bCs/>
                <w:szCs w:val="21"/>
              </w:rPr>
              <w:t>（t/a）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08" w:type="pct"/>
            <w:noWrap w:val="0"/>
            <w:vAlign w:val="center"/>
          </w:tcPr>
          <w:p>
            <w:pPr>
              <w:widowControl/>
              <w:spacing w:line="320" w:lineRule="exact"/>
              <w:jc w:val="center"/>
              <w:rPr>
                <w:rFonts w:hint="eastAsia"/>
                <w:bCs/>
                <w:szCs w:val="21"/>
              </w:rPr>
            </w:pPr>
            <w:r>
              <w:rPr>
                <w:rFonts w:hint="eastAsia" w:hAnsi="宋体"/>
                <w:kern w:val="0"/>
                <w:szCs w:val="21"/>
              </w:rPr>
              <w:t>保育猪</w:t>
            </w:r>
          </w:p>
        </w:tc>
        <w:tc>
          <w:tcPr>
            <w:tcW w:w="846"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rPr>
            </w:pPr>
            <w:r>
              <w:rPr>
                <w:rFonts w:hint="default" w:ascii="Times New Roman" w:hAnsi="Times New Roman" w:eastAsia="宋体" w:cs="Times New Roman"/>
                <w:i w:val="0"/>
                <w:color w:val="000000"/>
                <w:kern w:val="0"/>
                <w:sz w:val="21"/>
                <w:szCs w:val="21"/>
                <w:u w:val="none"/>
                <w:lang w:val="en-US" w:eastAsia="zh-CN" w:bidi="ar"/>
              </w:rPr>
              <w:t>1855</w:t>
            </w:r>
          </w:p>
        </w:tc>
        <w:tc>
          <w:tcPr>
            <w:tcW w:w="1272"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rPr>
            </w:pPr>
            <w:r>
              <w:rPr>
                <w:rFonts w:hint="default" w:ascii="Times New Roman" w:hAnsi="Times New Roman" w:eastAsia="宋体" w:cs="Times New Roman"/>
                <w:i w:val="0"/>
                <w:color w:val="000000"/>
                <w:kern w:val="0"/>
                <w:sz w:val="21"/>
                <w:szCs w:val="21"/>
                <w:u w:val="none"/>
                <w:lang w:val="en-US" w:eastAsia="zh-CN" w:bidi="ar"/>
              </w:rPr>
              <w:t>0.8</w:t>
            </w:r>
          </w:p>
        </w:tc>
        <w:tc>
          <w:tcPr>
            <w:tcW w:w="957"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1.484</w:t>
            </w:r>
          </w:p>
        </w:tc>
        <w:tc>
          <w:tcPr>
            <w:tcW w:w="941"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541.66</w:t>
            </w:r>
          </w:p>
        </w:tc>
        <w:tc>
          <w:tcPr>
            <w:tcW w:w="1543"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rPr>
            </w:pPr>
            <w:r>
              <w:rPr>
                <w:rFonts w:hint="default" w:ascii="Times New Roman" w:hAnsi="Times New Roman" w:eastAsia="宋体" w:cs="Times New Roman"/>
                <w:i w:val="0"/>
                <w:color w:val="000000"/>
                <w:kern w:val="0"/>
                <w:sz w:val="21"/>
                <w:szCs w:val="21"/>
                <w:u w:val="none"/>
                <w:lang w:val="en-US" w:eastAsia="zh-CN" w:bidi="ar"/>
              </w:rPr>
              <w:t>0.45</w:t>
            </w:r>
          </w:p>
        </w:tc>
        <w:tc>
          <w:tcPr>
            <w:tcW w:w="972"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0.835</w:t>
            </w:r>
          </w:p>
        </w:tc>
        <w:tc>
          <w:tcPr>
            <w:tcW w:w="952"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304.775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08" w:type="pct"/>
            <w:noWrap w:val="0"/>
            <w:vAlign w:val="center"/>
          </w:tcPr>
          <w:p>
            <w:pPr>
              <w:widowControl/>
              <w:spacing w:line="320" w:lineRule="exact"/>
              <w:jc w:val="center"/>
              <w:rPr>
                <w:rFonts w:hint="eastAsia"/>
                <w:bCs/>
                <w:szCs w:val="21"/>
              </w:rPr>
            </w:pPr>
            <w:r>
              <w:rPr>
                <w:rFonts w:hAnsi="宋体"/>
                <w:kern w:val="0"/>
                <w:szCs w:val="21"/>
              </w:rPr>
              <w:t>育肥猪</w:t>
            </w:r>
          </w:p>
        </w:tc>
        <w:tc>
          <w:tcPr>
            <w:tcW w:w="846"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rPr>
            </w:pPr>
            <w:r>
              <w:rPr>
                <w:rFonts w:hint="default" w:ascii="Times New Roman" w:hAnsi="Times New Roman" w:eastAsia="宋体" w:cs="Times New Roman"/>
                <w:i w:val="0"/>
                <w:color w:val="000000"/>
                <w:kern w:val="0"/>
                <w:sz w:val="21"/>
                <w:szCs w:val="21"/>
                <w:u w:val="none"/>
                <w:lang w:val="en-US" w:eastAsia="zh-CN" w:bidi="ar"/>
              </w:rPr>
              <w:t>5500</w:t>
            </w:r>
          </w:p>
        </w:tc>
        <w:tc>
          <w:tcPr>
            <w:tcW w:w="1272"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rPr>
            </w:pPr>
            <w:r>
              <w:rPr>
                <w:rFonts w:hint="default" w:ascii="Times New Roman" w:hAnsi="Times New Roman" w:eastAsia="宋体" w:cs="Times New Roman"/>
                <w:i w:val="0"/>
                <w:color w:val="000000"/>
                <w:kern w:val="0"/>
                <w:sz w:val="21"/>
                <w:szCs w:val="21"/>
                <w:u w:val="none"/>
                <w:lang w:val="en-US" w:eastAsia="zh-CN" w:bidi="ar"/>
              </w:rPr>
              <w:t>3</w:t>
            </w:r>
          </w:p>
        </w:tc>
        <w:tc>
          <w:tcPr>
            <w:tcW w:w="957"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16.5</w:t>
            </w:r>
          </w:p>
        </w:tc>
        <w:tc>
          <w:tcPr>
            <w:tcW w:w="941"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6022.5</w:t>
            </w:r>
          </w:p>
        </w:tc>
        <w:tc>
          <w:tcPr>
            <w:tcW w:w="1543"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rPr>
            </w:pPr>
            <w:r>
              <w:rPr>
                <w:rFonts w:hint="default" w:ascii="Times New Roman" w:hAnsi="Times New Roman" w:eastAsia="宋体" w:cs="Times New Roman"/>
                <w:i w:val="0"/>
                <w:color w:val="000000"/>
                <w:kern w:val="0"/>
                <w:sz w:val="21"/>
                <w:szCs w:val="21"/>
                <w:u w:val="none"/>
                <w:lang w:val="en-US" w:eastAsia="zh-CN" w:bidi="ar"/>
              </w:rPr>
              <w:t>2</w:t>
            </w:r>
          </w:p>
        </w:tc>
        <w:tc>
          <w:tcPr>
            <w:tcW w:w="972"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11</w:t>
            </w:r>
          </w:p>
        </w:tc>
        <w:tc>
          <w:tcPr>
            <w:tcW w:w="952"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4015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c>
          <w:tcPr>
            <w:tcW w:w="608" w:type="pct"/>
            <w:noWrap w:val="0"/>
            <w:vAlign w:val="center"/>
          </w:tcPr>
          <w:p>
            <w:pPr>
              <w:spacing w:line="300" w:lineRule="exact"/>
              <w:jc w:val="center"/>
              <w:rPr>
                <w:rFonts w:hint="eastAsia"/>
                <w:bCs/>
                <w:szCs w:val="21"/>
              </w:rPr>
            </w:pPr>
            <w:r>
              <w:rPr>
                <w:rFonts w:hint="eastAsia"/>
                <w:bCs/>
                <w:szCs w:val="21"/>
              </w:rPr>
              <w:t>合计</w:t>
            </w:r>
          </w:p>
        </w:tc>
        <w:tc>
          <w:tcPr>
            <w:tcW w:w="2118" w:type="dxa"/>
            <w:gridSpan w:val="2"/>
            <w:noWrap w:val="0"/>
            <w:vAlign w:val="center"/>
          </w:tcPr>
          <w:p>
            <w:pPr>
              <w:keepNext w:val="0"/>
              <w:keepLines w:val="0"/>
              <w:widowControl/>
              <w:suppressLineNumbers w:val="0"/>
              <w:jc w:val="center"/>
              <w:textAlignment w:val="center"/>
              <w:rPr>
                <w:rFonts w:hint="default" w:ascii="Times New Roman" w:hAnsi="Times New Roman" w:eastAsia="宋体" w:cs="Times New Roman"/>
                <w:bCs/>
                <w:szCs w:val="21"/>
              </w:rPr>
            </w:pPr>
            <w:r>
              <w:rPr>
                <w:rFonts w:hint="default" w:ascii="Times New Roman" w:hAnsi="Times New Roman" w:eastAsia="宋体" w:cs="Times New Roman"/>
                <w:i w:val="0"/>
                <w:color w:val="000000"/>
                <w:kern w:val="0"/>
                <w:sz w:val="21"/>
                <w:szCs w:val="21"/>
                <w:u w:val="none"/>
                <w:lang w:val="en-US" w:eastAsia="zh-CN" w:bidi="ar"/>
              </w:rPr>
              <w:t>/</w:t>
            </w:r>
          </w:p>
        </w:tc>
        <w:tc>
          <w:tcPr>
            <w:tcW w:w="960"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 w:val="21"/>
                <w:szCs w:val="21"/>
              </w:rPr>
            </w:pPr>
            <w:r>
              <w:rPr>
                <w:rFonts w:hint="default" w:ascii="Times New Roman" w:hAnsi="Times New Roman" w:eastAsia="宋体" w:cs="Times New Roman"/>
                <w:i w:val="0"/>
                <w:color w:val="000000"/>
                <w:kern w:val="0"/>
                <w:sz w:val="21"/>
                <w:szCs w:val="21"/>
                <w:u w:val="none"/>
                <w:lang w:val="en-US" w:eastAsia="zh-CN" w:bidi="ar"/>
              </w:rPr>
              <w:t>17.984</w:t>
            </w:r>
          </w:p>
        </w:tc>
        <w:tc>
          <w:tcPr>
            <w:tcW w:w="945"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 w:val="21"/>
                <w:szCs w:val="21"/>
              </w:rPr>
            </w:pPr>
            <w:r>
              <w:rPr>
                <w:rFonts w:hint="default" w:ascii="Times New Roman" w:hAnsi="Times New Roman" w:eastAsia="宋体" w:cs="Times New Roman"/>
                <w:i w:val="0"/>
                <w:color w:val="000000"/>
                <w:kern w:val="0"/>
                <w:sz w:val="21"/>
                <w:szCs w:val="21"/>
                <w:u w:val="none"/>
                <w:lang w:val="en-US" w:eastAsia="zh-CN" w:bidi="ar"/>
              </w:rPr>
              <w:t>6564.16</w:t>
            </w:r>
          </w:p>
        </w:tc>
        <w:tc>
          <w:tcPr>
            <w:tcW w:w="1545"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 w:val="21"/>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w:t>
            </w:r>
          </w:p>
        </w:tc>
        <w:tc>
          <w:tcPr>
            <w:tcW w:w="976"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 w:val="21"/>
                <w:szCs w:val="21"/>
              </w:rPr>
            </w:pPr>
            <w:r>
              <w:rPr>
                <w:rFonts w:hint="default" w:ascii="Times New Roman" w:hAnsi="Times New Roman" w:eastAsia="宋体" w:cs="Times New Roman"/>
                <w:i w:val="0"/>
                <w:color w:val="000000"/>
                <w:kern w:val="0"/>
                <w:sz w:val="21"/>
                <w:szCs w:val="21"/>
                <w:u w:val="none"/>
                <w:lang w:val="en-US" w:eastAsia="zh-CN" w:bidi="ar"/>
              </w:rPr>
              <w:t>11.835</w:t>
            </w:r>
          </w:p>
        </w:tc>
        <w:tc>
          <w:tcPr>
            <w:tcW w:w="955"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sz w:val="21"/>
                <w:szCs w:val="21"/>
              </w:rPr>
            </w:pPr>
            <w:r>
              <w:rPr>
                <w:rFonts w:hint="default" w:ascii="Times New Roman" w:hAnsi="Times New Roman" w:eastAsia="宋体" w:cs="Times New Roman"/>
                <w:i w:val="0"/>
                <w:color w:val="000000"/>
                <w:kern w:val="0"/>
                <w:sz w:val="21"/>
                <w:szCs w:val="21"/>
                <w:u w:val="none"/>
                <w:lang w:val="en-US" w:eastAsia="zh-CN" w:bidi="ar"/>
              </w:rPr>
              <w:t>4319.775</w:t>
            </w:r>
          </w:p>
        </w:tc>
      </w:tr>
    </w:tbl>
    <w:p>
      <w:pPr>
        <w:pStyle w:val="6"/>
      </w:pPr>
      <w:r>
        <w:rPr>
          <w:rFonts w:hint="eastAsia"/>
          <w:lang w:eastAsia="zh-CN"/>
        </w:rPr>
        <w:t>养殖区物料平衡分析</w:t>
      </w:r>
    </w:p>
    <w:p>
      <w:pPr>
        <w:keepNext w:val="0"/>
        <w:keepLines w:val="0"/>
        <w:pageBreakBefore w:val="0"/>
        <w:widowControl w:val="0"/>
        <w:kinsoku/>
        <w:wordWrap/>
        <w:overflowPunct/>
        <w:topLinePunct w:val="0"/>
        <w:autoSpaceDE/>
        <w:autoSpaceDN/>
        <w:bidi w:val="0"/>
        <w:adjustRightInd/>
        <w:snapToGrid/>
        <w:jc w:val="center"/>
        <w:textAlignment w:val="auto"/>
        <w:rPr>
          <w:rFonts w:hint="eastAsia"/>
          <w:b/>
          <w:bCs/>
          <w:color w:val="auto"/>
          <w:szCs w:val="21"/>
        </w:rPr>
      </w:pPr>
      <w:r>
        <w:rPr>
          <w:rFonts w:hint="eastAsia"/>
          <w:b/>
          <w:bCs/>
          <w:color w:val="auto"/>
          <w:szCs w:val="21"/>
        </w:rPr>
        <w:t>表3.</w:t>
      </w:r>
      <w:r>
        <w:rPr>
          <w:rFonts w:hint="eastAsia"/>
          <w:b/>
          <w:bCs/>
          <w:color w:val="auto"/>
          <w:szCs w:val="21"/>
          <w:lang w:val="en-US" w:eastAsia="zh-CN"/>
        </w:rPr>
        <w:t>4</w:t>
      </w:r>
      <w:r>
        <w:rPr>
          <w:rFonts w:hint="eastAsia"/>
          <w:b/>
          <w:bCs/>
          <w:color w:val="auto"/>
          <w:szCs w:val="21"/>
        </w:rPr>
        <w:t>-</w:t>
      </w:r>
      <w:r>
        <w:rPr>
          <w:rFonts w:hint="eastAsia"/>
          <w:b/>
          <w:bCs/>
          <w:color w:val="auto"/>
          <w:szCs w:val="21"/>
          <w:lang w:val="en-US" w:eastAsia="zh-CN"/>
        </w:rPr>
        <w:t>11</w:t>
      </w:r>
      <w:r>
        <w:rPr>
          <w:rFonts w:hint="eastAsia"/>
          <w:b/>
          <w:bCs/>
          <w:color w:val="auto"/>
          <w:szCs w:val="21"/>
        </w:rPr>
        <w:t xml:space="preserve"> 项目养殖区物料平衡</w:t>
      </w:r>
      <w:r>
        <w:rPr>
          <w:rFonts w:hint="eastAsia"/>
          <w:color w:val="auto"/>
        </w:rPr>
        <w:t xml:space="preserve">  </w:t>
      </w:r>
      <w:r>
        <w:rPr>
          <w:rFonts w:hint="eastAsia"/>
          <w:b/>
          <w:bCs/>
          <w:color w:val="auto"/>
        </w:rPr>
        <w:t>单位：t/d</w:t>
      </w:r>
    </w:p>
    <w:tbl>
      <w:tblPr>
        <w:tblStyle w:val="63"/>
        <w:tblW w:w="4997"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19"/>
        <w:gridCol w:w="1419"/>
        <w:gridCol w:w="1419"/>
        <w:gridCol w:w="1419"/>
        <w:gridCol w:w="1419"/>
        <w:gridCol w:w="142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33" w:type="pct"/>
            <w:tcBorders>
              <w:bottom w:val="single" w:color="auto" w:sz="12" w:space="0"/>
            </w:tcBorders>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猪只种类</w:t>
            </w:r>
          </w:p>
        </w:tc>
        <w:tc>
          <w:tcPr>
            <w:tcW w:w="833" w:type="pct"/>
            <w:tcBorders>
              <w:bottom w:val="single" w:color="auto" w:sz="12" w:space="0"/>
            </w:tcBorders>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物料名称</w:t>
            </w:r>
          </w:p>
        </w:tc>
        <w:tc>
          <w:tcPr>
            <w:tcW w:w="833" w:type="pct"/>
            <w:tcBorders>
              <w:bottom w:val="single" w:color="auto" w:sz="12" w:space="0"/>
            </w:tcBorders>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数量</w:t>
            </w:r>
          </w:p>
        </w:tc>
        <w:tc>
          <w:tcPr>
            <w:tcW w:w="833" w:type="pct"/>
            <w:tcBorders>
              <w:bottom w:val="single" w:color="auto" w:sz="12" w:space="0"/>
            </w:tcBorders>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粪</w:t>
            </w:r>
          </w:p>
        </w:tc>
        <w:tc>
          <w:tcPr>
            <w:tcW w:w="833" w:type="pct"/>
            <w:tcBorders>
              <w:bottom w:val="single" w:color="auto" w:sz="12" w:space="0"/>
            </w:tcBorders>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尿</w:t>
            </w:r>
          </w:p>
        </w:tc>
        <w:tc>
          <w:tcPr>
            <w:tcW w:w="833" w:type="pct"/>
            <w:tcBorders>
              <w:bottom w:val="single" w:color="auto" w:sz="12" w:space="0"/>
            </w:tcBorders>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吸收机损失</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3" w:hRule="atLeast"/>
        </w:trPr>
        <w:tc>
          <w:tcPr>
            <w:tcW w:w="833" w:type="pct"/>
            <w:vMerge w:val="restart"/>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保育猪</w:t>
            </w:r>
          </w:p>
        </w:tc>
        <w:tc>
          <w:tcPr>
            <w:tcW w:w="833" w:type="pct"/>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饲料</w:t>
            </w:r>
          </w:p>
        </w:tc>
        <w:tc>
          <w:tcPr>
            <w:tcW w:w="1419"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rPr>
            </w:pPr>
            <w:r>
              <w:rPr>
                <w:rFonts w:hint="default" w:ascii="Times New Roman" w:hAnsi="Times New Roman" w:eastAsia="宋体" w:cs="Times New Roman"/>
                <w:i w:val="0"/>
                <w:color w:val="auto"/>
                <w:kern w:val="0"/>
                <w:sz w:val="21"/>
                <w:szCs w:val="21"/>
                <w:u w:val="none"/>
                <w:lang w:val="en-US" w:eastAsia="zh-CN" w:bidi="ar"/>
              </w:rPr>
              <w:t>1.484</w:t>
            </w:r>
          </w:p>
        </w:tc>
        <w:tc>
          <w:tcPr>
            <w:tcW w:w="1419" w:type="dxa"/>
            <w:vMerge w:val="restart"/>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rPr>
            </w:pPr>
            <w:r>
              <w:rPr>
                <w:rFonts w:hint="default" w:ascii="Times New Roman" w:hAnsi="Times New Roman" w:eastAsia="宋体" w:cs="Times New Roman"/>
                <w:i w:val="0"/>
                <w:color w:val="auto"/>
                <w:kern w:val="0"/>
                <w:sz w:val="21"/>
                <w:szCs w:val="21"/>
                <w:u w:val="none"/>
                <w:lang w:val="en-US" w:eastAsia="zh-CN" w:bidi="ar"/>
              </w:rPr>
              <w:t>0.835</w:t>
            </w:r>
          </w:p>
        </w:tc>
        <w:tc>
          <w:tcPr>
            <w:tcW w:w="1419" w:type="dxa"/>
            <w:vMerge w:val="restart"/>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rPr>
            </w:pPr>
            <w:r>
              <w:rPr>
                <w:rFonts w:hint="default" w:ascii="Times New Roman" w:hAnsi="Times New Roman" w:eastAsia="宋体" w:cs="Times New Roman"/>
                <w:i w:val="0"/>
                <w:color w:val="auto"/>
                <w:kern w:val="0"/>
                <w:sz w:val="21"/>
                <w:szCs w:val="21"/>
                <w:u w:val="none"/>
                <w:lang w:val="en-US" w:eastAsia="zh-CN" w:bidi="ar"/>
              </w:rPr>
              <w:t>3.49</w:t>
            </w:r>
          </w:p>
        </w:tc>
        <w:tc>
          <w:tcPr>
            <w:tcW w:w="1422" w:type="dxa"/>
            <w:vMerge w:val="restart"/>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lang w:val="en-US" w:eastAsia="zh-CN"/>
              </w:rPr>
            </w:pPr>
            <w:r>
              <w:rPr>
                <w:rFonts w:hint="default" w:ascii="Times New Roman" w:hAnsi="Times New Roman" w:eastAsia="宋体" w:cs="Times New Roman"/>
                <w:i w:val="0"/>
                <w:color w:val="auto"/>
                <w:kern w:val="0"/>
                <w:sz w:val="21"/>
                <w:szCs w:val="21"/>
                <w:u w:val="none"/>
                <w:lang w:val="en-US" w:eastAsia="zh-CN" w:bidi="ar"/>
              </w:rPr>
              <w:t>0.869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33" w:type="pct"/>
            <w:vMerge w:val="continue"/>
            <w:noWrap w:val="0"/>
            <w:vAlign w:val="center"/>
          </w:tcPr>
          <w:p>
            <w:pPr>
              <w:spacing w:line="300" w:lineRule="exact"/>
              <w:jc w:val="center"/>
              <w:rPr>
                <w:rFonts w:hint="default" w:ascii="Times New Roman" w:hAnsi="Times New Roman" w:eastAsia="宋体" w:cs="Times New Roman"/>
                <w:bCs/>
                <w:color w:val="auto"/>
                <w:szCs w:val="21"/>
              </w:rPr>
            </w:pPr>
          </w:p>
        </w:tc>
        <w:tc>
          <w:tcPr>
            <w:tcW w:w="833" w:type="pct"/>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新鲜水</w:t>
            </w:r>
          </w:p>
        </w:tc>
        <w:tc>
          <w:tcPr>
            <w:tcW w:w="1419"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rPr>
            </w:pPr>
            <w:r>
              <w:rPr>
                <w:rFonts w:hint="default" w:ascii="Times New Roman" w:hAnsi="Times New Roman" w:eastAsia="宋体" w:cs="Times New Roman"/>
                <w:i w:val="0"/>
                <w:color w:val="auto"/>
                <w:kern w:val="0"/>
                <w:sz w:val="21"/>
                <w:szCs w:val="21"/>
                <w:u w:val="none"/>
                <w:lang w:val="en-US" w:eastAsia="zh-CN" w:bidi="ar"/>
              </w:rPr>
              <w:t>3.71</w:t>
            </w:r>
          </w:p>
        </w:tc>
        <w:tc>
          <w:tcPr>
            <w:tcW w:w="833" w:type="pct"/>
            <w:vMerge w:val="continue"/>
            <w:noWrap w:val="0"/>
            <w:vAlign w:val="center"/>
          </w:tcPr>
          <w:p>
            <w:pPr>
              <w:spacing w:line="300" w:lineRule="exact"/>
              <w:jc w:val="center"/>
              <w:rPr>
                <w:rFonts w:hint="default" w:ascii="Times New Roman" w:hAnsi="Times New Roman" w:eastAsia="宋体" w:cs="Times New Roman"/>
                <w:bCs/>
                <w:color w:val="auto"/>
                <w:szCs w:val="21"/>
              </w:rPr>
            </w:pPr>
          </w:p>
        </w:tc>
        <w:tc>
          <w:tcPr>
            <w:tcW w:w="833" w:type="pct"/>
            <w:vMerge w:val="continue"/>
            <w:noWrap w:val="0"/>
            <w:vAlign w:val="center"/>
          </w:tcPr>
          <w:p>
            <w:pPr>
              <w:spacing w:line="300" w:lineRule="exact"/>
              <w:jc w:val="center"/>
              <w:rPr>
                <w:rFonts w:hint="default" w:ascii="Times New Roman" w:hAnsi="Times New Roman" w:eastAsia="宋体" w:cs="Times New Roman"/>
                <w:bCs/>
                <w:color w:val="auto"/>
                <w:szCs w:val="21"/>
              </w:rPr>
            </w:pPr>
          </w:p>
        </w:tc>
        <w:tc>
          <w:tcPr>
            <w:tcW w:w="833" w:type="pct"/>
            <w:vMerge w:val="continue"/>
            <w:noWrap w:val="0"/>
            <w:vAlign w:val="center"/>
          </w:tcPr>
          <w:p>
            <w:pPr>
              <w:spacing w:line="300" w:lineRule="exact"/>
              <w:jc w:val="center"/>
              <w:rPr>
                <w:rFonts w:hint="default" w:ascii="Times New Roman" w:hAnsi="Times New Roman" w:eastAsia="宋体" w:cs="Times New Roman"/>
                <w:bCs/>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33" w:type="pct"/>
            <w:vMerge w:val="restart"/>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育肥猪</w:t>
            </w:r>
          </w:p>
        </w:tc>
        <w:tc>
          <w:tcPr>
            <w:tcW w:w="833" w:type="pct"/>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饲料</w:t>
            </w:r>
          </w:p>
        </w:tc>
        <w:tc>
          <w:tcPr>
            <w:tcW w:w="1419"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rPr>
            </w:pPr>
            <w:r>
              <w:rPr>
                <w:rFonts w:hint="default" w:ascii="Times New Roman" w:hAnsi="Times New Roman" w:eastAsia="宋体" w:cs="Times New Roman"/>
                <w:i w:val="0"/>
                <w:color w:val="auto"/>
                <w:kern w:val="0"/>
                <w:sz w:val="21"/>
                <w:szCs w:val="21"/>
                <w:u w:val="none"/>
                <w:lang w:val="en-US" w:eastAsia="zh-CN" w:bidi="ar"/>
              </w:rPr>
              <w:t>16.5</w:t>
            </w:r>
          </w:p>
        </w:tc>
        <w:tc>
          <w:tcPr>
            <w:tcW w:w="1419" w:type="dxa"/>
            <w:vMerge w:val="restart"/>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lang w:val="en-US" w:eastAsia="zh-CN"/>
              </w:rPr>
            </w:pPr>
            <w:r>
              <w:rPr>
                <w:rFonts w:hint="default" w:ascii="Times New Roman" w:hAnsi="Times New Roman" w:eastAsia="宋体" w:cs="Times New Roman"/>
                <w:i w:val="0"/>
                <w:color w:val="auto"/>
                <w:kern w:val="0"/>
                <w:sz w:val="21"/>
                <w:szCs w:val="21"/>
                <w:u w:val="none"/>
                <w:lang w:val="en-US" w:eastAsia="zh-CN" w:bidi="ar"/>
              </w:rPr>
              <w:t>11</w:t>
            </w:r>
          </w:p>
        </w:tc>
        <w:tc>
          <w:tcPr>
            <w:tcW w:w="1419" w:type="dxa"/>
            <w:vMerge w:val="restart"/>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lang w:val="en-US" w:eastAsia="zh-CN"/>
              </w:rPr>
            </w:pPr>
            <w:r>
              <w:rPr>
                <w:rFonts w:hint="default" w:ascii="Times New Roman" w:hAnsi="Times New Roman" w:eastAsia="宋体" w:cs="Times New Roman"/>
                <w:i w:val="0"/>
                <w:color w:val="auto"/>
                <w:kern w:val="0"/>
                <w:sz w:val="21"/>
                <w:szCs w:val="21"/>
                <w:u w:val="none"/>
                <w:lang w:val="en-US" w:eastAsia="zh-CN" w:bidi="ar"/>
              </w:rPr>
              <w:t>17.49</w:t>
            </w:r>
          </w:p>
        </w:tc>
        <w:tc>
          <w:tcPr>
            <w:tcW w:w="1422" w:type="dxa"/>
            <w:vMerge w:val="restart"/>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lang w:val="en-US" w:eastAsia="zh-CN"/>
              </w:rPr>
            </w:pPr>
            <w:r>
              <w:rPr>
                <w:rFonts w:hint="default" w:ascii="Times New Roman" w:hAnsi="Times New Roman" w:eastAsia="宋体" w:cs="Times New Roman"/>
                <w:i w:val="0"/>
                <w:color w:val="auto"/>
                <w:kern w:val="0"/>
                <w:sz w:val="21"/>
                <w:szCs w:val="21"/>
                <w:u w:val="none"/>
                <w:lang w:val="en-US" w:eastAsia="zh-CN" w:bidi="ar"/>
              </w:rPr>
              <w:t>43.01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33" w:type="pct"/>
            <w:vMerge w:val="continue"/>
            <w:noWrap w:val="0"/>
            <w:vAlign w:val="center"/>
          </w:tcPr>
          <w:p>
            <w:pPr>
              <w:spacing w:line="300" w:lineRule="exact"/>
              <w:jc w:val="center"/>
              <w:rPr>
                <w:rFonts w:hint="default" w:ascii="Times New Roman" w:hAnsi="Times New Roman" w:eastAsia="宋体" w:cs="Times New Roman"/>
                <w:bCs/>
                <w:color w:val="auto"/>
                <w:szCs w:val="21"/>
              </w:rPr>
            </w:pPr>
          </w:p>
        </w:tc>
        <w:tc>
          <w:tcPr>
            <w:tcW w:w="833" w:type="pct"/>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新鲜水</w:t>
            </w:r>
          </w:p>
        </w:tc>
        <w:tc>
          <w:tcPr>
            <w:tcW w:w="1419"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rPr>
            </w:pPr>
            <w:r>
              <w:rPr>
                <w:rFonts w:hint="default" w:ascii="Times New Roman" w:hAnsi="Times New Roman" w:eastAsia="宋体" w:cs="Times New Roman"/>
                <w:i w:val="0"/>
                <w:color w:val="auto"/>
                <w:kern w:val="0"/>
                <w:sz w:val="21"/>
                <w:szCs w:val="21"/>
                <w:u w:val="none"/>
                <w:lang w:val="en-US" w:eastAsia="zh-CN" w:bidi="ar"/>
              </w:rPr>
              <w:t>55</w:t>
            </w:r>
          </w:p>
        </w:tc>
        <w:tc>
          <w:tcPr>
            <w:tcW w:w="833" w:type="pct"/>
            <w:vMerge w:val="continue"/>
            <w:noWrap w:val="0"/>
            <w:vAlign w:val="center"/>
          </w:tcPr>
          <w:p>
            <w:pPr>
              <w:spacing w:line="300" w:lineRule="exact"/>
              <w:jc w:val="center"/>
              <w:rPr>
                <w:rFonts w:hint="default" w:ascii="Times New Roman" w:hAnsi="Times New Roman" w:eastAsia="宋体" w:cs="Times New Roman"/>
                <w:bCs/>
                <w:color w:val="auto"/>
                <w:szCs w:val="21"/>
                <w:lang w:val="en-US" w:eastAsia="zh-CN"/>
              </w:rPr>
            </w:pPr>
          </w:p>
        </w:tc>
        <w:tc>
          <w:tcPr>
            <w:tcW w:w="833" w:type="pct"/>
            <w:vMerge w:val="continue"/>
            <w:noWrap w:val="0"/>
            <w:vAlign w:val="center"/>
          </w:tcPr>
          <w:p>
            <w:pPr>
              <w:spacing w:line="300" w:lineRule="exact"/>
              <w:jc w:val="center"/>
              <w:rPr>
                <w:rFonts w:hint="default" w:ascii="Times New Roman" w:hAnsi="Times New Roman" w:eastAsia="宋体" w:cs="Times New Roman"/>
                <w:bCs/>
                <w:color w:val="auto"/>
                <w:szCs w:val="21"/>
                <w:lang w:val="en-US" w:eastAsia="zh-CN"/>
              </w:rPr>
            </w:pPr>
          </w:p>
        </w:tc>
        <w:tc>
          <w:tcPr>
            <w:tcW w:w="833" w:type="pct"/>
            <w:vMerge w:val="continue"/>
            <w:noWrap w:val="0"/>
            <w:vAlign w:val="center"/>
          </w:tcPr>
          <w:p>
            <w:pPr>
              <w:spacing w:line="300" w:lineRule="exact"/>
              <w:jc w:val="center"/>
              <w:rPr>
                <w:rFonts w:hint="default" w:ascii="Times New Roman" w:hAnsi="Times New Roman" w:eastAsia="宋体" w:cs="Times New Roman"/>
                <w:bCs/>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33" w:type="pct"/>
            <w:vMerge w:val="restart"/>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总计</w:t>
            </w:r>
          </w:p>
        </w:tc>
        <w:tc>
          <w:tcPr>
            <w:tcW w:w="833" w:type="pct"/>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饲料</w:t>
            </w:r>
          </w:p>
        </w:tc>
        <w:tc>
          <w:tcPr>
            <w:tcW w:w="1419"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rPr>
            </w:pPr>
            <w:r>
              <w:rPr>
                <w:rFonts w:hint="default" w:ascii="Times New Roman" w:hAnsi="Times New Roman" w:eastAsia="宋体" w:cs="Times New Roman"/>
                <w:i w:val="0"/>
                <w:color w:val="auto"/>
                <w:kern w:val="0"/>
                <w:sz w:val="21"/>
                <w:szCs w:val="21"/>
                <w:u w:val="none"/>
                <w:lang w:val="en-US" w:eastAsia="zh-CN" w:bidi="ar"/>
              </w:rPr>
              <w:t>17.984</w:t>
            </w:r>
          </w:p>
        </w:tc>
        <w:tc>
          <w:tcPr>
            <w:tcW w:w="1419" w:type="dxa"/>
            <w:vMerge w:val="restart"/>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lang w:val="en-US" w:eastAsia="zh-CN"/>
              </w:rPr>
            </w:pPr>
            <w:r>
              <w:rPr>
                <w:rFonts w:hint="default" w:ascii="Times New Roman" w:hAnsi="Times New Roman" w:eastAsia="宋体" w:cs="Times New Roman"/>
                <w:i w:val="0"/>
                <w:color w:val="auto"/>
                <w:kern w:val="0"/>
                <w:sz w:val="21"/>
                <w:szCs w:val="21"/>
                <w:u w:val="none"/>
                <w:lang w:val="en-US" w:eastAsia="zh-CN" w:bidi="ar"/>
              </w:rPr>
              <w:t>11.835</w:t>
            </w:r>
          </w:p>
        </w:tc>
        <w:tc>
          <w:tcPr>
            <w:tcW w:w="1419" w:type="dxa"/>
            <w:vMerge w:val="restart"/>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lang w:val="en-US" w:eastAsia="zh-CN"/>
              </w:rPr>
            </w:pPr>
            <w:r>
              <w:rPr>
                <w:rFonts w:hint="default" w:ascii="Times New Roman" w:hAnsi="Times New Roman" w:eastAsia="宋体" w:cs="Times New Roman"/>
                <w:i w:val="0"/>
                <w:color w:val="auto"/>
                <w:kern w:val="0"/>
                <w:sz w:val="21"/>
                <w:szCs w:val="21"/>
                <w:u w:val="none"/>
                <w:lang w:val="en-US" w:eastAsia="zh-CN" w:bidi="ar"/>
              </w:rPr>
              <w:t>20.98</w:t>
            </w:r>
          </w:p>
        </w:tc>
        <w:tc>
          <w:tcPr>
            <w:tcW w:w="1422" w:type="dxa"/>
            <w:vMerge w:val="restart"/>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lang w:val="en-US" w:eastAsia="zh-CN"/>
              </w:rPr>
            </w:pPr>
            <w:r>
              <w:rPr>
                <w:rFonts w:hint="default" w:ascii="Times New Roman" w:hAnsi="Times New Roman" w:eastAsia="宋体" w:cs="Times New Roman"/>
                <w:i w:val="0"/>
                <w:color w:val="auto"/>
                <w:kern w:val="0"/>
                <w:sz w:val="21"/>
                <w:szCs w:val="21"/>
                <w:u w:val="none"/>
                <w:lang w:val="en-US" w:eastAsia="zh-CN" w:bidi="ar"/>
              </w:rPr>
              <w:t>43.879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33" w:type="pct"/>
            <w:vMerge w:val="continue"/>
            <w:noWrap w:val="0"/>
            <w:vAlign w:val="center"/>
          </w:tcPr>
          <w:p>
            <w:pPr>
              <w:spacing w:line="300" w:lineRule="exact"/>
              <w:jc w:val="center"/>
              <w:rPr>
                <w:rFonts w:hint="default" w:ascii="Times New Roman" w:hAnsi="Times New Roman" w:eastAsia="宋体" w:cs="Times New Roman"/>
                <w:bCs/>
                <w:color w:val="auto"/>
                <w:szCs w:val="21"/>
              </w:rPr>
            </w:pPr>
          </w:p>
        </w:tc>
        <w:tc>
          <w:tcPr>
            <w:tcW w:w="833" w:type="pct"/>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新鲜水</w:t>
            </w:r>
          </w:p>
        </w:tc>
        <w:tc>
          <w:tcPr>
            <w:tcW w:w="1419" w:type="dxa"/>
            <w:noWrap w:val="0"/>
            <w:vAlign w:val="center"/>
          </w:tcPr>
          <w:p>
            <w:pPr>
              <w:keepNext w:val="0"/>
              <w:keepLines w:val="0"/>
              <w:widowControl/>
              <w:suppressLineNumbers w:val="0"/>
              <w:jc w:val="center"/>
              <w:textAlignment w:val="center"/>
              <w:rPr>
                <w:rFonts w:hint="default" w:ascii="Times New Roman" w:hAnsi="Times New Roman" w:eastAsia="宋体" w:cs="Times New Roman"/>
                <w:bCs/>
                <w:color w:val="auto"/>
                <w:szCs w:val="21"/>
              </w:rPr>
            </w:pPr>
            <w:r>
              <w:rPr>
                <w:rFonts w:hint="default" w:ascii="Times New Roman" w:hAnsi="Times New Roman" w:eastAsia="宋体" w:cs="Times New Roman"/>
                <w:i w:val="0"/>
                <w:color w:val="auto"/>
                <w:kern w:val="0"/>
                <w:sz w:val="21"/>
                <w:szCs w:val="21"/>
                <w:u w:val="none"/>
                <w:lang w:val="en-US" w:eastAsia="zh-CN" w:bidi="ar"/>
              </w:rPr>
              <w:t>58.71</w:t>
            </w:r>
          </w:p>
        </w:tc>
        <w:tc>
          <w:tcPr>
            <w:tcW w:w="833" w:type="pct"/>
            <w:vMerge w:val="continue"/>
            <w:noWrap w:val="0"/>
            <w:vAlign w:val="center"/>
          </w:tcPr>
          <w:p>
            <w:pPr>
              <w:spacing w:line="300" w:lineRule="exact"/>
              <w:jc w:val="center"/>
              <w:rPr>
                <w:rFonts w:hint="default" w:ascii="Times New Roman" w:hAnsi="Times New Roman" w:eastAsia="宋体" w:cs="Times New Roman"/>
                <w:bCs/>
                <w:color w:val="auto"/>
                <w:szCs w:val="21"/>
              </w:rPr>
            </w:pPr>
          </w:p>
        </w:tc>
        <w:tc>
          <w:tcPr>
            <w:tcW w:w="833" w:type="pct"/>
            <w:vMerge w:val="continue"/>
            <w:noWrap w:val="0"/>
            <w:vAlign w:val="center"/>
          </w:tcPr>
          <w:p>
            <w:pPr>
              <w:spacing w:line="300" w:lineRule="exact"/>
              <w:jc w:val="center"/>
              <w:rPr>
                <w:rFonts w:hint="default" w:ascii="Times New Roman" w:hAnsi="Times New Roman" w:eastAsia="宋体" w:cs="Times New Roman"/>
                <w:bCs/>
                <w:color w:val="auto"/>
                <w:szCs w:val="21"/>
              </w:rPr>
            </w:pPr>
          </w:p>
        </w:tc>
        <w:tc>
          <w:tcPr>
            <w:tcW w:w="833" w:type="pct"/>
            <w:vMerge w:val="continue"/>
            <w:noWrap w:val="0"/>
            <w:vAlign w:val="center"/>
          </w:tcPr>
          <w:p>
            <w:pPr>
              <w:spacing w:line="300" w:lineRule="exact"/>
              <w:jc w:val="center"/>
              <w:rPr>
                <w:rFonts w:hint="default" w:ascii="Times New Roman" w:hAnsi="Times New Roman" w:eastAsia="宋体" w:cs="Times New Roman"/>
                <w:bCs/>
                <w:color w:val="auto"/>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833" w:type="pct"/>
            <w:vMerge w:val="continue"/>
            <w:noWrap w:val="0"/>
            <w:vAlign w:val="center"/>
          </w:tcPr>
          <w:p>
            <w:pPr>
              <w:spacing w:line="300" w:lineRule="exact"/>
              <w:jc w:val="center"/>
              <w:rPr>
                <w:rFonts w:hint="default" w:ascii="Times New Roman" w:hAnsi="Times New Roman" w:eastAsia="宋体" w:cs="Times New Roman"/>
                <w:bCs/>
                <w:color w:val="auto"/>
                <w:szCs w:val="21"/>
              </w:rPr>
            </w:pPr>
          </w:p>
        </w:tc>
        <w:tc>
          <w:tcPr>
            <w:tcW w:w="1666" w:type="pct"/>
            <w:gridSpan w:val="2"/>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投入</w:t>
            </w:r>
          </w:p>
        </w:tc>
        <w:tc>
          <w:tcPr>
            <w:tcW w:w="2500" w:type="pct"/>
            <w:gridSpan w:val="3"/>
            <w:noWrap w:val="0"/>
            <w:vAlign w:val="center"/>
          </w:tcPr>
          <w:p>
            <w:pPr>
              <w:spacing w:line="300" w:lineRule="exac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产出</w:t>
            </w:r>
          </w:p>
        </w:tc>
      </w:tr>
    </w:tbl>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hAnsi="宋体"/>
          <w:b w:val="0"/>
          <w:bCs/>
          <w:color w:val="auto"/>
          <w:sz w:val="21"/>
          <w:szCs w:val="21"/>
        </w:rPr>
      </w:pPr>
      <w:r>
        <w:rPr>
          <w:rFonts w:hint="eastAsia" w:hAnsi="宋体"/>
          <w:b w:val="0"/>
          <w:bCs/>
          <w:sz w:val="24"/>
          <w:szCs w:val="24"/>
        </w:rPr>
        <w:object>
          <v:shape id="_x0000_i1035" o:spt="75" type="#_x0000_t75" style="height:102.7pt;width:427.25pt;" o:ole="t" filled="f" o:preferrelative="t" stroked="f" coordsize="21600,21600">
            <v:path/>
            <v:fill on="f" focussize="0,0"/>
            <v:stroke on="f"/>
            <v:imagedata r:id="rId44" o:title=""/>
            <o:lock v:ext="edit" aspectratio="f"/>
            <w10:wrap type="none"/>
            <w10:anchorlock/>
          </v:shape>
          <o:OLEObject Type="Embed" ProgID="Visio.Drawing.11" ShapeID="_x0000_i1035" DrawAspect="Content" ObjectID="_1468075735" r:id="rId43">
            <o:LockedField>false</o:LockedField>
          </o:OLEObject>
        </w:object>
      </w:r>
      <w:r>
        <w:rPr>
          <w:rFonts w:hAnsi="宋体"/>
          <w:b/>
          <w:bCs/>
          <w:color w:val="auto"/>
          <w:sz w:val="21"/>
          <w:szCs w:val="21"/>
        </w:rPr>
        <w:t>图</w:t>
      </w:r>
      <w:r>
        <w:rPr>
          <w:rFonts w:hint="eastAsia"/>
          <w:b/>
          <w:bCs/>
          <w:color w:val="auto"/>
          <w:sz w:val="21"/>
          <w:szCs w:val="21"/>
        </w:rPr>
        <w:t>3.</w:t>
      </w:r>
      <w:r>
        <w:rPr>
          <w:rFonts w:hint="eastAsia"/>
          <w:b/>
          <w:bCs/>
          <w:color w:val="auto"/>
          <w:sz w:val="21"/>
          <w:szCs w:val="21"/>
          <w:lang w:val="en-US" w:eastAsia="zh-CN"/>
        </w:rPr>
        <w:t>4</w:t>
      </w:r>
      <w:r>
        <w:rPr>
          <w:rFonts w:hint="eastAsia"/>
          <w:b/>
          <w:bCs/>
          <w:color w:val="auto"/>
          <w:sz w:val="21"/>
          <w:szCs w:val="21"/>
        </w:rPr>
        <w:t>-2  项目养殖区物料平衡图  单位：t/d</w:t>
      </w:r>
    </w:p>
    <w:p>
      <w:pPr>
        <w:pStyle w:val="5"/>
        <w:ind w:firstLine="562"/>
      </w:pPr>
      <w:r>
        <w:rPr>
          <w:rFonts w:hint="eastAsia"/>
          <w:lang w:eastAsia="zh-CN"/>
        </w:rPr>
        <w:t>营运期噪声污染源分析</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本项目噪声源主要为猪叫声、污水泵类、风机、发电机等的机械噪声等，群居猪特别是猪仔经常发出较尖锐的叫声，但随机性较大，一般噪声在70~80dB(A)左右。畜禽养殖企业本身的生产环境对噪声源有一定的控制要求，主要产噪设备为污水泵类、各类鼓风机等，设备噪声源强及拟采取的减缓措施见表</w:t>
      </w:r>
      <w:r>
        <w:rPr>
          <w:rFonts w:hint="eastAsia" w:cs="Times New Roman"/>
          <w:kern w:val="0"/>
          <w:sz w:val="24"/>
          <w:szCs w:val="24"/>
          <w:lang w:val="en-US" w:eastAsia="zh-CN" w:bidi="ar-SA"/>
        </w:rPr>
        <w:t>3.4-12</w:t>
      </w:r>
      <w:r>
        <w:rPr>
          <w:rFonts w:hint="default" w:ascii="Times New Roman" w:hAnsi="Times New Roman" w:eastAsia="宋体" w:cs="Times New Roman"/>
          <w:kern w:val="0"/>
          <w:sz w:val="24"/>
          <w:szCs w:val="24"/>
          <w:lang w:val="en-US" w:eastAsia="zh-CN" w:bidi="ar-SA"/>
        </w:rPr>
        <w:t xml:space="preserve">。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bCs/>
          <w:kern w:val="0"/>
          <w:sz w:val="21"/>
          <w:szCs w:val="21"/>
          <w:lang w:val="en-US" w:eastAsia="zh-CN" w:bidi="ar-SA"/>
        </w:rPr>
      </w:pPr>
      <w:r>
        <w:rPr>
          <w:rFonts w:hint="eastAsia" w:cs="Times New Roman"/>
          <w:b/>
          <w:bCs/>
          <w:kern w:val="0"/>
          <w:sz w:val="21"/>
          <w:szCs w:val="21"/>
          <w:lang w:val="en-US" w:eastAsia="zh-CN" w:bidi="ar-SA"/>
        </w:rPr>
        <w:t>表3.4-12  主要噪声设备源强及治理效果一览表</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81"/>
        <w:gridCol w:w="1605"/>
        <w:gridCol w:w="1500"/>
        <w:gridCol w:w="1305"/>
        <w:gridCol w:w="1635"/>
        <w:gridCol w:w="16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Borders>
              <w:top w:val="single" w:color="auto" w:sz="12" w:space="0"/>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序号</w:t>
            </w:r>
          </w:p>
        </w:tc>
        <w:tc>
          <w:tcPr>
            <w:tcW w:w="1605"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噪声源</w:t>
            </w:r>
          </w:p>
        </w:tc>
        <w:tc>
          <w:tcPr>
            <w:tcW w:w="1500"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源强dB(A)</w:t>
            </w:r>
          </w:p>
        </w:tc>
        <w:tc>
          <w:tcPr>
            <w:tcW w:w="1305"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产生方式</w:t>
            </w:r>
          </w:p>
        </w:tc>
        <w:tc>
          <w:tcPr>
            <w:tcW w:w="1635"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污染源位置</w:t>
            </w:r>
          </w:p>
        </w:tc>
        <w:tc>
          <w:tcPr>
            <w:tcW w:w="1696" w:type="dxa"/>
            <w:tcBorders>
              <w:top w:val="single" w:color="auto" w:sz="12" w:space="0"/>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拟采取的措施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Borders>
              <w:top w:val="single" w:color="auto" w:sz="12" w:space="0"/>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w:t>
            </w:r>
          </w:p>
        </w:tc>
        <w:tc>
          <w:tcPr>
            <w:tcW w:w="1605" w:type="dxa"/>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猪叫声</w:t>
            </w:r>
          </w:p>
        </w:tc>
        <w:tc>
          <w:tcPr>
            <w:tcW w:w="1500" w:type="dxa"/>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70-80</w:t>
            </w:r>
          </w:p>
        </w:tc>
        <w:tc>
          <w:tcPr>
            <w:tcW w:w="1305" w:type="dxa"/>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间断</w:t>
            </w:r>
          </w:p>
        </w:tc>
        <w:tc>
          <w:tcPr>
            <w:tcW w:w="1635" w:type="dxa"/>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全部猪舍</w:t>
            </w:r>
          </w:p>
        </w:tc>
        <w:tc>
          <w:tcPr>
            <w:tcW w:w="1696" w:type="dxa"/>
            <w:tcBorders>
              <w:top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w:t>
            </w:r>
          </w:p>
        </w:tc>
        <w:tc>
          <w:tcPr>
            <w:tcW w:w="16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风机</w:t>
            </w:r>
          </w:p>
        </w:tc>
        <w:tc>
          <w:tcPr>
            <w:tcW w:w="150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85-90</w:t>
            </w:r>
          </w:p>
        </w:tc>
        <w:tc>
          <w:tcPr>
            <w:tcW w:w="13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连续</w:t>
            </w:r>
          </w:p>
        </w:tc>
        <w:tc>
          <w:tcPr>
            <w:tcW w:w="163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全部猪舍</w:t>
            </w:r>
          </w:p>
        </w:tc>
        <w:tc>
          <w:tcPr>
            <w:tcW w:w="1696" w:type="dxa"/>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减震垫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81" w:type="dxa"/>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3</w:t>
            </w:r>
          </w:p>
        </w:tc>
        <w:tc>
          <w:tcPr>
            <w:tcW w:w="16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清粪机</w:t>
            </w:r>
          </w:p>
        </w:tc>
        <w:tc>
          <w:tcPr>
            <w:tcW w:w="150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75-85</w:t>
            </w:r>
          </w:p>
        </w:tc>
        <w:tc>
          <w:tcPr>
            <w:tcW w:w="13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间断</w:t>
            </w:r>
          </w:p>
        </w:tc>
        <w:tc>
          <w:tcPr>
            <w:tcW w:w="163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全部猪舍</w:t>
            </w:r>
          </w:p>
        </w:tc>
        <w:tc>
          <w:tcPr>
            <w:tcW w:w="1696" w:type="dxa"/>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减震垫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4</w:t>
            </w:r>
          </w:p>
        </w:tc>
        <w:tc>
          <w:tcPr>
            <w:tcW w:w="16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水泵</w:t>
            </w:r>
          </w:p>
        </w:tc>
        <w:tc>
          <w:tcPr>
            <w:tcW w:w="150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80-90</w:t>
            </w:r>
          </w:p>
        </w:tc>
        <w:tc>
          <w:tcPr>
            <w:tcW w:w="13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连续</w:t>
            </w:r>
          </w:p>
        </w:tc>
        <w:tc>
          <w:tcPr>
            <w:tcW w:w="163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污水处理设施</w:t>
            </w:r>
          </w:p>
        </w:tc>
        <w:tc>
          <w:tcPr>
            <w:tcW w:w="1696" w:type="dxa"/>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5</w:t>
            </w:r>
          </w:p>
        </w:tc>
        <w:tc>
          <w:tcPr>
            <w:tcW w:w="16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搅拌站</w:t>
            </w:r>
          </w:p>
        </w:tc>
        <w:tc>
          <w:tcPr>
            <w:tcW w:w="150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75-80</w:t>
            </w:r>
          </w:p>
        </w:tc>
        <w:tc>
          <w:tcPr>
            <w:tcW w:w="1305" w:type="dxa"/>
            <w:vAlign w:val="center"/>
          </w:tcPr>
          <w:p>
            <w:pPr>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连续</w:t>
            </w:r>
          </w:p>
        </w:tc>
        <w:tc>
          <w:tcPr>
            <w:tcW w:w="1635" w:type="dxa"/>
            <w:vAlign w:val="center"/>
          </w:tcPr>
          <w:p>
            <w:pPr>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污水处理设施</w:t>
            </w:r>
          </w:p>
        </w:tc>
        <w:tc>
          <w:tcPr>
            <w:tcW w:w="1696" w:type="dxa"/>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减震垫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6</w:t>
            </w:r>
          </w:p>
        </w:tc>
        <w:tc>
          <w:tcPr>
            <w:tcW w:w="16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污泵</w:t>
            </w:r>
          </w:p>
        </w:tc>
        <w:tc>
          <w:tcPr>
            <w:tcW w:w="150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80-90</w:t>
            </w:r>
          </w:p>
        </w:tc>
        <w:tc>
          <w:tcPr>
            <w:tcW w:w="1305" w:type="dxa"/>
            <w:vAlign w:val="center"/>
          </w:tcPr>
          <w:p>
            <w:pPr>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连续</w:t>
            </w:r>
          </w:p>
        </w:tc>
        <w:tc>
          <w:tcPr>
            <w:tcW w:w="1635" w:type="dxa"/>
            <w:vAlign w:val="center"/>
          </w:tcPr>
          <w:p>
            <w:pPr>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污水处理设施</w:t>
            </w:r>
          </w:p>
        </w:tc>
        <w:tc>
          <w:tcPr>
            <w:tcW w:w="1696" w:type="dxa"/>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减震垫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81" w:type="dxa"/>
            <w:tcBorders>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7</w:t>
            </w:r>
          </w:p>
        </w:tc>
        <w:tc>
          <w:tcPr>
            <w:tcW w:w="1605" w:type="dxa"/>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柴油发电机</w:t>
            </w:r>
          </w:p>
        </w:tc>
        <w:tc>
          <w:tcPr>
            <w:tcW w:w="1500" w:type="dxa"/>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80-90</w:t>
            </w:r>
          </w:p>
        </w:tc>
        <w:tc>
          <w:tcPr>
            <w:tcW w:w="1305" w:type="dxa"/>
            <w:tcBorders>
              <w:bottom w:val="single" w:color="auto" w:sz="12" w:space="0"/>
            </w:tcBorders>
            <w:vAlign w:val="center"/>
          </w:tcPr>
          <w:p>
            <w:pPr>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连续</w:t>
            </w:r>
          </w:p>
        </w:tc>
        <w:tc>
          <w:tcPr>
            <w:tcW w:w="1635" w:type="dxa"/>
            <w:tcBorders>
              <w:bottom w:val="single" w:color="auto" w:sz="12" w:space="0"/>
            </w:tcBorders>
            <w:vAlign w:val="center"/>
          </w:tcPr>
          <w:p>
            <w:pPr>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配电房</w:t>
            </w:r>
          </w:p>
        </w:tc>
        <w:tc>
          <w:tcPr>
            <w:tcW w:w="1696" w:type="dxa"/>
            <w:tcBorders>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减震垫</w:t>
            </w:r>
          </w:p>
        </w:tc>
      </w:tr>
    </w:tbl>
    <w:p>
      <w:pPr>
        <w:pStyle w:val="5"/>
        <w:ind w:firstLine="562"/>
      </w:pPr>
      <w:r>
        <w:rPr>
          <w:rFonts w:hint="eastAsia"/>
          <w:lang w:eastAsia="zh-CN"/>
        </w:rPr>
        <w:t>营运期固体废物污染源分析</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本项目产生的固体废物主要有猪粪便、病死猪、医疗废物及员工生活垃圾等</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1" w:firstLineChars="200"/>
        <w:jc w:val="left"/>
        <w:textAlignment w:val="auto"/>
        <w:rPr>
          <w:rFonts w:hint="default" w:ascii="Times New Roman" w:hAnsi="Times New Roman" w:eastAsia="宋体" w:cs="Times New Roman"/>
          <w:kern w:val="0"/>
          <w:sz w:val="24"/>
          <w:szCs w:val="24"/>
          <w:lang w:val="en-US" w:eastAsia="zh-CN" w:bidi="ar-SA"/>
        </w:rPr>
      </w:pPr>
      <w:r>
        <w:rPr>
          <w:rFonts w:hint="eastAsia" w:cs="Times New Roman"/>
          <w:b/>
          <w:bCs/>
          <w:kern w:val="0"/>
          <w:sz w:val="24"/>
          <w:szCs w:val="24"/>
          <w:lang w:val="en-US" w:eastAsia="zh-CN" w:bidi="ar-SA"/>
        </w:rPr>
        <w:t>（1）</w:t>
      </w:r>
      <w:r>
        <w:rPr>
          <w:rFonts w:hint="default" w:ascii="Times New Roman" w:hAnsi="Times New Roman" w:eastAsia="宋体" w:cs="Times New Roman"/>
          <w:b/>
          <w:bCs/>
          <w:kern w:val="0"/>
          <w:sz w:val="24"/>
          <w:szCs w:val="24"/>
          <w:lang w:val="en-US" w:eastAsia="zh-CN" w:bidi="ar-SA"/>
        </w:rPr>
        <w:t>猪粪便</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根据业主提供的资料和同行业的类比分析及《第一次全国污染源普查畜禽养殖业源产排污系数手册》相关资料可知，</w:t>
      </w:r>
      <w:r>
        <w:rPr>
          <w:rFonts w:hint="eastAsia" w:cs="Times New Roman"/>
          <w:kern w:val="0"/>
          <w:sz w:val="24"/>
          <w:szCs w:val="24"/>
          <w:lang w:val="en-US" w:eastAsia="zh-CN" w:bidi="ar-SA"/>
        </w:rPr>
        <w:t>猪粪产生量为4319.775t/a。</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eastAsia" w:cs="Times New Roman"/>
          <w:kern w:val="0"/>
          <w:sz w:val="24"/>
          <w:szCs w:val="24"/>
          <w:lang w:val="en-US" w:eastAsia="zh-CN" w:bidi="ar-SA"/>
        </w:rPr>
        <w:t>未经处理的猪粪属于高污染高致病污染物集合体，本项目产生的猪粪与猪尿等一起经异位发酵床工艺处理后制成有机肥料外售，育肥猪粪一般为80%-85%，原始干物料15%左右，如花生壳、稻糠、秸秆；发酵后晾晒干物料30%左右；混合后物料：控制在55%-65%之间，以60%为最佳，该含水率情况下1天升温至50℃以上，保证快速发酵，否则说明含水率过高，需增加干料降低水分。因此猪粪便按60%计算，可制得有机肥2591.86t/a，制成后外售不外排。</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1" w:firstLineChars="200"/>
        <w:jc w:val="left"/>
        <w:textAlignment w:val="auto"/>
        <w:rPr>
          <w:rFonts w:hint="default" w:ascii="Times New Roman" w:hAnsi="Times New Roman" w:eastAsia="宋体" w:cs="Times New Roman"/>
          <w:b/>
          <w:bCs/>
          <w:kern w:val="0"/>
          <w:sz w:val="24"/>
          <w:szCs w:val="24"/>
          <w:lang w:val="en-US" w:eastAsia="zh-CN" w:bidi="ar-SA"/>
        </w:rPr>
      </w:pPr>
      <w:r>
        <w:rPr>
          <w:rFonts w:hint="eastAsia" w:cs="Times New Roman"/>
          <w:b/>
          <w:bCs/>
          <w:kern w:val="0"/>
          <w:sz w:val="24"/>
          <w:szCs w:val="24"/>
          <w:lang w:val="en-US" w:eastAsia="zh-CN" w:bidi="ar-SA"/>
        </w:rPr>
        <w:t>（2）病死猪</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项目在运营饲养过程中不可避免会出现猪病死现像，类比行业内同类项目及根据农垦集团多年养殖经验，</w:t>
      </w:r>
      <w:r>
        <w:rPr>
          <w:rFonts w:hint="eastAsia" w:cs="Times New Roman"/>
          <w:kern w:val="0"/>
          <w:sz w:val="24"/>
          <w:szCs w:val="24"/>
          <w:lang w:val="en-US" w:eastAsia="zh-CN" w:bidi="ar-SA"/>
        </w:rPr>
        <w:t>保育猪</w:t>
      </w:r>
      <w:r>
        <w:rPr>
          <w:rFonts w:hint="default" w:ascii="Times New Roman" w:hAnsi="Times New Roman" w:eastAsia="宋体" w:cs="Times New Roman"/>
          <w:kern w:val="0"/>
          <w:sz w:val="24"/>
          <w:szCs w:val="24"/>
          <w:lang w:val="en-US" w:eastAsia="zh-CN" w:bidi="ar-SA"/>
        </w:rPr>
        <w:t>的平均死亡率按</w:t>
      </w:r>
      <w:r>
        <w:rPr>
          <w:rFonts w:hint="eastAsia" w:cs="Times New Roman"/>
          <w:kern w:val="0"/>
          <w:sz w:val="24"/>
          <w:szCs w:val="24"/>
          <w:lang w:val="en-US" w:eastAsia="zh-CN" w:bidi="ar-SA"/>
        </w:rPr>
        <w:t>保育猪</w:t>
      </w:r>
      <w:r>
        <w:rPr>
          <w:rFonts w:hint="default" w:ascii="Times New Roman" w:hAnsi="Times New Roman" w:eastAsia="宋体" w:cs="Times New Roman"/>
          <w:kern w:val="0"/>
          <w:sz w:val="24"/>
          <w:szCs w:val="24"/>
          <w:lang w:val="en-US" w:eastAsia="zh-CN" w:bidi="ar-SA"/>
        </w:rPr>
        <w:t>数的5%计，</w:t>
      </w:r>
      <w:r>
        <w:rPr>
          <w:rFonts w:hint="eastAsia" w:cs="Times New Roman"/>
          <w:kern w:val="0"/>
          <w:sz w:val="24"/>
          <w:szCs w:val="24"/>
          <w:lang w:val="en-US" w:eastAsia="zh-CN" w:bidi="ar-SA"/>
        </w:rPr>
        <w:t>保育猪</w:t>
      </w:r>
      <w:r>
        <w:rPr>
          <w:rFonts w:hint="default" w:ascii="Times New Roman" w:hAnsi="Times New Roman" w:eastAsia="宋体" w:cs="Times New Roman"/>
          <w:kern w:val="0"/>
          <w:sz w:val="24"/>
          <w:szCs w:val="24"/>
          <w:lang w:val="en-US" w:eastAsia="zh-CN" w:bidi="ar-SA"/>
        </w:rPr>
        <w:t>病死数预计</w:t>
      </w:r>
      <w:r>
        <w:rPr>
          <w:rFonts w:hint="eastAsia" w:cs="Times New Roman"/>
          <w:kern w:val="0"/>
          <w:sz w:val="24"/>
          <w:szCs w:val="24"/>
          <w:lang w:val="en-US" w:eastAsia="zh-CN" w:bidi="ar-SA"/>
        </w:rPr>
        <w:t>93</w:t>
      </w:r>
      <w:r>
        <w:rPr>
          <w:rFonts w:hint="default" w:ascii="Times New Roman" w:hAnsi="Times New Roman" w:eastAsia="宋体" w:cs="Times New Roman"/>
          <w:kern w:val="0"/>
          <w:sz w:val="24"/>
          <w:szCs w:val="24"/>
          <w:lang w:val="en-US" w:eastAsia="zh-CN" w:bidi="ar-SA"/>
        </w:rPr>
        <w:t>头/年，</w:t>
      </w:r>
      <w:r>
        <w:rPr>
          <w:rFonts w:hint="eastAsia" w:cs="Times New Roman"/>
          <w:kern w:val="0"/>
          <w:sz w:val="24"/>
          <w:szCs w:val="24"/>
          <w:lang w:val="en-US" w:eastAsia="zh-CN" w:bidi="ar-SA"/>
        </w:rPr>
        <w:t>保育猪</w:t>
      </w:r>
      <w:r>
        <w:rPr>
          <w:rFonts w:hint="default" w:ascii="Times New Roman" w:hAnsi="Times New Roman" w:eastAsia="宋体" w:cs="Times New Roman"/>
          <w:kern w:val="0"/>
          <w:sz w:val="24"/>
          <w:szCs w:val="24"/>
          <w:lang w:val="en-US" w:eastAsia="zh-CN" w:bidi="ar-SA"/>
        </w:rPr>
        <w:t>按平均每头按</w:t>
      </w:r>
      <w:r>
        <w:rPr>
          <w:rFonts w:hint="eastAsia" w:cs="Times New Roman"/>
          <w:kern w:val="0"/>
          <w:sz w:val="24"/>
          <w:szCs w:val="24"/>
          <w:lang w:val="en-US" w:eastAsia="zh-CN" w:bidi="ar-SA"/>
        </w:rPr>
        <w:t>10</w:t>
      </w:r>
      <w:r>
        <w:rPr>
          <w:rFonts w:hint="default" w:ascii="Times New Roman" w:hAnsi="Times New Roman" w:eastAsia="宋体" w:cs="Times New Roman"/>
          <w:kern w:val="0"/>
          <w:sz w:val="24"/>
          <w:szCs w:val="24"/>
          <w:lang w:val="en-US" w:eastAsia="zh-CN" w:bidi="ar-SA"/>
        </w:rPr>
        <w:t>kg计，约</w:t>
      </w:r>
      <w:r>
        <w:rPr>
          <w:rFonts w:hint="eastAsia" w:cs="Times New Roman"/>
          <w:kern w:val="0"/>
          <w:sz w:val="24"/>
          <w:szCs w:val="24"/>
          <w:lang w:val="en-US" w:eastAsia="zh-CN" w:bidi="ar-SA"/>
        </w:rPr>
        <w:t>0.93</w:t>
      </w:r>
      <w:r>
        <w:rPr>
          <w:rFonts w:hint="default" w:ascii="Times New Roman" w:hAnsi="Times New Roman" w:eastAsia="宋体" w:cs="Times New Roman"/>
          <w:kern w:val="0"/>
          <w:sz w:val="24"/>
          <w:szCs w:val="24"/>
          <w:lang w:val="en-US" w:eastAsia="zh-CN" w:bidi="ar-SA"/>
        </w:rPr>
        <w:t>t/a；育肥猪平均死亡率按1%计，育肥猪死亡数预计</w:t>
      </w:r>
      <w:r>
        <w:rPr>
          <w:rFonts w:hint="eastAsia" w:cs="Times New Roman"/>
          <w:kern w:val="0"/>
          <w:sz w:val="24"/>
          <w:szCs w:val="24"/>
          <w:lang w:val="en-US" w:eastAsia="zh-CN" w:bidi="ar-SA"/>
        </w:rPr>
        <w:t>55</w:t>
      </w:r>
      <w:r>
        <w:rPr>
          <w:rFonts w:hint="default" w:ascii="Times New Roman" w:hAnsi="Times New Roman" w:eastAsia="宋体" w:cs="Times New Roman"/>
          <w:kern w:val="0"/>
          <w:sz w:val="24"/>
          <w:szCs w:val="24"/>
          <w:lang w:val="en-US" w:eastAsia="zh-CN" w:bidi="ar-SA"/>
        </w:rPr>
        <w:t>头/a，育肥猪平均每头按100kg计，约</w:t>
      </w:r>
      <w:r>
        <w:rPr>
          <w:rFonts w:hint="eastAsia" w:cs="Times New Roman"/>
          <w:kern w:val="0"/>
          <w:sz w:val="24"/>
          <w:szCs w:val="24"/>
          <w:lang w:val="en-US" w:eastAsia="zh-CN" w:bidi="ar-SA"/>
        </w:rPr>
        <w:t>5.5</w:t>
      </w:r>
      <w:r>
        <w:rPr>
          <w:rFonts w:hint="default" w:ascii="Times New Roman" w:hAnsi="Times New Roman" w:eastAsia="宋体" w:cs="Times New Roman"/>
          <w:kern w:val="0"/>
          <w:sz w:val="24"/>
          <w:szCs w:val="24"/>
          <w:lang w:val="en-US" w:eastAsia="zh-CN" w:bidi="ar-SA"/>
        </w:rPr>
        <w:t>t/a；共计产生病死猪</w:t>
      </w:r>
      <w:r>
        <w:rPr>
          <w:rFonts w:hint="eastAsia" w:cs="Times New Roman"/>
          <w:kern w:val="0"/>
          <w:sz w:val="24"/>
          <w:szCs w:val="24"/>
          <w:lang w:val="en-US" w:eastAsia="zh-CN" w:bidi="ar-SA"/>
        </w:rPr>
        <w:t>6.43</w:t>
      </w:r>
      <w:r>
        <w:rPr>
          <w:rFonts w:hint="default" w:ascii="Times New Roman" w:hAnsi="Times New Roman" w:eastAsia="宋体" w:cs="Times New Roman"/>
          <w:kern w:val="0"/>
          <w:sz w:val="24"/>
          <w:szCs w:val="24"/>
          <w:lang w:val="en-US" w:eastAsia="zh-CN" w:bidi="ar-SA"/>
        </w:rPr>
        <w:t xml:space="preserve">t/a。 拟建项目配套病死猪无害处理设备1套，通过添加生物菌种，经过分切、绞碎、高温发酵、高温杀菌、干燥等工序后，经病死猪降解变成无病菌的有机肥包装外售。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1" w:firstLineChars="200"/>
        <w:jc w:val="left"/>
        <w:textAlignment w:val="auto"/>
        <w:rPr>
          <w:rFonts w:hint="default" w:ascii="Times New Roman" w:hAnsi="Times New Roman" w:eastAsia="宋体" w:cs="Times New Roman"/>
          <w:b/>
          <w:bCs/>
          <w:kern w:val="0"/>
          <w:sz w:val="24"/>
          <w:szCs w:val="24"/>
          <w:lang w:val="en-US" w:eastAsia="zh-CN" w:bidi="ar-SA"/>
        </w:rPr>
      </w:pPr>
      <w:r>
        <w:rPr>
          <w:rFonts w:hint="eastAsia" w:cs="Times New Roman"/>
          <w:b/>
          <w:bCs/>
          <w:kern w:val="0"/>
          <w:sz w:val="24"/>
          <w:szCs w:val="24"/>
          <w:lang w:val="en-US" w:eastAsia="zh-CN" w:bidi="ar-SA"/>
        </w:rPr>
        <w:t>（3）医疗废物</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项目运营过程中使用消毒剂及猪防疫时会产生废兽药、消毒剂瓶，根据经验估算，预计废</w:t>
      </w:r>
      <w:r>
        <w:rPr>
          <w:rFonts w:hint="default" w:ascii="Times New Roman" w:hAnsi="Times New Roman" w:eastAsia="宋体" w:cs="Times New Roman"/>
          <w:color w:val="auto"/>
          <w:kern w:val="0"/>
          <w:sz w:val="24"/>
          <w:szCs w:val="24"/>
          <w:lang w:val="en-US" w:eastAsia="zh-CN" w:bidi="ar-SA"/>
        </w:rPr>
        <w:t>兽药、消毒剂瓶约为</w:t>
      </w:r>
      <w:r>
        <w:rPr>
          <w:rFonts w:hint="eastAsia" w:cs="Times New Roman"/>
          <w:color w:val="auto"/>
          <w:kern w:val="0"/>
          <w:sz w:val="24"/>
          <w:szCs w:val="24"/>
          <w:lang w:val="en-US" w:eastAsia="zh-CN" w:bidi="ar-SA"/>
        </w:rPr>
        <w:t>0.7</w:t>
      </w:r>
      <w:r>
        <w:rPr>
          <w:rFonts w:hint="default" w:ascii="Times New Roman" w:hAnsi="Times New Roman" w:eastAsia="宋体" w:cs="Times New Roman"/>
          <w:color w:val="auto"/>
          <w:kern w:val="0"/>
          <w:sz w:val="24"/>
          <w:szCs w:val="24"/>
          <w:lang w:val="en-US" w:eastAsia="zh-CN" w:bidi="ar-SA"/>
        </w:rPr>
        <w:t>t/a。根据《国家</w:t>
      </w:r>
      <w:r>
        <w:rPr>
          <w:rFonts w:hint="default" w:ascii="Times New Roman" w:hAnsi="Times New Roman" w:eastAsia="宋体" w:cs="Times New Roman"/>
          <w:kern w:val="0"/>
          <w:sz w:val="24"/>
          <w:szCs w:val="24"/>
          <w:lang w:val="en-US" w:eastAsia="zh-CN" w:bidi="ar-SA"/>
        </w:rPr>
        <w:t xml:space="preserve">危险废物目录》（2016年版），本项目产生的废兽药、消毒剂瓶为危险废物，经收集后堆放于危废废物暂存间，定期交由有危废处理资质的单位处理。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1" w:firstLineChars="200"/>
        <w:jc w:val="left"/>
        <w:textAlignment w:val="auto"/>
        <w:rPr>
          <w:rFonts w:hint="default" w:ascii="Times New Roman" w:hAnsi="Times New Roman" w:eastAsia="宋体" w:cs="Times New Roman"/>
          <w:b/>
          <w:bCs/>
          <w:kern w:val="0"/>
          <w:sz w:val="24"/>
          <w:szCs w:val="24"/>
          <w:lang w:val="en-US" w:eastAsia="zh-CN" w:bidi="ar-SA"/>
        </w:rPr>
      </w:pPr>
      <w:r>
        <w:rPr>
          <w:rFonts w:hint="eastAsia" w:cs="Times New Roman"/>
          <w:b/>
          <w:bCs/>
          <w:kern w:val="0"/>
          <w:sz w:val="24"/>
          <w:szCs w:val="24"/>
          <w:lang w:val="en-US" w:eastAsia="zh-CN" w:bidi="ar-SA"/>
        </w:rPr>
        <w:t>（4）生活垃圾</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项目职工拟定</w:t>
      </w:r>
      <w:r>
        <w:rPr>
          <w:rFonts w:hint="eastAsia" w:cs="Times New Roman"/>
          <w:kern w:val="0"/>
          <w:sz w:val="24"/>
          <w:szCs w:val="24"/>
          <w:lang w:val="en-US" w:eastAsia="zh-CN" w:bidi="ar-SA"/>
        </w:rPr>
        <w:t>30</w:t>
      </w:r>
      <w:r>
        <w:rPr>
          <w:rFonts w:hint="default" w:ascii="Times New Roman" w:hAnsi="Times New Roman" w:eastAsia="宋体" w:cs="Times New Roman"/>
          <w:kern w:val="0"/>
          <w:sz w:val="24"/>
          <w:szCs w:val="24"/>
          <w:lang w:val="en-US" w:eastAsia="zh-CN" w:bidi="ar-SA"/>
        </w:rPr>
        <w:t>人，全部在厂区住宿，年工作365天，生活垃圾产生量按1kg/d·人计算，则生活垃圾年产生量为</w:t>
      </w:r>
      <w:r>
        <w:rPr>
          <w:rFonts w:hint="eastAsia" w:cs="Times New Roman"/>
          <w:kern w:val="0"/>
          <w:sz w:val="24"/>
          <w:szCs w:val="24"/>
          <w:lang w:val="en-US" w:eastAsia="zh-CN" w:bidi="ar-SA"/>
        </w:rPr>
        <w:t>10.95</w:t>
      </w:r>
      <w:r>
        <w:rPr>
          <w:rFonts w:hint="default" w:ascii="Times New Roman" w:hAnsi="Times New Roman" w:eastAsia="宋体" w:cs="Times New Roman"/>
          <w:kern w:val="0"/>
          <w:sz w:val="24"/>
          <w:szCs w:val="24"/>
          <w:lang w:val="en-US" w:eastAsia="zh-CN" w:bidi="ar-SA"/>
        </w:rPr>
        <w:t xml:space="preserve">t/a。生活垃圾集中收集到场内收集点，定期运往附近村屯的垃圾收集点处理。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r>
        <w:rPr>
          <w:rFonts w:hint="eastAsia"/>
          <w:sz w:val="24"/>
        </w:rPr>
        <w:t>综上所述，项目营运期间产生的固体废物产生及处置情况见表3.4-</w:t>
      </w:r>
      <w:r>
        <w:rPr>
          <w:rFonts w:hint="eastAsia"/>
          <w:sz w:val="24"/>
          <w:lang w:val="en-US" w:eastAsia="zh-CN"/>
        </w:rPr>
        <w:t>13</w:t>
      </w:r>
      <w:r>
        <w:rPr>
          <w:rFonts w:hint="eastAsia"/>
          <w:sz w:val="24"/>
        </w:rPr>
        <w:t>。</w:t>
      </w:r>
    </w:p>
    <w:p>
      <w:pPr>
        <w:adjustRightInd w:val="0"/>
        <w:snapToGrid w:val="0"/>
        <w:jc w:val="center"/>
        <w:rPr>
          <w:b/>
          <w:bCs/>
          <w:szCs w:val="21"/>
        </w:rPr>
      </w:pPr>
      <w:r>
        <w:rPr>
          <w:b/>
          <w:bCs/>
          <w:szCs w:val="21"/>
        </w:rPr>
        <w:t>表3.</w:t>
      </w:r>
      <w:r>
        <w:rPr>
          <w:rFonts w:hint="eastAsia"/>
          <w:b/>
          <w:bCs/>
          <w:szCs w:val="21"/>
        </w:rPr>
        <w:t>4</w:t>
      </w:r>
      <w:r>
        <w:rPr>
          <w:b/>
          <w:bCs/>
          <w:szCs w:val="21"/>
        </w:rPr>
        <w:t>-</w:t>
      </w:r>
      <w:r>
        <w:rPr>
          <w:rFonts w:hint="eastAsia"/>
          <w:b/>
          <w:bCs/>
          <w:szCs w:val="21"/>
          <w:lang w:val="en-US" w:eastAsia="zh-CN"/>
        </w:rPr>
        <w:t>13</w:t>
      </w:r>
      <w:r>
        <w:rPr>
          <w:b/>
          <w:bCs/>
          <w:szCs w:val="21"/>
        </w:rPr>
        <w:t xml:space="preserve">  固体废物产生及处置情况  单位：t/a</w:t>
      </w:r>
    </w:p>
    <w:tbl>
      <w:tblPr>
        <w:tblStyle w:val="63"/>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46"/>
        <w:gridCol w:w="1123"/>
        <w:gridCol w:w="3056"/>
        <w:gridCol w:w="23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2" w:type="pct"/>
            <w:tcBorders>
              <w:top w:val="single" w:color="auto" w:sz="12" w:space="0"/>
              <w:left w:val="nil"/>
              <w:bottom w:val="single" w:color="auto" w:sz="12" w:space="0"/>
            </w:tcBorders>
            <w:noWrap w:val="0"/>
            <w:vAlign w:val="top"/>
          </w:tcPr>
          <w:p>
            <w:pPr>
              <w:snapToGrid w:val="0"/>
              <w:spacing w:line="320" w:lineRule="exact"/>
              <w:jc w:val="center"/>
              <w:rPr>
                <w:rFonts w:hint="eastAsia"/>
                <w:szCs w:val="21"/>
              </w:rPr>
            </w:pPr>
            <w:r>
              <w:rPr>
                <w:rFonts w:hint="eastAsia"/>
                <w:szCs w:val="21"/>
              </w:rPr>
              <w:t>固废名称</w:t>
            </w:r>
          </w:p>
        </w:tc>
        <w:tc>
          <w:tcPr>
            <w:tcW w:w="659" w:type="pct"/>
            <w:tcBorders>
              <w:top w:val="single" w:color="auto" w:sz="12" w:space="0"/>
              <w:bottom w:val="single" w:color="auto" w:sz="12" w:space="0"/>
            </w:tcBorders>
            <w:noWrap w:val="0"/>
            <w:vAlign w:val="top"/>
          </w:tcPr>
          <w:p>
            <w:pPr>
              <w:snapToGrid w:val="0"/>
              <w:spacing w:line="320" w:lineRule="exact"/>
              <w:jc w:val="center"/>
              <w:rPr>
                <w:rFonts w:hint="eastAsia"/>
                <w:szCs w:val="21"/>
              </w:rPr>
            </w:pPr>
            <w:r>
              <w:rPr>
                <w:rFonts w:hint="eastAsia"/>
                <w:szCs w:val="21"/>
              </w:rPr>
              <w:t>产生量</w:t>
            </w:r>
          </w:p>
        </w:tc>
        <w:tc>
          <w:tcPr>
            <w:tcW w:w="1793" w:type="pct"/>
            <w:tcBorders>
              <w:top w:val="single" w:color="auto" w:sz="12" w:space="0"/>
              <w:bottom w:val="single" w:color="auto" w:sz="12" w:space="0"/>
            </w:tcBorders>
            <w:noWrap w:val="0"/>
            <w:vAlign w:val="top"/>
          </w:tcPr>
          <w:p>
            <w:pPr>
              <w:snapToGrid w:val="0"/>
              <w:spacing w:line="320" w:lineRule="exact"/>
              <w:jc w:val="center"/>
              <w:rPr>
                <w:rFonts w:hint="eastAsia"/>
                <w:szCs w:val="21"/>
              </w:rPr>
            </w:pPr>
            <w:r>
              <w:rPr>
                <w:rFonts w:hint="eastAsia"/>
                <w:szCs w:val="21"/>
              </w:rPr>
              <w:t>处置方式</w:t>
            </w:r>
          </w:p>
        </w:tc>
        <w:tc>
          <w:tcPr>
            <w:tcW w:w="1404" w:type="pct"/>
            <w:tcBorders>
              <w:top w:val="single" w:color="auto" w:sz="12" w:space="0"/>
              <w:bottom w:val="single" w:color="auto" w:sz="12" w:space="0"/>
              <w:right w:val="nil"/>
            </w:tcBorders>
            <w:noWrap w:val="0"/>
            <w:vAlign w:val="top"/>
          </w:tcPr>
          <w:p>
            <w:pPr>
              <w:snapToGrid w:val="0"/>
              <w:spacing w:line="320" w:lineRule="exact"/>
              <w:jc w:val="center"/>
              <w:rPr>
                <w:rFonts w:hint="eastAsia"/>
                <w:szCs w:val="21"/>
              </w:rPr>
            </w:pPr>
            <w:r>
              <w:rPr>
                <w:rFonts w:hint="eastAsia"/>
                <w:szCs w:val="21"/>
              </w:rPr>
              <w:t>固废类型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2" w:type="pct"/>
            <w:tcBorders>
              <w:top w:val="single" w:color="auto" w:sz="12" w:space="0"/>
              <w:left w:val="nil"/>
            </w:tcBorders>
            <w:noWrap w:val="0"/>
            <w:vAlign w:val="top"/>
          </w:tcPr>
          <w:p>
            <w:pPr>
              <w:snapToGrid w:val="0"/>
              <w:spacing w:line="320" w:lineRule="exact"/>
              <w:jc w:val="center"/>
              <w:rPr>
                <w:rFonts w:hint="eastAsia"/>
                <w:szCs w:val="21"/>
              </w:rPr>
            </w:pPr>
            <w:r>
              <w:rPr>
                <w:rFonts w:hint="eastAsia"/>
                <w:szCs w:val="21"/>
              </w:rPr>
              <w:t>干清猪粪</w:t>
            </w:r>
          </w:p>
        </w:tc>
        <w:tc>
          <w:tcPr>
            <w:tcW w:w="659" w:type="pct"/>
            <w:tcBorders>
              <w:top w:val="single" w:color="auto" w:sz="12" w:space="0"/>
            </w:tcBorders>
            <w:noWrap w:val="0"/>
            <w:vAlign w:val="top"/>
          </w:tcPr>
          <w:p>
            <w:pPr>
              <w:snapToGrid w:val="0"/>
              <w:spacing w:line="320" w:lineRule="exact"/>
              <w:jc w:val="center"/>
              <w:rPr>
                <w:rFonts w:hint="default" w:ascii="Times New Roman" w:hAnsi="Times New Roman" w:eastAsia="宋体" w:cs="Times New Roman"/>
                <w:sz w:val="21"/>
                <w:szCs w:val="21"/>
                <w:lang w:val="en-US"/>
              </w:rPr>
            </w:pPr>
            <w:r>
              <w:rPr>
                <w:rFonts w:hint="default" w:ascii="Times New Roman" w:hAnsi="Times New Roman" w:eastAsia="宋体" w:cs="Times New Roman"/>
                <w:kern w:val="0"/>
                <w:sz w:val="21"/>
                <w:szCs w:val="21"/>
                <w:lang w:val="en-US" w:eastAsia="zh-CN" w:bidi="ar-SA"/>
              </w:rPr>
              <w:t>4319.775</w:t>
            </w:r>
          </w:p>
        </w:tc>
        <w:tc>
          <w:tcPr>
            <w:tcW w:w="1793" w:type="pct"/>
            <w:tcBorders>
              <w:top w:val="single" w:color="auto" w:sz="12" w:space="0"/>
            </w:tcBorders>
            <w:noWrap w:val="0"/>
            <w:vAlign w:val="top"/>
          </w:tcPr>
          <w:p>
            <w:pPr>
              <w:snapToGrid w:val="0"/>
              <w:spacing w:line="320" w:lineRule="exact"/>
              <w:jc w:val="center"/>
              <w:rPr>
                <w:rFonts w:hint="eastAsia" w:eastAsia="宋体"/>
                <w:szCs w:val="21"/>
                <w:lang w:eastAsia="zh-CN"/>
              </w:rPr>
            </w:pPr>
            <w:r>
              <w:rPr>
                <w:rFonts w:hint="eastAsia"/>
                <w:szCs w:val="21"/>
                <w:lang w:eastAsia="zh-CN"/>
              </w:rPr>
              <w:t>异位发酵床制有机肥</w:t>
            </w:r>
          </w:p>
        </w:tc>
        <w:tc>
          <w:tcPr>
            <w:tcW w:w="1404" w:type="pct"/>
            <w:tcBorders>
              <w:top w:val="single" w:color="auto" w:sz="12" w:space="0"/>
              <w:right w:val="nil"/>
            </w:tcBorders>
            <w:noWrap w:val="0"/>
            <w:vAlign w:val="top"/>
          </w:tcPr>
          <w:p>
            <w:pPr>
              <w:snapToGrid w:val="0"/>
              <w:spacing w:line="320" w:lineRule="exact"/>
              <w:jc w:val="center"/>
              <w:rPr>
                <w:rFonts w:hint="eastAsia" w:eastAsia="宋体"/>
                <w:szCs w:val="21"/>
                <w:lang w:eastAsia="zh-CN"/>
              </w:rPr>
            </w:pPr>
            <w:r>
              <w:rPr>
                <w:rFonts w:hint="eastAsia"/>
                <w:szCs w:val="21"/>
                <w:lang w:eastAsia="zh-CN"/>
              </w:rPr>
              <w:t>一般固废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2" w:type="pct"/>
            <w:tcBorders>
              <w:left w:val="nil"/>
            </w:tcBorders>
            <w:noWrap w:val="0"/>
            <w:vAlign w:val="top"/>
          </w:tcPr>
          <w:p>
            <w:pPr>
              <w:snapToGrid w:val="0"/>
              <w:spacing w:line="320" w:lineRule="exact"/>
              <w:jc w:val="center"/>
              <w:rPr>
                <w:rFonts w:hint="eastAsia"/>
                <w:szCs w:val="21"/>
              </w:rPr>
            </w:pPr>
            <w:r>
              <w:rPr>
                <w:rFonts w:hint="eastAsia"/>
                <w:szCs w:val="21"/>
              </w:rPr>
              <w:t>医疗废物</w:t>
            </w:r>
          </w:p>
        </w:tc>
        <w:tc>
          <w:tcPr>
            <w:tcW w:w="659" w:type="pct"/>
            <w:noWrap w:val="0"/>
            <w:vAlign w:val="top"/>
          </w:tcPr>
          <w:p>
            <w:pPr>
              <w:snapToGrid w:val="0"/>
              <w:spacing w:line="320" w:lineRule="exact"/>
              <w:jc w:val="center"/>
              <w:rPr>
                <w:rFonts w:hint="default" w:ascii="Times New Roman" w:hAnsi="Times New Roman" w:eastAsia="宋体" w:cs="Times New Roman"/>
                <w:sz w:val="21"/>
                <w:szCs w:val="21"/>
                <w:lang w:val="en-US" w:eastAsia="zh-CN"/>
              </w:rPr>
            </w:pPr>
            <w:r>
              <w:rPr>
                <w:rFonts w:hint="eastAsia" w:cs="Times New Roman"/>
                <w:color w:val="auto"/>
                <w:kern w:val="0"/>
                <w:sz w:val="21"/>
                <w:szCs w:val="21"/>
                <w:lang w:val="en-US" w:eastAsia="zh-CN" w:bidi="ar-SA"/>
              </w:rPr>
              <w:t>0.7</w:t>
            </w:r>
          </w:p>
        </w:tc>
        <w:tc>
          <w:tcPr>
            <w:tcW w:w="1793" w:type="pct"/>
            <w:noWrap w:val="0"/>
            <w:vAlign w:val="center"/>
          </w:tcPr>
          <w:p>
            <w:pPr>
              <w:snapToGrid w:val="0"/>
              <w:spacing w:line="320" w:lineRule="exact"/>
              <w:jc w:val="center"/>
              <w:rPr>
                <w:rFonts w:hint="eastAsia"/>
                <w:szCs w:val="21"/>
              </w:rPr>
            </w:pPr>
            <w:r>
              <w:rPr>
                <w:rFonts w:hint="eastAsia"/>
                <w:szCs w:val="21"/>
              </w:rPr>
              <w:t>资质单位处理</w:t>
            </w:r>
          </w:p>
        </w:tc>
        <w:tc>
          <w:tcPr>
            <w:tcW w:w="1404" w:type="pct"/>
            <w:vMerge w:val="restart"/>
            <w:tcBorders>
              <w:right w:val="nil"/>
            </w:tcBorders>
            <w:noWrap w:val="0"/>
            <w:vAlign w:val="center"/>
          </w:tcPr>
          <w:p>
            <w:pPr>
              <w:snapToGrid w:val="0"/>
              <w:spacing w:line="320" w:lineRule="exact"/>
              <w:jc w:val="center"/>
              <w:rPr>
                <w:rFonts w:hint="eastAsia"/>
                <w:szCs w:val="21"/>
              </w:rPr>
            </w:pPr>
            <w:r>
              <w:rPr>
                <w:rFonts w:hint="eastAsia"/>
                <w:szCs w:val="21"/>
              </w:rPr>
              <w:t>危险废物：HW01，危废代码900-001-01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42" w:type="pct"/>
            <w:tcBorders>
              <w:left w:val="nil"/>
            </w:tcBorders>
            <w:noWrap w:val="0"/>
            <w:vAlign w:val="center"/>
          </w:tcPr>
          <w:p>
            <w:pPr>
              <w:snapToGrid w:val="0"/>
              <w:spacing w:line="320" w:lineRule="exact"/>
              <w:jc w:val="center"/>
              <w:rPr>
                <w:rFonts w:hint="eastAsia"/>
                <w:szCs w:val="21"/>
              </w:rPr>
            </w:pPr>
            <w:r>
              <w:rPr>
                <w:rFonts w:hint="eastAsia"/>
                <w:szCs w:val="21"/>
              </w:rPr>
              <w:t>病死猪</w:t>
            </w:r>
          </w:p>
        </w:tc>
        <w:tc>
          <w:tcPr>
            <w:tcW w:w="659" w:type="pct"/>
            <w:noWrap w:val="0"/>
            <w:vAlign w:val="center"/>
          </w:tcPr>
          <w:p>
            <w:pPr>
              <w:snapToGrid w:val="0"/>
              <w:spacing w:line="320" w:lineRule="exact"/>
              <w:jc w:val="center"/>
              <w:rPr>
                <w:rFonts w:hint="default" w:ascii="Times New Roman" w:hAnsi="Times New Roman" w:eastAsia="宋体" w:cs="Times New Roman"/>
                <w:sz w:val="21"/>
                <w:szCs w:val="21"/>
              </w:rPr>
            </w:pPr>
            <w:r>
              <w:rPr>
                <w:rFonts w:hint="default" w:ascii="Times New Roman" w:hAnsi="Times New Roman" w:eastAsia="宋体" w:cs="Times New Roman"/>
                <w:kern w:val="0"/>
                <w:sz w:val="21"/>
                <w:szCs w:val="21"/>
                <w:lang w:val="en-US" w:eastAsia="zh-CN" w:bidi="ar-SA"/>
              </w:rPr>
              <w:t>6.43</w:t>
            </w:r>
          </w:p>
        </w:tc>
        <w:tc>
          <w:tcPr>
            <w:tcW w:w="1793" w:type="pct"/>
            <w:noWrap w:val="0"/>
            <w:vAlign w:val="center"/>
          </w:tcPr>
          <w:p>
            <w:pPr>
              <w:snapToGrid w:val="0"/>
              <w:spacing w:line="320" w:lineRule="exact"/>
              <w:jc w:val="center"/>
              <w:rPr>
                <w:rFonts w:hint="eastAsia" w:eastAsia="宋体"/>
                <w:szCs w:val="21"/>
                <w:lang w:eastAsia="zh-CN"/>
              </w:rPr>
            </w:pPr>
            <w:r>
              <w:rPr>
                <w:rFonts w:hint="eastAsia" w:eastAsia="宋体"/>
                <w:szCs w:val="21"/>
                <w:lang w:eastAsia="zh-CN"/>
              </w:rPr>
              <w:t>无害化处理</w:t>
            </w:r>
          </w:p>
        </w:tc>
        <w:tc>
          <w:tcPr>
            <w:tcW w:w="1404" w:type="pct"/>
            <w:vMerge w:val="continue"/>
            <w:tcBorders>
              <w:right w:val="nil"/>
            </w:tcBorders>
            <w:noWrap w:val="0"/>
            <w:vAlign w:val="center"/>
          </w:tcPr>
          <w:p>
            <w:pPr>
              <w:snapToGrid w:val="0"/>
              <w:spacing w:line="320" w:lineRule="exact"/>
              <w:jc w:val="center"/>
              <w:rPr>
                <w:rFonts w:hint="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2" w:type="pct"/>
            <w:tcBorders>
              <w:left w:val="nil"/>
            </w:tcBorders>
            <w:noWrap w:val="0"/>
            <w:vAlign w:val="top"/>
          </w:tcPr>
          <w:p>
            <w:pPr>
              <w:snapToGrid w:val="0"/>
              <w:spacing w:line="320" w:lineRule="exact"/>
              <w:jc w:val="center"/>
              <w:rPr>
                <w:rFonts w:hint="eastAsia"/>
                <w:szCs w:val="21"/>
              </w:rPr>
            </w:pPr>
            <w:r>
              <w:rPr>
                <w:rFonts w:hint="eastAsia"/>
                <w:szCs w:val="21"/>
              </w:rPr>
              <w:t>生活垃圾</w:t>
            </w:r>
          </w:p>
        </w:tc>
        <w:tc>
          <w:tcPr>
            <w:tcW w:w="659" w:type="pct"/>
            <w:noWrap w:val="0"/>
            <w:vAlign w:val="top"/>
          </w:tcPr>
          <w:p>
            <w:pPr>
              <w:snapToGrid w:val="0"/>
              <w:spacing w:line="320" w:lineRule="exact"/>
              <w:jc w:val="center"/>
              <w:rPr>
                <w:rFonts w:hint="default" w:ascii="Times New Roman" w:hAnsi="Times New Roman" w:eastAsia="宋体" w:cs="Times New Roman"/>
                <w:sz w:val="21"/>
                <w:szCs w:val="21"/>
              </w:rPr>
            </w:pPr>
            <w:r>
              <w:rPr>
                <w:rFonts w:hint="default" w:ascii="Times New Roman" w:hAnsi="Times New Roman" w:eastAsia="宋体" w:cs="Times New Roman"/>
                <w:kern w:val="0"/>
                <w:sz w:val="21"/>
                <w:szCs w:val="21"/>
                <w:lang w:val="en-US" w:eastAsia="zh-CN" w:bidi="ar-SA"/>
              </w:rPr>
              <w:t>10.95</w:t>
            </w:r>
          </w:p>
        </w:tc>
        <w:tc>
          <w:tcPr>
            <w:tcW w:w="1793" w:type="pct"/>
            <w:tcBorders>
              <w:right w:val="nil"/>
            </w:tcBorders>
            <w:noWrap w:val="0"/>
            <w:vAlign w:val="center"/>
          </w:tcPr>
          <w:p>
            <w:pPr>
              <w:snapToGrid w:val="0"/>
              <w:spacing w:line="320" w:lineRule="exact"/>
              <w:jc w:val="center"/>
              <w:rPr>
                <w:rFonts w:hint="eastAsia"/>
                <w:szCs w:val="21"/>
              </w:rPr>
            </w:pPr>
            <w:r>
              <w:rPr>
                <w:rFonts w:hint="eastAsia"/>
                <w:szCs w:val="21"/>
              </w:rPr>
              <w:t>环卫部门统一回收处理</w:t>
            </w:r>
          </w:p>
        </w:tc>
        <w:tc>
          <w:tcPr>
            <w:tcW w:w="1404" w:type="pct"/>
            <w:tcBorders>
              <w:right w:val="nil"/>
            </w:tcBorders>
            <w:noWrap w:val="0"/>
            <w:vAlign w:val="center"/>
          </w:tcPr>
          <w:p>
            <w:pPr>
              <w:snapToGrid w:val="0"/>
              <w:spacing w:line="320" w:lineRule="exact"/>
              <w:jc w:val="center"/>
              <w:rPr>
                <w:rFonts w:hint="eastAsia"/>
                <w:szCs w:val="21"/>
              </w:rPr>
            </w:pPr>
            <w:r>
              <w:rPr>
                <w:rFonts w:hint="eastAsia"/>
                <w:szCs w:val="21"/>
                <w:lang w:eastAsia="zh-CN"/>
              </w:rPr>
              <w:t>一般固废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2" w:type="pct"/>
            <w:tcBorders>
              <w:left w:val="nil"/>
              <w:bottom w:val="single" w:color="auto" w:sz="12" w:space="0"/>
            </w:tcBorders>
            <w:noWrap w:val="0"/>
            <w:vAlign w:val="top"/>
          </w:tcPr>
          <w:p>
            <w:pPr>
              <w:snapToGrid w:val="0"/>
              <w:spacing w:line="320" w:lineRule="exact"/>
              <w:jc w:val="center"/>
              <w:rPr>
                <w:rFonts w:hint="eastAsia"/>
                <w:szCs w:val="21"/>
              </w:rPr>
            </w:pPr>
            <w:r>
              <w:rPr>
                <w:rFonts w:hint="eastAsia"/>
                <w:szCs w:val="21"/>
              </w:rPr>
              <w:t>合计</w:t>
            </w:r>
          </w:p>
        </w:tc>
        <w:tc>
          <w:tcPr>
            <w:tcW w:w="659" w:type="pct"/>
            <w:tcBorders>
              <w:bottom w:val="single" w:color="auto" w:sz="12" w:space="0"/>
            </w:tcBorders>
            <w:noWrap w:val="0"/>
            <w:vAlign w:val="top"/>
          </w:tcPr>
          <w:p>
            <w:pPr>
              <w:snapToGrid w:val="0"/>
              <w:spacing w:line="320" w:lineRule="exact"/>
              <w:jc w:val="center"/>
              <w:rPr>
                <w:rFonts w:hint="default" w:ascii="Times New Roman" w:hAnsi="Times New Roman" w:eastAsia="宋体" w:cs="Times New Roman"/>
                <w:sz w:val="21"/>
                <w:szCs w:val="21"/>
                <w:lang w:val="en-US"/>
              </w:rPr>
            </w:pPr>
            <w:r>
              <w:rPr>
                <w:rFonts w:hint="default" w:ascii="Times New Roman" w:hAnsi="Times New Roman" w:eastAsia="宋体" w:cs="Times New Roman"/>
                <w:i w:val="0"/>
                <w:color w:val="000000"/>
                <w:kern w:val="0"/>
                <w:sz w:val="21"/>
                <w:szCs w:val="21"/>
                <w:u w:val="none"/>
                <w:lang w:val="en-US" w:eastAsia="zh-CN" w:bidi="ar"/>
              </w:rPr>
              <w:t>4337.55</w:t>
            </w:r>
            <w:r>
              <w:rPr>
                <w:rFonts w:hint="eastAsia" w:cs="Times New Roman"/>
                <w:i w:val="0"/>
                <w:color w:val="000000"/>
                <w:kern w:val="0"/>
                <w:sz w:val="21"/>
                <w:szCs w:val="21"/>
                <w:u w:val="none"/>
                <w:lang w:val="en-US" w:eastAsia="zh-CN" w:bidi="ar"/>
              </w:rPr>
              <w:t>5</w:t>
            </w:r>
          </w:p>
        </w:tc>
        <w:tc>
          <w:tcPr>
            <w:tcW w:w="3198" w:type="pct"/>
            <w:gridSpan w:val="2"/>
            <w:tcBorders>
              <w:bottom w:val="single" w:color="auto" w:sz="12" w:space="0"/>
              <w:right w:val="nil"/>
            </w:tcBorders>
            <w:noWrap w:val="0"/>
            <w:vAlign w:val="top"/>
          </w:tcPr>
          <w:p>
            <w:pPr>
              <w:snapToGrid w:val="0"/>
              <w:spacing w:line="320" w:lineRule="exact"/>
              <w:jc w:val="center"/>
              <w:rPr>
                <w:rFonts w:hint="eastAsia"/>
                <w:szCs w:val="21"/>
              </w:rPr>
            </w:pPr>
            <w:r>
              <w:rPr>
                <w:rFonts w:hint="eastAsia"/>
                <w:szCs w:val="21"/>
              </w:rPr>
              <w:t>/</w:t>
            </w:r>
          </w:p>
        </w:tc>
      </w:tr>
    </w:tbl>
    <w:p>
      <w:pPr>
        <w:pStyle w:val="5"/>
        <w:ind w:firstLine="562"/>
      </w:pPr>
      <w:r>
        <w:rPr>
          <w:rFonts w:hint="eastAsia"/>
          <w:lang w:eastAsia="zh-CN"/>
        </w:rPr>
        <w:t xml:space="preserve">营运期主要污染物产生及排放情况汇总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kern w:val="0"/>
          <w:sz w:val="24"/>
          <w:szCs w:val="24"/>
          <w:lang w:val="en-US" w:eastAsia="zh-CN" w:bidi="ar-SA"/>
        </w:rPr>
        <w:t>本项目投产后，主要污染物产生、削减、排放情况汇总如下表：</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bCs/>
          <w:color w:val="auto"/>
          <w:kern w:val="0"/>
          <w:sz w:val="21"/>
          <w:szCs w:val="21"/>
          <w:lang w:val="en-US" w:eastAsia="zh-CN" w:bidi="ar-SA"/>
        </w:rPr>
      </w:pPr>
      <w:r>
        <w:rPr>
          <w:rFonts w:hint="eastAsia" w:cs="Times New Roman"/>
          <w:b/>
          <w:bCs/>
          <w:color w:val="auto"/>
          <w:kern w:val="0"/>
          <w:sz w:val="21"/>
          <w:szCs w:val="21"/>
          <w:lang w:val="en-US" w:eastAsia="zh-CN" w:bidi="ar-SA"/>
        </w:rPr>
        <w:t>表3.4-14  本项目污染物排放汇总表  单位：t/a</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2"/>
        <w:gridCol w:w="1155"/>
        <w:gridCol w:w="1110"/>
        <w:gridCol w:w="1005"/>
        <w:gridCol w:w="1065"/>
        <w:gridCol w:w="900"/>
        <w:gridCol w:w="22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tcBorders>
              <w:top w:val="single" w:color="auto" w:sz="12" w:space="0"/>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color w:val="auto"/>
                <w:sz w:val="21"/>
              </w:rPr>
              <mc:AlternateContent>
                <mc:Choice Requires="wps">
                  <w:drawing>
                    <wp:anchor distT="0" distB="0" distL="114300" distR="114300" simplePos="0" relativeHeight="254051328" behindDoc="0" locked="0" layoutInCell="1" allowOverlap="1">
                      <wp:simplePos x="0" y="0"/>
                      <wp:positionH relativeFrom="column">
                        <wp:posOffset>-71755</wp:posOffset>
                      </wp:positionH>
                      <wp:positionV relativeFrom="paragraph">
                        <wp:posOffset>5080</wp:posOffset>
                      </wp:positionV>
                      <wp:extent cx="671195" cy="391160"/>
                      <wp:effectExtent l="2540" t="3810" r="12065" b="5080"/>
                      <wp:wrapNone/>
                      <wp:docPr id="8" name="直接连接符 8"/>
                      <wp:cNvGraphicFramePr/>
                      <a:graphic xmlns:a="http://schemas.openxmlformats.org/drawingml/2006/main">
                        <a:graphicData uri="http://schemas.microsoft.com/office/word/2010/wordprocessingShape">
                          <wps:wsp>
                            <wps:cNvCnPr/>
                            <wps:spPr>
                              <a:xfrm flipH="1" flipV="1">
                                <a:off x="1071245" y="1830070"/>
                                <a:ext cx="671195" cy="39116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x y;margin-left:-5.65pt;margin-top:0.4pt;height:30.8pt;width:52.85pt;z-index:254051328;mso-width-relative:page;mso-height-relative:page;" filled="f" stroked="t" coordsize="21600,21600" o:gfxdata="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FgAAAGRycy9QSwEC&#10;FAAUAAAACACHTuJAPWy95NYAAAAGAQAADwAAAAAAAAABACAAAAA4AAAAZHJzL2Rvd25yZXYueG1s&#10;UEsBAhQAFAAAAAgAh07iQJYxQ2/kAQAAhwMAAA4AAAAAAAAAAQAgAAAAOwEAAGRycy9lMm9Eb2Mu&#10;eG1sUEsFBgAAAAAGAAYAWQEAAJEFAAAAAA==&#10;">
                      <v:fill on="f" focussize="0,0"/>
                      <v:stroke weight="0.5pt" color="#000000 [3213]" miterlimit="8" joinstyle="miter"/>
                      <v:imagedata o:title=""/>
                      <o:lock v:ext="edit" aspectratio="f"/>
                    </v:line>
                  </w:pict>
                </mc:Fallback>
              </mc:AlternateContent>
            </w:r>
            <w:r>
              <w:rPr>
                <w:rFonts w:hint="eastAsia" w:cs="Times New Roman"/>
                <w:b w:val="0"/>
                <w:bCs w:val="0"/>
                <w:color w:val="auto"/>
                <w:kern w:val="0"/>
                <w:sz w:val="21"/>
                <w:szCs w:val="21"/>
                <w:vertAlign w:val="baseline"/>
                <w:lang w:val="en-US" w:eastAsia="zh-CN" w:bidi="ar-SA"/>
              </w:rPr>
              <w:t xml:space="preserve">   内容</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both"/>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类型</w:t>
            </w:r>
          </w:p>
        </w:tc>
        <w:tc>
          <w:tcPr>
            <w:tcW w:w="1155"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排放源</w:t>
            </w:r>
          </w:p>
        </w:tc>
        <w:tc>
          <w:tcPr>
            <w:tcW w:w="1110"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污染物</w:t>
            </w:r>
          </w:p>
        </w:tc>
        <w:tc>
          <w:tcPr>
            <w:tcW w:w="1005"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产生量</w:t>
            </w:r>
          </w:p>
        </w:tc>
        <w:tc>
          <w:tcPr>
            <w:tcW w:w="1065"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削减量</w:t>
            </w:r>
          </w:p>
        </w:tc>
        <w:tc>
          <w:tcPr>
            <w:tcW w:w="900" w:type="dxa"/>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排放量</w:t>
            </w:r>
          </w:p>
        </w:tc>
        <w:tc>
          <w:tcPr>
            <w:tcW w:w="2265" w:type="dxa"/>
            <w:tcBorders>
              <w:top w:val="single" w:color="auto" w:sz="12" w:space="0"/>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去向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restart"/>
            <w:tcBorders>
              <w:top w:val="single" w:color="auto" w:sz="12" w:space="0"/>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水污染物</w:t>
            </w:r>
          </w:p>
        </w:tc>
        <w:tc>
          <w:tcPr>
            <w:tcW w:w="1155" w:type="dxa"/>
            <w:vMerge w:val="restart"/>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猪粪尿、猪舍冲洗废水</w:t>
            </w:r>
          </w:p>
        </w:tc>
        <w:tc>
          <w:tcPr>
            <w:tcW w:w="1110" w:type="dxa"/>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废水量</w:t>
            </w:r>
          </w:p>
        </w:tc>
        <w:tc>
          <w:tcPr>
            <w:tcW w:w="1005" w:type="dxa"/>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9159.47</w:t>
            </w:r>
          </w:p>
        </w:tc>
        <w:tc>
          <w:tcPr>
            <w:tcW w:w="1065" w:type="dxa"/>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9159.47</w:t>
            </w:r>
          </w:p>
        </w:tc>
        <w:tc>
          <w:tcPr>
            <w:tcW w:w="900" w:type="dxa"/>
            <w:vMerge w:val="restart"/>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0</w:t>
            </w:r>
          </w:p>
        </w:tc>
        <w:tc>
          <w:tcPr>
            <w:tcW w:w="2265" w:type="dxa"/>
            <w:vMerge w:val="restart"/>
            <w:tcBorders>
              <w:top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val="0"/>
                <w:color w:val="auto"/>
                <w:kern w:val="0"/>
                <w:sz w:val="21"/>
                <w:szCs w:val="21"/>
                <w:vertAlign w:val="baseline"/>
                <w:lang w:val="en-US" w:eastAsia="zh-CN" w:bidi="ar-SA"/>
              </w:rPr>
              <w:t>生产废水（含猪粪）经集液池混合均匀后，喷淋至异位发酵床处理，得到有机肥料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1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CODcr</w:t>
            </w:r>
          </w:p>
        </w:tc>
        <w:tc>
          <w:tcPr>
            <w:tcW w:w="10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54.957</w:t>
            </w:r>
          </w:p>
        </w:tc>
        <w:tc>
          <w:tcPr>
            <w:tcW w:w="106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54.957</w:t>
            </w:r>
          </w:p>
        </w:tc>
        <w:tc>
          <w:tcPr>
            <w:tcW w:w="900"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2265" w:type="dxa"/>
            <w:vMerge w:val="continue"/>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1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BOD</w:t>
            </w:r>
            <w:r>
              <w:rPr>
                <w:rFonts w:hint="eastAsia" w:cs="Times New Roman"/>
                <w:b w:val="0"/>
                <w:bCs w:val="0"/>
                <w:color w:val="auto"/>
                <w:kern w:val="0"/>
                <w:sz w:val="21"/>
                <w:szCs w:val="21"/>
                <w:vertAlign w:val="subscript"/>
                <w:lang w:val="en-US" w:eastAsia="zh-CN" w:bidi="ar-SA"/>
              </w:rPr>
              <w:t>5</w:t>
            </w:r>
          </w:p>
        </w:tc>
        <w:tc>
          <w:tcPr>
            <w:tcW w:w="10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36.638</w:t>
            </w:r>
          </w:p>
        </w:tc>
        <w:tc>
          <w:tcPr>
            <w:tcW w:w="106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36.638</w:t>
            </w:r>
          </w:p>
        </w:tc>
        <w:tc>
          <w:tcPr>
            <w:tcW w:w="900"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2265" w:type="dxa"/>
            <w:vMerge w:val="continue"/>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1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NH</w:t>
            </w:r>
            <w:r>
              <w:rPr>
                <w:rFonts w:hint="eastAsia" w:cs="Times New Roman"/>
                <w:b w:val="0"/>
                <w:bCs w:val="0"/>
                <w:color w:val="auto"/>
                <w:kern w:val="0"/>
                <w:sz w:val="21"/>
                <w:szCs w:val="21"/>
                <w:vertAlign w:val="subscript"/>
                <w:lang w:val="en-US" w:eastAsia="zh-CN" w:bidi="ar-SA"/>
              </w:rPr>
              <w:t>3</w:t>
            </w:r>
            <w:r>
              <w:rPr>
                <w:rFonts w:hint="eastAsia" w:cs="Times New Roman"/>
                <w:b w:val="0"/>
                <w:bCs w:val="0"/>
                <w:color w:val="auto"/>
                <w:kern w:val="0"/>
                <w:sz w:val="21"/>
                <w:szCs w:val="21"/>
                <w:vertAlign w:val="baseline"/>
                <w:lang w:val="en-US" w:eastAsia="zh-CN" w:bidi="ar-SA"/>
              </w:rPr>
              <w:t>-N</w:t>
            </w:r>
          </w:p>
        </w:tc>
        <w:tc>
          <w:tcPr>
            <w:tcW w:w="10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3.664</w:t>
            </w:r>
          </w:p>
        </w:tc>
        <w:tc>
          <w:tcPr>
            <w:tcW w:w="106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3.664</w:t>
            </w:r>
          </w:p>
        </w:tc>
        <w:tc>
          <w:tcPr>
            <w:tcW w:w="900"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2265" w:type="dxa"/>
            <w:vMerge w:val="continue"/>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1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TP</w:t>
            </w:r>
          </w:p>
        </w:tc>
        <w:tc>
          <w:tcPr>
            <w:tcW w:w="10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2.29</w:t>
            </w:r>
          </w:p>
        </w:tc>
        <w:tc>
          <w:tcPr>
            <w:tcW w:w="106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2.29</w:t>
            </w:r>
          </w:p>
        </w:tc>
        <w:tc>
          <w:tcPr>
            <w:tcW w:w="900"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2265" w:type="dxa"/>
            <w:vMerge w:val="continue"/>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Merge w:val="restar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生活污水</w:t>
            </w:r>
          </w:p>
        </w:tc>
        <w:tc>
          <w:tcPr>
            <w:tcW w:w="111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废水量</w:t>
            </w:r>
          </w:p>
        </w:tc>
        <w:tc>
          <w:tcPr>
            <w:tcW w:w="10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1752</w:t>
            </w:r>
          </w:p>
        </w:tc>
        <w:tc>
          <w:tcPr>
            <w:tcW w:w="106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1752</w:t>
            </w:r>
          </w:p>
        </w:tc>
        <w:tc>
          <w:tcPr>
            <w:tcW w:w="900" w:type="dxa"/>
            <w:vMerge w:val="restar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0</w:t>
            </w:r>
          </w:p>
        </w:tc>
        <w:tc>
          <w:tcPr>
            <w:tcW w:w="2265" w:type="dxa"/>
            <w:vMerge w:val="restart"/>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ascii="Times New Roman" w:hAnsi="Times New Roman" w:cs="Times New Roman"/>
                <w:color w:val="auto"/>
                <w:kern w:val="0"/>
                <w:sz w:val="21"/>
                <w:szCs w:val="21"/>
                <w:vertAlign w:val="baseline"/>
                <w:lang w:val="en-US" w:eastAsia="zh-CN" w:bidi="ar-SA"/>
              </w:rPr>
              <w:t>生活污水经地埋式一体化生化处理后全部</w:t>
            </w:r>
            <w:r>
              <w:rPr>
                <w:rFonts w:hint="eastAsia" w:cs="Times New Roman"/>
                <w:color w:val="auto"/>
                <w:kern w:val="0"/>
                <w:sz w:val="21"/>
                <w:szCs w:val="21"/>
                <w:vertAlign w:val="baseline"/>
                <w:lang w:val="en-US" w:eastAsia="zh-CN" w:bidi="ar-SA"/>
              </w:rPr>
              <w:t>用于附近农田及林业灌溉</w:t>
            </w:r>
            <w:r>
              <w:rPr>
                <w:rFonts w:hint="eastAsia" w:ascii="Times New Roman" w:hAnsi="Times New Roman" w:cs="Times New Roman"/>
                <w:color w:val="auto"/>
                <w:kern w:val="0"/>
                <w:sz w:val="21"/>
                <w:szCs w:val="21"/>
                <w:vertAlign w:val="baseline"/>
                <w:lang w:val="en-US" w:eastAsia="zh-CN" w:bidi="ar-SA"/>
              </w:rPr>
              <w:t>，不外排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1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CODcr</w:t>
            </w:r>
          </w:p>
        </w:tc>
        <w:tc>
          <w:tcPr>
            <w:tcW w:w="10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0.158</w:t>
            </w:r>
          </w:p>
        </w:tc>
        <w:tc>
          <w:tcPr>
            <w:tcW w:w="106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0.158</w:t>
            </w:r>
          </w:p>
        </w:tc>
        <w:tc>
          <w:tcPr>
            <w:tcW w:w="900"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2265" w:type="dxa"/>
            <w:vMerge w:val="continue"/>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1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BOD</w:t>
            </w:r>
            <w:r>
              <w:rPr>
                <w:rFonts w:hint="eastAsia" w:cs="Times New Roman"/>
                <w:b w:val="0"/>
                <w:bCs w:val="0"/>
                <w:color w:val="auto"/>
                <w:kern w:val="0"/>
                <w:sz w:val="21"/>
                <w:szCs w:val="21"/>
                <w:vertAlign w:val="subscript"/>
                <w:lang w:val="en-US" w:eastAsia="zh-CN" w:bidi="ar-SA"/>
              </w:rPr>
              <w:t>5</w:t>
            </w:r>
          </w:p>
        </w:tc>
        <w:tc>
          <w:tcPr>
            <w:tcW w:w="10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0.035</w:t>
            </w:r>
          </w:p>
        </w:tc>
        <w:tc>
          <w:tcPr>
            <w:tcW w:w="106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0.035</w:t>
            </w:r>
          </w:p>
        </w:tc>
        <w:tc>
          <w:tcPr>
            <w:tcW w:w="900"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2265" w:type="dxa"/>
            <w:vMerge w:val="continue"/>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1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NH</w:t>
            </w:r>
            <w:r>
              <w:rPr>
                <w:rFonts w:hint="eastAsia" w:cs="Times New Roman"/>
                <w:b w:val="0"/>
                <w:bCs w:val="0"/>
                <w:color w:val="auto"/>
                <w:kern w:val="0"/>
                <w:sz w:val="21"/>
                <w:szCs w:val="21"/>
                <w:vertAlign w:val="subscript"/>
                <w:lang w:val="en-US" w:eastAsia="zh-CN" w:bidi="ar-SA"/>
              </w:rPr>
              <w:t>3</w:t>
            </w:r>
            <w:r>
              <w:rPr>
                <w:rFonts w:hint="eastAsia" w:cs="Times New Roman"/>
                <w:b w:val="0"/>
                <w:bCs w:val="0"/>
                <w:color w:val="auto"/>
                <w:kern w:val="0"/>
                <w:sz w:val="21"/>
                <w:szCs w:val="21"/>
                <w:vertAlign w:val="baseline"/>
                <w:lang w:val="en-US" w:eastAsia="zh-CN" w:bidi="ar-SA"/>
              </w:rPr>
              <w:t>-N</w:t>
            </w:r>
          </w:p>
        </w:tc>
        <w:tc>
          <w:tcPr>
            <w:tcW w:w="10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0.018</w:t>
            </w:r>
          </w:p>
        </w:tc>
        <w:tc>
          <w:tcPr>
            <w:tcW w:w="106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0.018</w:t>
            </w:r>
          </w:p>
        </w:tc>
        <w:tc>
          <w:tcPr>
            <w:tcW w:w="900"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2265" w:type="dxa"/>
            <w:vMerge w:val="continue"/>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1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TP</w:t>
            </w:r>
          </w:p>
        </w:tc>
        <w:tc>
          <w:tcPr>
            <w:tcW w:w="100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0.007</w:t>
            </w:r>
          </w:p>
        </w:tc>
        <w:tc>
          <w:tcPr>
            <w:tcW w:w="106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0.007</w:t>
            </w:r>
          </w:p>
        </w:tc>
        <w:tc>
          <w:tcPr>
            <w:tcW w:w="900"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2265" w:type="dxa"/>
            <w:vMerge w:val="continue"/>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22" w:type="dxa"/>
            <w:vMerge w:val="restar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val="0"/>
                <w:color w:val="auto"/>
                <w:kern w:val="0"/>
                <w:sz w:val="21"/>
                <w:szCs w:val="21"/>
                <w:vertAlign w:val="baseline"/>
                <w:lang w:val="en-US" w:eastAsia="zh-CN" w:bidi="ar-SA"/>
              </w:rPr>
              <w:t>大气污染物</w:t>
            </w:r>
          </w:p>
        </w:tc>
        <w:tc>
          <w:tcPr>
            <w:tcW w:w="1155" w:type="dxa"/>
            <w:vMerge w:val="restar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val="0"/>
                <w:color w:val="auto"/>
                <w:kern w:val="0"/>
                <w:sz w:val="21"/>
                <w:szCs w:val="21"/>
                <w:vertAlign w:val="baseline"/>
                <w:lang w:val="en-US" w:eastAsia="zh-CN" w:bidi="ar-SA"/>
              </w:rPr>
              <w:t>猪舍恶臭</w:t>
            </w:r>
          </w:p>
        </w:tc>
        <w:tc>
          <w:tcPr>
            <w:tcW w:w="1110"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color w:val="auto"/>
                <w:sz w:val="21"/>
                <w:szCs w:val="21"/>
                <w:vertAlign w:val="baseline"/>
                <w:lang w:val="en-US" w:eastAsia="zh-CN"/>
              </w:rPr>
              <w:t>NH</w:t>
            </w:r>
            <w:r>
              <w:rPr>
                <w:rFonts w:hint="default" w:ascii="Times New Roman" w:hAnsi="Times New Roman" w:eastAsia="宋体" w:cs="Times New Roman"/>
                <w:b w:val="0"/>
                <w:bCs/>
                <w:color w:val="auto"/>
                <w:sz w:val="21"/>
                <w:szCs w:val="21"/>
                <w:vertAlign w:val="subscript"/>
                <w:lang w:val="en-US" w:eastAsia="zh-CN"/>
              </w:rPr>
              <w:t>3</w:t>
            </w:r>
          </w:p>
        </w:tc>
        <w:tc>
          <w:tcPr>
            <w:tcW w:w="100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2.21</w:t>
            </w:r>
          </w:p>
        </w:tc>
        <w:tc>
          <w:tcPr>
            <w:tcW w:w="1065" w:type="dxa"/>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2.166</w:t>
            </w:r>
          </w:p>
        </w:tc>
        <w:tc>
          <w:tcPr>
            <w:tcW w:w="900"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lang w:val="en-US" w:eastAsia="zh-CN" w:bidi="ar-SA"/>
              </w:rPr>
              <w:t>0.044</w:t>
            </w:r>
          </w:p>
        </w:tc>
        <w:tc>
          <w:tcPr>
            <w:tcW w:w="2265" w:type="dxa"/>
            <w:vMerge w:val="restart"/>
            <w:tcBorders>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color w:val="auto"/>
                <w:sz w:val="21"/>
                <w:szCs w:val="21"/>
                <w:vertAlign w:val="baseline"/>
                <w:lang w:eastAsia="zh-CN"/>
              </w:rPr>
              <w:t>无组织面源形式排放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10"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color w:val="auto"/>
                <w:sz w:val="21"/>
                <w:szCs w:val="21"/>
                <w:vertAlign w:val="baseline"/>
                <w:lang w:val="en-US" w:eastAsia="zh-CN"/>
              </w:rPr>
              <w:t>H</w:t>
            </w:r>
            <w:r>
              <w:rPr>
                <w:rFonts w:hint="default" w:ascii="Times New Roman" w:hAnsi="Times New Roman" w:eastAsia="宋体" w:cs="Times New Roman"/>
                <w:b w:val="0"/>
                <w:bCs/>
                <w:color w:val="auto"/>
                <w:sz w:val="21"/>
                <w:szCs w:val="21"/>
                <w:vertAlign w:val="subscript"/>
                <w:lang w:val="en-US" w:eastAsia="zh-CN"/>
              </w:rPr>
              <w:t>2</w:t>
            </w:r>
            <w:r>
              <w:rPr>
                <w:rFonts w:hint="default" w:ascii="Times New Roman" w:hAnsi="Times New Roman" w:eastAsia="宋体" w:cs="Times New Roman"/>
                <w:b w:val="0"/>
                <w:bCs/>
                <w:color w:val="auto"/>
                <w:sz w:val="21"/>
                <w:szCs w:val="21"/>
                <w:vertAlign w:val="baseline"/>
                <w:lang w:val="en-US" w:eastAsia="zh-CN"/>
              </w:rPr>
              <w:t>S</w:t>
            </w:r>
          </w:p>
        </w:tc>
        <w:tc>
          <w:tcPr>
            <w:tcW w:w="100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0.157</w:t>
            </w:r>
          </w:p>
        </w:tc>
        <w:tc>
          <w:tcPr>
            <w:tcW w:w="1065" w:type="dxa"/>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0.154</w:t>
            </w:r>
          </w:p>
        </w:tc>
        <w:tc>
          <w:tcPr>
            <w:tcW w:w="900"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lang w:val="en-US" w:eastAsia="zh-CN" w:bidi="ar-SA"/>
              </w:rPr>
              <w:t>0.003</w:t>
            </w:r>
          </w:p>
        </w:tc>
        <w:tc>
          <w:tcPr>
            <w:tcW w:w="2265" w:type="dxa"/>
            <w:vMerge w:val="continue"/>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Merge w:val="restar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val="0"/>
                <w:color w:val="auto"/>
                <w:kern w:val="0"/>
                <w:sz w:val="21"/>
                <w:szCs w:val="21"/>
                <w:vertAlign w:val="baseline"/>
                <w:lang w:val="en-US" w:eastAsia="zh-CN" w:bidi="ar-SA"/>
              </w:rPr>
              <w:t>污水处理设施恶臭</w:t>
            </w:r>
          </w:p>
        </w:tc>
        <w:tc>
          <w:tcPr>
            <w:tcW w:w="1110"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color w:val="auto"/>
                <w:sz w:val="21"/>
                <w:szCs w:val="21"/>
                <w:vertAlign w:val="baseline"/>
                <w:lang w:val="en-US" w:eastAsia="zh-CN"/>
              </w:rPr>
              <w:t>NH</w:t>
            </w:r>
            <w:r>
              <w:rPr>
                <w:rFonts w:hint="default" w:ascii="Times New Roman" w:hAnsi="Times New Roman" w:eastAsia="宋体" w:cs="Times New Roman"/>
                <w:b w:val="0"/>
                <w:bCs/>
                <w:color w:val="auto"/>
                <w:sz w:val="21"/>
                <w:szCs w:val="21"/>
                <w:vertAlign w:val="subscript"/>
                <w:lang w:val="en-US" w:eastAsia="zh-CN"/>
              </w:rPr>
              <w:t>3</w:t>
            </w:r>
          </w:p>
        </w:tc>
        <w:tc>
          <w:tcPr>
            <w:tcW w:w="100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sz w:val="21"/>
                <w:szCs w:val="21"/>
              </w:rPr>
              <w:t>0.04</w:t>
            </w:r>
          </w:p>
        </w:tc>
        <w:tc>
          <w:tcPr>
            <w:tcW w:w="1065" w:type="dxa"/>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0.028</w:t>
            </w:r>
          </w:p>
        </w:tc>
        <w:tc>
          <w:tcPr>
            <w:tcW w:w="900"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sz w:val="21"/>
                <w:szCs w:val="21"/>
              </w:rPr>
              <w:t>0.012</w:t>
            </w:r>
          </w:p>
        </w:tc>
        <w:tc>
          <w:tcPr>
            <w:tcW w:w="2265" w:type="dxa"/>
            <w:vMerge w:val="restart"/>
            <w:tcBorders>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color w:val="auto"/>
                <w:sz w:val="21"/>
                <w:szCs w:val="21"/>
                <w:vertAlign w:val="baseline"/>
                <w:lang w:eastAsia="zh-CN"/>
              </w:rPr>
              <w:t>无组织面源形式排放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10"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color w:val="auto"/>
                <w:sz w:val="21"/>
                <w:szCs w:val="21"/>
                <w:vertAlign w:val="baseline"/>
                <w:lang w:val="en-US" w:eastAsia="zh-CN"/>
              </w:rPr>
              <w:t>H</w:t>
            </w:r>
            <w:r>
              <w:rPr>
                <w:rFonts w:hint="default" w:ascii="Times New Roman" w:hAnsi="Times New Roman" w:eastAsia="宋体" w:cs="Times New Roman"/>
                <w:b w:val="0"/>
                <w:bCs/>
                <w:color w:val="auto"/>
                <w:sz w:val="21"/>
                <w:szCs w:val="21"/>
                <w:vertAlign w:val="subscript"/>
                <w:lang w:val="en-US" w:eastAsia="zh-CN"/>
              </w:rPr>
              <w:t>2</w:t>
            </w:r>
            <w:r>
              <w:rPr>
                <w:rFonts w:hint="default" w:ascii="Times New Roman" w:hAnsi="Times New Roman" w:eastAsia="宋体" w:cs="Times New Roman"/>
                <w:b w:val="0"/>
                <w:bCs/>
                <w:color w:val="auto"/>
                <w:sz w:val="21"/>
                <w:szCs w:val="21"/>
                <w:vertAlign w:val="baseline"/>
                <w:lang w:val="en-US" w:eastAsia="zh-CN"/>
              </w:rPr>
              <w:t>S</w:t>
            </w:r>
          </w:p>
        </w:tc>
        <w:tc>
          <w:tcPr>
            <w:tcW w:w="100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sz w:val="21"/>
                <w:szCs w:val="21"/>
              </w:rPr>
              <w:t>0.002</w:t>
            </w:r>
          </w:p>
        </w:tc>
        <w:tc>
          <w:tcPr>
            <w:tcW w:w="1065" w:type="dxa"/>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0.0014</w:t>
            </w:r>
          </w:p>
        </w:tc>
        <w:tc>
          <w:tcPr>
            <w:tcW w:w="900"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sz w:val="21"/>
                <w:szCs w:val="21"/>
              </w:rPr>
              <w:t>0.0006</w:t>
            </w:r>
          </w:p>
        </w:tc>
        <w:tc>
          <w:tcPr>
            <w:tcW w:w="2265" w:type="dxa"/>
            <w:vMerge w:val="continue"/>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Merge w:val="restar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val="0"/>
                <w:color w:val="auto"/>
                <w:kern w:val="0"/>
                <w:sz w:val="21"/>
                <w:szCs w:val="21"/>
                <w:vertAlign w:val="baseline"/>
                <w:lang w:val="en-US" w:eastAsia="zh-CN" w:bidi="ar-SA"/>
              </w:rPr>
              <w:t>异位发酵床恶臭</w:t>
            </w:r>
          </w:p>
        </w:tc>
        <w:tc>
          <w:tcPr>
            <w:tcW w:w="1110"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color w:val="auto"/>
                <w:sz w:val="21"/>
                <w:szCs w:val="21"/>
                <w:vertAlign w:val="baseline"/>
                <w:lang w:val="en-US" w:eastAsia="zh-CN"/>
              </w:rPr>
              <w:t>NH</w:t>
            </w:r>
            <w:r>
              <w:rPr>
                <w:rFonts w:hint="default" w:ascii="Times New Roman" w:hAnsi="Times New Roman" w:eastAsia="宋体" w:cs="Times New Roman"/>
                <w:b w:val="0"/>
                <w:bCs/>
                <w:color w:val="auto"/>
                <w:sz w:val="21"/>
                <w:szCs w:val="21"/>
                <w:vertAlign w:val="subscript"/>
                <w:lang w:val="en-US" w:eastAsia="zh-CN"/>
              </w:rPr>
              <w:t>3</w:t>
            </w:r>
          </w:p>
        </w:tc>
        <w:tc>
          <w:tcPr>
            <w:tcW w:w="100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b w:val="0"/>
                <w:bCs/>
                <w:color w:val="auto"/>
                <w:sz w:val="21"/>
                <w:szCs w:val="21"/>
                <w:vertAlign w:val="baseline"/>
                <w:lang w:val="en-US" w:eastAsia="zh-CN"/>
              </w:rPr>
              <w:t>1.238</w:t>
            </w:r>
          </w:p>
        </w:tc>
        <w:tc>
          <w:tcPr>
            <w:tcW w:w="1065" w:type="dxa"/>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i w:val="0"/>
                <w:color w:val="000000"/>
                <w:kern w:val="0"/>
                <w:sz w:val="21"/>
                <w:szCs w:val="21"/>
                <w:u w:val="none"/>
                <w:lang w:val="en-US" w:eastAsia="zh-CN" w:bidi="ar"/>
              </w:rPr>
              <w:t>1.2368</w:t>
            </w:r>
          </w:p>
        </w:tc>
        <w:tc>
          <w:tcPr>
            <w:tcW w:w="900"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color w:val="auto"/>
                <w:kern w:val="0"/>
                <w:sz w:val="21"/>
                <w:szCs w:val="21"/>
                <w:lang w:val="en-US" w:eastAsia="zh-CN" w:bidi="ar-SA"/>
              </w:rPr>
              <w:t>0.024</w:t>
            </w:r>
          </w:p>
        </w:tc>
        <w:tc>
          <w:tcPr>
            <w:tcW w:w="2265" w:type="dxa"/>
            <w:vMerge w:val="restart"/>
            <w:tcBorders>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color w:val="auto"/>
                <w:sz w:val="21"/>
                <w:szCs w:val="21"/>
                <w:vertAlign w:val="baseline"/>
                <w:lang w:eastAsia="zh-CN"/>
              </w:rPr>
              <w:t>无组织面源形式排放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Merge w:val="continue"/>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10"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color w:val="auto"/>
                <w:sz w:val="21"/>
                <w:szCs w:val="21"/>
                <w:vertAlign w:val="baseline"/>
                <w:lang w:val="en-US" w:eastAsia="zh-CN"/>
              </w:rPr>
              <w:t>H</w:t>
            </w:r>
            <w:r>
              <w:rPr>
                <w:rFonts w:hint="default" w:ascii="Times New Roman" w:hAnsi="Times New Roman" w:eastAsia="宋体" w:cs="Times New Roman"/>
                <w:b w:val="0"/>
                <w:bCs/>
                <w:color w:val="auto"/>
                <w:sz w:val="21"/>
                <w:szCs w:val="21"/>
                <w:vertAlign w:val="subscript"/>
                <w:lang w:val="en-US" w:eastAsia="zh-CN"/>
              </w:rPr>
              <w:t>2</w:t>
            </w:r>
            <w:r>
              <w:rPr>
                <w:rFonts w:hint="default" w:ascii="Times New Roman" w:hAnsi="Times New Roman" w:eastAsia="宋体" w:cs="Times New Roman"/>
                <w:b w:val="0"/>
                <w:bCs/>
                <w:color w:val="auto"/>
                <w:sz w:val="21"/>
                <w:szCs w:val="21"/>
                <w:vertAlign w:val="baseline"/>
                <w:lang w:val="en-US" w:eastAsia="zh-CN"/>
              </w:rPr>
              <w:t>S</w:t>
            </w:r>
          </w:p>
        </w:tc>
        <w:tc>
          <w:tcPr>
            <w:tcW w:w="100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color w:val="auto"/>
                <w:kern w:val="0"/>
                <w:sz w:val="21"/>
                <w:szCs w:val="21"/>
                <w:lang w:val="en-US" w:eastAsia="zh-CN" w:bidi="ar-SA"/>
              </w:rPr>
              <w:t>0.024</w:t>
            </w:r>
          </w:p>
        </w:tc>
        <w:tc>
          <w:tcPr>
            <w:tcW w:w="1065" w:type="dxa"/>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i w:val="0"/>
                <w:color w:val="000000"/>
                <w:kern w:val="0"/>
                <w:sz w:val="21"/>
                <w:szCs w:val="21"/>
                <w:u w:val="none"/>
                <w:lang w:val="en-US" w:eastAsia="zh-CN" w:bidi="ar"/>
              </w:rPr>
              <w:t>0.0228</w:t>
            </w:r>
          </w:p>
        </w:tc>
        <w:tc>
          <w:tcPr>
            <w:tcW w:w="900"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color w:val="auto"/>
                <w:kern w:val="0"/>
                <w:sz w:val="21"/>
                <w:szCs w:val="21"/>
                <w:lang w:val="en-US" w:eastAsia="zh-CN" w:bidi="ar-SA"/>
              </w:rPr>
              <w:t>0.0012</w:t>
            </w:r>
          </w:p>
        </w:tc>
        <w:tc>
          <w:tcPr>
            <w:tcW w:w="2265" w:type="dxa"/>
            <w:vMerge w:val="continue"/>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115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color w:val="auto"/>
                <w:sz w:val="21"/>
                <w:szCs w:val="21"/>
                <w:vertAlign w:val="baseline"/>
                <w:lang w:eastAsia="zh-CN"/>
              </w:rPr>
              <w:t>食堂</w:t>
            </w:r>
          </w:p>
        </w:tc>
        <w:tc>
          <w:tcPr>
            <w:tcW w:w="1110"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auto"/>
                <w:sz w:val="21"/>
                <w:szCs w:val="21"/>
                <w:vertAlign w:val="baseline"/>
                <w:lang w:val="en-US" w:eastAsia="zh-CN"/>
              </w:rPr>
            </w:pPr>
            <w:r>
              <w:rPr>
                <w:rFonts w:hint="default" w:ascii="Times New Roman" w:hAnsi="Times New Roman" w:eastAsia="宋体" w:cs="Times New Roman"/>
                <w:b w:val="0"/>
                <w:bCs/>
                <w:color w:val="auto"/>
                <w:sz w:val="21"/>
                <w:szCs w:val="21"/>
                <w:vertAlign w:val="baseline"/>
                <w:lang w:eastAsia="zh-CN"/>
              </w:rPr>
              <w:t>食堂油烟</w:t>
            </w:r>
          </w:p>
        </w:tc>
        <w:tc>
          <w:tcPr>
            <w:tcW w:w="1005"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Cs/>
                <w:color w:val="auto"/>
                <w:sz w:val="21"/>
                <w:szCs w:val="21"/>
                <w:lang w:val="en-US" w:eastAsia="zh-CN"/>
              </w:rPr>
              <w:t>0.049</w:t>
            </w:r>
          </w:p>
        </w:tc>
        <w:tc>
          <w:tcPr>
            <w:tcW w:w="1065" w:type="dxa"/>
            <w:vAlign w:val="center"/>
          </w:tcPr>
          <w:p>
            <w:pPr>
              <w:keepNext w:val="0"/>
              <w:keepLines w:val="0"/>
              <w:widowControl/>
              <w:suppressLineNumbers w:val="0"/>
              <w:jc w:val="center"/>
              <w:textAlignment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i w:val="0"/>
                <w:color w:val="auto"/>
                <w:kern w:val="0"/>
                <w:sz w:val="21"/>
                <w:szCs w:val="21"/>
                <w:u w:val="none"/>
                <w:lang w:val="en-US" w:eastAsia="zh-CN" w:bidi="ar"/>
              </w:rPr>
              <w:t>0.041</w:t>
            </w:r>
          </w:p>
        </w:tc>
        <w:tc>
          <w:tcPr>
            <w:tcW w:w="900" w:type="dxa"/>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Cs/>
                <w:color w:val="auto"/>
                <w:sz w:val="21"/>
                <w:szCs w:val="21"/>
                <w:lang w:val="en-US" w:eastAsia="zh-CN"/>
              </w:rPr>
              <w:t>0.008</w:t>
            </w:r>
          </w:p>
        </w:tc>
        <w:tc>
          <w:tcPr>
            <w:tcW w:w="2265" w:type="dxa"/>
            <w:tcBorders>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color w:val="auto"/>
                <w:sz w:val="21"/>
                <w:szCs w:val="21"/>
                <w:vertAlign w:val="baseline"/>
                <w:lang w:eastAsia="zh-CN"/>
              </w:rPr>
              <w:t>食堂顶部排放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restar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val="0"/>
                <w:color w:val="auto"/>
                <w:kern w:val="0"/>
                <w:sz w:val="21"/>
                <w:szCs w:val="21"/>
                <w:vertAlign w:val="baseline"/>
                <w:lang w:val="en-US" w:eastAsia="zh-CN" w:bidi="ar-SA"/>
              </w:rPr>
              <w:t>固体</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val="0"/>
                <w:color w:val="auto"/>
                <w:kern w:val="0"/>
                <w:sz w:val="21"/>
                <w:szCs w:val="21"/>
                <w:vertAlign w:val="baseline"/>
                <w:lang w:val="en-US" w:eastAsia="zh-CN" w:bidi="ar-SA"/>
              </w:rPr>
              <w:t>废物</w:t>
            </w:r>
          </w:p>
        </w:tc>
        <w:tc>
          <w:tcPr>
            <w:tcW w:w="2265" w:type="dxa"/>
            <w:gridSpan w:val="2"/>
            <w:vAlign w:val="top"/>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szCs w:val="21"/>
              </w:rPr>
              <w:t>干清猪粪</w:t>
            </w:r>
          </w:p>
        </w:tc>
        <w:tc>
          <w:tcPr>
            <w:tcW w:w="1005" w:type="dxa"/>
            <w:vAlign w:val="top"/>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lang w:val="en-US" w:eastAsia="zh-CN" w:bidi="ar-SA"/>
              </w:rPr>
              <w:t>4319.775</w:t>
            </w:r>
          </w:p>
        </w:tc>
        <w:tc>
          <w:tcPr>
            <w:tcW w:w="1065" w:type="dxa"/>
            <w:vAlign w:val="top"/>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lang w:val="en-US" w:eastAsia="zh-CN" w:bidi="ar-SA"/>
              </w:rPr>
              <w:t>4319.775</w:t>
            </w:r>
          </w:p>
        </w:tc>
        <w:tc>
          <w:tcPr>
            <w:tcW w:w="90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val="0"/>
                <w:color w:val="auto"/>
                <w:kern w:val="0"/>
                <w:sz w:val="21"/>
                <w:szCs w:val="21"/>
                <w:vertAlign w:val="baseline"/>
                <w:lang w:val="en-US" w:eastAsia="zh-CN" w:bidi="ar-SA"/>
              </w:rPr>
              <w:t>0</w:t>
            </w:r>
          </w:p>
        </w:tc>
        <w:tc>
          <w:tcPr>
            <w:tcW w:w="2265" w:type="dxa"/>
            <w:tcBorders>
              <w:right w:val="nil"/>
            </w:tcBorders>
            <w:vAlign w:val="top"/>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szCs w:val="21"/>
                <w:lang w:eastAsia="zh-CN"/>
              </w:rPr>
              <w:t>异位发酵床制有机肥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2265" w:type="dxa"/>
            <w:gridSpan w:val="2"/>
            <w:vAlign w:val="top"/>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szCs w:val="21"/>
              </w:rPr>
              <w:t>医疗废物</w:t>
            </w:r>
          </w:p>
        </w:tc>
        <w:tc>
          <w:tcPr>
            <w:tcW w:w="1005" w:type="dxa"/>
            <w:vAlign w:val="top"/>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color w:val="auto"/>
                <w:kern w:val="0"/>
                <w:sz w:val="21"/>
                <w:szCs w:val="21"/>
                <w:lang w:val="en-US" w:eastAsia="zh-CN" w:bidi="ar-SA"/>
              </w:rPr>
              <w:t>0.7</w:t>
            </w:r>
          </w:p>
        </w:tc>
        <w:tc>
          <w:tcPr>
            <w:tcW w:w="1065" w:type="dxa"/>
            <w:vAlign w:val="top"/>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color w:val="auto"/>
                <w:kern w:val="0"/>
                <w:sz w:val="21"/>
                <w:szCs w:val="21"/>
                <w:lang w:val="en-US" w:eastAsia="zh-CN" w:bidi="ar-SA"/>
              </w:rPr>
              <w:t>0.7</w:t>
            </w:r>
          </w:p>
        </w:tc>
        <w:tc>
          <w:tcPr>
            <w:tcW w:w="90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val="0"/>
                <w:color w:val="auto"/>
                <w:kern w:val="0"/>
                <w:sz w:val="21"/>
                <w:szCs w:val="21"/>
                <w:vertAlign w:val="baseline"/>
                <w:lang w:val="en-US" w:eastAsia="zh-CN" w:bidi="ar-SA"/>
              </w:rPr>
              <w:t>0</w:t>
            </w:r>
          </w:p>
        </w:tc>
        <w:tc>
          <w:tcPr>
            <w:tcW w:w="2265" w:type="dxa"/>
            <w:tcBorders>
              <w:right w:val="nil"/>
            </w:tcBorders>
            <w:vAlign w:val="center"/>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szCs w:val="21"/>
              </w:rPr>
              <w:t>资质单位处理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2265" w:type="dxa"/>
            <w:gridSpan w:val="2"/>
            <w:vAlign w:val="center"/>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szCs w:val="21"/>
              </w:rPr>
              <w:t>病死猪</w:t>
            </w:r>
          </w:p>
        </w:tc>
        <w:tc>
          <w:tcPr>
            <w:tcW w:w="1005" w:type="dxa"/>
            <w:vAlign w:val="center"/>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lang w:val="en-US" w:eastAsia="zh-CN" w:bidi="ar-SA"/>
              </w:rPr>
              <w:t>6.43</w:t>
            </w:r>
          </w:p>
        </w:tc>
        <w:tc>
          <w:tcPr>
            <w:tcW w:w="1065" w:type="dxa"/>
            <w:vAlign w:val="center"/>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lang w:val="en-US" w:eastAsia="zh-CN" w:bidi="ar-SA"/>
              </w:rPr>
              <w:t>6.433</w:t>
            </w:r>
          </w:p>
        </w:tc>
        <w:tc>
          <w:tcPr>
            <w:tcW w:w="90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val="0"/>
                <w:color w:val="auto"/>
                <w:kern w:val="0"/>
                <w:sz w:val="21"/>
                <w:szCs w:val="21"/>
                <w:vertAlign w:val="baseline"/>
                <w:lang w:val="en-US" w:eastAsia="zh-CN" w:bidi="ar-SA"/>
              </w:rPr>
              <w:t>0</w:t>
            </w:r>
          </w:p>
        </w:tc>
        <w:tc>
          <w:tcPr>
            <w:tcW w:w="2265" w:type="dxa"/>
            <w:tcBorders>
              <w:right w:val="nil"/>
            </w:tcBorders>
            <w:vAlign w:val="center"/>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szCs w:val="21"/>
                <w:lang w:eastAsia="zh-CN"/>
              </w:rPr>
              <w:t>无害化处理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vMerge w:val="continue"/>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p>
        </w:tc>
        <w:tc>
          <w:tcPr>
            <w:tcW w:w="2265" w:type="dxa"/>
            <w:gridSpan w:val="2"/>
            <w:vAlign w:val="top"/>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szCs w:val="21"/>
              </w:rPr>
              <w:t>生活垃圾</w:t>
            </w:r>
          </w:p>
        </w:tc>
        <w:tc>
          <w:tcPr>
            <w:tcW w:w="1005" w:type="dxa"/>
            <w:vAlign w:val="top"/>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lang w:val="en-US" w:eastAsia="zh-CN" w:bidi="ar-SA"/>
              </w:rPr>
              <w:t>10.95</w:t>
            </w:r>
          </w:p>
        </w:tc>
        <w:tc>
          <w:tcPr>
            <w:tcW w:w="1065" w:type="dxa"/>
            <w:vAlign w:val="top"/>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kern w:val="0"/>
                <w:sz w:val="21"/>
                <w:szCs w:val="21"/>
                <w:lang w:val="en-US" w:eastAsia="zh-CN" w:bidi="ar-SA"/>
              </w:rPr>
              <w:t>10.95</w:t>
            </w:r>
          </w:p>
        </w:tc>
        <w:tc>
          <w:tcPr>
            <w:tcW w:w="900"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b w:val="0"/>
                <w:bCs w:val="0"/>
                <w:color w:val="auto"/>
                <w:kern w:val="0"/>
                <w:sz w:val="21"/>
                <w:szCs w:val="21"/>
                <w:vertAlign w:val="baseline"/>
                <w:lang w:val="en-US" w:eastAsia="zh-CN" w:bidi="ar-SA"/>
              </w:rPr>
              <w:t>0</w:t>
            </w:r>
          </w:p>
        </w:tc>
        <w:tc>
          <w:tcPr>
            <w:tcW w:w="2265" w:type="dxa"/>
            <w:tcBorders>
              <w:right w:val="nil"/>
            </w:tcBorders>
            <w:vAlign w:val="center"/>
          </w:tcPr>
          <w:p>
            <w:pPr>
              <w:snapToGrid w:val="0"/>
              <w:spacing w:line="320" w:lineRule="exact"/>
              <w:jc w:val="center"/>
              <w:rPr>
                <w:rFonts w:hint="default" w:ascii="Times New Roman" w:hAnsi="Times New Roman" w:eastAsia="宋体" w:cs="Times New Roman"/>
                <w:b w:val="0"/>
                <w:bCs w:val="0"/>
                <w:color w:val="auto"/>
                <w:kern w:val="0"/>
                <w:sz w:val="21"/>
                <w:szCs w:val="21"/>
                <w:vertAlign w:val="baseline"/>
                <w:lang w:val="en-US" w:eastAsia="zh-CN" w:bidi="ar-SA"/>
              </w:rPr>
            </w:pPr>
            <w:r>
              <w:rPr>
                <w:rFonts w:hint="default" w:ascii="Times New Roman" w:hAnsi="Times New Roman" w:eastAsia="宋体" w:cs="Times New Roman"/>
                <w:color w:val="auto"/>
                <w:szCs w:val="21"/>
              </w:rPr>
              <w:t>环卫部门统一处理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 w:type="dxa"/>
            <w:tcBorders>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b w:val="0"/>
                <w:bCs w:val="0"/>
                <w:color w:val="auto"/>
                <w:kern w:val="0"/>
                <w:sz w:val="21"/>
                <w:szCs w:val="21"/>
                <w:vertAlign w:val="baseline"/>
                <w:lang w:val="en-US" w:eastAsia="zh-CN" w:bidi="ar-SA"/>
              </w:rPr>
              <w:t>噪声</w:t>
            </w:r>
          </w:p>
        </w:tc>
        <w:tc>
          <w:tcPr>
            <w:tcW w:w="7500" w:type="dxa"/>
            <w:gridSpan w:val="6"/>
            <w:tcBorders>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val="0"/>
                <w:bCs w:val="0"/>
                <w:color w:val="auto"/>
                <w:kern w:val="0"/>
                <w:sz w:val="21"/>
                <w:szCs w:val="21"/>
                <w:vertAlign w:val="baseline"/>
                <w:lang w:val="en-US" w:eastAsia="zh-CN" w:bidi="ar-SA"/>
              </w:rPr>
            </w:pPr>
            <w:r>
              <w:rPr>
                <w:rFonts w:hint="eastAsia" w:cs="Times New Roman"/>
                <w:color w:val="auto"/>
                <w:kern w:val="0"/>
                <w:sz w:val="21"/>
                <w:szCs w:val="21"/>
                <w:vertAlign w:val="baseline"/>
                <w:lang w:val="en-US" w:eastAsia="zh-CN" w:bidi="ar-SA"/>
              </w:rPr>
              <w:t>猪叫声（70-80dB）、风机（85-90dB）、清粪机（75-85dB）、搅拌站（75-80dB）、水泵（80-90dB）、污泵（80-90dB）</w:t>
            </w:r>
          </w:p>
        </w:tc>
      </w:tr>
    </w:tbl>
    <w:p>
      <w:pPr>
        <w:pStyle w:val="4"/>
        <w:rPr>
          <w:rFonts w:hint="eastAsia"/>
          <w:lang w:eastAsia="zh-CN"/>
        </w:rPr>
      </w:pPr>
      <w:bookmarkStart w:id="40" w:name="_Toc13367"/>
      <w:bookmarkStart w:id="41" w:name="_Toc19298"/>
      <w:r>
        <w:rPr>
          <w:rFonts w:hint="eastAsia"/>
          <w:lang w:eastAsia="zh-CN"/>
        </w:rPr>
        <w:t>污染物排放总量控制</w:t>
      </w:r>
      <w:bookmarkEnd w:id="40"/>
      <w:bookmarkEnd w:id="41"/>
    </w:p>
    <w:p>
      <w:pPr>
        <w:pStyle w:val="5"/>
        <w:ind w:firstLine="562"/>
        <w:rPr>
          <w:rFonts w:hint="eastAsia"/>
          <w:lang w:eastAsia="zh-CN"/>
        </w:rPr>
      </w:pPr>
      <w:r>
        <w:rPr>
          <w:rFonts w:hint="eastAsia"/>
          <w:lang w:eastAsia="zh-CN"/>
        </w:rPr>
        <w:t>污染物排放总量控制依据</w:t>
      </w:r>
    </w:p>
    <w:p>
      <w:pPr>
        <w:pStyle w:val="9"/>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pPr>
      <w:r>
        <w:t>污染物排放总量控制是针对工程分析、环保治理措施及环境影响预测和分析的结果，贯彻“总量控制”、“达标排放”的原则，分析确定本项目废水、废气污染物排放总量控制指标，为环保部门监督管理提供依据。</w:t>
      </w:r>
    </w:p>
    <w:p>
      <w:pPr>
        <w:pStyle w:val="9"/>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eastAsia="宋体"/>
          <w:lang w:eastAsia="zh-CN"/>
        </w:rPr>
      </w:pPr>
      <w:r>
        <w:t>为全面贯彻落实国务院《关于落实科学发展观加强环境保护的决定》（国发[2005]39号），实现可持续发展的战略，建设项目除需认真履行建设项目环境影响评价和“三同时” 审批制度外，还需要大力提倡和推行清洁生产，对污染物排放要从浓度控制转向总量控制，使主要污染物的排放总量能得到有效控制，将污染物的排放总量控制作为建设项目污染防治设施竣工验收和核发污染物排放许可证的依据</w:t>
      </w:r>
      <w:r>
        <w:rPr>
          <w:rFonts w:hint="eastAsia"/>
          <w:lang w:eastAsia="zh-CN"/>
        </w:rPr>
        <w:t>。</w:t>
      </w:r>
    </w:p>
    <w:p>
      <w:pPr>
        <w:pStyle w:val="5"/>
        <w:ind w:firstLine="562"/>
        <w:rPr>
          <w:rFonts w:hint="eastAsia"/>
          <w:lang w:eastAsia="zh-CN"/>
        </w:rPr>
      </w:pPr>
      <w:r>
        <w:rPr>
          <w:rFonts w:hint="eastAsia"/>
          <w:lang w:eastAsia="zh-CN"/>
        </w:rPr>
        <w:t>污染物排放总量控制原则</w:t>
      </w:r>
    </w:p>
    <w:p>
      <w:pPr>
        <w:pStyle w:val="9"/>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pPr>
      <w:r>
        <w:t>在确定项目污染物排放总量控制指标时，遵循以下原则：</w:t>
      </w:r>
    </w:p>
    <w:p>
      <w:pPr>
        <w:pStyle w:val="9"/>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1</w:t>
      </w:r>
      <w:r>
        <w:rPr>
          <w:rFonts w:hint="eastAsia"/>
          <w:lang w:eastAsia="zh-CN"/>
        </w:rPr>
        <w:t>）</w:t>
      </w:r>
      <w:r>
        <w:t>各污染物的排放浓度和排放速率，必须符合国家有关污染物达标排放标准。</w:t>
      </w:r>
    </w:p>
    <w:p>
      <w:pPr>
        <w:pStyle w:val="9"/>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pPr>
      <w:r>
        <w:rPr>
          <w:rFonts w:hint="eastAsia"/>
          <w:lang w:eastAsia="zh-CN"/>
        </w:rPr>
        <w:t>（</w:t>
      </w:r>
      <w:r>
        <w:rPr>
          <w:rFonts w:hint="eastAsia"/>
          <w:lang w:val="en-US" w:eastAsia="zh-CN"/>
        </w:rPr>
        <w:t>2</w:t>
      </w:r>
      <w:r>
        <w:rPr>
          <w:rFonts w:hint="eastAsia"/>
          <w:lang w:eastAsia="zh-CN"/>
        </w:rPr>
        <w:t>）</w:t>
      </w:r>
      <w:r>
        <w:t>各污染源所排污染物，其贡献浓度与环境背景值叠加后，应符合即定的环境质量标准。</w:t>
      </w:r>
    </w:p>
    <w:p>
      <w:pPr>
        <w:pStyle w:val="9"/>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eastAsia="宋体"/>
          <w:lang w:eastAsia="zh-CN"/>
        </w:rPr>
      </w:pPr>
      <w:r>
        <w:rPr>
          <w:rFonts w:hint="eastAsia"/>
          <w:lang w:eastAsia="zh-CN"/>
        </w:rPr>
        <w:t>（</w:t>
      </w:r>
      <w:r>
        <w:rPr>
          <w:rFonts w:hint="eastAsia"/>
          <w:lang w:val="en-US" w:eastAsia="zh-CN"/>
        </w:rPr>
        <w:t>3</w:t>
      </w:r>
      <w:r>
        <w:rPr>
          <w:rFonts w:hint="eastAsia"/>
          <w:lang w:eastAsia="zh-CN"/>
        </w:rPr>
        <w:t>）</w:t>
      </w:r>
      <w:r>
        <w:t>采取有效的管理措施和技术措施，削减污染物的排放量，使排污处于较低的水平</w:t>
      </w:r>
      <w:r>
        <w:rPr>
          <w:rFonts w:hint="eastAsia"/>
          <w:lang w:eastAsia="zh-CN"/>
        </w:rPr>
        <w:t>。</w:t>
      </w:r>
    </w:p>
    <w:p>
      <w:pPr>
        <w:pStyle w:val="9"/>
        <w:keepNext w:val="0"/>
        <w:keepLines w:val="0"/>
        <w:pageBreakBefore w:val="0"/>
        <w:widowControl w:val="0"/>
        <w:kinsoku/>
        <w:wordWrap/>
        <w:overflowPunct/>
        <w:topLinePunct w:val="0"/>
        <w:autoSpaceDE w:val="0"/>
        <w:autoSpaceDN w:val="0"/>
        <w:bidi w:val="0"/>
        <w:adjustRightInd/>
        <w:snapToGrid/>
        <w:ind w:firstLine="480" w:firstLineChars="200"/>
        <w:textAlignment w:val="auto"/>
        <w:rPr>
          <w:rFonts w:hint="eastAsia" w:eastAsia="宋体"/>
          <w:lang w:eastAsia="zh-CN"/>
        </w:rPr>
      </w:pPr>
      <w:r>
        <w:rPr>
          <w:rFonts w:hint="eastAsia"/>
          <w:lang w:eastAsia="zh-CN"/>
        </w:rPr>
        <w:t>（</w:t>
      </w:r>
      <w:r>
        <w:rPr>
          <w:rFonts w:hint="eastAsia"/>
          <w:lang w:val="en-US" w:eastAsia="zh-CN"/>
        </w:rPr>
        <w:t>4</w:t>
      </w:r>
      <w:r>
        <w:rPr>
          <w:rFonts w:hint="eastAsia"/>
          <w:lang w:eastAsia="zh-CN"/>
        </w:rPr>
        <w:t>）</w:t>
      </w:r>
      <w:r>
        <w:t>各污染源所排放污染物以采取治理措施后实际所能达到的排放水平为基准，确定总量控制指标</w:t>
      </w:r>
      <w:r>
        <w:rPr>
          <w:rFonts w:hint="eastAsia"/>
          <w:lang w:eastAsia="zh-CN"/>
        </w:rPr>
        <w:t>。</w:t>
      </w:r>
    </w:p>
    <w:p>
      <w:pPr>
        <w:pStyle w:val="5"/>
        <w:ind w:firstLine="562"/>
        <w:rPr>
          <w:rFonts w:hint="eastAsia"/>
          <w:lang w:eastAsia="zh-CN"/>
        </w:rPr>
      </w:pPr>
      <w:r>
        <w:rPr>
          <w:rFonts w:hint="eastAsia"/>
          <w:lang w:eastAsia="zh-CN"/>
        </w:rPr>
        <w:t>总量控制建议指标</w:t>
      </w:r>
    </w:p>
    <w:p>
      <w:pPr>
        <w:pStyle w:val="9"/>
        <w:keepNext w:val="0"/>
        <w:keepLines w:val="0"/>
        <w:pageBreakBefore w:val="0"/>
        <w:widowControl w:val="0"/>
        <w:kinsoku/>
        <w:wordWrap/>
        <w:overflowPunct/>
        <w:topLinePunct w:val="0"/>
        <w:autoSpaceDE w:val="0"/>
        <w:autoSpaceDN w:val="0"/>
        <w:bidi w:val="0"/>
        <w:adjustRightInd/>
        <w:snapToGrid/>
        <w:ind w:firstLine="480" w:firstLineChars="200"/>
        <w:textAlignment w:val="auto"/>
        <w:rPr>
          <w:rFonts w:hint="default" w:ascii="Times New Roman" w:hAnsi="Times New Roman" w:eastAsia="宋体" w:cs="Times New Roman"/>
          <w:kern w:val="0"/>
          <w:sz w:val="24"/>
          <w:szCs w:val="24"/>
          <w:lang w:val="en-US" w:eastAsia="zh-CN" w:bidi="ar-SA"/>
        </w:rPr>
      </w:pPr>
      <w:r>
        <w:rPr>
          <w:color w:val="auto"/>
        </w:rPr>
        <w:t>根据国家主要污染物总量控制要求，结合本项目排污特征和评价区实际情况，由于</w:t>
      </w:r>
      <w:r>
        <w:rPr>
          <w:rFonts w:hint="eastAsia"/>
          <w:color w:val="auto"/>
          <w:lang w:val="en-US" w:eastAsia="zh-CN"/>
        </w:rPr>
        <w:t>猪场产生的生活污水经地埋式一体化生化处理达到《畜禽养殖业污染物排放标准》（DB44/613-2009）中集约化畜禽养殖业水污染物最高允许日排放浓度和《农田灌溉水质标准》（GB5084-2005）旱作水质标准严者后全部用于附近农田及林业灌溉；生产废水（含猪粪）经集液池混合均匀后，喷淋至异位发酵床处理，得到有机肥料，废水均不外排</w:t>
      </w:r>
      <w:r>
        <w:rPr>
          <w:color w:val="auto"/>
        </w:rPr>
        <w:t>，废水总量控制为0；项目无固体</w:t>
      </w:r>
      <w:r>
        <w:t>废物排放；项目</w:t>
      </w:r>
      <w:r>
        <w:rPr>
          <w:rFonts w:hint="eastAsia"/>
          <w:lang w:eastAsia="zh-CN"/>
        </w:rPr>
        <w:t>废气为无组织排放</w:t>
      </w:r>
      <w:r>
        <w:t>，故本评价</w:t>
      </w:r>
      <w:r>
        <w:rPr>
          <w:rFonts w:hint="eastAsia"/>
          <w:lang w:eastAsia="zh-CN"/>
        </w:rPr>
        <w:t>建议不设置</w:t>
      </w:r>
      <w:r>
        <w:t>项目总量控制因子。</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ascii="Times New Roman" w:hAnsi="Times New Roman" w:cs="Times New Roman"/>
          <w:kern w:val="0"/>
          <w:sz w:val="24"/>
          <w:szCs w:val="24"/>
          <w:lang w:val="en-US" w:eastAsia="zh-CN" w:bidi="ar-SA"/>
        </w:rPr>
      </w:pPr>
    </w:p>
    <w:p>
      <w:pPr>
        <w:pStyle w:val="9"/>
        <w:ind w:left="0" w:leftChars="0" w:firstLine="0" w:firstLineChars="0"/>
      </w:pPr>
    </w:p>
    <w:p>
      <w:pPr>
        <w:pStyle w:val="9"/>
        <w:sectPr>
          <w:footerReference r:id="rId9"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3"/>
        <w:jc w:val="center"/>
      </w:pPr>
      <w:bookmarkStart w:id="42" w:name="_Toc12756"/>
      <w:r>
        <w:t>环境现状</w:t>
      </w:r>
      <w:bookmarkEnd w:id="33"/>
      <w:r>
        <w:t>调查与评价</w:t>
      </w:r>
      <w:bookmarkEnd w:id="42"/>
    </w:p>
    <w:p>
      <w:pPr>
        <w:pStyle w:val="4"/>
      </w:pPr>
      <w:bookmarkStart w:id="43" w:name="_Toc26400"/>
      <w:r>
        <w:t>自然地理状况</w:t>
      </w:r>
      <w:bookmarkEnd w:id="43"/>
    </w:p>
    <w:p>
      <w:pPr>
        <w:pStyle w:val="5"/>
        <w:ind w:firstLine="562"/>
      </w:pPr>
      <w:r>
        <w:t>地理位置</w:t>
      </w:r>
    </w:p>
    <w:p>
      <w:pPr>
        <w:pStyle w:val="8"/>
        <w:rPr>
          <w:rFonts w:hint="eastAsia"/>
        </w:rPr>
      </w:pPr>
      <w:r>
        <w:rPr>
          <w:rFonts w:hint="eastAsia"/>
        </w:rPr>
        <w:t>韶关市地处粤北，位于东经112º50'~114º45'、北纬23º5'~25º31'之间。西北面、北面和东北面与湖南郴州市、江西赣州市交界，东面与河源市接壤，西连清远市，南邻广州市、惠州市。被称为广东的北大门，从古至今是中国北方及长江流域与华南沿海之间最重要的陆路通道，战略地位历来重要。京广铁路大动脉、京珠高速公路和106国道南北向贯穿全市、323国道东西向贯穿全市，均经过韶关市区。我国南北公路运输干线107国道、105国道分别经过本市北部和东南部。</w:t>
      </w:r>
    </w:p>
    <w:p>
      <w:pPr>
        <w:pStyle w:val="8"/>
        <w:rPr>
          <w:rFonts w:hint="eastAsia" w:eastAsia="宋体"/>
          <w:lang w:eastAsia="zh-CN"/>
        </w:rPr>
      </w:pPr>
      <w:r>
        <w:rPr>
          <w:rFonts w:hint="eastAsia"/>
        </w:rPr>
        <w:t>仁化县地处南岭山脉南麓，位于东经</w:t>
      </w:r>
      <w:r>
        <w:rPr>
          <w:rFonts w:hint="default" w:ascii="Times New Roman" w:hAnsi="Times New Roman" w:cs="Times New Roman"/>
        </w:rPr>
        <w:t>113°30′-114°02′，北纬24°56′-25°27′，</w:t>
      </w:r>
      <w:r>
        <w:rPr>
          <w:rFonts w:hint="eastAsia"/>
        </w:rPr>
        <w:t>地处广东省北部，是粤、湘、赣三省交接地，东接江西省崇义、大余县，北邻湖南省汝城县，南面紧邻韶关市区。县境东西长47.3平方公里，南北宽44平方公里，总面积2223平方公里</w:t>
      </w:r>
      <w:r>
        <w:rPr>
          <w:rFonts w:hint="eastAsia"/>
          <w:lang w:eastAsia="zh-CN"/>
        </w:rPr>
        <w:t>。</w:t>
      </w:r>
    </w:p>
    <w:p>
      <w:pPr>
        <w:pStyle w:val="5"/>
        <w:ind w:firstLine="562"/>
      </w:pPr>
      <w:r>
        <w:t>地形地貌</w:t>
      </w:r>
    </w:p>
    <w:p>
      <w:pPr>
        <w:pStyle w:val="9"/>
        <w:rPr>
          <w:rFonts w:hint="eastAsia" w:ascii="Times New Roman" w:hAnsi="Times New Roman" w:eastAsia="宋体" w:cs="Times New Roman"/>
          <w:color w:val="000000"/>
          <w:sz w:val="24"/>
          <w:szCs w:val="24"/>
          <w:lang w:eastAsia="zh-CN"/>
        </w:rPr>
      </w:pPr>
      <w:r>
        <w:rPr>
          <w:rFonts w:hint="eastAsia" w:ascii="宋体" w:hAnsi="宋体" w:eastAsia="宋体"/>
          <w:color w:val="000000"/>
          <w:sz w:val="24"/>
          <w:szCs w:val="24"/>
        </w:rPr>
        <w:t>韶关市地处南岭山脉南部，全境在大地构造上处于华厦活化陆台的湘粤褶皱带</w:t>
      </w:r>
      <w:r>
        <w:rPr>
          <w:rFonts w:hint="default" w:ascii="Times New Roman" w:hAnsi="Times New Roman" w:eastAsia="宋体" w:cs="Times New Roman"/>
          <w:color w:val="000000"/>
          <w:sz w:val="24"/>
          <w:szCs w:val="24"/>
        </w:rPr>
        <w:t>。地质构造复杂，火成岩分布极广，地层发育基本齐全，岩溶地貌广布、种类多样，岩类以红色砂砾岩、砂岩、变质岩、花岗岩和石灰岩为主。在地质历史上属间歇上升区，流水侵蚀作用强烈，造成峡谷众多、山地陡峻以及发育成各级夷平面，以山地丘陵地貌为主。自北向南三列弧形山系排列成向南突出的弧形构成粤北地貌的基本格局：北列为蔚岭、</w:t>
      </w:r>
      <w:r>
        <w:rPr>
          <w:rFonts w:hint="default" w:ascii="Times New Roman" w:hAnsi="Times New Roman" w:eastAsia="宋体" w:cs="Times New Roman"/>
          <w:color w:val="000000"/>
          <w:sz w:val="24"/>
          <w:szCs w:val="24"/>
        </w:rPr>
        <w:fldChar w:fldCharType="begin"/>
      </w:r>
      <w:r>
        <w:rPr>
          <w:rFonts w:hint="default" w:ascii="Times New Roman" w:hAnsi="Times New Roman" w:eastAsia="宋体" w:cs="Times New Roman"/>
          <w:color w:val="000000"/>
          <w:sz w:val="24"/>
          <w:szCs w:val="24"/>
        </w:rPr>
        <w:instrText xml:space="preserve"> HYPERLINK "http://baike.baidu.com/item/%E5%A4%A7%E5%BA%BE%E5%B2%AD" \h </w:instrText>
      </w:r>
      <w:r>
        <w:rPr>
          <w:rFonts w:hint="default" w:ascii="Times New Roman" w:hAnsi="Times New Roman" w:eastAsia="宋体" w:cs="Times New Roman"/>
          <w:color w:val="000000"/>
          <w:sz w:val="24"/>
          <w:szCs w:val="24"/>
        </w:rPr>
        <w:fldChar w:fldCharType="separate"/>
      </w:r>
      <w:r>
        <w:rPr>
          <w:rFonts w:hint="default" w:ascii="Times New Roman" w:hAnsi="Times New Roman" w:eastAsia="宋体" w:cs="Times New Roman"/>
          <w:color w:val="000000"/>
          <w:sz w:val="24"/>
          <w:szCs w:val="24"/>
        </w:rPr>
        <w:t>大庾岭</w:t>
      </w:r>
      <w:r>
        <w:rPr>
          <w:rFonts w:hint="default" w:ascii="Times New Roman" w:hAnsi="Times New Roman" w:eastAsia="宋体" w:cs="Times New Roman"/>
          <w:color w:val="000000"/>
          <w:sz w:val="24"/>
          <w:szCs w:val="24"/>
        </w:rPr>
        <w:fldChar w:fldCharType="end"/>
      </w:r>
      <w:r>
        <w:rPr>
          <w:rFonts w:hint="default" w:ascii="Times New Roman" w:hAnsi="Times New Roman" w:eastAsia="宋体" w:cs="Times New Roman"/>
          <w:color w:val="000000"/>
          <w:sz w:val="24"/>
          <w:szCs w:val="24"/>
        </w:rPr>
        <w:t>山地，长140公里；中列为</w:t>
      </w:r>
      <w:r>
        <w:rPr>
          <w:rFonts w:hint="default" w:ascii="Times New Roman" w:hAnsi="Times New Roman" w:eastAsia="宋体" w:cs="Times New Roman"/>
          <w:color w:val="000000"/>
          <w:sz w:val="24"/>
          <w:szCs w:val="24"/>
        </w:rPr>
        <w:fldChar w:fldCharType="begin"/>
      </w:r>
      <w:r>
        <w:rPr>
          <w:rFonts w:hint="default" w:ascii="Times New Roman" w:hAnsi="Times New Roman" w:eastAsia="宋体" w:cs="Times New Roman"/>
          <w:color w:val="000000"/>
          <w:sz w:val="24"/>
          <w:szCs w:val="24"/>
        </w:rPr>
        <w:instrText xml:space="preserve"> HYPERLINK "http://baike.baidu.com/item/%E5%A4%A7%E4%B8%9C%E5%B1%B1/6073686" \h </w:instrText>
      </w:r>
      <w:r>
        <w:rPr>
          <w:rFonts w:hint="default" w:ascii="Times New Roman" w:hAnsi="Times New Roman" w:eastAsia="宋体" w:cs="Times New Roman"/>
          <w:color w:val="000000"/>
          <w:sz w:val="24"/>
          <w:szCs w:val="24"/>
        </w:rPr>
        <w:fldChar w:fldCharType="separate"/>
      </w:r>
      <w:r>
        <w:rPr>
          <w:rFonts w:hint="default" w:ascii="Times New Roman" w:hAnsi="Times New Roman" w:eastAsia="宋体" w:cs="Times New Roman"/>
          <w:color w:val="000000"/>
          <w:sz w:val="24"/>
          <w:szCs w:val="24"/>
        </w:rPr>
        <w:t>大东山</w:t>
      </w:r>
      <w:r>
        <w:rPr>
          <w:rFonts w:hint="default" w:ascii="Times New Roman" w:hAnsi="Times New Roman" w:eastAsia="宋体" w:cs="Times New Roman"/>
          <w:color w:val="000000"/>
          <w:sz w:val="24"/>
          <w:szCs w:val="24"/>
        </w:rPr>
        <w:fldChar w:fldCharType="end"/>
      </w:r>
      <w:r>
        <w:rPr>
          <w:rFonts w:hint="default" w:ascii="Times New Roman" w:hAnsi="Times New Roman" w:eastAsia="宋体" w:cs="Times New Roman"/>
          <w:color w:val="000000"/>
          <w:sz w:val="24"/>
          <w:szCs w:val="24"/>
        </w:rPr>
        <w:t>、瑶岭山地，长250公里；南列为起微山、青云山山地，长270公里。其间分布两行河谷盆地，</w:t>
      </w:r>
      <w:r>
        <w:rPr>
          <w:rFonts w:hint="default" w:ascii="Times New Roman" w:hAnsi="Times New Roman" w:eastAsia="宋体" w:cs="Times New Roman"/>
          <w:color w:val="000000"/>
          <w:sz w:val="24"/>
          <w:szCs w:val="24"/>
        </w:rPr>
        <w:fldChar w:fldCharType="begin"/>
      </w:r>
      <w:r>
        <w:rPr>
          <w:rFonts w:hint="default" w:ascii="Times New Roman" w:hAnsi="Times New Roman" w:eastAsia="宋体" w:cs="Times New Roman"/>
          <w:color w:val="000000"/>
          <w:sz w:val="24"/>
          <w:szCs w:val="24"/>
        </w:rPr>
        <w:instrText xml:space="preserve"> HYPERLINK "http://baike.baidu.com/item/%E5%8D%97%E9%9B%84%E7%9B%86%E5%9C%B0" \h </w:instrText>
      </w:r>
      <w:r>
        <w:rPr>
          <w:rFonts w:hint="default" w:ascii="Times New Roman" w:hAnsi="Times New Roman" w:eastAsia="宋体" w:cs="Times New Roman"/>
          <w:color w:val="000000"/>
          <w:sz w:val="24"/>
          <w:szCs w:val="24"/>
        </w:rPr>
        <w:fldChar w:fldCharType="separate"/>
      </w:r>
      <w:r>
        <w:rPr>
          <w:rFonts w:hint="default" w:ascii="Times New Roman" w:hAnsi="Times New Roman" w:eastAsia="宋体" w:cs="Times New Roman"/>
          <w:color w:val="000000"/>
          <w:sz w:val="24"/>
          <w:szCs w:val="24"/>
        </w:rPr>
        <w:t>包括南雄盆地</w:t>
      </w:r>
      <w:r>
        <w:rPr>
          <w:rFonts w:hint="default" w:ascii="Times New Roman" w:hAnsi="Times New Roman" w:eastAsia="宋体" w:cs="Times New Roman"/>
          <w:color w:val="000000"/>
          <w:sz w:val="24"/>
          <w:szCs w:val="24"/>
        </w:rPr>
        <w:fldChar w:fldCharType="end"/>
      </w:r>
      <w:r>
        <w:rPr>
          <w:rFonts w:hint="default" w:ascii="Times New Roman" w:hAnsi="Times New Roman" w:eastAsia="宋体" w:cs="Times New Roman"/>
          <w:color w:val="000000"/>
          <w:sz w:val="24"/>
          <w:szCs w:val="24"/>
        </w:rPr>
        <w:t>、仁化董塘盆地、坪石盆地、乐昌盆地、韶关盆地和翁源盆地。红色岩系构成的丘陵、台地分布较广，特征显著。</w:t>
      </w:r>
      <w:r>
        <w:rPr>
          <w:rFonts w:hint="default" w:ascii="Times New Roman" w:hAnsi="Times New Roman" w:eastAsia="宋体" w:cs="Times New Roman"/>
          <w:color w:val="000000"/>
          <w:sz w:val="24"/>
          <w:szCs w:val="24"/>
        </w:rPr>
        <w:fldChar w:fldCharType="begin"/>
      </w:r>
      <w:r>
        <w:rPr>
          <w:rFonts w:hint="default" w:ascii="Times New Roman" w:hAnsi="Times New Roman" w:eastAsia="宋体" w:cs="Times New Roman"/>
          <w:color w:val="000000"/>
          <w:sz w:val="24"/>
          <w:szCs w:val="24"/>
        </w:rPr>
        <w:instrText xml:space="preserve"> HYPERLINK "http://baike.baidu.com/item/%E4%BB%81%E5%8C%96%E4%B8%B9%E9%9C%9E%E5%B1%B1" \h </w:instrText>
      </w:r>
      <w:r>
        <w:rPr>
          <w:rFonts w:hint="default" w:ascii="Times New Roman" w:hAnsi="Times New Roman" w:eastAsia="宋体" w:cs="Times New Roman"/>
          <w:color w:val="000000"/>
          <w:sz w:val="24"/>
          <w:szCs w:val="24"/>
        </w:rPr>
        <w:fldChar w:fldCharType="separate"/>
      </w:r>
      <w:r>
        <w:rPr>
          <w:rFonts w:hint="default" w:ascii="Times New Roman" w:hAnsi="Times New Roman" w:eastAsia="宋体" w:cs="Times New Roman"/>
          <w:color w:val="000000"/>
          <w:sz w:val="24"/>
          <w:szCs w:val="24"/>
        </w:rPr>
        <w:t>仁化丹霞山</w:t>
      </w:r>
      <w:r>
        <w:rPr>
          <w:rFonts w:hint="default" w:ascii="Times New Roman" w:hAnsi="Times New Roman" w:eastAsia="宋体" w:cs="Times New Roman"/>
          <w:color w:val="000000"/>
          <w:sz w:val="24"/>
          <w:szCs w:val="24"/>
        </w:rPr>
        <w:fldChar w:fldCharType="end"/>
      </w:r>
      <w:r>
        <w:rPr>
          <w:rFonts w:hint="default" w:ascii="Times New Roman" w:hAnsi="Times New Roman" w:eastAsia="宋体" w:cs="Times New Roman"/>
          <w:color w:val="000000"/>
          <w:sz w:val="24"/>
          <w:szCs w:val="24"/>
        </w:rPr>
        <w:t>一带以独特的红岩地貌闻名于世，是中国典型的“丹霞地貌”所在地和命名地，面积约280 平方公里，山群呈峰林结构，有各种奇峰异石600多座。</w:t>
      </w:r>
      <w:r>
        <w:rPr>
          <w:rFonts w:hint="default" w:ascii="Times New Roman" w:hAnsi="Times New Roman" w:eastAsia="宋体" w:cs="Times New Roman"/>
          <w:color w:val="000000"/>
          <w:sz w:val="24"/>
          <w:szCs w:val="24"/>
        </w:rPr>
        <w:fldChar w:fldCharType="begin"/>
      </w:r>
      <w:r>
        <w:rPr>
          <w:rFonts w:hint="default" w:ascii="Times New Roman" w:hAnsi="Times New Roman" w:eastAsia="宋体" w:cs="Times New Roman"/>
          <w:color w:val="000000"/>
          <w:sz w:val="24"/>
          <w:szCs w:val="24"/>
        </w:rPr>
        <w:instrText xml:space="preserve"> HYPERLINK "http://baike.baidu.com/item/%E5%8D%97%E9%9B%84" \h </w:instrText>
      </w:r>
      <w:r>
        <w:rPr>
          <w:rFonts w:hint="default" w:ascii="Times New Roman" w:hAnsi="Times New Roman" w:eastAsia="宋体" w:cs="Times New Roman"/>
          <w:color w:val="000000"/>
          <w:sz w:val="24"/>
          <w:szCs w:val="24"/>
        </w:rPr>
        <w:fldChar w:fldCharType="separate"/>
      </w:r>
      <w:r>
        <w:rPr>
          <w:rFonts w:hint="default" w:ascii="Times New Roman" w:hAnsi="Times New Roman" w:eastAsia="宋体" w:cs="Times New Roman"/>
          <w:color w:val="000000"/>
          <w:sz w:val="24"/>
          <w:szCs w:val="24"/>
        </w:rPr>
        <w:t>南雄</w:t>
      </w:r>
      <w:r>
        <w:rPr>
          <w:rFonts w:hint="default" w:ascii="Times New Roman" w:hAnsi="Times New Roman" w:eastAsia="宋体" w:cs="Times New Roman"/>
          <w:color w:val="000000"/>
          <w:sz w:val="24"/>
          <w:szCs w:val="24"/>
        </w:rPr>
        <w:fldChar w:fldCharType="end"/>
      </w:r>
      <w:r>
        <w:rPr>
          <w:rFonts w:hint="default" w:ascii="Times New Roman" w:hAnsi="Times New Roman" w:eastAsia="宋体" w:cs="Times New Roman"/>
          <w:color w:val="000000"/>
          <w:sz w:val="24"/>
          <w:szCs w:val="24"/>
        </w:rPr>
        <w:t>、坪石等盆地属红岩类型，</w:t>
      </w:r>
      <w:r>
        <w:rPr>
          <w:rFonts w:hint="default" w:ascii="Times New Roman" w:hAnsi="Times New Roman" w:eastAsia="宋体" w:cs="Times New Roman"/>
          <w:color w:val="000000"/>
          <w:sz w:val="24"/>
          <w:szCs w:val="24"/>
        </w:rPr>
        <w:fldChar w:fldCharType="begin"/>
      </w:r>
      <w:r>
        <w:rPr>
          <w:rFonts w:hint="default" w:ascii="Times New Roman" w:hAnsi="Times New Roman" w:eastAsia="宋体" w:cs="Times New Roman"/>
          <w:color w:val="000000"/>
          <w:sz w:val="24"/>
          <w:szCs w:val="24"/>
        </w:rPr>
        <w:instrText xml:space="preserve"> HYPERLINK "http://baike.baidu.com/item/%E5%8D%97%E9%9B%84%E7%9B%86%E5%9C%B0" \h </w:instrText>
      </w:r>
      <w:r>
        <w:rPr>
          <w:rFonts w:hint="default" w:ascii="Times New Roman" w:hAnsi="Times New Roman" w:eastAsia="宋体" w:cs="Times New Roman"/>
          <w:color w:val="000000"/>
          <w:sz w:val="24"/>
          <w:szCs w:val="24"/>
        </w:rPr>
        <w:fldChar w:fldCharType="separate"/>
      </w:r>
      <w:r>
        <w:rPr>
          <w:rFonts w:hint="default" w:ascii="Times New Roman" w:hAnsi="Times New Roman" w:eastAsia="宋体" w:cs="Times New Roman"/>
          <w:color w:val="000000"/>
          <w:sz w:val="24"/>
          <w:szCs w:val="24"/>
        </w:rPr>
        <w:t>南雄盆地</w:t>
      </w:r>
      <w:r>
        <w:rPr>
          <w:rFonts w:hint="default" w:ascii="Times New Roman" w:hAnsi="Times New Roman" w:eastAsia="宋体" w:cs="Times New Roman"/>
          <w:color w:val="000000"/>
          <w:sz w:val="24"/>
          <w:szCs w:val="24"/>
        </w:rPr>
        <w:fldChar w:fldCharType="end"/>
      </w:r>
      <w:r>
        <w:rPr>
          <w:rFonts w:hint="default" w:ascii="Times New Roman" w:hAnsi="Times New Roman" w:eastAsia="宋体" w:cs="Times New Roman"/>
          <w:color w:val="000000"/>
          <w:sz w:val="24"/>
          <w:szCs w:val="24"/>
        </w:rPr>
        <w:t>幅员较广，岩层有十分丰富的古生物化石。全市境内山峦起伏，高峰耸立，中低山广布。北部地势为全省最高，位于乳源、阳山、湖南省交界的</w:t>
      </w:r>
      <w:r>
        <w:rPr>
          <w:rFonts w:hint="default" w:ascii="Times New Roman" w:hAnsi="Times New Roman" w:eastAsia="宋体" w:cs="Times New Roman"/>
          <w:color w:val="000000"/>
          <w:sz w:val="24"/>
          <w:szCs w:val="24"/>
        </w:rPr>
        <w:fldChar w:fldCharType="begin"/>
      </w:r>
      <w:r>
        <w:rPr>
          <w:rFonts w:hint="default" w:ascii="Times New Roman" w:hAnsi="Times New Roman" w:eastAsia="宋体" w:cs="Times New Roman"/>
          <w:color w:val="000000"/>
          <w:sz w:val="24"/>
          <w:szCs w:val="24"/>
        </w:rPr>
        <w:instrText xml:space="preserve"> HYPERLINK "http://baike.baidu.com/item/%E7%9F%B3%E5%9D%91%E5%B4%86" \h </w:instrText>
      </w:r>
      <w:r>
        <w:rPr>
          <w:rFonts w:hint="default" w:ascii="Times New Roman" w:hAnsi="Times New Roman" w:eastAsia="宋体" w:cs="Times New Roman"/>
          <w:color w:val="000000"/>
          <w:sz w:val="24"/>
          <w:szCs w:val="24"/>
        </w:rPr>
        <w:fldChar w:fldCharType="separate"/>
      </w:r>
      <w:r>
        <w:rPr>
          <w:rFonts w:hint="default" w:ascii="Times New Roman" w:hAnsi="Times New Roman" w:eastAsia="宋体" w:cs="Times New Roman"/>
          <w:color w:val="000000"/>
          <w:sz w:val="24"/>
          <w:szCs w:val="24"/>
        </w:rPr>
        <w:t>石坑崆</w:t>
      </w:r>
      <w:r>
        <w:rPr>
          <w:rFonts w:hint="default" w:ascii="Times New Roman" w:hAnsi="Times New Roman" w:eastAsia="宋体" w:cs="Times New Roman"/>
          <w:color w:val="000000"/>
          <w:sz w:val="24"/>
          <w:szCs w:val="24"/>
        </w:rPr>
        <w:fldChar w:fldCharType="end"/>
      </w:r>
      <w:r>
        <w:rPr>
          <w:rFonts w:hint="default" w:ascii="Times New Roman" w:hAnsi="Times New Roman" w:eastAsia="宋体" w:cs="Times New Roman"/>
          <w:color w:val="000000"/>
          <w:sz w:val="24"/>
          <w:szCs w:val="24"/>
        </w:rPr>
        <w:t>，海拔1902米，为广东第一高峰。南部地势较低，市区海拨在最低35米</w:t>
      </w:r>
      <w:r>
        <w:rPr>
          <w:rFonts w:hint="eastAsia" w:ascii="Times New Roman" w:hAnsi="Times New Roman" w:cs="Times New Roman"/>
          <w:color w:val="000000"/>
          <w:sz w:val="24"/>
          <w:szCs w:val="24"/>
          <w:lang w:eastAsia="zh-CN"/>
        </w:rPr>
        <w:t>。</w:t>
      </w:r>
    </w:p>
    <w:p>
      <w:pPr>
        <w:pStyle w:val="9"/>
        <w:rPr>
          <w:rFonts w:hint="default" w:ascii="Times New Roman" w:hAnsi="Times New Roman" w:eastAsia="宋体" w:cs="Times New Roman"/>
          <w:color w:val="000000"/>
          <w:sz w:val="24"/>
          <w:szCs w:val="24"/>
          <w:lang w:eastAsia="zh-CN"/>
        </w:rPr>
      </w:pPr>
      <w:r>
        <w:rPr>
          <w:rFonts w:hint="default" w:ascii="Times New Roman" w:hAnsi="Times New Roman" w:eastAsia="宋体" w:cs="Times New Roman"/>
          <w:color w:val="000000"/>
          <w:sz w:val="24"/>
          <w:szCs w:val="24"/>
        </w:rPr>
        <w:t>仁化县地层发育较为齐全，主要有元古界、古生界、中生界、新生界地层，地貌大体北高南低，地形复杂，以山地丘陵为主，其中山地约占70%、丘陵约占20%、小平原占10%，总体走向为东南向，西北锡林峰高1394.5米，北东角范水山高1559.3米</w:t>
      </w:r>
      <w:r>
        <w:rPr>
          <w:rFonts w:hint="default" w:ascii="Times New Roman" w:hAnsi="Times New Roman" w:cs="Times New Roman"/>
          <w:color w:val="000000"/>
          <w:sz w:val="24"/>
          <w:szCs w:val="24"/>
          <w:lang w:eastAsia="zh-CN"/>
        </w:rPr>
        <w:t>。</w:t>
      </w:r>
    </w:p>
    <w:p>
      <w:pPr>
        <w:pStyle w:val="5"/>
        <w:ind w:firstLine="562"/>
      </w:pPr>
      <w:r>
        <w:t>气候气象</w:t>
      </w:r>
    </w:p>
    <w:p>
      <w:pPr>
        <w:pStyle w:val="9"/>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sz w:val="24"/>
          <w:szCs w:val="24"/>
        </w:rPr>
        <w:t>全市属中亚热带湿润型季风气候区，气一年四季均受季风影响，冬季盛行东北季风，夏季盛行西南和东南季风。四季特点为春季阴雨连绵，秋季降水偏少，冬季寒冷，夏季偏热。年平均气温18.8°C―21.6°C，最冷月份（1月）平均气温8°C―11°C，最热月份（7月）平均气温28°C―29°C，冬季各地气温自北向南递增，夏季各地气温较接近。雨量充沛，年均降雨1400―2400毫米，3―8月为雨季，9―2月为旱季。日平均温度在10°C以上的太阳辐射占全年辐射总量的90%，光能、温度、降水配合较好，雨热基本同季，有利植物生长和农业生产。全年无霜期310 天左右，年日照时间1473—1925小时，北部乡镇冬季每年均有降雪。</w:t>
      </w:r>
    </w:p>
    <w:p>
      <w:pPr>
        <w:pStyle w:val="9"/>
        <w:rPr>
          <w:rFonts w:hint="default" w:cs="Times New Roman"/>
          <w:color w:val="000000"/>
          <w:sz w:val="24"/>
          <w:szCs w:val="24"/>
          <w:lang w:val="en-US" w:eastAsia="zh-CN"/>
        </w:rPr>
      </w:pPr>
      <w:r>
        <w:rPr>
          <w:rFonts w:hint="default" w:ascii="Times New Roman" w:hAnsi="Times New Roman" w:eastAsia="宋体" w:cs="Times New Roman"/>
          <w:color w:val="000000"/>
          <w:sz w:val="24"/>
          <w:szCs w:val="24"/>
        </w:rPr>
        <w:t>仁化县</w:t>
      </w:r>
      <w:r>
        <w:rPr>
          <w:rFonts w:hint="eastAsia" w:cs="Times New Roman"/>
          <w:color w:val="000000"/>
          <w:sz w:val="24"/>
          <w:szCs w:val="24"/>
          <w:lang w:eastAsia="zh-CN"/>
        </w:rPr>
        <w:t>位于广东省北部，</w:t>
      </w:r>
      <w:r>
        <w:rPr>
          <w:rFonts w:hint="default" w:ascii="Times New Roman" w:hAnsi="Times New Roman" w:eastAsia="宋体" w:cs="Times New Roman"/>
          <w:color w:val="000000"/>
          <w:sz w:val="24"/>
          <w:szCs w:val="24"/>
        </w:rPr>
        <w:t>地处中亚热带南沿，</w:t>
      </w:r>
      <w:r>
        <w:rPr>
          <w:rFonts w:hint="eastAsia" w:cs="Times New Roman"/>
          <w:color w:val="000000"/>
          <w:sz w:val="24"/>
          <w:szCs w:val="24"/>
          <w:lang w:eastAsia="zh-CN"/>
        </w:rPr>
        <w:t>属亚热带季风气候，受季风的影响，夏季盛行东南风和偏南风，冬季受来冷空气的影响。因受盆地滴滴性影响，局地小气候较为突出，风速小，静风频率甚高。年平均气温较高，受副热带高压的影响，极端最高气温甚高，日照时间长，热量充足，空气湿度大，冬季有霜冻。降雨量和蒸发量均较大，上半年以降雨为主，下半年常受热带气旋影响，则以台风雨为主，降雨量在时间和空间上的分布不均与，</w:t>
      </w:r>
      <w:r>
        <w:rPr>
          <w:rFonts w:hint="eastAsia" w:cs="Times New Roman"/>
          <w:color w:val="000000"/>
          <w:sz w:val="24"/>
          <w:szCs w:val="24"/>
          <w:lang w:val="en-US" w:eastAsia="zh-CN"/>
        </w:rPr>
        <w:t>4-9月的降雨量约占全年的68%。</w:t>
      </w:r>
    </w:p>
    <w:p>
      <w:pPr>
        <w:pStyle w:val="9"/>
        <w:rPr>
          <w:rFonts w:hint="default" w:cs="Times New Roman"/>
          <w:color w:val="000000"/>
          <w:sz w:val="24"/>
          <w:szCs w:val="24"/>
          <w:lang w:val="en-US" w:eastAsia="zh-CN"/>
        </w:rPr>
      </w:pPr>
      <w:r>
        <w:rPr>
          <w:rFonts w:hint="eastAsia" w:cs="Times New Roman"/>
          <w:color w:val="000000"/>
          <w:sz w:val="24"/>
          <w:szCs w:val="24"/>
          <w:lang w:eastAsia="zh-CN"/>
        </w:rPr>
        <w:t>仁化县四季气候特点是：春季，阴雨天气多，阳光少，空气潮湿，天气多变，气候由冷向暖过渡；夏季，雨水多，雷雨、洪涝、强风、高温活跃，强对流天气频繁；秋季，雨水少，阳光普照，空气干燥，天气稳定，气候由暖向冷过渡；冬季，天气冷，早晚温差大，雨量少，霜日、冰冻、寒潮，低温天气带常出现，寒冷天气较多。根据仁化县气象站近</w:t>
      </w:r>
      <w:r>
        <w:rPr>
          <w:rFonts w:hint="eastAsia" w:cs="Times New Roman"/>
          <w:color w:val="000000"/>
          <w:sz w:val="24"/>
          <w:szCs w:val="24"/>
          <w:lang w:val="en-US" w:eastAsia="zh-CN"/>
        </w:rPr>
        <w:t>20年（1996-2015年）的气象观测资料统计，其主要气候特征见表4.1-1~表4.1-3。</w:t>
      </w:r>
    </w:p>
    <w:p>
      <w:pPr>
        <w:pStyle w:val="9"/>
        <w:rPr>
          <w:rFonts w:hint="default" w:ascii="Times New Roman" w:hAnsi="Times New Roman" w:eastAsia="宋体" w:cs="Times New Roman"/>
          <w:color w:val="000000"/>
          <w:sz w:val="24"/>
          <w:szCs w:val="24"/>
        </w:rPr>
      </w:pPr>
    </w:p>
    <w:p>
      <w:pPr>
        <w:pStyle w:val="9"/>
        <w:rPr>
          <w:rFonts w:hint="default" w:ascii="Times New Roman" w:hAnsi="Times New Roman" w:eastAsia="宋体" w:cs="Times New Roman"/>
          <w:color w:val="000000"/>
          <w:sz w:val="24"/>
          <w:szCs w:val="24"/>
        </w:rPr>
      </w:pPr>
    </w:p>
    <w:p>
      <w:pPr>
        <w:pStyle w:val="9"/>
        <w:rPr>
          <w:rFonts w:hint="default" w:ascii="Times New Roman" w:hAnsi="Times New Roman" w:eastAsia="宋体" w:cs="Times New Roman"/>
          <w:color w:val="000000"/>
          <w:sz w:val="24"/>
          <w:szCs w:val="24"/>
        </w:rPr>
      </w:pP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cs="Times New Roman"/>
          <w:color w:val="000000"/>
          <w:sz w:val="24"/>
          <w:szCs w:val="24"/>
          <w:lang w:val="en-US" w:eastAsia="zh-CN"/>
        </w:rPr>
      </w:pPr>
      <w:r>
        <w:rPr>
          <w:rFonts w:hint="eastAsia" w:cs="Times New Roman"/>
          <w:b/>
          <w:bCs/>
          <w:color w:val="000000"/>
          <w:sz w:val="21"/>
          <w:szCs w:val="21"/>
          <w:lang w:eastAsia="zh-CN"/>
        </w:rPr>
        <w:t>表</w:t>
      </w:r>
      <w:r>
        <w:rPr>
          <w:rFonts w:hint="eastAsia" w:cs="Times New Roman"/>
          <w:b/>
          <w:bCs/>
          <w:color w:val="000000"/>
          <w:sz w:val="21"/>
          <w:szCs w:val="21"/>
          <w:lang w:val="en-US" w:eastAsia="zh-CN"/>
        </w:rPr>
        <w:t>4.1-1   仁化气象站近20年（1996-2015年）的主要气候资料统计表</w:t>
      </w:r>
    </w:p>
    <w:tbl>
      <w:tblPr>
        <w:tblStyle w:val="6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top w:val="single" w:color="auto" w:sz="12" w:space="0"/>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项目</w:t>
            </w:r>
          </w:p>
        </w:tc>
        <w:tc>
          <w:tcPr>
            <w:tcW w:w="2500" w:type="pct"/>
            <w:tcBorders>
              <w:top w:val="single" w:color="auto" w:sz="12" w:space="0"/>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数值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top w:val="single" w:color="auto" w:sz="12" w:space="0"/>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年平均风速（</w:t>
            </w:r>
            <w:r>
              <w:rPr>
                <w:rFonts w:hint="eastAsia" w:cs="Times New Roman"/>
                <w:color w:val="000000"/>
                <w:sz w:val="21"/>
                <w:szCs w:val="21"/>
                <w:vertAlign w:val="baseline"/>
                <w:lang w:val="en-US" w:eastAsia="zh-CN"/>
              </w:rPr>
              <w:t>m/s</w:t>
            </w:r>
            <w:r>
              <w:rPr>
                <w:rFonts w:hint="eastAsia" w:cs="Times New Roman"/>
                <w:color w:val="000000"/>
                <w:sz w:val="21"/>
                <w:szCs w:val="21"/>
                <w:vertAlign w:val="baseline"/>
                <w:lang w:eastAsia="zh-CN"/>
              </w:rPr>
              <w:t>）</w:t>
            </w:r>
          </w:p>
        </w:tc>
        <w:tc>
          <w:tcPr>
            <w:tcW w:w="2500" w:type="pct"/>
            <w:tcBorders>
              <w:top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最大风速（</w:t>
            </w:r>
            <w:r>
              <w:rPr>
                <w:rFonts w:hint="eastAsia" w:cs="Times New Roman"/>
                <w:color w:val="000000"/>
                <w:sz w:val="21"/>
                <w:szCs w:val="21"/>
                <w:vertAlign w:val="baseline"/>
                <w:lang w:val="en-US" w:eastAsia="zh-CN"/>
              </w:rPr>
              <w:t>m/s</w:t>
            </w:r>
            <w:r>
              <w:rPr>
                <w:rFonts w:hint="eastAsia" w:cs="Times New Roman"/>
                <w:color w:val="000000"/>
                <w:sz w:val="21"/>
                <w:szCs w:val="21"/>
                <w:vertAlign w:val="baseline"/>
                <w:lang w:eastAsia="zh-CN"/>
              </w:rPr>
              <w:t>）及出现的时间</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val="en-US" w:eastAsia="zh-CN"/>
              </w:rPr>
            </w:pPr>
            <w:r>
              <w:rPr>
                <w:rFonts w:hint="eastAsia" w:cs="Times New Roman"/>
                <w:color w:val="000000"/>
                <w:sz w:val="21"/>
                <w:szCs w:val="21"/>
                <w:vertAlign w:val="baseline"/>
                <w:lang w:val="en-US" w:eastAsia="zh-CN"/>
              </w:rPr>
              <w:t>18.2</w:t>
            </w:r>
          </w:p>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val="en-US" w:eastAsia="zh-CN"/>
              </w:rPr>
            </w:pPr>
            <w:r>
              <w:rPr>
                <w:rFonts w:hint="eastAsia" w:cs="Times New Roman"/>
                <w:color w:val="000000"/>
                <w:sz w:val="21"/>
                <w:szCs w:val="21"/>
                <w:vertAlign w:val="baseline"/>
                <w:lang w:val="en-US" w:eastAsia="zh-CN"/>
              </w:rPr>
              <w:t>相应风向：SW</w:t>
            </w:r>
          </w:p>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出现时间：2013年3月20日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年平均气温（℃）</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极端最高气温（℃）及出现的时间</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val="en-US" w:eastAsia="zh-CN"/>
              </w:rPr>
            </w:pPr>
            <w:r>
              <w:rPr>
                <w:rFonts w:hint="eastAsia" w:cs="Times New Roman"/>
                <w:color w:val="000000"/>
                <w:sz w:val="21"/>
                <w:szCs w:val="21"/>
                <w:vertAlign w:val="baseline"/>
                <w:lang w:val="en-US" w:eastAsia="zh-CN"/>
              </w:rPr>
              <w:t>40.9</w:t>
            </w:r>
          </w:p>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出现时间：2003年7月23日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极端最低气温（℃）及出现的时间</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val="en-US" w:eastAsia="zh-CN"/>
              </w:rPr>
            </w:pPr>
            <w:r>
              <w:rPr>
                <w:rFonts w:hint="eastAsia" w:cs="Times New Roman"/>
                <w:color w:val="000000"/>
                <w:sz w:val="21"/>
                <w:szCs w:val="21"/>
                <w:vertAlign w:val="baseline"/>
                <w:lang w:val="en-US" w:eastAsia="zh-CN"/>
              </w:rPr>
              <w:t>-4.8</w:t>
            </w:r>
          </w:p>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val="en-US" w:eastAsia="zh-CN"/>
              </w:rPr>
              <w:t>出现时间：1999年12月23日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年平均相对湿度（</w:t>
            </w:r>
            <w:r>
              <w:rPr>
                <w:rFonts w:hint="eastAsia" w:cs="Times New Roman"/>
                <w:color w:val="000000"/>
                <w:sz w:val="21"/>
                <w:szCs w:val="21"/>
                <w:vertAlign w:val="baseline"/>
                <w:lang w:val="en-US" w:eastAsia="zh-CN"/>
              </w:rPr>
              <w:t>%</w:t>
            </w:r>
            <w:r>
              <w:rPr>
                <w:rFonts w:hint="eastAsia" w:cs="Times New Roman"/>
                <w:color w:val="000000"/>
                <w:sz w:val="21"/>
                <w:szCs w:val="21"/>
                <w:vertAlign w:val="baseline"/>
                <w:lang w:eastAsia="zh-CN"/>
              </w:rPr>
              <w:t>）</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年均降水量（</w:t>
            </w:r>
            <w:r>
              <w:rPr>
                <w:rFonts w:hint="eastAsia" w:cs="Times New Roman"/>
                <w:color w:val="000000"/>
                <w:sz w:val="21"/>
                <w:szCs w:val="21"/>
                <w:vertAlign w:val="baseline"/>
                <w:lang w:val="en-US" w:eastAsia="zh-CN"/>
              </w:rPr>
              <w:t>mm</w:t>
            </w:r>
            <w:r>
              <w:rPr>
                <w:rFonts w:hint="eastAsia" w:cs="Times New Roman"/>
                <w:color w:val="000000"/>
                <w:sz w:val="21"/>
                <w:szCs w:val="21"/>
                <w:vertAlign w:val="baseline"/>
                <w:lang w:eastAsia="zh-CN"/>
              </w:rPr>
              <w:t>）</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1649.7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年最大降水量（</w:t>
            </w:r>
            <w:r>
              <w:rPr>
                <w:rFonts w:hint="eastAsia" w:cs="Times New Roman"/>
                <w:color w:val="000000"/>
                <w:sz w:val="21"/>
                <w:szCs w:val="21"/>
                <w:vertAlign w:val="baseline"/>
                <w:lang w:val="en-US" w:eastAsia="zh-CN"/>
              </w:rPr>
              <w:t>mm</w:t>
            </w:r>
            <w:r>
              <w:rPr>
                <w:rFonts w:hint="eastAsia" w:cs="Times New Roman"/>
                <w:color w:val="000000"/>
                <w:sz w:val="21"/>
                <w:szCs w:val="21"/>
                <w:vertAlign w:val="baseline"/>
                <w:lang w:eastAsia="zh-CN"/>
              </w:rPr>
              <w:t>）及出现的时间</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eastAsia="zh-CN"/>
              </w:rPr>
              <w:t>最大值：</w:t>
            </w:r>
            <w:r>
              <w:rPr>
                <w:rFonts w:hint="eastAsia" w:cs="Times New Roman"/>
                <w:color w:val="000000"/>
                <w:sz w:val="21"/>
                <w:szCs w:val="21"/>
                <w:vertAlign w:val="baseline"/>
                <w:lang w:val="en-US" w:eastAsia="zh-CN"/>
              </w:rPr>
              <w:t>2151.9mm 出现时间：1997年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年最小降水量（</w:t>
            </w:r>
            <w:r>
              <w:rPr>
                <w:rFonts w:hint="eastAsia" w:cs="Times New Roman"/>
                <w:color w:val="000000"/>
                <w:sz w:val="21"/>
                <w:szCs w:val="21"/>
                <w:vertAlign w:val="baseline"/>
                <w:lang w:val="en-US" w:eastAsia="zh-CN"/>
              </w:rPr>
              <w:t>mm</w:t>
            </w:r>
            <w:r>
              <w:rPr>
                <w:rFonts w:hint="eastAsia" w:cs="Times New Roman"/>
                <w:color w:val="000000"/>
                <w:sz w:val="21"/>
                <w:szCs w:val="21"/>
                <w:vertAlign w:val="baseline"/>
                <w:lang w:eastAsia="zh-CN"/>
              </w:rPr>
              <w:t>）及出现的时间</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最小值：</w:t>
            </w:r>
            <w:r>
              <w:rPr>
                <w:rFonts w:hint="eastAsia" w:cs="Times New Roman"/>
                <w:color w:val="000000"/>
                <w:sz w:val="21"/>
                <w:szCs w:val="21"/>
                <w:vertAlign w:val="baseline"/>
                <w:lang w:val="en-US" w:eastAsia="zh-CN"/>
              </w:rPr>
              <w:t>1120.4mm 出现时间：2004年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年平均日照时数（</w:t>
            </w:r>
            <w:r>
              <w:rPr>
                <w:rFonts w:hint="eastAsia" w:cs="Times New Roman"/>
                <w:color w:val="000000"/>
                <w:sz w:val="21"/>
                <w:szCs w:val="21"/>
                <w:vertAlign w:val="baseline"/>
                <w:lang w:val="en-US" w:eastAsia="zh-CN"/>
              </w:rPr>
              <w:t>h</w:t>
            </w:r>
            <w:r>
              <w:rPr>
                <w:rFonts w:hint="eastAsia" w:cs="Times New Roman"/>
                <w:color w:val="000000"/>
                <w:sz w:val="21"/>
                <w:szCs w:val="21"/>
                <w:vertAlign w:val="baseline"/>
                <w:lang w:eastAsia="zh-CN"/>
              </w:rPr>
              <w:t>）</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1746.7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500" w:type="pct"/>
            <w:tcBorders>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近五年（</w:t>
            </w:r>
            <w:r>
              <w:rPr>
                <w:rFonts w:hint="eastAsia" w:cs="Times New Roman"/>
                <w:color w:val="000000"/>
                <w:sz w:val="21"/>
                <w:szCs w:val="21"/>
                <w:vertAlign w:val="baseline"/>
                <w:lang w:val="en-US" w:eastAsia="zh-CN"/>
              </w:rPr>
              <w:t>2011-2015年</w:t>
            </w:r>
            <w:r>
              <w:rPr>
                <w:rFonts w:hint="eastAsia" w:cs="Times New Roman"/>
                <w:color w:val="000000"/>
                <w:sz w:val="21"/>
                <w:szCs w:val="21"/>
                <w:vertAlign w:val="baseline"/>
                <w:lang w:eastAsia="zh-CN"/>
              </w:rPr>
              <w:t>）年平均风速（</w:t>
            </w:r>
            <w:r>
              <w:rPr>
                <w:rFonts w:hint="eastAsia" w:cs="Times New Roman"/>
                <w:color w:val="000000"/>
                <w:sz w:val="21"/>
                <w:szCs w:val="21"/>
                <w:vertAlign w:val="baseline"/>
                <w:lang w:val="en-US" w:eastAsia="zh-CN"/>
              </w:rPr>
              <w:t>m/s</w:t>
            </w:r>
            <w:r>
              <w:rPr>
                <w:rFonts w:hint="eastAsia" w:cs="Times New Roman"/>
                <w:color w:val="000000"/>
                <w:sz w:val="21"/>
                <w:szCs w:val="21"/>
                <w:vertAlign w:val="baseline"/>
                <w:lang w:eastAsia="zh-CN"/>
              </w:rPr>
              <w:t>）</w:t>
            </w:r>
          </w:p>
        </w:tc>
        <w:tc>
          <w:tcPr>
            <w:tcW w:w="2500" w:type="pct"/>
            <w:tcBorders>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1.38</w:t>
            </w:r>
          </w:p>
        </w:tc>
      </w:tr>
    </w:tbl>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cs="Times New Roman"/>
          <w:b/>
          <w:bCs/>
          <w:color w:val="000000"/>
          <w:sz w:val="21"/>
          <w:szCs w:val="21"/>
          <w:lang w:val="en-US" w:eastAsia="zh-CN"/>
        </w:rPr>
      </w:pPr>
      <w:r>
        <w:rPr>
          <w:rFonts w:hint="eastAsia" w:cs="Times New Roman"/>
          <w:b/>
          <w:bCs/>
          <w:color w:val="000000"/>
          <w:sz w:val="21"/>
          <w:szCs w:val="21"/>
          <w:lang w:eastAsia="zh-CN"/>
        </w:rPr>
        <w:t>表</w:t>
      </w:r>
      <w:r>
        <w:rPr>
          <w:rFonts w:hint="eastAsia" w:cs="Times New Roman"/>
          <w:b/>
          <w:bCs/>
          <w:color w:val="000000"/>
          <w:sz w:val="21"/>
          <w:szCs w:val="21"/>
          <w:lang w:val="en-US" w:eastAsia="zh-CN"/>
        </w:rPr>
        <w:t>4.1-2  仁化累年各月平均风速（m/s）、平均气温（℃）</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55"/>
        <w:gridCol w:w="655"/>
        <w:gridCol w:w="655"/>
        <w:gridCol w:w="655"/>
        <w:gridCol w:w="655"/>
        <w:gridCol w:w="655"/>
        <w:gridCol w:w="656"/>
        <w:gridCol w:w="656"/>
        <w:gridCol w:w="656"/>
        <w:gridCol w:w="656"/>
        <w:gridCol w:w="656"/>
        <w:gridCol w:w="656"/>
        <w:gridCol w:w="6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5" w:type="dxa"/>
            <w:tcBorders>
              <w:top w:val="single" w:color="auto" w:sz="12" w:space="0"/>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月份</w:t>
            </w:r>
          </w:p>
        </w:tc>
        <w:tc>
          <w:tcPr>
            <w:tcW w:w="655" w:type="dxa"/>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w:t>
            </w:r>
          </w:p>
        </w:tc>
        <w:tc>
          <w:tcPr>
            <w:tcW w:w="655" w:type="dxa"/>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w:t>
            </w:r>
          </w:p>
        </w:tc>
        <w:tc>
          <w:tcPr>
            <w:tcW w:w="655" w:type="dxa"/>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3</w:t>
            </w:r>
          </w:p>
        </w:tc>
        <w:tc>
          <w:tcPr>
            <w:tcW w:w="655" w:type="dxa"/>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4</w:t>
            </w:r>
          </w:p>
        </w:tc>
        <w:tc>
          <w:tcPr>
            <w:tcW w:w="655" w:type="dxa"/>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5</w:t>
            </w:r>
          </w:p>
        </w:tc>
        <w:tc>
          <w:tcPr>
            <w:tcW w:w="656" w:type="dxa"/>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6</w:t>
            </w:r>
          </w:p>
        </w:tc>
        <w:tc>
          <w:tcPr>
            <w:tcW w:w="656" w:type="dxa"/>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7</w:t>
            </w:r>
          </w:p>
        </w:tc>
        <w:tc>
          <w:tcPr>
            <w:tcW w:w="656" w:type="dxa"/>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8</w:t>
            </w:r>
          </w:p>
        </w:tc>
        <w:tc>
          <w:tcPr>
            <w:tcW w:w="656" w:type="dxa"/>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9</w:t>
            </w:r>
          </w:p>
        </w:tc>
        <w:tc>
          <w:tcPr>
            <w:tcW w:w="656" w:type="dxa"/>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c>
          <w:tcPr>
            <w:tcW w:w="656" w:type="dxa"/>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11</w:t>
            </w:r>
          </w:p>
        </w:tc>
        <w:tc>
          <w:tcPr>
            <w:tcW w:w="656" w:type="dxa"/>
            <w:tcBorders>
              <w:top w:val="single" w:color="auto" w:sz="12" w:space="0"/>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5" w:type="dxa"/>
            <w:tcBorders>
              <w:top w:val="single" w:color="auto" w:sz="12" w:space="0"/>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风速</w:t>
            </w:r>
          </w:p>
        </w:tc>
        <w:tc>
          <w:tcPr>
            <w:tcW w:w="655" w:type="dxa"/>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0.9</w:t>
            </w:r>
          </w:p>
        </w:tc>
        <w:tc>
          <w:tcPr>
            <w:tcW w:w="655" w:type="dxa"/>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c>
          <w:tcPr>
            <w:tcW w:w="655" w:type="dxa"/>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c>
          <w:tcPr>
            <w:tcW w:w="655" w:type="dxa"/>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c>
          <w:tcPr>
            <w:tcW w:w="655" w:type="dxa"/>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0.9</w:t>
            </w:r>
          </w:p>
        </w:tc>
        <w:tc>
          <w:tcPr>
            <w:tcW w:w="656" w:type="dxa"/>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1.1</w:t>
            </w:r>
          </w:p>
        </w:tc>
        <w:tc>
          <w:tcPr>
            <w:tcW w:w="656" w:type="dxa"/>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1.1</w:t>
            </w:r>
          </w:p>
        </w:tc>
        <w:tc>
          <w:tcPr>
            <w:tcW w:w="656" w:type="dxa"/>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1.1</w:t>
            </w:r>
          </w:p>
        </w:tc>
        <w:tc>
          <w:tcPr>
            <w:tcW w:w="656" w:type="dxa"/>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1.1</w:t>
            </w:r>
          </w:p>
        </w:tc>
        <w:tc>
          <w:tcPr>
            <w:tcW w:w="656" w:type="dxa"/>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c>
          <w:tcPr>
            <w:tcW w:w="656" w:type="dxa"/>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c>
          <w:tcPr>
            <w:tcW w:w="656" w:type="dxa"/>
            <w:tcBorders>
              <w:top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5" w:type="dxa"/>
            <w:tcBorders>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气温</w:t>
            </w:r>
          </w:p>
        </w:tc>
        <w:tc>
          <w:tcPr>
            <w:tcW w:w="655" w:type="dxa"/>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9.7</w:t>
            </w:r>
          </w:p>
        </w:tc>
        <w:tc>
          <w:tcPr>
            <w:tcW w:w="655" w:type="dxa"/>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12.4</w:t>
            </w:r>
          </w:p>
        </w:tc>
        <w:tc>
          <w:tcPr>
            <w:tcW w:w="655" w:type="dxa"/>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15.3</w:t>
            </w:r>
          </w:p>
        </w:tc>
        <w:tc>
          <w:tcPr>
            <w:tcW w:w="655" w:type="dxa"/>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20.4</w:t>
            </w:r>
          </w:p>
        </w:tc>
        <w:tc>
          <w:tcPr>
            <w:tcW w:w="655" w:type="dxa"/>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24.3</w:t>
            </w:r>
          </w:p>
        </w:tc>
        <w:tc>
          <w:tcPr>
            <w:tcW w:w="656" w:type="dxa"/>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27.0</w:t>
            </w:r>
          </w:p>
        </w:tc>
        <w:tc>
          <w:tcPr>
            <w:tcW w:w="656" w:type="dxa"/>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28.4</w:t>
            </w:r>
          </w:p>
        </w:tc>
        <w:tc>
          <w:tcPr>
            <w:tcW w:w="656" w:type="dxa"/>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28.2</w:t>
            </w:r>
          </w:p>
        </w:tc>
        <w:tc>
          <w:tcPr>
            <w:tcW w:w="656" w:type="dxa"/>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26.9</w:t>
            </w:r>
          </w:p>
        </w:tc>
        <w:tc>
          <w:tcPr>
            <w:tcW w:w="656" w:type="dxa"/>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22.2</w:t>
            </w:r>
          </w:p>
        </w:tc>
        <w:tc>
          <w:tcPr>
            <w:tcW w:w="656" w:type="dxa"/>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16.7</w:t>
            </w:r>
          </w:p>
        </w:tc>
        <w:tc>
          <w:tcPr>
            <w:tcW w:w="656" w:type="dxa"/>
            <w:tcBorders>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11.1</w:t>
            </w:r>
          </w:p>
        </w:tc>
      </w:tr>
    </w:tbl>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cs="Times New Roman"/>
          <w:b/>
          <w:bCs/>
          <w:color w:val="000000"/>
          <w:sz w:val="21"/>
          <w:szCs w:val="21"/>
          <w:lang w:val="en-US" w:eastAsia="zh-CN"/>
        </w:rPr>
      </w:pPr>
      <w:r>
        <w:rPr>
          <w:rFonts w:hint="eastAsia" w:cs="Times New Roman"/>
          <w:b/>
          <w:bCs/>
          <w:color w:val="000000"/>
          <w:sz w:val="21"/>
          <w:szCs w:val="21"/>
          <w:lang w:eastAsia="zh-CN"/>
        </w:rPr>
        <w:t>表</w:t>
      </w:r>
      <w:r>
        <w:rPr>
          <w:rFonts w:hint="eastAsia" w:cs="Times New Roman"/>
          <w:b/>
          <w:bCs/>
          <w:color w:val="000000"/>
          <w:sz w:val="21"/>
          <w:szCs w:val="21"/>
          <w:lang w:val="en-US" w:eastAsia="zh-CN"/>
        </w:rPr>
        <w:t>4.1-3  仁化累年四季及年各风向频率（%）</w:t>
      </w:r>
    </w:p>
    <w:tbl>
      <w:tblPr>
        <w:tblStyle w:val="64"/>
        <w:tblW w:w="499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9"/>
        <w:gridCol w:w="980"/>
        <w:gridCol w:w="850"/>
        <w:gridCol w:w="850"/>
        <w:gridCol w:w="850"/>
        <w:gridCol w:w="850"/>
        <w:gridCol w:w="751"/>
        <w:gridCol w:w="765"/>
        <w:gridCol w:w="780"/>
        <w:gridCol w:w="11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2" w:type="pct"/>
            <w:tcBorders>
              <w:top w:val="single" w:color="auto" w:sz="12" w:space="0"/>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风向</w:t>
            </w:r>
          </w:p>
        </w:tc>
        <w:tc>
          <w:tcPr>
            <w:tcW w:w="575"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N</w:t>
            </w:r>
          </w:p>
        </w:tc>
        <w:tc>
          <w:tcPr>
            <w:tcW w:w="499"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NNE</w:t>
            </w:r>
          </w:p>
        </w:tc>
        <w:tc>
          <w:tcPr>
            <w:tcW w:w="499"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NE</w:t>
            </w:r>
          </w:p>
        </w:tc>
        <w:tc>
          <w:tcPr>
            <w:tcW w:w="499"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ENE</w:t>
            </w:r>
          </w:p>
        </w:tc>
        <w:tc>
          <w:tcPr>
            <w:tcW w:w="499"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E</w:t>
            </w:r>
          </w:p>
        </w:tc>
        <w:tc>
          <w:tcPr>
            <w:tcW w:w="441"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ESE</w:t>
            </w:r>
          </w:p>
        </w:tc>
        <w:tc>
          <w:tcPr>
            <w:tcW w:w="449"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SE</w:t>
            </w:r>
          </w:p>
        </w:tc>
        <w:tc>
          <w:tcPr>
            <w:tcW w:w="458"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SSE</w:t>
            </w:r>
          </w:p>
        </w:tc>
        <w:tc>
          <w:tcPr>
            <w:tcW w:w="655" w:type="pct"/>
            <w:tcBorders>
              <w:top w:val="single" w:color="auto" w:sz="12" w:space="0"/>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2" w:type="pct"/>
            <w:tcBorders>
              <w:top w:val="single" w:color="auto" w:sz="12" w:space="0"/>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频率</w:t>
            </w:r>
          </w:p>
        </w:tc>
        <w:tc>
          <w:tcPr>
            <w:tcW w:w="575"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2.8</w:t>
            </w:r>
          </w:p>
        </w:tc>
        <w:tc>
          <w:tcPr>
            <w:tcW w:w="499"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3.4</w:t>
            </w:r>
          </w:p>
        </w:tc>
        <w:tc>
          <w:tcPr>
            <w:tcW w:w="499"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5.5</w:t>
            </w:r>
          </w:p>
        </w:tc>
        <w:tc>
          <w:tcPr>
            <w:tcW w:w="499"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4.5</w:t>
            </w:r>
          </w:p>
        </w:tc>
        <w:tc>
          <w:tcPr>
            <w:tcW w:w="499"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5.1</w:t>
            </w:r>
          </w:p>
        </w:tc>
        <w:tc>
          <w:tcPr>
            <w:tcW w:w="441"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4.2</w:t>
            </w:r>
          </w:p>
        </w:tc>
        <w:tc>
          <w:tcPr>
            <w:tcW w:w="449"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6.8</w:t>
            </w:r>
          </w:p>
        </w:tc>
        <w:tc>
          <w:tcPr>
            <w:tcW w:w="458"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5.7</w:t>
            </w:r>
          </w:p>
        </w:tc>
        <w:tc>
          <w:tcPr>
            <w:tcW w:w="655" w:type="pct"/>
            <w:tcBorders>
              <w:top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2"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风向</w:t>
            </w:r>
          </w:p>
        </w:tc>
        <w:tc>
          <w:tcPr>
            <w:tcW w:w="575"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SSW</w:t>
            </w:r>
          </w:p>
        </w:tc>
        <w:tc>
          <w:tcPr>
            <w:tcW w:w="49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SW</w:t>
            </w:r>
          </w:p>
        </w:tc>
        <w:tc>
          <w:tcPr>
            <w:tcW w:w="49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WSW</w:t>
            </w:r>
          </w:p>
        </w:tc>
        <w:tc>
          <w:tcPr>
            <w:tcW w:w="49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W</w:t>
            </w:r>
          </w:p>
        </w:tc>
        <w:tc>
          <w:tcPr>
            <w:tcW w:w="49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WNW</w:t>
            </w:r>
          </w:p>
        </w:tc>
        <w:tc>
          <w:tcPr>
            <w:tcW w:w="441"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NW</w:t>
            </w:r>
          </w:p>
        </w:tc>
        <w:tc>
          <w:tcPr>
            <w:tcW w:w="44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NNW</w:t>
            </w:r>
          </w:p>
        </w:tc>
        <w:tc>
          <w:tcPr>
            <w:tcW w:w="458"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C</w:t>
            </w:r>
          </w:p>
        </w:tc>
        <w:tc>
          <w:tcPr>
            <w:tcW w:w="655"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最多风向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22" w:type="pct"/>
            <w:tcBorders>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频率</w:t>
            </w:r>
          </w:p>
        </w:tc>
        <w:tc>
          <w:tcPr>
            <w:tcW w:w="575"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6.0</w:t>
            </w:r>
          </w:p>
        </w:tc>
        <w:tc>
          <w:tcPr>
            <w:tcW w:w="49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5.9</w:t>
            </w:r>
          </w:p>
        </w:tc>
        <w:tc>
          <w:tcPr>
            <w:tcW w:w="49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4.8</w:t>
            </w:r>
          </w:p>
        </w:tc>
        <w:tc>
          <w:tcPr>
            <w:tcW w:w="49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4.0</w:t>
            </w:r>
          </w:p>
        </w:tc>
        <w:tc>
          <w:tcPr>
            <w:tcW w:w="49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2.3</w:t>
            </w:r>
          </w:p>
        </w:tc>
        <w:tc>
          <w:tcPr>
            <w:tcW w:w="441"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1.6</w:t>
            </w:r>
          </w:p>
        </w:tc>
        <w:tc>
          <w:tcPr>
            <w:tcW w:w="44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1.8</w:t>
            </w:r>
          </w:p>
        </w:tc>
        <w:tc>
          <w:tcPr>
            <w:tcW w:w="458"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28.8</w:t>
            </w:r>
          </w:p>
        </w:tc>
        <w:tc>
          <w:tcPr>
            <w:tcW w:w="655" w:type="pct"/>
            <w:tcBorders>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S</w:t>
            </w:r>
          </w:p>
        </w:tc>
      </w:tr>
    </w:tbl>
    <w:p>
      <w:pPr>
        <w:pStyle w:val="9"/>
        <w:ind w:left="0" w:leftChars="0" w:firstLine="0" w:firstLineChars="0"/>
        <w:jc w:val="center"/>
        <w:rPr>
          <w:rFonts w:hint="eastAsia" w:cs="Times New Roman"/>
          <w:color w:val="000000"/>
          <w:sz w:val="24"/>
          <w:szCs w:val="24"/>
          <w:lang w:eastAsia="zh-CN"/>
        </w:rPr>
      </w:pPr>
      <w:r>
        <w:drawing>
          <wp:inline distT="0" distB="0" distL="114300" distR="114300">
            <wp:extent cx="2353310" cy="2522855"/>
            <wp:effectExtent l="12700" t="12700" r="15240" b="17145"/>
            <wp:docPr id="10"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7"/>
                    <pic:cNvPicPr>
                      <a:picLocks noChangeAspect="1"/>
                    </pic:cNvPicPr>
                  </pic:nvPicPr>
                  <pic:blipFill>
                    <a:blip r:embed="rId45"/>
                    <a:stretch>
                      <a:fillRect/>
                    </a:stretch>
                  </pic:blipFill>
                  <pic:spPr>
                    <a:xfrm>
                      <a:off x="0" y="0"/>
                      <a:ext cx="2353310" cy="2522855"/>
                    </a:xfrm>
                    <a:prstGeom prst="rect">
                      <a:avLst/>
                    </a:prstGeom>
                    <a:noFill/>
                    <a:ln w="12700">
                      <a:solidFill>
                        <a:schemeClr val="tx1"/>
                      </a:solidFill>
                    </a:ln>
                  </pic:spPr>
                </pic:pic>
              </a:graphicData>
            </a:graphic>
          </wp:inline>
        </w:drawing>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cs="Times New Roman"/>
          <w:b/>
          <w:bCs/>
          <w:color w:val="000000"/>
          <w:sz w:val="21"/>
          <w:szCs w:val="21"/>
          <w:lang w:val="en-US" w:eastAsia="zh-CN"/>
        </w:rPr>
      </w:pPr>
      <w:r>
        <w:rPr>
          <w:rFonts w:hint="eastAsia" w:cs="Times New Roman"/>
          <w:b/>
          <w:bCs/>
          <w:color w:val="000000"/>
          <w:sz w:val="21"/>
          <w:szCs w:val="21"/>
          <w:lang w:eastAsia="zh-CN"/>
        </w:rPr>
        <w:t>图</w:t>
      </w:r>
      <w:r>
        <w:rPr>
          <w:rFonts w:hint="eastAsia" w:cs="Times New Roman"/>
          <w:b/>
          <w:bCs/>
          <w:color w:val="000000"/>
          <w:sz w:val="21"/>
          <w:szCs w:val="21"/>
          <w:lang w:val="en-US" w:eastAsia="zh-CN"/>
        </w:rPr>
        <w:t>4.1-1   仁化气象站累年各季风向玫瑰图（统计年限：1996-2015年）</w:t>
      </w:r>
    </w:p>
    <w:p>
      <w:pPr>
        <w:pStyle w:val="5"/>
        <w:ind w:firstLine="562"/>
      </w:pPr>
      <w:r>
        <w:t>水文特征</w:t>
      </w:r>
    </w:p>
    <w:p>
      <w:pPr>
        <w:pStyle w:val="9"/>
        <w:rPr>
          <w:rFonts w:hint="eastAsia" w:eastAsia="宋体"/>
          <w:lang w:eastAsia="zh-CN"/>
        </w:rPr>
      </w:pPr>
      <w:r>
        <w:rPr>
          <w:rFonts w:hint="eastAsia"/>
        </w:rPr>
        <w:t>韶关境内河流主要属珠江水系北江流域。</w:t>
      </w:r>
      <w:r>
        <w:rPr>
          <w:rFonts w:hint="eastAsia"/>
        </w:rPr>
        <w:fldChar w:fldCharType="begin"/>
      </w:r>
      <w:r>
        <w:rPr>
          <w:rFonts w:hint="eastAsia"/>
        </w:rPr>
        <w:instrText xml:space="preserve"> HYPERLINK "http://baike.baidu.com/item/%E6%B5%88%E6%B1%9F" \h </w:instrText>
      </w:r>
      <w:r>
        <w:rPr>
          <w:rFonts w:hint="eastAsia"/>
        </w:rPr>
        <w:fldChar w:fldCharType="separate"/>
      </w:r>
      <w:r>
        <w:rPr>
          <w:rFonts w:hint="eastAsia"/>
        </w:rPr>
        <w:t>浈江</w:t>
      </w:r>
      <w:r>
        <w:rPr>
          <w:rFonts w:hint="eastAsia"/>
        </w:rPr>
        <w:fldChar w:fldCharType="end"/>
      </w:r>
      <w:r>
        <w:rPr>
          <w:rFonts w:hint="eastAsia"/>
        </w:rPr>
        <w:t>为北江干流，自北向南贯穿全境，大小支流密布，呈羽状汇入北江。主要支流有</w:t>
      </w:r>
      <w:r>
        <w:rPr>
          <w:rFonts w:hint="eastAsia"/>
        </w:rPr>
        <w:fldChar w:fldCharType="begin"/>
      </w:r>
      <w:r>
        <w:rPr>
          <w:rFonts w:hint="eastAsia"/>
        </w:rPr>
        <w:instrText xml:space="preserve"> HYPERLINK "http://baike.baidu.com/item/%E6%AD%A6%E6%B1%9F" \h </w:instrText>
      </w:r>
      <w:r>
        <w:rPr>
          <w:rFonts w:hint="eastAsia"/>
        </w:rPr>
        <w:fldChar w:fldCharType="separate"/>
      </w:r>
      <w:r>
        <w:rPr>
          <w:rFonts w:hint="eastAsia"/>
        </w:rPr>
        <w:t>武江</w:t>
      </w:r>
      <w:r>
        <w:rPr>
          <w:rFonts w:hint="eastAsia"/>
        </w:rPr>
        <w:fldChar w:fldCharType="end"/>
      </w:r>
      <w:r>
        <w:rPr>
          <w:rFonts w:hint="eastAsia"/>
        </w:rPr>
        <w:t>、</w:t>
      </w:r>
      <w:r>
        <w:rPr>
          <w:rFonts w:hint="eastAsia"/>
        </w:rPr>
        <w:fldChar w:fldCharType="begin"/>
      </w:r>
      <w:r>
        <w:rPr>
          <w:rFonts w:hint="eastAsia"/>
        </w:rPr>
        <w:instrText xml:space="preserve"> HYPERLINK "http://baike.baidu.com/item/%E5%A2%A8%E6%B1%9F" \h </w:instrText>
      </w:r>
      <w:r>
        <w:rPr>
          <w:rFonts w:hint="eastAsia"/>
        </w:rPr>
        <w:fldChar w:fldCharType="separate"/>
      </w:r>
      <w:r>
        <w:rPr>
          <w:rFonts w:hint="eastAsia"/>
        </w:rPr>
        <w:t>墨江</w:t>
      </w:r>
      <w:r>
        <w:rPr>
          <w:rFonts w:hint="eastAsia"/>
        </w:rPr>
        <w:fldChar w:fldCharType="end"/>
      </w:r>
      <w:r>
        <w:rPr>
          <w:rFonts w:hint="eastAsia"/>
        </w:rPr>
        <w:t>、</w:t>
      </w:r>
      <w:r>
        <w:rPr>
          <w:rFonts w:hint="eastAsia"/>
        </w:rPr>
        <w:fldChar w:fldCharType="begin"/>
      </w:r>
      <w:r>
        <w:rPr>
          <w:rFonts w:hint="eastAsia"/>
        </w:rPr>
        <w:instrText xml:space="preserve"> HYPERLINK "http://baike.baidu.com/item/%E9%94%A6%E6%B1%9F/12504989" \h </w:instrText>
      </w:r>
      <w:r>
        <w:rPr>
          <w:rFonts w:hint="eastAsia"/>
        </w:rPr>
        <w:fldChar w:fldCharType="separate"/>
      </w:r>
      <w:r>
        <w:rPr>
          <w:rFonts w:hint="eastAsia"/>
        </w:rPr>
        <w:t>锦江</w:t>
      </w:r>
      <w:r>
        <w:rPr>
          <w:rFonts w:hint="eastAsia"/>
        </w:rPr>
        <w:fldChar w:fldCharType="end"/>
      </w:r>
      <w:r>
        <w:rPr>
          <w:rFonts w:hint="eastAsia"/>
        </w:rPr>
        <w:t>、翁江、</w:t>
      </w:r>
      <w:r>
        <w:rPr>
          <w:rFonts w:hint="eastAsia"/>
        </w:rPr>
        <w:fldChar w:fldCharType="begin"/>
      </w:r>
      <w:r>
        <w:rPr>
          <w:rFonts w:hint="eastAsia"/>
        </w:rPr>
        <w:instrText xml:space="preserve"> HYPERLINK "http://baike.baidu.com/item/%E5%87%8C%E6%B1%9F/43071" \h </w:instrText>
      </w:r>
      <w:r>
        <w:rPr>
          <w:rFonts w:hint="eastAsia"/>
        </w:rPr>
        <w:fldChar w:fldCharType="separate"/>
      </w:r>
      <w:r>
        <w:rPr>
          <w:rFonts w:hint="eastAsia"/>
        </w:rPr>
        <w:t>凌江</w:t>
      </w:r>
      <w:r>
        <w:rPr>
          <w:rFonts w:hint="eastAsia"/>
        </w:rPr>
        <w:fldChar w:fldCharType="end"/>
      </w:r>
      <w:r>
        <w:rPr>
          <w:rFonts w:hint="eastAsia"/>
        </w:rPr>
        <w:t>、</w:t>
      </w:r>
      <w:r>
        <w:rPr>
          <w:rFonts w:hint="eastAsia"/>
        </w:rPr>
        <w:fldChar w:fldCharType="begin"/>
      </w:r>
      <w:r>
        <w:rPr>
          <w:rFonts w:hint="eastAsia"/>
        </w:rPr>
        <w:instrText xml:space="preserve"> HYPERLINK "http://baike.baidu.com/item/%E5%8D%97%E6%B0%B4" \h </w:instrText>
      </w:r>
      <w:r>
        <w:rPr>
          <w:rFonts w:hint="eastAsia"/>
        </w:rPr>
        <w:fldChar w:fldCharType="separate"/>
      </w:r>
      <w:r>
        <w:rPr>
          <w:rFonts w:hint="eastAsia"/>
        </w:rPr>
        <w:t>南水</w:t>
      </w:r>
      <w:r>
        <w:rPr>
          <w:rFonts w:hint="eastAsia"/>
        </w:rPr>
        <w:fldChar w:fldCharType="end"/>
      </w:r>
      <w:r>
        <w:rPr>
          <w:rFonts w:hint="eastAsia"/>
        </w:rPr>
        <w:t>。新丰县部分属东江流域。由于雨量充沛，河流众多，落差大，水量、水力资源丰富。全市有集雨面积100平方公里以上的河流62条，其中1000平方公半以上的河流条。多年平均年径流深945毫米，多年平均年径流总量约为176亿立方米，过境水量28.5亿立方米</w:t>
      </w:r>
      <w:r>
        <w:rPr>
          <w:rFonts w:hint="eastAsia"/>
          <w:lang w:eastAsia="zh-CN"/>
        </w:rPr>
        <w:t>。</w:t>
      </w:r>
    </w:p>
    <w:p>
      <w:pPr>
        <w:pStyle w:val="9"/>
        <w:keepNext w:val="0"/>
        <w:keepLines w:val="0"/>
        <w:pageBreakBefore w:val="0"/>
        <w:widowControl w:val="0"/>
        <w:kinsoku/>
        <w:wordWrap/>
        <w:overflowPunct/>
        <w:topLinePunct w:val="0"/>
        <w:autoSpaceDE w:val="0"/>
        <w:autoSpaceDN w:val="0"/>
        <w:bidi w:val="0"/>
        <w:adjustRightInd/>
        <w:snapToGrid/>
        <w:textAlignment w:val="auto"/>
        <w:rPr>
          <w:rFonts w:hint="eastAsia" w:eastAsia="宋体"/>
          <w:lang w:eastAsia="zh-CN"/>
        </w:rPr>
      </w:pPr>
      <w:r>
        <w:rPr>
          <w:rFonts w:hint="eastAsia"/>
        </w:rPr>
        <w:t>北江发源于江西信丰石碣大茅山，其上游称浈江。浈江集雨面积7554平方公里，总长211公里，流经南雄、始兴、曲江和韶关市区。沿途纳凌江、墨江、锦江，共3条支流，浈江于韶关市区沙洲尾与武江水汇合后始称北江干流。北江干流出韶关市区后折向南流，至孟洲坝与南水相汇，然后向南直下，沿途不断承纳滃江、连江等大小支流，最后至三水思贤滘进入三角洲网河区。北江全长 468km，总流域面积为46710km</w:t>
      </w:r>
      <w:r>
        <w:rPr>
          <w:rFonts w:hint="eastAsia"/>
          <w:vertAlign w:val="superscript"/>
        </w:rPr>
        <w:t>2</w:t>
      </w:r>
      <w:r>
        <w:rPr>
          <w:rFonts w:hint="eastAsia"/>
        </w:rPr>
        <w:t>，广东省境内为42879km</w:t>
      </w:r>
      <w:r>
        <w:rPr>
          <w:rFonts w:hint="eastAsia"/>
          <w:vertAlign w:val="superscript"/>
        </w:rPr>
        <w:t>2</w:t>
      </w:r>
      <w:r>
        <w:rPr>
          <w:rFonts w:hint="eastAsia"/>
        </w:rPr>
        <w:t>，韶关市境内约为 17299km</w:t>
      </w:r>
      <w:r>
        <w:rPr>
          <w:rFonts w:hint="eastAsia"/>
          <w:vertAlign w:val="superscript"/>
        </w:rPr>
        <w:t>2</w:t>
      </w:r>
      <w:r>
        <w:rPr>
          <w:rFonts w:hint="eastAsia"/>
        </w:rPr>
        <w:t>，上游湖南、江西两省境内控制北江流域面积为3831km</w:t>
      </w:r>
      <w:r>
        <w:rPr>
          <w:rFonts w:hint="eastAsia"/>
          <w:vertAlign w:val="superscript"/>
        </w:rPr>
        <w:t>2</w:t>
      </w:r>
      <w:r>
        <w:rPr>
          <w:rFonts w:hint="eastAsia"/>
        </w:rPr>
        <w:t>。北江以马径寮站为控制，多年平均河川径流量为148.3亿m</w:t>
      </w:r>
      <w:r>
        <w:rPr>
          <w:rFonts w:hint="eastAsia"/>
          <w:vertAlign w:val="superscript"/>
        </w:rPr>
        <w:t>3</w:t>
      </w:r>
      <w:r>
        <w:rPr>
          <w:rFonts w:hint="eastAsia"/>
        </w:rPr>
        <w:t>，其中过境水量为26.8亿m</w:t>
      </w:r>
      <w:r>
        <w:rPr>
          <w:rFonts w:hint="eastAsia"/>
          <w:vertAlign w:val="superscript"/>
        </w:rPr>
        <w:t>3</w:t>
      </w:r>
      <w:r>
        <w:rPr>
          <w:rFonts w:hint="eastAsia"/>
        </w:rPr>
        <w:t>，最小年径流58.0亿m</w:t>
      </w:r>
      <w:r>
        <w:rPr>
          <w:rFonts w:hint="eastAsia"/>
          <w:vertAlign w:val="superscript"/>
        </w:rPr>
        <w:t>3</w:t>
      </w:r>
      <w:r>
        <w:rPr>
          <w:rFonts w:hint="eastAsia"/>
        </w:rPr>
        <w:t>，枯水年（P=90%）为87亿m</w:t>
      </w:r>
      <w:r>
        <w:rPr>
          <w:rFonts w:hint="eastAsia"/>
          <w:vertAlign w:val="superscript"/>
        </w:rPr>
        <w:t>3</w:t>
      </w:r>
      <w:r>
        <w:rPr>
          <w:rFonts w:hint="eastAsia"/>
        </w:rPr>
        <w:t>，浅层地下水为33.7亿m</w:t>
      </w:r>
      <w:r>
        <w:rPr>
          <w:rFonts w:hint="eastAsia"/>
          <w:vertAlign w:val="superscript"/>
        </w:rPr>
        <w:t>3</w:t>
      </w:r>
      <w:r>
        <w:rPr>
          <w:rFonts w:hint="eastAsia"/>
        </w:rPr>
        <w:t>。最大实测流量为8110m</w:t>
      </w:r>
      <w:r>
        <w:rPr>
          <w:rFonts w:hint="eastAsia"/>
          <w:vertAlign w:val="superscript"/>
        </w:rPr>
        <w:t>3</w:t>
      </w:r>
      <w:r>
        <w:rPr>
          <w:rFonts w:hint="eastAsia"/>
        </w:rPr>
        <w:t>/s（出现于1968年6月23日），最小实测流量为4</w:t>
      </w:r>
      <w:r>
        <w:rPr>
          <w:rFonts w:hint="default" w:ascii="Times New Roman" w:hAnsi="Times New Roman" w:cs="Times New Roman"/>
        </w:rPr>
        <w:t>6.3m</w:t>
      </w:r>
      <w:r>
        <w:rPr>
          <w:rFonts w:hint="default" w:ascii="Times New Roman" w:hAnsi="Times New Roman" w:cs="Times New Roman"/>
          <w:vertAlign w:val="superscript"/>
        </w:rPr>
        <w:t>3</w:t>
      </w:r>
      <w:r>
        <w:rPr>
          <w:rFonts w:hint="default" w:ascii="Times New Roman" w:hAnsi="Times New Roman" w:cs="Times New Roman"/>
        </w:rPr>
        <w:t>/s）（出</w:t>
      </w:r>
      <w:r>
        <w:rPr>
          <w:rFonts w:hint="eastAsia"/>
        </w:rPr>
        <w:t>现于1963年9月4日）。浈江以长坝站为控制，最枯流量为154 m</w:t>
      </w:r>
      <w:r>
        <w:rPr>
          <w:rFonts w:hint="eastAsia"/>
          <w:vertAlign w:val="superscript"/>
        </w:rPr>
        <w:t>3</w:t>
      </w:r>
      <w:r>
        <w:rPr>
          <w:rFonts w:hint="eastAsia"/>
        </w:rPr>
        <w:t>/s（出现在1963年）</w:t>
      </w:r>
      <w:r>
        <w:rPr>
          <w:rFonts w:hint="eastAsia"/>
          <w:lang w:eastAsia="zh-CN"/>
        </w:rPr>
        <w:t>。</w:t>
      </w:r>
    </w:p>
    <w:p>
      <w:pPr>
        <w:pStyle w:val="9"/>
        <w:rPr>
          <w:rFonts w:hint="default" w:eastAsia="宋体"/>
          <w:lang w:val="en-US" w:eastAsia="zh-CN"/>
        </w:rPr>
      </w:pPr>
      <w:r>
        <w:rPr>
          <w:rFonts w:hint="eastAsia"/>
          <w:lang w:eastAsia="zh-CN"/>
        </w:rPr>
        <w:t>锦江是仁化县最大的河流，源于县境内北部山区，自北往南流经县城，汇水面积</w:t>
      </w:r>
      <w:r>
        <w:rPr>
          <w:rFonts w:hint="eastAsia"/>
          <w:lang w:val="en-US" w:eastAsia="zh-CN"/>
        </w:rPr>
        <w:t>1467平方公里，全长108公里，水量丰富，受季节的影响很大，刘亮差异大，丰水期流量68.2m</w:t>
      </w:r>
      <w:r>
        <w:rPr>
          <w:rFonts w:hint="eastAsia"/>
          <w:vertAlign w:val="superscript"/>
          <w:lang w:val="en-US" w:eastAsia="zh-CN"/>
        </w:rPr>
        <w:t>3</w:t>
      </w:r>
      <w:r>
        <w:rPr>
          <w:rFonts w:hint="eastAsia"/>
          <w:lang w:val="en-US" w:eastAsia="zh-CN"/>
        </w:rPr>
        <w:t>/s，枯水期最小流量只有19.0m</w:t>
      </w:r>
      <w:r>
        <w:rPr>
          <w:rFonts w:hint="eastAsia"/>
          <w:vertAlign w:val="superscript"/>
          <w:lang w:val="en-US" w:eastAsia="zh-CN"/>
        </w:rPr>
        <w:t>3</w:t>
      </w:r>
      <w:r>
        <w:rPr>
          <w:rFonts w:hint="eastAsia"/>
          <w:lang w:val="en-US" w:eastAsia="zh-CN"/>
        </w:rPr>
        <w:t>/s，多年平均流量45.1m</w:t>
      </w:r>
      <w:r>
        <w:rPr>
          <w:rFonts w:hint="eastAsia"/>
          <w:vertAlign w:val="superscript"/>
          <w:lang w:val="en-US" w:eastAsia="zh-CN"/>
        </w:rPr>
        <w:t>3</w:t>
      </w:r>
      <w:r>
        <w:rPr>
          <w:rFonts w:hint="eastAsia"/>
          <w:lang w:val="en-US" w:eastAsia="zh-CN"/>
        </w:rPr>
        <w:t>/s，年均流深0.901m。锦江仁化镇至仁化江口段为Ⅲ类功能区划。</w:t>
      </w:r>
    </w:p>
    <w:p>
      <w:pPr>
        <w:pStyle w:val="5"/>
        <w:ind w:firstLine="562"/>
      </w:pPr>
      <w:r>
        <w:rPr>
          <w:rFonts w:hint="eastAsia"/>
          <w:lang w:eastAsia="zh-CN"/>
        </w:rPr>
        <w:t>土壤植被</w:t>
      </w:r>
    </w:p>
    <w:p>
      <w:pPr>
        <w:pStyle w:val="9"/>
        <w:rPr>
          <w:rFonts w:hint="eastAsia" w:eastAsia="宋体"/>
          <w:lang w:eastAsia="zh-CN"/>
        </w:rPr>
      </w:pPr>
      <w:r>
        <w:rPr>
          <w:rFonts w:hint="eastAsia"/>
          <w:lang w:eastAsia="zh-CN"/>
        </w:rPr>
        <w:t>该项目一带土壤多为由砂岩风沙而成的山地页黄壤、页红壤的成土母质。地表植被以亚热带常绿针叶林和阔叶林为主，夹杂有部分常绿乔木。由于多年的封山育林，地表植被良好，主要树种包括杉、松、杂木和毛竹等。</w:t>
      </w:r>
    </w:p>
    <w:p>
      <w:pPr>
        <w:pStyle w:val="5"/>
        <w:ind w:firstLine="562"/>
      </w:pPr>
      <w:r>
        <w:rPr>
          <w:rFonts w:hint="eastAsia"/>
          <w:lang w:eastAsia="zh-CN"/>
        </w:rPr>
        <w:t>生物多样性</w:t>
      </w:r>
    </w:p>
    <w:p>
      <w:pPr>
        <w:pStyle w:val="9"/>
        <w:rPr>
          <w:rFonts w:hint="default" w:eastAsia="宋体"/>
          <w:lang w:val="en-US" w:eastAsia="zh-CN"/>
        </w:rPr>
      </w:pPr>
      <w:r>
        <w:rPr>
          <w:rFonts w:hint="eastAsia"/>
          <w:lang w:eastAsia="zh-CN"/>
        </w:rPr>
        <w:t>由于受气候、土壤和地形地貌的影响，该地区原生植被类型为亚热带常绿季雨林（低地雨林）。但是由于多年的人类活动干扰，绝大多数原生植被已经被人工植被所取代，现存的自然植被亦多是人为干扰后形成的次生植被。现有的主要植被类型有：（</w:t>
      </w:r>
      <w:r>
        <w:rPr>
          <w:rFonts w:hint="eastAsia"/>
          <w:lang w:val="en-US" w:eastAsia="zh-CN"/>
        </w:rPr>
        <w:t>1</w:t>
      </w:r>
      <w:r>
        <w:rPr>
          <w:rFonts w:hint="eastAsia"/>
          <w:lang w:eastAsia="zh-CN"/>
        </w:rPr>
        <w:t>）由常绿季雨林的残次林和灌丛组成的自然次生植被；（</w:t>
      </w:r>
      <w:r>
        <w:rPr>
          <w:rFonts w:hint="eastAsia"/>
          <w:lang w:val="en-US" w:eastAsia="zh-CN"/>
        </w:rPr>
        <w:t>2</w:t>
      </w:r>
      <w:r>
        <w:rPr>
          <w:rFonts w:hint="eastAsia"/>
          <w:lang w:eastAsia="zh-CN"/>
        </w:rPr>
        <w:t>）由松树林、桉树林、竹木混杂林及农田作物群落构成的人工植被。本区没有国家重点保护的Ⅰ、Ⅱ类植物、动物和水生生物。动物是南方广布的鼠类、蛇类和鸟类，缺少敏感的保护目标。仁化县中小企业创业园主要是农业植被。</w:t>
      </w:r>
    </w:p>
    <w:p>
      <w:pPr>
        <w:pStyle w:val="5"/>
        <w:ind w:firstLine="562"/>
      </w:pPr>
      <w:r>
        <w:rPr>
          <w:rFonts w:hint="eastAsia"/>
          <w:lang w:eastAsia="zh-CN"/>
        </w:rPr>
        <w:t>项目周围污染情况</w:t>
      </w:r>
    </w:p>
    <w:p>
      <w:pPr>
        <w:pStyle w:val="9"/>
        <w:rPr>
          <w:rFonts w:hint="eastAsia"/>
          <w:lang w:eastAsia="zh-CN"/>
        </w:rPr>
      </w:pPr>
      <w:r>
        <w:rPr>
          <w:rFonts w:hint="eastAsia"/>
        </w:rPr>
        <w:t>本项目周边均为农田、林地，基本没有相关污染情况</w:t>
      </w:r>
      <w:r>
        <w:rPr>
          <w:rFonts w:hint="eastAsia"/>
          <w:lang w:eastAsia="zh-CN"/>
        </w:rPr>
        <w:t>。</w:t>
      </w:r>
    </w:p>
    <w:p>
      <w:pPr>
        <w:pStyle w:val="9"/>
        <w:ind w:left="0" w:leftChars="0" w:firstLine="0" w:firstLineChars="0"/>
        <w:rPr>
          <w:rFonts w:hint="eastAsia"/>
          <w:lang w:eastAsia="zh-CN"/>
        </w:rPr>
      </w:pPr>
      <w:r>
        <w:drawing>
          <wp:inline distT="0" distB="0" distL="114300" distR="114300">
            <wp:extent cx="5189220" cy="4198620"/>
            <wp:effectExtent l="19050" t="19050" r="19050" b="19050"/>
            <wp:docPr id="57"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35"/>
                    <pic:cNvPicPr>
                      <a:picLocks noChangeAspect="1"/>
                    </pic:cNvPicPr>
                  </pic:nvPicPr>
                  <pic:blipFill>
                    <a:blip r:embed="rId46"/>
                    <a:stretch>
                      <a:fillRect/>
                    </a:stretch>
                  </pic:blipFill>
                  <pic:spPr>
                    <a:xfrm>
                      <a:off x="0" y="0"/>
                      <a:ext cx="5189220" cy="4198620"/>
                    </a:xfrm>
                    <a:prstGeom prst="rect">
                      <a:avLst/>
                    </a:prstGeom>
                    <a:noFill/>
                    <a:ln w="19050">
                      <a:solidFill>
                        <a:schemeClr val="tx1"/>
                      </a:solidFill>
                    </a:ln>
                  </pic:spPr>
                </pic:pic>
              </a:graphicData>
            </a:graphic>
          </wp:inline>
        </w:drawing>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b/>
          <w:bCs/>
          <w:sz w:val="21"/>
          <w:szCs w:val="21"/>
          <w:lang w:val="en-US" w:eastAsia="zh-CN"/>
        </w:rPr>
      </w:pPr>
      <w:r>
        <w:rPr>
          <w:rFonts w:hint="eastAsia"/>
          <w:b/>
          <w:bCs/>
          <w:sz w:val="21"/>
          <w:szCs w:val="21"/>
          <w:lang w:val="en-US" w:eastAsia="zh-CN"/>
        </w:rPr>
        <w:t>图4.1-1  项目四至范围示意图</w:t>
      </w:r>
    </w:p>
    <w:p>
      <w:pPr>
        <w:pStyle w:val="4"/>
      </w:pPr>
      <w:bookmarkStart w:id="44" w:name="_Toc2039"/>
      <w:r>
        <w:t>地表水环境质量现状调查与评价</w:t>
      </w:r>
      <w:bookmarkEnd w:id="44"/>
    </w:p>
    <w:p>
      <w:pPr>
        <w:pStyle w:val="9"/>
        <w:rPr>
          <w:rFonts w:hint="eastAsia"/>
          <w:lang w:val="en-US" w:eastAsia="zh-CN"/>
        </w:rPr>
      </w:pPr>
      <w:r>
        <w:rPr>
          <w:rFonts w:hint="eastAsia"/>
          <w:lang w:eastAsia="zh-CN"/>
        </w:rPr>
        <w:t>根据韶关市生态环境局（http://epb.sg.gov.cn</w:t>
      </w:r>
      <w:r>
        <w:rPr>
          <w:rFonts w:hint="eastAsia"/>
          <w:lang w:val="en-US" w:eastAsia="zh-CN"/>
        </w:rPr>
        <w:t>/</w:t>
      </w:r>
      <w:r>
        <w:rPr>
          <w:rFonts w:hint="eastAsia"/>
          <w:lang w:eastAsia="zh-CN"/>
        </w:rPr>
        <w:t>）</w:t>
      </w:r>
      <w:r>
        <w:rPr>
          <w:rFonts w:hint="eastAsia"/>
          <w:lang w:val="en-US" w:eastAsia="zh-CN"/>
        </w:rPr>
        <w:t>2019年5月发布的《2018年韶关市环境状况公报》：2018年主要江河水系水质状况总体良好，水环境质量与上年相比无显著变化：监测结果表明，全市10条主要江河（北江、吴江、浈江、南水河、墨江、锦江、马坝河、滃江、新丰江、横石水）23个监测断面（1个Ⅰ类、18个Ⅱ类、4个Ⅲ类）的水质均达到水质目标要求，优良率为100%，与2017年持平；达标率为100%，其中13个省考断面较2017年（92.3%）上升7.7个百分比。我市地表水无劣Ⅴ类水体；城市建成区内无黒臭水体。</w:t>
      </w:r>
    </w:p>
    <w:p>
      <w:pPr>
        <w:pStyle w:val="9"/>
        <w:rPr>
          <w:rFonts w:hint="eastAsia"/>
          <w:lang w:val="en-US" w:eastAsia="zh-CN"/>
        </w:rPr>
      </w:pPr>
      <w:r>
        <w:rPr>
          <w:rFonts w:hint="eastAsia"/>
          <w:lang w:val="en-US" w:eastAsia="zh-CN"/>
        </w:rPr>
        <w:t>1个跨市河流交接断面（高桥断面）水质达标率为100%。</w:t>
      </w:r>
    </w:p>
    <w:p>
      <w:pPr>
        <w:pStyle w:val="9"/>
        <w:rPr>
          <w:rFonts w:hint="default"/>
          <w:lang w:val="en-US" w:eastAsia="zh-CN"/>
        </w:rPr>
      </w:pPr>
      <w:r>
        <w:rPr>
          <w:rFonts w:hint="eastAsia"/>
          <w:lang w:val="en-US" w:eastAsia="zh-CN"/>
        </w:rPr>
        <w:t>本项目附近水体为锦江，因此，根据《2018年韶关市环境状况公报》，本项目附近地表水环境质量现状良好。</w:t>
      </w:r>
    </w:p>
    <w:p>
      <w:pPr>
        <w:pStyle w:val="4"/>
      </w:pPr>
      <w:bookmarkStart w:id="45" w:name="_Toc31984"/>
      <w:r>
        <w:t>地</w:t>
      </w:r>
      <w:r>
        <w:rPr>
          <w:rFonts w:hint="eastAsia"/>
          <w:lang w:eastAsia="zh-CN"/>
        </w:rPr>
        <w:t>下</w:t>
      </w:r>
      <w:r>
        <w:t>水环境质量现状调查与评价</w:t>
      </w:r>
      <w:bookmarkEnd w:id="45"/>
    </w:p>
    <w:p>
      <w:pPr>
        <w:pStyle w:val="5"/>
        <w:ind w:firstLine="562"/>
      </w:pPr>
      <w:r>
        <w:rPr>
          <w:rFonts w:hint="eastAsia"/>
          <w:lang w:eastAsia="zh-CN"/>
        </w:rPr>
        <w:t xml:space="preserve">监测点位 </w:t>
      </w:r>
    </w:p>
    <w:p>
      <w:pPr>
        <w:pStyle w:val="9"/>
        <w:rPr>
          <w:rFonts w:hint="eastAsia"/>
        </w:rPr>
      </w:pPr>
      <w:r>
        <w:rPr>
          <w:rFonts w:hint="eastAsia"/>
        </w:rPr>
        <w:t>为了解项目所在地附近地下水水质特征，在项目所在地及附近布设3个地下水水质监测点和6个地下水水位监测点。本项目委托江西恒定环保检测服务有限公司于20</w:t>
      </w:r>
      <w:r>
        <w:rPr>
          <w:rFonts w:hint="eastAsia"/>
          <w:lang w:val="en-US" w:eastAsia="zh-CN"/>
        </w:rPr>
        <w:t>20</w:t>
      </w:r>
      <w:r>
        <w:rPr>
          <w:rFonts w:hint="eastAsia"/>
        </w:rPr>
        <w:t>年</w:t>
      </w:r>
      <w:r>
        <w:rPr>
          <w:rFonts w:hint="eastAsia"/>
          <w:lang w:val="en-US" w:eastAsia="zh-CN"/>
        </w:rPr>
        <w:t>3</w:t>
      </w:r>
      <w:r>
        <w:rPr>
          <w:rFonts w:hint="eastAsia"/>
        </w:rPr>
        <w:t>月</w:t>
      </w:r>
      <w:r>
        <w:rPr>
          <w:rFonts w:hint="eastAsia"/>
          <w:lang w:val="en-US" w:eastAsia="zh-CN"/>
        </w:rPr>
        <w:t>31</w:t>
      </w:r>
      <w:r>
        <w:rPr>
          <w:rFonts w:hint="eastAsia"/>
        </w:rPr>
        <w:t>日进行现场采样监测，监测点布设情况详见下表。</w:t>
      </w:r>
    </w:p>
    <w:p>
      <w:pPr>
        <w:autoSpaceDE w:val="0"/>
        <w:autoSpaceDN w:val="0"/>
        <w:adjustRightInd w:val="0"/>
        <w:jc w:val="center"/>
        <w:rPr>
          <w:b/>
          <w:sz w:val="21"/>
          <w:szCs w:val="21"/>
        </w:rPr>
      </w:pPr>
      <w:r>
        <w:rPr>
          <w:b/>
          <w:sz w:val="21"/>
          <w:szCs w:val="21"/>
        </w:rPr>
        <w:t>表</w:t>
      </w:r>
      <w:r>
        <w:rPr>
          <w:rFonts w:hint="eastAsia"/>
          <w:b/>
          <w:sz w:val="21"/>
          <w:szCs w:val="21"/>
          <w:lang w:val="en-US" w:eastAsia="zh-CN"/>
        </w:rPr>
        <w:t>4.3-1</w:t>
      </w:r>
      <w:r>
        <w:rPr>
          <w:b/>
          <w:sz w:val="21"/>
          <w:szCs w:val="21"/>
        </w:rPr>
        <w:t xml:space="preserve"> </w:t>
      </w:r>
      <w:r>
        <w:rPr>
          <w:rFonts w:hint="eastAsia"/>
          <w:b/>
          <w:sz w:val="21"/>
          <w:szCs w:val="21"/>
        </w:rPr>
        <w:t xml:space="preserve"> </w:t>
      </w:r>
      <w:r>
        <w:rPr>
          <w:b/>
          <w:sz w:val="21"/>
          <w:szCs w:val="21"/>
        </w:rPr>
        <w:t>地</w:t>
      </w:r>
      <w:r>
        <w:rPr>
          <w:rFonts w:hint="eastAsia" w:eastAsia="宋体"/>
          <w:b/>
          <w:sz w:val="21"/>
          <w:szCs w:val="21"/>
          <w:lang w:eastAsia="zh-CN"/>
        </w:rPr>
        <w:t>下</w:t>
      </w:r>
      <w:r>
        <w:rPr>
          <w:b/>
          <w:sz w:val="21"/>
          <w:szCs w:val="21"/>
        </w:rPr>
        <w:t>水环境质量现状监测点位布设情况一览表</w:t>
      </w:r>
    </w:p>
    <w:tbl>
      <w:tblPr>
        <w:tblStyle w:val="63"/>
        <w:tblW w:w="4999" w:type="pct"/>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2642"/>
        <w:gridCol w:w="3417"/>
        <w:gridCol w:w="2245"/>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11" w:hRule="atLeast"/>
        </w:trPr>
        <w:tc>
          <w:tcPr>
            <w:tcW w:w="1590" w:type="pct"/>
            <w:tcBorders>
              <w:left w:val="nil"/>
              <w:bottom w:val="single" w:color="000000" w:sz="12" w:space="0"/>
              <w:right w:val="single" w:color="000000" w:sz="6" w:space="0"/>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b/>
                <w:sz w:val="21"/>
              </w:rPr>
            </w:pPr>
            <w:r>
              <w:rPr>
                <w:b/>
                <w:sz w:val="21"/>
              </w:rPr>
              <w:t>采样点编号</w:t>
            </w:r>
          </w:p>
        </w:tc>
        <w:tc>
          <w:tcPr>
            <w:tcW w:w="2057" w:type="pct"/>
            <w:tcBorders>
              <w:left w:val="single" w:color="000000" w:sz="6" w:space="0"/>
              <w:bottom w:val="single" w:color="000000" w:sz="12" w:space="0"/>
              <w:right w:val="single" w:color="000000" w:sz="6" w:space="0"/>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b/>
                <w:sz w:val="21"/>
              </w:rPr>
            </w:pPr>
            <w:r>
              <w:rPr>
                <w:b/>
                <w:sz w:val="21"/>
              </w:rPr>
              <w:t>位置</w:t>
            </w:r>
          </w:p>
        </w:tc>
        <w:tc>
          <w:tcPr>
            <w:tcW w:w="1351" w:type="pct"/>
            <w:tcBorders>
              <w:left w:val="single" w:color="000000" w:sz="6" w:space="0"/>
              <w:bottom w:val="single" w:color="000000" w:sz="12" w:space="0"/>
              <w:right w:val="nil"/>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b/>
                <w:sz w:val="21"/>
              </w:rPr>
            </w:pPr>
            <w:r>
              <w:rPr>
                <w:b/>
                <w:sz w:val="21"/>
              </w:rPr>
              <w:t>测定项目</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25" w:hRule="atLeast"/>
        </w:trPr>
        <w:tc>
          <w:tcPr>
            <w:tcW w:w="1590" w:type="pct"/>
            <w:tcBorders>
              <w:top w:val="single" w:color="000000" w:sz="12" w:space="0"/>
              <w:left w:val="nil"/>
              <w:bottom w:val="single" w:color="000000" w:sz="6" w:space="0"/>
              <w:right w:val="single" w:color="000000" w:sz="6" w:space="0"/>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rFonts w:ascii="Times New Roman"/>
                <w:sz w:val="21"/>
              </w:rPr>
            </w:pPr>
            <w:r>
              <w:rPr>
                <w:rFonts w:ascii="Times New Roman"/>
                <w:sz w:val="21"/>
              </w:rPr>
              <w:t>DW1</w:t>
            </w:r>
          </w:p>
        </w:tc>
        <w:tc>
          <w:tcPr>
            <w:tcW w:w="2057" w:type="pct"/>
            <w:tcBorders>
              <w:top w:val="single" w:color="000000" w:sz="12" w:space="0"/>
              <w:left w:val="single" w:color="000000" w:sz="6" w:space="0"/>
              <w:bottom w:val="single" w:color="000000" w:sz="6" w:space="0"/>
              <w:right w:val="single" w:color="000000" w:sz="6" w:space="0"/>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sz w:val="21"/>
              </w:rPr>
            </w:pPr>
            <w:r>
              <w:rPr>
                <w:sz w:val="21"/>
              </w:rPr>
              <w:t xml:space="preserve">项目东南侧 </w:t>
            </w:r>
            <w:r>
              <w:rPr>
                <w:rFonts w:hint="eastAsia" w:ascii="Times New Roman"/>
                <w:sz w:val="21"/>
                <w:lang w:val="en-US" w:eastAsia="zh-CN"/>
              </w:rPr>
              <w:t>50</w:t>
            </w:r>
            <w:r>
              <w:rPr>
                <w:rFonts w:ascii="Times New Roman" w:eastAsia="Times New Roman"/>
                <w:sz w:val="21"/>
              </w:rPr>
              <w:t xml:space="preserve">0m </w:t>
            </w:r>
            <w:r>
              <w:rPr>
                <w:sz w:val="21"/>
              </w:rPr>
              <w:t>处</w:t>
            </w:r>
          </w:p>
        </w:tc>
        <w:tc>
          <w:tcPr>
            <w:tcW w:w="1351" w:type="pct"/>
            <w:tcBorders>
              <w:top w:val="single" w:color="000000" w:sz="12" w:space="0"/>
              <w:left w:val="single" w:color="000000" w:sz="6" w:space="0"/>
              <w:bottom w:val="single" w:color="000000" w:sz="6" w:space="0"/>
              <w:right w:val="nil"/>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sz w:val="21"/>
              </w:rPr>
            </w:pPr>
            <w:r>
              <w:rPr>
                <w:sz w:val="21"/>
              </w:rPr>
              <w:t>水位、水质</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23" w:hRule="atLeast"/>
        </w:trPr>
        <w:tc>
          <w:tcPr>
            <w:tcW w:w="1590" w:type="pct"/>
            <w:tcBorders>
              <w:top w:val="single" w:color="000000" w:sz="6" w:space="0"/>
              <w:left w:val="nil"/>
              <w:bottom w:val="single" w:color="000000" w:sz="6" w:space="0"/>
              <w:right w:val="single" w:color="000000" w:sz="6" w:space="0"/>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rFonts w:ascii="Times New Roman"/>
                <w:sz w:val="21"/>
              </w:rPr>
            </w:pPr>
            <w:r>
              <w:rPr>
                <w:rFonts w:ascii="Times New Roman"/>
                <w:sz w:val="21"/>
              </w:rPr>
              <w:t>DW2</w:t>
            </w:r>
          </w:p>
        </w:tc>
        <w:tc>
          <w:tcPr>
            <w:tcW w:w="2057" w:type="pct"/>
            <w:tcBorders>
              <w:top w:val="single" w:color="000000" w:sz="6" w:space="0"/>
              <w:left w:val="single" w:color="000000" w:sz="6" w:space="0"/>
              <w:bottom w:val="single" w:color="000000" w:sz="6" w:space="0"/>
              <w:right w:val="single" w:color="000000" w:sz="6" w:space="0"/>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sz w:val="21"/>
              </w:rPr>
            </w:pPr>
            <w:r>
              <w:rPr>
                <w:sz w:val="21"/>
              </w:rPr>
              <w:t>项目所在地</w:t>
            </w:r>
          </w:p>
        </w:tc>
        <w:tc>
          <w:tcPr>
            <w:tcW w:w="1351" w:type="pct"/>
            <w:tcBorders>
              <w:top w:val="single" w:color="000000" w:sz="6" w:space="0"/>
              <w:left w:val="single" w:color="000000" w:sz="6" w:space="0"/>
              <w:bottom w:val="single" w:color="000000" w:sz="6" w:space="0"/>
              <w:right w:val="nil"/>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sz w:val="21"/>
              </w:rPr>
            </w:pPr>
            <w:r>
              <w:rPr>
                <w:sz w:val="21"/>
              </w:rPr>
              <w:t>水位、水质</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25" w:hRule="atLeast"/>
        </w:trPr>
        <w:tc>
          <w:tcPr>
            <w:tcW w:w="1590" w:type="pct"/>
            <w:tcBorders>
              <w:top w:val="single" w:color="000000" w:sz="6" w:space="0"/>
              <w:left w:val="nil"/>
              <w:bottom w:val="single" w:color="000000" w:sz="6" w:space="0"/>
              <w:right w:val="single" w:color="000000" w:sz="6" w:space="0"/>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rFonts w:ascii="Times New Roman"/>
                <w:sz w:val="21"/>
              </w:rPr>
            </w:pPr>
            <w:r>
              <w:rPr>
                <w:rFonts w:ascii="Times New Roman"/>
                <w:sz w:val="21"/>
              </w:rPr>
              <w:t>DW3</w:t>
            </w:r>
          </w:p>
        </w:tc>
        <w:tc>
          <w:tcPr>
            <w:tcW w:w="2057" w:type="pct"/>
            <w:tcBorders>
              <w:top w:val="single" w:color="000000" w:sz="6" w:space="0"/>
              <w:left w:val="single" w:color="000000" w:sz="6" w:space="0"/>
              <w:bottom w:val="single" w:color="000000" w:sz="6" w:space="0"/>
              <w:right w:val="single" w:color="000000" w:sz="6" w:space="0"/>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sz w:val="21"/>
              </w:rPr>
            </w:pPr>
            <w:r>
              <w:rPr>
                <w:rFonts w:hint="eastAsia"/>
                <w:sz w:val="21"/>
                <w:lang w:eastAsia="zh-CN"/>
              </w:rPr>
              <w:t>上塅（</w:t>
            </w:r>
            <w:r>
              <w:rPr>
                <w:sz w:val="21"/>
              </w:rPr>
              <w:t xml:space="preserve">项目北侧 </w:t>
            </w:r>
            <w:r>
              <w:rPr>
                <w:rFonts w:hint="eastAsia" w:ascii="Times New Roman"/>
                <w:sz w:val="21"/>
                <w:lang w:val="en-US" w:eastAsia="zh-CN"/>
              </w:rPr>
              <w:t>49</w:t>
            </w:r>
            <w:r>
              <w:rPr>
                <w:rFonts w:ascii="Times New Roman" w:eastAsia="Times New Roman"/>
                <w:sz w:val="21"/>
              </w:rPr>
              <w:t xml:space="preserve">0m </w:t>
            </w:r>
            <w:r>
              <w:rPr>
                <w:sz w:val="21"/>
              </w:rPr>
              <w:t>处</w:t>
            </w:r>
            <w:r>
              <w:rPr>
                <w:rFonts w:hint="eastAsia"/>
                <w:sz w:val="21"/>
                <w:lang w:eastAsia="zh-CN"/>
              </w:rPr>
              <w:t>）</w:t>
            </w:r>
          </w:p>
        </w:tc>
        <w:tc>
          <w:tcPr>
            <w:tcW w:w="1351" w:type="pct"/>
            <w:tcBorders>
              <w:top w:val="single" w:color="000000" w:sz="6" w:space="0"/>
              <w:left w:val="single" w:color="000000" w:sz="6" w:space="0"/>
              <w:bottom w:val="single" w:color="000000" w:sz="6" w:space="0"/>
              <w:right w:val="nil"/>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sz w:val="21"/>
              </w:rPr>
            </w:pPr>
            <w:r>
              <w:rPr>
                <w:sz w:val="21"/>
              </w:rPr>
              <w:t>水位、水质</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25" w:hRule="atLeast"/>
        </w:trPr>
        <w:tc>
          <w:tcPr>
            <w:tcW w:w="1590" w:type="pct"/>
            <w:tcBorders>
              <w:top w:val="single" w:color="000000" w:sz="6" w:space="0"/>
              <w:left w:val="nil"/>
              <w:bottom w:val="single" w:color="000000" w:sz="6" w:space="0"/>
              <w:right w:val="single" w:color="000000" w:sz="6" w:space="0"/>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rFonts w:ascii="Times New Roman"/>
                <w:sz w:val="21"/>
              </w:rPr>
            </w:pPr>
            <w:r>
              <w:rPr>
                <w:rFonts w:ascii="Times New Roman"/>
                <w:sz w:val="21"/>
              </w:rPr>
              <w:t>DW4</w:t>
            </w:r>
          </w:p>
        </w:tc>
        <w:tc>
          <w:tcPr>
            <w:tcW w:w="2057" w:type="pct"/>
            <w:tcBorders>
              <w:top w:val="single" w:color="000000" w:sz="6" w:space="0"/>
              <w:left w:val="single" w:color="000000" w:sz="6" w:space="0"/>
              <w:bottom w:val="single" w:color="000000" w:sz="6" w:space="0"/>
              <w:right w:val="single" w:color="000000" w:sz="6" w:space="0"/>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sz w:val="21"/>
              </w:rPr>
            </w:pPr>
            <w:r>
              <w:rPr>
                <w:rFonts w:hint="eastAsia"/>
                <w:sz w:val="21"/>
                <w:lang w:eastAsia="zh-CN"/>
              </w:rPr>
              <w:t>水北方</w:t>
            </w:r>
            <w:r>
              <w:rPr>
                <w:sz w:val="21"/>
              </w:rPr>
              <w:t xml:space="preserve">（项目西南侧 </w:t>
            </w:r>
            <w:r>
              <w:rPr>
                <w:rFonts w:hint="eastAsia"/>
                <w:sz w:val="21"/>
                <w:lang w:val="en-US" w:eastAsia="zh-CN"/>
              </w:rPr>
              <w:t>90</w:t>
            </w:r>
            <w:r>
              <w:rPr>
                <w:rFonts w:ascii="Times New Roman" w:eastAsia="Times New Roman"/>
                <w:sz w:val="21"/>
              </w:rPr>
              <w:t>0m</w:t>
            </w:r>
            <w:r>
              <w:rPr>
                <w:sz w:val="21"/>
              </w:rPr>
              <w:t>）</w:t>
            </w:r>
          </w:p>
        </w:tc>
        <w:tc>
          <w:tcPr>
            <w:tcW w:w="1351" w:type="pct"/>
            <w:tcBorders>
              <w:top w:val="single" w:color="000000" w:sz="6" w:space="0"/>
              <w:left w:val="single" w:color="000000" w:sz="6" w:space="0"/>
              <w:bottom w:val="single" w:color="000000" w:sz="6" w:space="0"/>
              <w:right w:val="nil"/>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sz w:val="21"/>
              </w:rPr>
            </w:pPr>
            <w:r>
              <w:rPr>
                <w:sz w:val="21"/>
              </w:rPr>
              <w:t>水位</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23" w:hRule="atLeast"/>
        </w:trPr>
        <w:tc>
          <w:tcPr>
            <w:tcW w:w="1590" w:type="pct"/>
            <w:tcBorders>
              <w:top w:val="single" w:color="000000" w:sz="6" w:space="0"/>
              <w:left w:val="nil"/>
              <w:bottom w:val="single" w:color="000000" w:sz="6" w:space="0"/>
              <w:right w:val="single" w:color="000000" w:sz="6" w:space="0"/>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rFonts w:ascii="Times New Roman"/>
                <w:sz w:val="21"/>
              </w:rPr>
            </w:pPr>
            <w:r>
              <w:rPr>
                <w:rFonts w:ascii="Times New Roman"/>
                <w:sz w:val="21"/>
              </w:rPr>
              <w:t>DW5</w:t>
            </w:r>
          </w:p>
        </w:tc>
        <w:tc>
          <w:tcPr>
            <w:tcW w:w="2057" w:type="pct"/>
            <w:tcBorders>
              <w:top w:val="single" w:color="000000" w:sz="6" w:space="0"/>
              <w:left w:val="single" w:color="000000" w:sz="6" w:space="0"/>
              <w:bottom w:val="single" w:color="000000" w:sz="6" w:space="0"/>
              <w:right w:val="single" w:color="000000" w:sz="6" w:space="0"/>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sz w:val="21"/>
              </w:rPr>
            </w:pPr>
            <w:r>
              <w:rPr>
                <w:sz w:val="21"/>
              </w:rPr>
              <w:t xml:space="preserve">项目西侧 </w:t>
            </w:r>
            <w:r>
              <w:rPr>
                <w:rFonts w:hint="eastAsia" w:ascii="Times New Roman"/>
                <w:sz w:val="21"/>
                <w:lang w:val="en-US" w:eastAsia="zh-CN"/>
              </w:rPr>
              <w:t>310</w:t>
            </w:r>
            <w:r>
              <w:rPr>
                <w:rFonts w:ascii="Times New Roman" w:eastAsia="Times New Roman"/>
                <w:sz w:val="21"/>
              </w:rPr>
              <w:t xml:space="preserve">m </w:t>
            </w:r>
            <w:r>
              <w:rPr>
                <w:sz w:val="21"/>
              </w:rPr>
              <w:t>处</w:t>
            </w:r>
          </w:p>
        </w:tc>
        <w:tc>
          <w:tcPr>
            <w:tcW w:w="1351" w:type="pct"/>
            <w:tcBorders>
              <w:top w:val="single" w:color="000000" w:sz="6" w:space="0"/>
              <w:left w:val="single" w:color="000000" w:sz="6" w:space="0"/>
              <w:bottom w:val="single" w:color="000000" w:sz="6" w:space="0"/>
              <w:right w:val="nil"/>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sz w:val="21"/>
              </w:rPr>
            </w:pPr>
            <w:r>
              <w:rPr>
                <w:sz w:val="21"/>
              </w:rPr>
              <w:t>水位</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28" w:hRule="atLeast"/>
        </w:trPr>
        <w:tc>
          <w:tcPr>
            <w:tcW w:w="1590" w:type="pct"/>
            <w:tcBorders>
              <w:top w:val="single" w:color="000000" w:sz="6" w:space="0"/>
              <w:left w:val="nil"/>
              <w:right w:val="single" w:color="000000" w:sz="6" w:space="0"/>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rFonts w:ascii="Times New Roman"/>
                <w:sz w:val="21"/>
              </w:rPr>
            </w:pPr>
            <w:r>
              <w:rPr>
                <w:rFonts w:ascii="Times New Roman"/>
                <w:sz w:val="21"/>
              </w:rPr>
              <w:t>DW6</w:t>
            </w:r>
          </w:p>
        </w:tc>
        <w:tc>
          <w:tcPr>
            <w:tcW w:w="2057" w:type="pct"/>
            <w:tcBorders>
              <w:top w:val="single" w:color="000000" w:sz="6" w:space="0"/>
              <w:left w:val="single" w:color="000000" w:sz="6" w:space="0"/>
              <w:right w:val="single" w:color="000000" w:sz="6" w:space="0"/>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sz w:val="21"/>
              </w:rPr>
            </w:pPr>
            <w:r>
              <w:rPr>
                <w:rFonts w:hint="eastAsia"/>
                <w:sz w:val="21"/>
                <w:lang w:eastAsia="zh-CN"/>
              </w:rPr>
              <w:t>彭屋</w:t>
            </w:r>
            <w:r>
              <w:rPr>
                <w:sz w:val="21"/>
              </w:rPr>
              <w:t xml:space="preserve">（项目北侧 </w:t>
            </w:r>
            <w:r>
              <w:rPr>
                <w:rFonts w:hint="eastAsia" w:ascii="Times New Roman"/>
                <w:sz w:val="21"/>
                <w:lang w:val="en-US" w:eastAsia="zh-CN"/>
              </w:rPr>
              <w:t>45</w:t>
            </w:r>
            <w:r>
              <w:rPr>
                <w:rFonts w:ascii="Times New Roman" w:eastAsia="Times New Roman"/>
                <w:sz w:val="21"/>
              </w:rPr>
              <w:t xml:space="preserve">0m </w:t>
            </w:r>
            <w:r>
              <w:rPr>
                <w:sz w:val="21"/>
              </w:rPr>
              <w:t>处）</w:t>
            </w:r>
          </w:p>
        </w:tc>
        <w:tc>
          <w:tcPr>
            <w:tcW w:w="1351" w:type="pct"/>
            <w:tcBorders>
              <w:top w:val="single" w:color="000000" w:sz="6" w:space="0"/>
              <w:left w:val="single" w:color="000000" w:sz="6" w:space="0"/>
              <w:right w:val="nil"/>
            </w:tcBorders>
            <w:noWrap w:val="0"/>
            <w:vAlign w:val="top"/>
          </w:tcPr>
          <w:p>
            <w:pPr>
              <w:pStyle w:val="866"/>
              <w:keepNext w:val="0"/>
              <w:keepLines w:val="0"/>
              <w:pageBreakBefore w:val="0"/>
              <w:widowControl/>
              <w:kinsoku/>
              <w:wordWrap/>
              <w:overflowPunct/>
              <w:topLinePunct w:val="0"/>
              <w:autoSpaceDE/>
              <w:autoSpaceDN/>
              <w:bidi w:val="0"/>
              <w:adjustRightInd/>
              <w:snapToGrid/>
              <w:ind w:left="0" w:right="0"/>
              <w:textAlignment w:val="auto"/>
              <w:rPr>
                <w:sz w:val="21"/>
              </w:rPr>
            </w:pPr>
            <w:r>
              <w:rPr>
                <w:sz w:val="21"/>
              </w:rPr>
              <w:t>水位</w:t>
            </w:r>
          </w:p>
        </w:tc>
      </w:tr>
    </w:tbl>
    <w:p>
      <w:pPr>
        <w:keepNext/>
        <w:keepLines/>
        <w:pageBreakBefore w:val="0"/>
        <w:widowControl w:val="0"/>
        <w:numPr>
          <w:ilvl w:val="0"/>
          <w:numId w:val="0"/>
        </w:numPr>
        <w:tabs>
          <w:tab w:val="left" w:pos="0"/>
        </w:tabs>
        <w:kinsoku/>
        <w:wordWrap/>
        <w:overflowPunct/>
        <w:topLinePunct w:val="0"/>
        <w:autoSpaceDE/>
        <w:autoSpaceDN/>
        <w:bidi w:val="0"/>
        <w:adjustRightInd/>
        <w:snapToGrid/>
        <w:spacing w:line="240" w:lineRule="auto"/>
        <w:textAlignment w:val="auto"/>
        <w:outlineLvl w:val="9"/>
      </w:pPr>
      <w:r>
        <w:drawing>
          <wp:inline distT="0" distB="0" distL="114300" distR="114300">
            <wp:extent cx="5229225" cy="4200525"/>
            <wp:effectExtent l="0" t="0" r="13335" b="5715"/>
            <wp:docPr id="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1"/>
                    <pic:cNvPicPr>
                      <a:picLocks noChangeAspect="1"/>
                    </pic:cNvPicPr>
                  </pic:nvPicPr>
                  <pic:blipFill>
                    <a:blip r:embed="rId47"/>
                    <a:stretch>
                      <a:fillRect/>
                    </a:stretch>
                  </pic:blipFill>
                  <pic:spPr>
                    <a:xfrm>
                      <a:off x="0" y="0"/>
                      <a:ext cx="5229225" cy="4200525"/>
                    </a:xfrm>
                    <a:prstGeom prst="rect">
                      <a:avLst/>
                    </a:prstGeom>
                    <a:noFill/>
                    <a:ln>
                      <a:noFill/>
                    </a:ln>
                  </pic:spPr>
                </pic:pic>
              </a:graphicData>
            </a:graphic>
          </wp:inline>
        </w:drawing>
      </w:r>
    </w:p>
    <w:p>
      <w:pPr>
        <w:pStyle w:val="32"/>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bCs/>
        </w:rPr>
      </w:pPr>
      <w:r>
        <w:rPr>
          <w:rFonts w:hint="default" w:ascii="Times New Roman" w:hAnsi="Times New Roman" w:eastAsia="宋体" w:cs="Times New Roman"/>
          <w:b/>
          <w:bCs/>
          <w:sz w:val="21"/>
          <w:szCs w:val="21"/>
          <w:lang w:eastAsia="zh-CN"/>
        </w:rPr>
        <w:t>图</w:t>
      </w:r>
      <w:r>
        <w:rPr>
          <w:rFonts w:hint="default" w:ascii="Times New Roman" w:hAnsi="Times New Roman" w:eastAsia="宋体" w:cs="Times New Roman"/>
          <w:b/>
          <w:bCs/>
          <w:sz w:val="21"/>
          <w:szCs w:val="21"/>
          <w:lang w:val="en-US" w:eastAsia="zh-CN"/>
        </w:rPr>
        <w:t>4.3-1   地下水环境监测点位示意图</w:t>
      </w:r>
    </w:p>
    <w:p>
      <w:pPr>
        <w:pStyle w:val="5"/>
        <w:ind w:firstLine="562"/>
      </w:pPr>
      <w:r>
        <w:rPr>
          <w:rFonts w:hint="eastAsia"/>
          <w:lang w:eastAsia="zh-CN"/>
        </w:rPr>
        <w:t xml:space="preserve">监测项目 </w:t>
      </w:r>
    </w:p>
    <w:p>
      <w:pPr>
        <w:pStyle w:val="9"/>
        <w:rPr>
          <w:rFonts w:hint="eastAsia" w:eastAsia="宋体"/>
          <w:lang w:eastAsia="zh-CN"/>
        </w:rPr>
      </w:pPr>
      <w:r>
        <w:t>pH、总硬度、溶解性总固体、氨氮、耗氧量、硝酸盐、亚硝酸盐、硫酸盐、氟化物、氯化物、铁、锰、硫化物、氰化物、As、Pb、Hg、Cd、六价铬、挥发酚、总大肠菌群、细菌总数共22项及水位</w:t>
      </w:r>
      <w:r>
        <w:rPr>
          <w:rFonts w:hint="eastAsia" w:cs="Times New Roman"/>
          <w:lang w:eastAsia="zh-CN"/>
        </w:rPr>
        <w:t>。</w:t>
      </w:r>
    </w:p>
    <w:p>
      <w:pPr>
        <w:pStyle w:val="5"/>
        <w:ind w:firstLine="562"/>
      </w:pPr>
      <w:r>
        <w:rPr>
          <w:rFonts w:hint="eastAsia"/>
          <w:lang w:eastAsia="zh-CN"/>
        </w:rPr>
        <w:t xml:space="preserve">监测频率及时间 </w:t>
      </w:r>
    </w:p>
    <w:p>
      <w:pPr>
        <w:pStyle w:val="9"/>
        <w:rPr>
          <w:rFonts w:hint="eastAsia"/>
        </w:rPr>
      </w:pPr>
      <w:r>
        <w:rPr>
          <w:rFonts w:hint="eastAsia"/>
          <w:color w:val="auto"/>
          <w:highlight w:val="none"/>
        </w:rPr>
        <w:t>监测时间为20</w:t>
      </w:r>
      <w:r>
        <w:rPr>
          <w:rFonts w:hint="eastAsia"/>
          <w:color w:val="auto"/>
          <w:highlight w:val="none"/>
          <w:lang w:val="en-US" w:eastAsia="zh-CN"/>
        </w:rPr>
        <w:t>20</w:t>
      </w:r>
      <w:r>
        <w:rPr>
          <w:rFonts w:hint="eastAsia"/>
          <w:color w:val="auto"/>
          <w:highlight w:val="none"/>
        </w:rPr>
        <w:t>年</w:t>
      </w:r>
      <w:r>
        <w:rPr>
          <w:rFonts w:hint="eastAsia"/>
          <w:color w:val="auto"/>
          <w:highlight w:val="none"/>
          <w:lang w:val="en-US" w:eastAsia="zh-CN"/>
        </w:rPr>
        <w:t>3</w:t>
      </w:r>
      <w:r>
        <w:rPr>
          <w:rFonts w:hint="eastAsia"/>
          <w:color w:val="auto"/>
          <w:highlight w:val="none"/>
        </w:rPr>
        <w:t>月</w:t>
      </w:r>
      <w:r>
        <w:rPr>
          <w:rFonts w:hint="eastAsia"/>
          <w:color w:val="auto"/>
          <w:highlight w:val="none"/>
          <w:lang w:val="en-US" w:eastAsia="zh-CN"/>
        </w:rPr>
        <w:t>31</w:t>
      </w:r>
      <w:r>
        <w:rPr>
          <w:rFonts w:hint="eastAsia"/>
          <w:color w:val="auto"/>
          <w:highlight w:val="none"/>
        </w:rPr>
        <w:t>日，监测</w:t>
      </w:r>
      <w:r>
        <w:rPr>
          <w:rFonts w:hint="eastAsia"/>
          <w:color w:val="auto"/>
          <w:highlight w:val="none"/>
          <w:lang w:val="en-US" w:eastAsia="zh-CN"/>
        </w:rPr>
        <w:t>1</w:t>
      </w:r>
      <w:r>
        <w:rPr>
          <w:rFonts w:hint="eastAsia"/>
          <w:color w:val="auto"/>
          <w:highlight w:val="none"/>
        </w:rPr>
        <w:t>天，每天采样一次。</w:t>
      </w:r>
    </w:p>
    <w:p>
      <w:pPr>
        <w:pStyle w:val="5"/>
        <w:ind w:firstLine="562"/>
      </w:pPr>
      <w:r>
        <w:rPr>
          <w:rFonts w:hint="eastAsia"/>
          <w:lang w:eastAsia="zh-CN"/>
        </w:rPr>
        <w:t xml:space="preserve">分析方法 </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eastAsia="宋体"/>
          <w:b/>
          <w:bCs/>
          <w:sz w:val="21"/>
          <w:szCs w:val="21"/>
          <w:lang w:val="en-US" w:eastAsia="zh-CN"/>
        </w:rPr>
      </w:pPr>
      <w:r>
        <w:rPr>
          <w:rFonts w:hint="eastAsia"/>
          <w:b/>
          <w:bCs/>
          <w:sz w:val="21"/>
          <w:szCs w:val="21"/>
          <w:lang w:val="en-US" w:eastAsia="zh-CN"/>
        </w:rPr>
        <w:t>表4.3-2  地下水水质分析方法及检出限</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9"/>
        <w:gridCol w:w="1210"/>
        <w:gridCol w:w="5197"/>
        <w:gridCol w:w="14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top w:val="single" w:color="auto" w:sz="12" w:space="0"/>
              <w:left w:val="nil"/>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序号</w:t>
            </w:r>
          </w:p>
        </w:tc>
        <w:tc>
          <w:tcPr>
            <w:tcW w:w="1210" w:type="dxa"/>
            <w:tcBorders>
              <w:top w:val="single" w:color="auto" w:sz="12" w:space="0"/>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监测项目</w:t>
            </w:r>
          </w:p>
        </w:tc>
        <w:tc>
          <w:tcPr>
            <w:tcW w:w="5197" w:type="dxa"/>
            <w:tcBorders>
              <w:top w:val="single" w:color="auto" w:sz="12" w:space="0"/>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分析方法</w:t>
            </w:r>
          </w:p>
        </w:tc>
        <w:tc>
          <w:tcPr>
            <w:tcW w:w="1426" w:type="dxa"/>
            <w:tcBorders>
              <w:top w:val="single" w:color="auto" w:sz="12" w:space="0"/>
              <w:bottom w:val="single" w:color="auto" w:sz="12" w:space="0"/>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eastAsia="zh-CN"/>
              </w:rPr>
              <w:t>检出限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top w:val="single" w:color="auto" w:sz="12" w:space="0"/>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1</w:t>
            </w:r>
          </w:p>
        </w:tc>
        <w:tc>
          <w:tcPr>
            <w:tcW w:w="1210" w:type="dxa"/>
            <w:tcBorders>
              <w:top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rPr>
              <w:t>pH</w:t>
            </w:r>
            <w:r>
              <w:rPr>
                <w:rFonts w:hint="default" w:ascii="Times New Roman" w:hAnsi="Times New Roman" w:eastAsia="宋体" w:cs="Times New Roman"/>
                <w:sz w:val="21"/>
                <w:szCs w:val="21"/>
                <w:lang w:eastAsia="zh-CN"/>
              </w:rPr>
              <w:t>值</w:t>
            </w:r>
          </w:p>
        </w:tc>
        <w:tc>
          <w:tcPr>
            <w:tcW w:w="5197" w:type="dxa"/>
            <w:tcBorders>
              <w:top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eastAsia="zh-CN"/>
              </w:rPr>
              <w:t>玻璃电极法</w:t>
            </w:r>
            <w:r>
              <w:rPr>
                <w:rFonts w:hint="eastAsia" w:ascii="Times New Roman" w:hAnsi="Times New Roman" w:eastAsia="宋体" w:cs="Times New Roman"/>
                <w:sz w:val="21"/>
                <w:szCs w:val="21"/>
                <w:vertAlign w:val="baseline"/>
                <w:lang w:val="en-US" w:eastAsia="zh-CN"/>
              </w:rPr>
              <w:t>GB/T6920-1986</w:t>
            </w:r>
          </w:p>
        </w:tc>
        <w:tc>
          <w:tcPr>
            <w:tcW w:w="1426" w:type="dxa"/>
            <w:tcBorders>
              <w:top w:val="single" w:color="auto" w:sz="12" w:space="0"/>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0.01（无量纲）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2</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rPr>
              <w:t>总硬度</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eastAsia="zh-CN"/>
              </w:rPr>
              <w:t>乙二胺四乙酸二钠滴定法《生活饮用水标准检验方法感官性状和五力指标称量法》</w:t>
            </w:r>
            <w:r>
              <w:rPr>
                <w:rFonts w:hint="eastAsia" w:ascii="Times New Roman" w:hAnsi="Times New Roman" w:eastAsia="宋体" w:cs="Times New Roman"/>
                <w:sz w:val="21"/>
                <w:szCs w:val="21"/>
                <w:vertAlign w:val="baseline"/>
                <w:lang w:val="en-US" w:eastAsia="zh-CN"/>
              </w:rPr>
              <w:t>GB/T5750.4-20067.1</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1.0mgL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4" w:hRule="atLeast"/>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3</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rPr>
              <w:t>溶解性总固体</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rPr>
            </w:pPr>
            <w:r>
              <w:rPr>
                <w:rFonts w:hint="eastAsia" w:ascii="Times New Roman" w:hAnsi="Times New Roman" w:eastAsia="宋体" w:cs="Times New Roman"/>
                <w:sz w:val="21"/>
                <w:szCs w:val="21"/>
                <w:vertAlign w:val="baseline"/>
                <w:lang w:eastAsia="zh-CN"/>
              </w:rPr>
              <w:t>称量法</w:t>
            </w:r>
            <w:r>
              <w:rPr>
                <w:rFonts w:hint="eastAsia" w:ascii="Times New Roman" w:hAnsi="Times New Roman" w:cs="Times New Roman"/>
                <w:sz w:val="21"/>
                <w:szCs w:val="21"/>
                <w:vertAlign w:val="baseline"/>
                <w:lang w:val="en-US" w:eastAsia="zh-CN"/>
              </w:rPr>
              <w:t>GB/T 5750.4-2006.8</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4</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氨氮</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纳氏试剂分光光度法HJ 535-2009</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0.025</w:t>
            </w:r>
            <w:r>
              <w:rPr>
                <w:rFonts w:hint="default" w:ascii="Times New Roman" w:hAnsi="Times New Roman" w:eastAsia="宋体" w:cs="Times New Roman"/>
                <w:sz w:val="21"/>
                <w:szCs w:val="21"/>
                <w:vertAlign w:val="baseline"/>
                <w:lang w:val="en-US" w:eastAsia="zh-CN"/>
              </w:rPr>
              <w:t>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5</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硝酸盐</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离子色谱法HJ84-2016</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0.016</w:t>
            </w:r>
            <w:r>
              <w:rPr>
                <w:rFonts w:hint="default" w:ascii="Times New Roman" w:hAnsi="Times New Roman" w:eastAsia="宋体" w:cs="Times New Roman"/>
                <w:sz w:val="21"/>
                <w:szCs w:val="21"/>
                <w:vertAlign w:val="baseline"/>
                <w:lang w:val="en-US" w:eastAsia="zh-CN"/>
              </w:rPr>
              <w:t>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7" w:hRule="atLeast"/>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6</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亚硝酸盐</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离子色谱法HJ84-2016</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0.016</w:t>
            </w:r>
            <w:r>
              <w:rPr>
                <w:rFonts w:hint="default" w:ascii="Times New Roman" w:hAnsi="Times New Roman" w:eastAsia="宋体" w:cs="Times New Roman"/>
                <w:sz w:val="21"/>
                <w:szCs w:val="21"/>
                <w:vertAlign w:val="baseline"/>
                <w:lang w:val="en-US" w:eastAsia="zh-CN"/>
              </w:rPr>
              <w:t>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7</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硫酸盐</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离子色谱法HJ84-2016</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0.018</w:t>
            </w:r>
            <w:r>
              <w:rPr>
                <w:rFonts w:hint="default" w:ascii="Times New Roman" w:hAnsi="Times New Roman" w:eastAsia="宋体" w:cs="Times New Roman"/>
                <w:sz w:val="21"/>
                <w:szCs w:val="21"/>
                <w:vertAlign w:val="baseline"/>
                <w:lang w:val="en-US" w:eastAsia="zh-CN"/>
              </w:rPr>
              <w:t>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8</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氟化物</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离子色谱法HJ84-2016</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0.006</w:t>
            </w:r>
            <w:r>
              <w:rPr>
                <w:rFonts w:hint="default" w:ascii="Times New Roman" w:hAnsi="Times New Roman" w:eastAsia="宋体" w:cs="Times New Roman"/>
                <w:sz w:val="21"/>
                <w:szCs w:val="21"/>
                <w:vertAlign w:val="baseline"/>
                <w:lang w:val="en-US" w:eastAsia="zh-CN"/>
              </w:rPr>
              <w:t>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8</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氯化物</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离子色谱法HJ84-2016</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0.007</w:t>
            </w:r>
            <w:r>
              <w:rPr>
                <w:rFonts w:hint="default" w:ascii="Times New Roman" w:hAnsi="Times New Roman" w:eastAsia="宋体" w:cs="Times New Roman"/>
                <w:sz w:val="21"/>
                <w:szCs w:val="21"/>
                <w:vertAlign w:val="baseline"/>
                <w:lang w:val="en-US" w:eastAsia="zh-CN"/>
              </w:rPr>
              <w:t>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9</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铁</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原子吸收分光光度法</w:t>
            </w:r>
            <w:r>
              <w:rPr>
                <w:rFonts w:hint="eastAsia" w:ascii="Times New Roman" w:hAnsi="Times New Roman" w:eastAsia="宋体" w:cs="Times New Roman"/>
                <w:sz w:val="21"/>
                <w:szCs w:val="21"/>
                <w:vertAlign w:val="baseline"/>
                <w:lang w:eastAsia="zh-CN"/>
              </w:rPr>
              <w:t>《生活饮用水标准检验方法</w:t>
            </w:r>
            <w:r>
              <w:rPr>
                <w:rFonts w:hint="eastAsia" w:ascii="Times New Roman" w:hAnsi="Times New Roman" w:cs="Times New Roman"/>
                <w:sz w:val="21"/>
                <w:szCs w:val="21"/>
                <w:vertAlign w:val="baseline"/>
                <w:lang w:eastAsia="zh-CN"/>
              </w:rPr>
              <w:t>金属指标》</w:t>
            </w:r>
            <w:r>
              <w:rPr>
                <w:rFonts w:hint="eastAsia" w:ascii="Times New Roman" w:hAnsi="Times New Roman" w:cs="Times New Roman"/>
                <w:sz w:val="21"/>
                <w:szCs w:val="21"/>
                <w:vertAlign w:val="baseline"/>
                <w:lang w:val="en-US" w:eastAsia="zh-CN"/>
              </w:rPr>
              <w:t>GB/T5750.6-2006（2.1）</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0.</w:t>
            </w:r>
            <w:r>
              <w:rPr>
                <w:rFonts w:hint="eastAsia" w:ascii="Times New Roman" w:hAnsi="Times New Roman" w:eastAsia="宋体" w:cs="Times New Roman"/>
                <w:sz w:val="21"/>
                <w:szCs w:val="21"/>
                <w:vertAlign w:val="baseline"/>
                <w:lang w:val="en-US" w:eastAsia="zh-CN"/>
              </w:rPr>
              <w:t>3</w:t>
            </w:r>
            <w:r>
              <w:rPr>
                <w:rFonts w:hint="default" w:ascii="Times New Roman" w:hAnsi="Times New Roman" w:eastAsia="宋体" w:cs="Times New Roman"/>
                <w:sz w:val="21"/>
                <w:szCs w:val="21"/>
                <w:vertAlign w:val="baseline"/>
                <w:lang w:val="en-US" w:eastAsia="zh-CN"/>
              </w:rPr>
              <w:t>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10</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锰</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原子吸收分光光度法</w:t>
            </w:r>
            <w:r>
              <w:rPr>
                <w:rFonts w:hint="eastAsia" w:ascii="Times New Roman" w:hAnsi="Times New Roman" w:eastAsia="宋体" w:cs="Times New Roman"/>
                <w:sz w:val="21"/>
                <w:szCs w:val="21"/>
                <w:vertAlign w:val="baseline"/>
                <w:lang w:eastAsia="zh-CN"/>
              </w:rPr>
              <w:t>《生活饮用水标准检验方法</w:t>
            </w:r>
            <w:r>
              <w:rPr>
                <w:rFonts w:hint="eastAsia" w:ascii="Times New Roman" w:hAnsi="Times New Roman" w:cs="Times New Roman"/>
                <w:sz w:val="21"/>
                <w:szCs w:val="21"/>
                <w:vertAlign w:val="baseline"/>
                <w:lang w:eastAsia="zh-CN"/>
              </w:rPr>
              <w:t>金属指标》</w:t>
            </w:r>
            <w:r>
              <w:rPr>
                <w:rFonts w:hint="eastAsia" w:ascii="Times New Roman" w:hAnsi="Times New Roman" w:cs="Times New Roman"/>
                <w:sz w:val="21"/>
                <w:szCs w:val="21"/>
                <w:vertAlign w:val="baseline"/>
                <w:lang w:val="en-US" w:eastAsia="zh-CN"/>
              </w:rPr>
              <w:t>GB/T5750.6-2006（3.1）</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ascii="Times New Roman" w:hAnsi="Times New Roman" w:cs="Times New Roman"/>
                <w:sz w:val="21"/>
                <w:szCs w:val="21"/>
                <w:vertAlign w:val="baseline"/>
                <w:lang w:val="en-US" w:eastAsia="zh-CN"/>
              </w:rPr>
              <w:t>0.1</w:t>
            </w:r>
            <w:r>
              <w:rPr>
                <w:rFonts w:hint="eastAsia" w:ascii="Times New Roman" w:hAnsi="Times New Roman" w:eastAsia="宋体" w:cs="Times New Roman"/>
                <w:sz w:val="21"/>
                <w:szCs w:val="21"/>
                <w:vertAlign w:val="baseline"/>
                <w:lang w:val="en-US" w:eastAsia="zh-CN"/>
              </w:rPr>
              <w:t>3</w:t>
            </w:r>
            <w:r>
              <w:rPr>
                <w:rFonts w:hint="default" w:ascii="Times New Roman" w:hAnsi="Times New Roman" w:eastAsia="宋体" w:cs="Times New Roman"/>
                <w:sz w:val="21"/>
                <w:szCs w:val="21"/>
                <w:vertAlign w:val="baseline"/>
                <w:lang w:val="en-US" w:eastAsia="zh-CN"/>
              </w:rPr>
              <w:t>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11</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硫化物</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eastAsia="zh-CN"/>
              </w:rPr>
              <w:t>亚甲基蓝分光光度法</w:t>
            </w:r>
            <w:r>
              <w:rPr>
                <w:rFonts w:hint="eastAsia" w:ascii="Times New Roman" w:hAnsi="Times New Roman" w:eastAsia="宋体" w:cs="Times New Roman"/>
                <w:sz w:val="21"/>
                <w:szCs w:val="21"/>
                <w:vertAlign w:val="baseline"/>
                <w:lang w:val="en-US" w:eastAsia="zh-CN"/>
              </w:rPr>
              <w:t>GB/T16489-1996</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0.005</w:t>
            </w:r>
            <w:r>
              <w:rPr>
                <w:rFonts w:hint="default" w:ascii="Times New Roman" w:hAnsi="Times New Roman" w:eastAsia="宋体" w:cs="Times New Roman"/>
                <w:sz w:val="21"/>
                <w:szCs w:val="21"/>
                <w:vertAlign w:val="baseline"/>
                <w:lang w:val="en-US" w:eastAsia="zh-CN"/>
              </w:rPr>
              <w:t>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12</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氰化物</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eastAsia="zh-CN"/>
              </w:rPr>
              <w:t>吡啶</w:t>
            </w:r>
            <w:r>
              <w:rPr>
                <w:rFonts w:hint="eastAsia" w:ascii="Times New Roman" w:hAnsi="Times New Roman" w:eastAsia="宋体" w:cs="Times New Roman"/>
                <w:sz w:val="21"/>
                <w:szCs w:val="21"/>
                <w:vertAlign w:val="baseline"/>
                <w:lang w:val="en-US" w:eastAsia="zh-CN"/>
              </w:rPr>
              <w:t>-巴比妥酸分光光度法HJ484-2009</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0.002</w:t>
            </w:r>
            <w:r>
              <w:rPr>
                <w:rFonts w:hint="default" w:ascii="Times New Roman" w:hAnsi="Times New Roman" w:eastAsia="宋体" w:cs="Times New Roman"/>
                <w:sz w:val="21"/>
                <w:szCs w:val="21"/>
                <w:vertAlign w:val="baseline"/>
                <w:lang w:val="en-US" w:eastAsia="zh-CN"/>
              </w:rPr>
              <w:t>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13</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As</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原子荧光法HJ694-2014</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0.3μg/L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14</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Pb</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eastAsia="zh-CN"/>
              </w:rPr>
              <w:t>石墨炉原子吸收法（</w:t>
            </w:r>
            <w:r>
              <w:rPr>
                <w:rFonts w:hint="eastAsia" w:ascii="Times New Roman" w:hAnsi="Times New Roman" w:eastAsia="宋体" w:cs="Times New Roman"/>
                <w:sz w:val="21"/>
                <w:szCs w:val="21"/>
                <w:vertAlign w:val="baseline"/>
                <w:lang w:val="en-US" w:eastAsia="zh-CN"/>
              </w:rPr>
              <w:t>B</w:t>
            </w:r>
            <w:r>
              <w:rPr>
                <w:rFonts w:hint="eastAsia" w:ascii="Times New Roman" w:hAnsi="Times New Roman" w:eastAsia="宋体" w:cs="Times New Roman"/>
                <w:sz w:val="21"/>
                <w:szCs w:val="21"/>
                <w:vertAlign w:val="baseline"/>
                <w:lang w:eastAsia="zh-CN"/>
              </w:rPr>
              <w:t>）《水和废水监测分析方法》（第四版增补版）国家环境保护总局（</w:t>
            </w:r>
            <w:r>
              <w:rPr>
                <w:rFonts w:hint="eastAsia" w:ascii="Times New Roman" w:hAnsi="Times New Roman" w:eastAsia="宋体" w:cs="Times New Roman"/>
                <w:sz w:val="21"/>
                <w:szCs w:val="21"/>
                <w:vertAlign w:val="baseline"/>
                <w:lang w:val="en-US" w:eastAsia="zh-CN"/>
              </w:rPr>
              <w:t>2002年</w:t>
            </w:r>
            <w:r>
              <w:rPr>
                <w:rFonts w:hint="eastAsia" w:ascii="Times New Roman" w:hAnsi="Times New Roman" w:eastAsia="宋体" w:cs="Times New Roman"/>
                <w:sz w:val="21"/>
                <w:szCs w:val="21"/>
                <w:vertAlign w:val="baseline"/>
                <w:lang w:eastAsia="zh-CN"/>
              </w:rPr>
              <w:t>）</w:t>
            </w:r>
            <w:r>
              <w:rPr>
                <w:rFonts w:hint="eastAsia" w:ascii="Times New Roman" w:hAnsi="Times New Roman" w:eastAsia="宋体" w:cs="Times New Roman"/>
                <w:sz w:val="21"/>
                <w:szCs w:val="21"/>
                <w:vertAlign w:val="baseline"/>
                <w:lang w:val="en-US" w:eastAsia="zh-CN"/>
              </w:rPr>
              <w:t>3.4.16（五）</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ascii="Times New Roman" w:hAnsi="Times New Roman" w:cs="Times New Roman"/>
                <w:sz w:val="21"/>
                <w:szCs w:val="21"/>
                <w:vertAlign w:val="baseline"/>
                <w:lang w:val="en-US" w:eastAsia="zh-CN"/>
              </w:rPr>
              <w:t>1</w:t>
            </w:r>
            <w:r>
              <w:rPr>
                <w:rFonts w:hint="eastAsia" w:ascii="Times New Roman" w:hAnsi="Times New Roman" w:eastAsia="宋体" w:cs="Times New Roman"/>
                <w:sz w:val="21"/>
                <w:szCs w:val="21"/>
                <w:vertAlign w:val="baseline"/>
                <w:lang w:val="en-US" w:eastAsia="zh-CN"/>
              </w:rPr>
              <w:t>μg/L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15</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Hg</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eastAsia" w:ascii="Times New Roman" w:hAnsi="Times New Roman" w:eastAsia="宋体" w:cs="Times New Roman"/>
                <w:sz w:val="21"/>
                <w:szCs w:val="21"/>
                <w:vertAlign w:val="baseline"/>
                <w:lang w:val="en-US" w:eastAsia="zh-CN"/>
              </w:rPr>
              <w:t>原子荧光法HJ694-2014</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0.04μg/L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16</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Cd</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eastAsia" w:ascii="Times New Roman" w:hAnsi="Times New Roman" w:eastAsia="宋体" w:cs="Times New Roman"/>
                <w:sz w:val="21"/>
                <w:szCs w:val="21"/>
                <w:vertAlign w:val="baseline"/>
                <w:lang w:eastAsia="zh-CN"/>
              </w:rPr>
              <w:t>石墨炉原子吸收法（</w:t>
            </w:r>
            <w:r>
              <w:rPr>
                <w:rFonts w:hint="eastAsia" w:ascii="Times New Roman" w:hAnsi="Times New Roman" w:eastAsia="宋体" w:cs="Times New Roman"/>
                <w:sz w:val="21"/>
                <w:szCs w:val="21"/>
                <w:vertAlign w:val="baseline"/>
                <w:lang w:val="en-US" w:eastAsia="zh-CN"/>
              </w:rPr>
              <w:t>B</w:t>
            </w:r>
            <w:r>
              <w:rPr>
                <w:rFonts w:hint="eastAsia" w:ascii="Times New Roman" w:hAnsi="Times New Roman" w:eastAsia="宋体" w:cs="Times New Roman"/>
                <w:sz w:val="21"/>
                <w:szCs w:val="21"/>
                <w:vertAlign w:val="baseline"/>
                <w:lang w:eastAsia="zh-CN"/>
              </w:rPr>
              <w:t>）《水和废水监测分析方法》（第四版增补版）国家环境保护总局（</w:t>
            </w:r>
            <w:r>
              <w:rPr>
                <w:rFonts w:hint="eastAsia" w:ascii="Times New Roman" w:hAnsi="Times New Roman" w:eastAsia="宋体" w:cs="Times New Roman"/>
                <w:sz w:val="21"/>
                <w:szCs w:val="21"/>
                <w:vertAlign w:val="baseline"/>
                <w:lang w:val="en-US" w:eastAsia="zh-CN"/>
              </w:rPr>
              <w:t>2002年</w:t>
            </w:r>
            <w:r>
              <w:rPr>
                <w:rFonts w:hint="eastAsia" w:ascii="Times New Roman" w:hAnsi="Times New Roman" w:eastAsia="宋体" w:cs="Times New Roman"/>
                <w:sz w:val="21"/>
                <w:szCs w:val="21"/>
                <w:vertAlign w:val="baseline"/>
                <w:lang w:eastAsia="zh-CN"/>
              </w:rPr>
              <w:t>）</w:t>
            </w:r>
            <w:r>
              <w:rPr>
                <w:rFonts w:hint="eastAsia" w:ascii="Times New Roman" w:hAnsi="Times New Roman" w:eastAsia="宋体" w:cs="Times New Roman"/>
                <w:sz w:val="21"/>
                <w:szCs w:val="21"/>
                <w:vertAlign w:val="baseline"/>
                <w:lang w:val="en-US" w:eastAsia="zh-CN"/>
              </w:rPr>
              <w:t>3.4.</w:t>
            </w:r>
            <w:r>
              <w:rPr>
                <w:rFonts w:hint="eastAsia" w:ascii="Times New Roman" w:hAnsi="Times New Roman" w:cs="Times New Roman"/>
                <w:sz w:val="21"/>
                <w:szCs w:val="21"/>
                <w:vertAlign w:val="baseline"/>
                <w:lang w:val="en-US" w:eastAsia="zh-CN"/>
              </w:rPr>
              <w:t>7</w:t>
            </w:r>
            <w:r>
              <w:rPr>
                <w:rFonts w:hint="eastAsia" w:ascii="Times New Roman" w:hAnsi="Times New Roman" w:eastAsia="宋体" w:cs="Times New Roman"/>
                <w:sz w:val="21"/>
                <w:szCs w:val="21"/>
                <w:vertAlign w:val="baseline"/>
                <w:lang w:val="en-US" w:eastAsia="zh-CN"/>
              </w:rPr>
              <w:t>（</w:t>
            </w:r>
            <w:r>
              <w:rPr>
                <w:rFonts w:hint="eastAsia" w:ascii="Times New Roman" w:hAnsi="Times New Roman" w:cs="Times New Roman"/>
                <w:sz w:val="21"/>
                <w:szCs w:val="21"/>
                <w:vertAlign w:val="baseline"/>
                <w:lang w:val="en-US" w:eastAsia="zh-CN"/>
              </w:rPr>
              <w:t>四</w:t>
            </w:r>
            <w:r>
              <w:rPr>
                <w:rFonts w:hint="eastAsia" w:ascii="Times New Roman" w:hAnsi="Times New Roman" w:eastAsia="宋体" w:cs="Times New Roman"/>
                <w:sz w:val="21"/>
                <w:szCs w:val="21"/>
                <w:vertAlign w:val="baseline"/>
                <w:lang w:val="en-US" w:eastAsia="zh-CN"/>
              </w:rPr>
              <w:t>）</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0.</w:t>
            </w:r>
            <w:r>
              <w:rPr>
                <w:rFonts w:hint="eastAsia" w:ascii="Times New Roman" w:hAnsi="Times New Roman" w:cs="Times New Roman"/>
                <w:sz w:val="21"/>
                <w:szCs w:val="21"/>
                <w:vertAlign w:val="baseline"/>
                <w:lang w:val="en-US" w:eastAsia="zh-CN"/>
              </w:rPr>
              <w:t>1</w:t>
            </w:r>
            <w:r>
              <w:rPr>
                <w:rFonts w:hint="eastAsia" w:ascii="Times New Roman" w:hAnsi="Times New Roman" w:eastAsia="宋体" w:cs="Times New Roman"/>
                <w:sz w:val="21"/>
                <w:szCs w:val="21"/>
                <w:vertAlign w:val="baseline"/>
                <w:lang w:val="en-US" w:eastAsia="zh-CN"/>
              </w:rPr>
              <w:t>μg/L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17</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六价铬</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eastAsia="zh-CN"/>
              </w:rPr>
              <w:t>二笨碳酰二肼分光光度法</w:t>
            </w:r>
            <w:r>
              <w:rPr>
                <w:rFonts w:hint="eastAsia" w:ascii="Times New Roman" w:hAnsi="Times New Roman" w:eastAsia="宋体" w:cs="Times New Roman"/>
                <w:sz w:val="21"/>
                <w:szCs w:val="21"/>
                <w:lang w:val="en-US" w:eastAsia="zh-CN"/>
              </w:rPr>
              <w:t>GB/T7467-1987</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0.00</w:t>
            </w:r>
            <w:r>
              <w:rPr>
                <w:rFonts w:hint="eastAsia" w:ascii="Times New Roman" w:hAnsi="Times New Roman" w:cs="Times New Roman"/>
                <w:sz w:val="21"/>
                <w:szCs w:val="21"/>
                <w:vertAlign w:val="baseline"/>
                <w:lang w:val="en-US" w:eastAsia="zh-CN"/>
              </w:rPr>
              <w:t>4</w:t>
            </w:r>
            <w:r>
              <w:rPr>
                <w:rFonts w:hint="default" w:ascii="Times New Roman" w:hAnsi="Times New Roman" w:eastAsia="宋体" w:cs="Times New Roman"/>
                <w:sz w:val="21"/>
                <w:szCs w:val="21"/>
                <w:vertAlign w:val="baseline"/>
                <w:lang w:val="en-US" w:eastAsia="zh-CN"/>
              </w:rPr>
              <w:t>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18</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挥发酚</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4-氨基安替比林分光光度法HJ503-2009</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0.0003</w:t>
            </w:r>
            <w:r>
              <w:rPr>
                <w:rFonts w:hint="default" w:ascii="Times New Roman" w:hAnsi="Times New Roman" w:eastAsia="宋体" w:cs="Times New Roman"/>
                <w:sz w:val="21"/>
                <w:szCs w:val="21"/>
                <w:vertAlign w:val="baseline"/>
                <w:lang w:val="en-US" w:eastAsia="zh-CN"/>
              </w:rPr>
              <w:t>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9"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19</w:t>
            </w:r>
          </w:p>
        </w:tc>
        <w:tc>
          <w:tcPr>
            <w:tcW w:w="121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总大肠</w:t>
            </w:r>
          </w:p>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菌群</w:t>
            </w:r>
          </w:p>
        </w:tc>
        <w:tc>
          <w:tcPr>
            <w:tcW w:w="519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多管发酵法《生活饮用水标准检验方法微生物指标》GB/T5750.12-2006（2.1）</w:t>
            </w:r>
          </w:p>
        </w:tc>
        <w:tc>
          <w:tcPr>
            <w:tcW w:w="142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20个/L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9" w:type="dxa"/>
            <w:tcBorders>
              <w:left w:val="nil"/>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20</w:t>
            </w:r>
          </w:p>
        </w:tc>
        <w:tc>
          <w:tcPr>
            <w:tcW w:w="1210"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细菌总数</w:t>
            </w:r>
          </w:p>
        </w:tc>
        <w:tc>
          <w:tcPr>
            <w:tcW w:w="5197"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lang w:eastAsia="zh-CN"/>
              </w:rPr>
            </w:pPr>
            <w:r>
              <w:rPr>
                <w:rFonts w:hint="eastAsia" w:ascii="Times New Roman" w:hAnsi="Times New Roman" w:eastAsia="宋体" w:cs="Times New Roman"/>
                <w:sz w:val="21"/>
                <w:szCs w:val="21"/>
                <w:lang w:eastAsia="zh-CN"/>
              </w:rPr>
              <w:t>平皿计数法</w:t>
            </w:r>
            <w:r>
              <w:rPr>
                <w:rFonts w:hint="eastAsia" w:ascii="Times New Roman" w:hAnsi="Times New Roman" w:eastAsia="宋体" w:cs="Times New Roman"/>
                <w:sz w:val="21"/>
                <w:szCs w:val="21"/>
                <w:lang w:val="en-US" w:eastAsia="zh-CN"/>
              </w:rPr>
              <w:t>《生活饮用水标准检验方法微生物指标》GB/T5750.12-2006（</w:t>
            </w:r>
            <w:r>
              <w:rPr>
                <w:rFonts w:hint="eastAsia" w:ascii="Times New Roman" w:hAnsi="Times New Roman" w:cs="Times New Roman"/>
                <w:sz w:val="21"/>
                <w:szCs w:val="21"/>
                <w:lang w:val="en-US" w:eastAsia="zh-CN"/>
              </w:rPr>
              <w:t>1</w:t>
            </w:r>
            <w:r>
              <w:rPr>
                <w:rFonts w:hint="eastAsia" w:ascii="Times New Roman" w:hAnsi="Times New Roman" w:eastAsia="宋体" w:cs="Times New Roman"/>
                <w:sz w:val="21"/>
                <w:szCs w:val="21"/>
                <w:lang w:val="en-US" w:eastAsia="zh-CN"/>
              </w:rPr>
              <w:t>.1）</w:t>
            </w:r>
          </w:p>
        </w:tc>
        <w:tc>
          <w:tcPr>
            <w:tcW w:w="1426" w:type="dxa"/>
            <w:tcBorders>
              <w:bottom w:val="single" w:color="auto" w:sz="12" w:space="0"/>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r>
    </w:tbl>
    <w:p>
      <w:pPr>
        <w:pStyle w:val="5"/>
        <w:ind w:firstLine="562"/>
      </w:pPr>
      <w:r>
        <w:rPr>
          <w:rFonts w:hint="eastAsia"/>
          <w:lang w:eastAsia="zh-CN"/>
        </w:rPr>
        <w:t xml:space="preserve">评价标准与评价方法  </w:t>
      </w:r>
    </w:p>
    <w:p>
      <w:pPr>
        <w:pStyle w:val="9"/>
        <w:rPr>
          <w:rFonts w:hint="eastAsia"/>
        </w:rPr>
      </w:pPr>
      <w:r>
        <w:rPr>
          <w:rFonts w:hint="eastAsia"/>
        </w:rPr>
        <w:t xml:space="preserve">①评价标准 </w:t>
      </w:r>
    </w:p>
    <w:p>
      <w:pPr>
        <w:pStyle w:val="9"/>
        <w:rPr>
          <w:rFonts w:hint="eastAsia"/>
        </w:rPr>
      </w:pPr>
      <w:r>
        <w:rPr>
          <w:rFonts w:hint="eastAsia"/>
        </w:rPr>
        <w:t>根据《广东省地下水功能区划》（粤办函[2009]459 号）规定，本项目浅层地下水环境质量执行《地下水质量标准》（GB/T14848-2017）Ⅲ类标准，即各监测点采用《地下水质量标准》（GB/T14848-2017）Ⅲ类水质评价标准。</w:t>
      </w:r>
    </w:p>
    <w:p>
      <w:pPr>
        <w:pStyle w:val="9"/>
        <w:rPr>
          <w:rFonts w:hint="eastAsia"/>
        </w:rPr>
      </w:pPr>
      <w:r>
        <w:rPr>
          <w:rFonts w:hint="eastAsia"/>
        </w:rPr>
        <w:t xml:space="preserve">②评价方法 </w:t>
      </w:r>
    </w:p>
    <w:p>
      <w:pPr>
        <w:pStyle w:val="9"/>
        <w:rPr>
          <w:rFonts w:hint="default" w:ascii="Times New Roman" w:hAnsi="Times New Roman" w:eastAsia="宋体" w:cs="Times New Roman"/>
        </w:rPr>
      </w:pPr>
      <w:r>
        <w:rPr>
          <w:rFonts w:hint="default" w:ascii="Times New Roman" w:hAnsi="Times New Roman" w:eastAsia="宋体" w:cs="Times New Roman"/>
        </w:rPr>
        <w:t xml:space="preserve">利用《环境影响评价技术导则 地下水环境》（HJ610-2016）所推荐的定值水质参数评价法进行评价。HJ610-2016建议定值水质参数评价方法采用标准指数法，定值水质参数i在第j点的标准指数： </w:t>
      </w:r>
    </w:p>
    <w:p>
      <w:pPr>
        <w:pStyle w:val="9"/>
        <w:ind w:left="0" w:leftChars="0" w:firstLine="0" w:firstLineChars="0"/>
        <w:jc w:val="center"/>
        <w:rPr>
          <w:rFonts w:hint="eastAsia" w:eastAsia="宋体"/>
          <w:lang w:eastAsia="zh-CN"/>
        </w:rPr>
      </w:pPr>
      <w:r>
        <w:rPr>
          <w:rFonts w:hint="eastAsia" w:eastAsia="宋体"/>
          <w:position w:val="-12"/>
          <w:lang w:eastAsia="zh-CN"/>
        </w:rPr>
        <w:object>
          <v:shape id="_x0000_i1036" o:spt="75" type="#_x0000_t75" style="height:18pt;width:56pt;" o:ole="t" filled="f" o:preferrelative="t" stroked="f" coordsize="21600,21600">
            <v:path/>
            <v:fill on="f" focussize="0,0"/>
            <v:stroke on="f"/>
            <v:imagedata r:id="rId49" o:title=""/>
            <o:lock v:ext="edit" grouping="f" rotation="f" text="f" aspectratio="t"/>
            <w10:wrap type="none"/>
            <w10:anchorlock/>
          </v:shape>
          <o:OLEObject Type="Embed" ProgID="Equation.KSEE3" ShapeID="_x0000_i1036" DrawAspect="Content" ObjectID="_1468075736" r:id="rId48">
            <o:LockedField>false</o:LockedField>
          </o:OLEObject>
        </w:object>
      </w:r>
    </w:p>
    <w:p>
      <w:pPr>
        <w:pStyle w:val="9"/>
        <w:rPr>
          <w:rFonts w:hint="default" w:eastAsia="宋体"/>
          <w:lang w:val="en-US" w:eastAsia="zh-CN"/>
        </w:rPr>
      </w:pPr>
      <w:r>
        <w:rPr>
          <w:rFonts w:hint="eastAsia"/>
          <w:lang w:eastAsia="zh-CN"/>
        </w:rPr>
        <w:t>式中：</w:t>
      </w:r>
      <w:r>
        <w:rPr>
          <w:rFonts w:hint="eastAsia" w:eastAsia="宋体"/>
          <w:position w:val="-12"/>
          <w:lang w:eastAsia="zh-CN"/>
        </w:rPr>
        <w:object>
          <v:shape id="_x0000_i1037" o:spt="75" type="#_x0000_t75" style="height:18pt;width:12pt;" o:ole="t" filled="f" o:preferrelative="t" stroked="f" coordsize="21600,21600">
            <v:path/>
            <v:fill on="f" focussize="0,0"/>
            <v:stroke on="f"/>
            <v:imagedata r:id="rId51" o:title=""/>
            <o:lock v:ext="edit" grouping="f" rotation="f" text="f" aspectratio="t"/>
            <w10:wrap type="none"/>
            <w10:anchorlock/>
          </v:shape>
          <o:OLEObject Type="Embed" ProgID="Equation.KSEE3" ShapeID="_x0000_i1037" DrawAspect="Content" ObjectID="_1468075737" r:id="rId50">
            <o:LockedField>false</o:LockedField>
          </o:OLEObject>
        </w:object>
      </w:r>
      <w:r>
        <w:rPr>
          <w:rFonts w:hint="eastAsia"/>
          <w:lang w:eastAsia="zh-CN"/>
        </w:rPr>
        <w:t>——第</w:t>
      </w:r>
      <w:r>
        <w:rPr>
          <w:rFonts w:hint="eastAsia"/>
          <w:lang w:val="en-US" w:eastAsia="zh-CN"/>
        </w:rPr>
        <w:t>i个水质因子的标准指数，无量纲；</w:t>
      </w:r>
    </w:p>
    <w:p>
      <w:pPr>
        <w:pStyle w:val="9"/>
        <w:rPr>
          <w:rFonts w:hint="default" w:eastAsia="宋体"/>
          <w:lang w:val="en-US" w:eastAsia="zh-CN"/>
        </w:rPr>
      </w:pPr>
      <w:r>
        <w:rPr>
          <w:rFonts w:hint="eastAsia"/>
          <w:lang w:val="en-US" w:eastAsia="zh-CN"/>
        </w:rPr>
        <w:t xml:space="preserve">      </w:t>
      </w:r>
      <w:r>
        <w:rPr>
          <w:rFonts w:hint="eastAsia" w:eastAsia="宋体"/>
          <w:position w:val="-12"/>
          <w:lang w:eastAsia="zh-CN"/>
        </w:rPr>
        <w:object>
          <v:shape id="_x0000_i1038" o:spt="75" type="#_x0000_t75" style="height:18pt;width:13.95pt;" o:ole="t" filled="f" o:preferrelative="t" stroked="f" coordsize="21600,21600">
            <v:path/>
            <v:fill on="f" focussize="0,0"/>
            <v:stroke on="f"/>
            <v:imagedata r:id="rId53" o:title=""/>
            <o:lock v:ext="edit" grouping="f" rotation="f" text="f" aspectratio="t"/>
            <w10:wrap type="none"/>
            <w10:anchorlock/>
          </v:shape>
          <o:OLEObject Type="Embed" ProgID="Equation.KSEE3" ShapeID="_x0000_i1038" DrawAspect="Content" ObjectID="_1468075738" r:id="rId52">
            <o:LockedField>false</o:LockedField>
          </o:OLEObject>
        </w:object>
      </w:r>
      <w:r>
        <w:rPr>
          <w:rFonts w:hint="eastAsia"/>
          <w:lang w:eastAsia="zh-CN"/>
        </w:rPr>
        <w:t>——第</w:t>
      </w:r>
      <w:r>
        <w:rPr>
          <w:rFonts w:hint="eastAsia"/>
          <w:lang w:val="en-US" w:eastAsia="zh-CN"/>
        </w:rPr>
        <w:t>i个水质因子的监测浓度值，mg/L；</w:t>
      </w:r>
    </w:p>
    <w:p>
      <w:pPr>
        <w:pStyle w:val="9"/>
        <w:ind w:firstLine="960" w:firstLineChars="400"/>
        <w:rPr>
          <w:rFonts w:hint="eastAsia"/>
        </w:rPr>
      </w:pPr>
      <w:r>
        <w:rPr>
          <w:rFonts w:hint="eastAsia"/>
          <w:lang w:val="en-US" w:eastAsia="zh-CN"/>
        </w:rPr>
        <w:t xml:space="preserve"> </w:t>
      </w:r>
      <w:r>
        <w:rPr>
          <w:rFonts w:hint="eastAsia" w:eastAsia="宋体"/>
          <w:position w:val="-12"/>
          <w:lang w:eastAsia="zh-CN"/>
        </w:rPr>
        <w:object>
          <v:shape id="_x0000_i1039" o:spt="75" type="#_x0000_t75" style="height:18pt;width:17pt;" o:ole="t" filled="f" o:preferrelative="t" stroked="f" coordsize="21600,21600">
            <v:path/>
            <v:fill on="f" focussize="0,0"/>
            <v:stroke on="f"/>
            <v:imagedata r:id="rId55" o:title=""/>
            <o:lock v:ext="edit" grouping="f" rotation="f" text="f" aspectratio="t"/>
            <w10:wrap type="none"/>
            <w10:anchorlock/>
          </v:shape>
          <o:OLEObject Type="Embed" ProgID="Equation.KSEE3" ShapeID="_x0000_i1039" DrawAspect="Content" ObjectID="_1468075739" r:id="rId54">
            <o:LockedField>false</o:LockedField>
          </o:OLEObject>
        </w:object>
      </w:r>
      <w:r>
        <w:rPr>
          <w:rFonts w:hint="eastAsia"/>
          <w:lang w:eastAsia="zh-CN"/>
        </w:rPr>
        <w:t>——第</w:t>
      </w:r>
      <w:r>
        <w:rPr>
          <w:rFonts w:hint="eastAsia"/>
          <w:lang w:val="en-US" w:eastAsia="zh-CN"/>
        </w:rPr>
        <w:t>i个水质因子的标准浓度值，mg/L。</w:t>
      </w:r>
    </w:p>
    <w:p>
      <w:pPr>
        <w:pStyle w:val="9"/>
        <w:keepNext w:val="0"/>
        <w:keepLines w:val="0"/>
        <w:pageBreakBefore w:val="0"/>
        <w:widowControl w:val="0"/>
        <w:kinsoku/>
        <w:wordWrap/>
        <w:overflowPunct/>
        <w:bidi w:val="0"/>
        <w:textAlignment w:val="auto"/>
        <w:rPr>
          <w:rFonts w:hint="eastAsia"/>
        </w:rPr>
      </w:pPr>
      <w:r>
        <w:rPr>
          <w:rFonts w:hint="eastAsia"/>
        </w:rPr>
        <w:t>pH值的标准指数为：</w:t>
      </w:r>
    </w:p>
    <w:p>
      <w:pPr>
        <w:keepNext w:val="0"/>
        <w:keepLines w:val="0"/>
        <w:pageBreakBefore w:val="0"/>
        <w:widowControl w:val="0"/>
        <w:kinsoku/>
        <w:wordWrap/>
        <w:overflowPunct/>
        <w:topLinePunct/>
        <w:bidi w:val="0"/>
        <w:adjustRightInd w:val="0"/>
        <w:snapToGrid w:val="0"/>
        <w:spacing w:line="360" w:lineRule="auto"/>
        <w:ind w:firstLine="480" w:firstLineChars="200"/>
        <w:jc w:val="center"/>
        <w:textAlignment w:val="auto"/>
        <w:rPr>
          <w:sz w:val="24"/>
        </w:rPr>
      </w:pPr>
      <w:r>
        <w:rPr>
          <w:position w:val="-30"/>
          <w:sz w:val="24"/>
        </w:rPr>
        <w:object>
          <v:shape id="_x0000_i1040" o:spt="75" type="#_x0000_t75" style="height:36pt;width:96pt;" o:ole="t" filled="f" stroked="f" coordsize="21600,21600">
            <v:path/>
            <v:fill on="f" focussize="0,0"/>
            <v:stroke on="f"/>
            <v:imagedata r:id="rId57" o:title=""/>
            <o:lock v:ext="edit" grouping="f" rotation="f" text="f" aspectratio="t"/>
            <w10:wrap type="none"/>
            <w10:anchorlock/>
          </v:shape>
          <o:OLEObject Type="Embed" ProgID="Equation.3" ShapeID="_x0000_i1040" DrawAspect="Content" ObjectID="_1468075740" r:id="rId56">
            <o:LockedField>false</o:LockedField>
          </o:OLEObject>
        </w:object>
      </w:r>
      <w:r>
        <w:rPr>
          <w:sz w:val="24"/>
        </w:rPr>
        <w:t xml:space="preserve">        </w:t>
      </w:r>
      <w:r>
        <w:rPr>
          <w:rFonts w:hint="eastAsia"/>
          <w:sz w:val="24"/>
          <w:lang w:val="en-US" w:eastAsia="zh-CN"/>
        </w:rPr>
        <w:t xml:space="preserve">   </w:t>
      </w:r>
      <w:r>
        <w:rPr>
          <w:sz w:val="24"/>
        </w:rPr>
        <w:t xml:space="preserve">  </w:t>
      </w:r>
      <w:r>
        <w:rPr>
          <w:position w:val="-14"/>
          <w:sz w:val="24"/>
        </w:rPr>
        <w:object>
          <v:shape id="_x0000_i1041" o:spt="75" type="#_x0000_t75" style="height:19pt;width:54pt;" o:ole="t" filled="f" o:preferrelative="t" stroked="f" coordsize="21600,21600">
            <v:path/>
            <v:fill on="f" focussize="0,0"/>
            <v:stroke on="f"/>
            <v:imagedata r:id="rId59" o:title=""/>
            <o:lock v:ext="edit" grouping="f" rotation="f" text="f" aspectratio="t"/>
            <w10:wrap type="none"/>
            <w10:anchorlock/>
          </v:shape>
          <o:OLEObject Type="Embed" ProgID="Equation.3" ShapeID="_x0000_i1041" DrawAspect="Content" ObjectID="_1468075741" r:id="rId58">
            <o:LockedField>false</o:LockedField>
          </o:OLEObject>
        </w:object>
      </w:r>
    </w:p>
    <w:p>
      <w:pPr>
        <w:pStyle w:val="9"/>
        <w:keepNext w:val="0"/>
        <w:keepLines w:val="0"/>
        <w:pageBreakBefore w:val="0"/>
        <w:widowControl w:val="0"/>
        <w:kinsoku/>
        <w:wordWrap/>
        <w:overflowPunct/>
        <w:bidi w:val="0"/>
        <w:ind w:left="0" w:leftChars="0" w:firstLine="480" w:firstLineChars="200"/>
        <w:jc w:val="center"/>
        <w:textAlignment w:val="auto"/>
        <w:rPr>
          <w:rFonts w:hint="eastAsia"/>
        </w:rPr>
      </w:pPr>
      <w:r>
        <w:rPr>
          <w:rFonts w:hint="eastAsia"/>
          <w:position w:val="-30"/>
          <w:sz w:val="24"/>
          <w:lang w:val="en-US" w:eastAsia="zh-CN"/>
        </w:rPr>
        <w:t xml:space="preserve">    </w:t>
      </w:r>
      <w:r>
        <w:rPr>
          <w:position w:val="-30"/>
          <w:sz w:val="24"/>
        </w:rPr>
        <w:object>
          <v:shape id="_x0000_i1042" o:spt="75" type="#_x0000_t75" style="height:36pt;width:242.2pt;" o:ole="t" filled="f" o:preferrelative="t" stroked="f" coordsize="21600,21600">
            <v:path/>
            <v:fill on="f" focussize="0,0"/>
            <v:stroke on="f"/>
            <v:imagedata r:id="rId61" o:title=""/>
            <o:lock v:ext="edit" grouping="f" rotation="f" text="f" aspectratio="t"/>
            <w10:wrap type="none"/>
            <w10:anchorlock/>
          </v:shape>
          <o:OLEObject Type="Embed" ProgID="Equation.3" ShapeID="_x0000_i1042" DrawAspect="Content" ObjectID="_1468075742" r:id="rId60">
            <o:LockedField>false</o:LockedField>
          </o:OLEObject>
        </w:object>
      </w:r>
    </w:p>
    <w:p>
      <w:pPr>
        <w:pStyle w:val="9"/>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lang w:val="en-US" w:eastAsia="zh-CN"/>
        </w:rPr>
      </w:pPr>
      <w:r>
        <w:rPr>
          <w:rFonts w:hint="eastAsia"/>
          <w:lang w:val="en-US" w:eastAsia="zh-CN"/>
        </w:rPr>
        <w:t>式中：P</w:t>
      </w:r>
      <w:r>
        <w:rPr>
          <w:rFonts w:hint="eastAsia"/>
          <w:vertAlign w:val="subscript"/>
          <w:lang w:val="en-US" w:eastAsia="zh-CN"/>
        </w:rPr>
        <w:t>pH</w:t>
      </w:r>
      <w:r>
        <w:rPr>
          <w:rFonts w:hint="eastAsia"/>
          <w:lang w:eastAsia="zh-CN"/>
        </w:rPr>
        <w:t>——</w:t>
      </w:r>
      <w:r>
        <w:rPr>
          <w:rFonts w:hint="eastAsia"/>
          <w:lang w:val="en-US" w:eastAsia="zh-CN"/>
        </w:rPr>
        <w:t>pH的标准指数，无量纲；</w:t>
      </w:r>
    </w:p>
    <w:p>
      <w:pPr>
        <w:pStyle w:val="9"/>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default"/>
          <w:lang w:val="en-US" w:eastAsia="zh-CN"/>
        </w:rPr>
      </w:pPr>
      <w:r>
        <w:rPr>
          <w:rFonts w:hint="eastAsia"/>
          <w:lang w:val="en-US" w:eastAsia="zh-CN"/>
        </w:rPr>
        <w:t xml:space="preserve">      pH</w:t>
      </w:r>
      <w:r>
        <w:rPr>
          <w:rFonts w:hint="eastAsia"/>
          <w:lang w:eastAsia="zh-CN"/>
        </w:rPr>
        <w:t>——</w:t>
      </w:r>
      <w:r>
        <w:rPr>
          <w:rFonts w:hint="eastAsia"/>
          <w:lang w:val="en-US" w:eastAsia="zh-CN"/>
        </w:rPr>
        <w:t>pH的监测值；</w:t>
      </w:r>
    </w:p>
    <w:p>
      <w:pPr>
        <w:pStyle w:val="9"/>
        <w:keepNext w:val="0"/>
        <w:keepLines w:val="0"/>
        <w:pageBreakBefore w:val="0"/>
        <w:widowControl w:val="0"/>
        <w:kinsoku/>
        <w:wordWrap/>
        <w:overflowPunct/>
        <w:topLinePunct w:val="0"/>
        <w:autoSpaceDE w:val="0"/>
        <w:autoSpaceDN w:val="0"/>
        <w:bidi w:val="0"/>
        <w:adjustRightInd/>
        <w:snapToGrid/>
        <w:ind w:left="0" w:leftChars="0" w:firstLine="1200" w:firstLineChars="500"/>
        <w:textAlignment w:val="auto"/>
        <w:rPr>
          <w:rFonts w:hint="eastAsia"/>
          <w:lang w:val="en-US" w:eastAsia="zh-CN"/>
        </w:rPr>
      </w:pPr>
      <w:r>
        <w:rPr>
          <w:rFonts w:hint="eastAsia"/>
          <w:lang w:val="en-US" w:eastAsia="zh-CN"/>
        </w:rPr>
        <w:t>pH</w:t>
      </w:r>
      <w:r>
        <w:rPr>
          <w:rFonts w:hint="eastAsia"/>
          <w:vertAlign w:val="subscript"/>
          <w:lang w:val="en-US" w:eastAsia="zh-CN"/>
        </w:rPr>
        <w:t>su</w:t>
      </w:r>
      <w:r>
        <w:rPr>
          <w:rFonts w:hint="eastAsia"/>
          <w:lang w:eastAsia="zh-CN"/>
        </w:rPr>
        <w:t>——</w:t>
      </w:r>
      <w:r>
        <w:rPr>
          <w:rFonts w:hint="eastAsia"/>
          <w:lang w:val="en-US" w:eastAsia="zh-CN"/>
        </w:rPr>
        <w:t>标准中pH的上限值；</w:t>
      </w:r>
    </w:p>
    <w:p>
      <w:pPr>
        <w:pStyle w:val="9"/>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lang w:val="en-US" w:eastAsia="zh-CN"/>
        </w:rPr>
      </w:pPr>
      <w:r>
        <w:rPr>
          <w:rFonts w:hint="eastAsia"/>
          <w:lang w:val="en-US" w:eastAsia="zh-CN"/>
        </w:rPr>
        <w:t xml:space="preserve">      pH</w:t>
      </w:r>
      <w:r>
        <w:rPr>
          <w:rFonts w:hint="eastAsia"/>
          <w:vertAlign w:val="subscript"/>
          <w:lang w:val="en-US" w:eastAsia="zh-CN"/>
        </w:rPr>
        <w:t>sd</w:t>
      </w:r>
      <w:r>
        <w:rPr>
          <w:rFonts w:hint="eastAsia"/>
          <w:lang w:eastAsia="zh-CN"/>
        </w:rPr>
        <w:t>——</w:t>
      </w:r>
      <w:r>
        <w:rPr>
          <w:rFonts w:hint="eastAsia"/>
          <w:lang w:val="en-US" w:eastAsia="zh-CN"/>
        </w:rPr>
        <w:t>标准中pH的下限值。</w:t>
      </w:r>
    </w:p>
    <w:p>
      <w:pPr>
        <w:pStyle w:val="9"/>
        <w:rPr>
          <w:rFonts w:hint="eastAsia"/>
        </w:rPr>
      </w:pPr>
      <w:r>
        <w:rPr>
          <w:rFonts w:hint="eastAsia"/>
          <w:lang w:val="en-US" w:eastAsia="zh-CN"/>
        </w:rPr>
        <w:t>水质参数的标准指数＞1，表明该水质参数超过了规定的水质标准限值，水质参数的标准指数越大，表明该水质参数超标越严重。</w:t>
      </w:r>
    </w:p>
    <w:p>
      <w:pPr>
        <w:pStyle w:val="5"/>
        <w:ind w:firstLine="562"/>
      </w:pPr>
      <w:r>
        <w:rPr>
          <w:rFonts w:hint="eastAsia"/>
          <w:lang w:eastAsia="zh-CN"/>
        </w:rPr>
        <w:t xml:space="preserve">监测结果与评价 </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b/>
          <w:bCs/>
          <w:sz w:val="21"/>
          <w:szCs w:val="21"/>
          <w:lang w:val="en-US" w:eastAsia="zh-CN"/>
        </w:rPr>
      </w:pPr>
      <w:r>
        <w:rPr>
          <w:rFonts w:hint="eastAsia"/>
          <w:b/>
          <w:bCs/>
          <w:sz w:val="21"/>
          <w:szCs w:val="21"/>
        </w:rPr>
        <w:t>表</w:t>
      </w:r>
      <w:r>
        <w:rPr>
          <w:rFonts w:hint="eastAsia"/>
          <w:b/>
          <w:bCs/>
          <w:sz w:val="21"/>
          <w:szCs w:val="21"/>
          <w:lang w:val="en-US" w:eastAsia="zh-CN"/>
        </w:rPr>
        <w:t>4.3-3   地下水水质水位监测结果一览表</w:t>
      </w:r>
    </w:p>
    <w:tbl>
      <w:tblPr>
        <w:tblStyle w:val="63"/>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561"/>
        <w:gridCol w:w="1056"/>
        <w:gridCol w:w="1116"/>
        <w:gridCol w:w="1296"/>
        <w:gridCol w:w="1380"/>
        <w:gridCol w:w="895"/>
        <w:gridCol w:w="121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监测项目</w:t>
            </w:r>
          </w:p>
        </w:tc>
        <w:tc>
          <w:tcPr>
            <w:tcW w:w="1056" w:type="dxa"/>
            <w:tcBorders>
              <w:bottom w:val="single" w:color="auto" w:sz="12" w:space="0"/>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eastAsia="zh-CN"/>
              </w:rPr>
              <w:t>项目南侧</w:t>
            </w:r>
            <w:r>
              <w:rPr>
                <w:rFonts w:hint="default" w:ascii="Times New Roman" w:hAnsi="Times New Roman" w:eastAsia="宋体" w:cs="Times New Roman"/>
                <w:sz w:val="21"/>
                <w:szCs w:val="21"/>
                <w:lang w:val="en-US" w:eastAsia="zh-CN"/>
              </w:rPr>
              <w:t>500米处</w:t>
            </w:r>
          </w:p>
        </w:tc>
        <w:tc>
          <w:tcPr>
            <w:tcW w:w="1116" w:type="dxa"/>
            <w:tcBorders>
              <w:bottom w:val="single" w:color="auto" w:sz="12" w:space="0"/>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eastAsia="zh-CN"/>
              </w:rPr>
              <w:t>项目所在地</w:t>
            </w:r>
          </w:p>
        </w:tc>
        <w:tc>
          <w:tcPr>
            <w:tcW w:w="1296" w:type="dxa"/>
            <w:tcBorders>
              <w:bottom w:val="single" w:color="auto" w:sz="12" w:space="0"/>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上塅（</w:t>
            </w:r>
            <w:r>
              <w:rPr>
                <w:rFonts w:hint="default" w:ascii="Times New Roman" w:hAnsi="Times New Roman" w:eastAsia="宋体" w:cs="Times New Roman"/>
                <w:sz w:val="21"/>
                <w:szCs w:val="21"/>
                <w:lang w:eastAsia="zh-CN"/>
              </w:rPr>
              <w:t>项目北侧</w:t>
            </w:r>
            <w:r>
              <w:rPr>
                <w:rFonts w:hint="default" w:ascii="Times New Roman" w:hAnsi="Times New Roman" w:eastAsia="宋体" w:cs="Times New Roman"/>
                <w:sz w:val="21"/>
                <w:szCs w:val="21"/>
                <w:lang w:val="en-US" w:eastAsia="zh-CN"/>
              </w:rPr>
              <w:t>490米处）</w:t>
            </w:r>
          </w:p>
        </w:tc>
        <w:tc>
          <w:tcPr>
            <w:tcW w:w="1380" w:type="dxa"/>
            <w:tcBorders>
              <w:bottom w:val="single" w:color="auto" w:sz="12" w:space="0"/>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水北方</w:t>
            </w:r>
            <w:r>
              <w:rPr>
                <w:rFonts w:hint="default" w:ascii="Times New Roman" w:hAnsi="Times New Roman" w:eastAsia="宋体" w:cs="Times New Roman"/>
                <w:sz w:val="21"/>
                <w:szCs w:val="21"/>
                <w:lang w:eastAsia="zh-CN"/>
              </w:rPr>
              <w:t>（项目</w:t>
            </w:r>
            <w:r>
              <w:rPr>
                <w:rFonts w:hint="default" w:ascii="Times New Roman" w:hAnsi="Times New Roman" w:eastAsia="宋体" w:cs="Times New Roman"/>
                <w:sz w:val="21"/>
                <w:szCs w:val="21"/>
                <w:lang w:val="en-US" w:eastAsia="zh-CN"/>
              </w:rPr>
              <w:t>西</w:t>
            </w:r>
            <w:r>
              <w:rPr>
                <w:rFonts w:hint="default" w:ascii="Times New Roman" w:hAnsi="Times New Roman" w:eastAsia="宋体" w:cs="Times New Roman"/>
                <w:sz w:val="21"/>
                <w:szCs w:val="21"/>
                <w:lang w:eastAsia="zh-CN"/>
              </w:rPr>
              <w:t>南侧</w:t>
            </w:r>
            <w:r>
              <w:rPr>
                <w:rFonts w:hint="default" w:ascii="Times New Roman" w:hAnsi="Times New Roman" w:eastAsia="宋体" w:cs="Times New Roman"/>
                <w:sz w:val="21"/>
                <w:szCs w:val="21"/>
                <w:lang w:val="en-US" w:eastAsia="zh-CN"/>
              </w:rPr>
              <w:t>900米</w:t>
            </w:r>
            <w:r>
              <w:rPr>
                <w:rFonts w:hint="default" w:ascii="Times New Roman" w:hAnsi="Times New Roman" w:eastAsia="宋体" w:cs="Times New Roman"/>
                <w:sz w:val="21"/>
                <w:szCs w:val="21"/>
                <w:lang w:eastAsia="zh-CN"/>
              </w:rPr>
              <w:t>）</w:t>
            </w:r>
          </w:p>
        </w:tc>
        <w:tc>
          <w:tcPr>
            <w:tcW w:w="895" w:type="dxa"/>
            <w:tcBorders>
              <w:bottom w:val="single" w:color="auto" w:sz="12" w:space="0"/>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eastAsia="zh-CN"/>
              </w:rPr>
              <w:t>项目西</w:t>
            </w:r>
            <w:r>
              <w:rPr>
                <w:rFonts w:hint="default" w:ascii="Times New Roman" w:hAnsi="Times New Roman" w:eastAsia="宋体" w:cs="Times New Roman"/>
                <w:sz w:val="21"/>
                <w:szCs w:val="21"/>
                <w:lang w:val="en-US" w:eastAsia="zh-CN"/>
              </w:rPr>
              <w:t>侧310米</w:t>
            </w:r>
          </w:p>
        </w:tc>
        <w:tc>
          <w:tcPr>
            <w:tcW w:w="1218" w:type="dxa"/>
            <w:tcBorders>
              <w:bottom w:val="single" w:color="auto" w:sz="12" w:space="0"/>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彭屋</w:t>
            </w:r>
            <w:r>
              <w:rPr>
                <w:rFonts w:hint="default" w:ascii="Times New Roman" w:hAnsi="Times New Roman" w:eastAsia="宋体" w:cs="Times New Roman"/>
                <w:sz w:val="21"/>
                <w:szCs w:val="21"/>
                <w:lang w:eastAsia="zh-CN"/>
              </w:rPr>
              <w:t>（项目北</w:t>
            </w:r>
            <w:r>
              <w:rPr>
                <w:rFonts w:hint="default" w:ascii="Times New Roman" w:hAnsi="Times New Roman" w:eastAsia="宋体" w:cs="Times New Roman"/>
                <w:sz w:val="21"/>
                <w:szCs w:val="21"/>
                <w:lang w:val="en-US" w:eastAsia="zh-CN"/>
              </w:rPr>
              <w:t>侧450米</w:t>
            </w:r>
            <w:r>
              <w:rPr>
                <w:rFonts w:hint="default" w:ascii="Times New Roman" w:hAnsi="Times New Roman" w:eastAsia="宋体" w:cs="Times New Roman"/>
                <w:sz w:val="21"/>
                <w:szCs w:val="21"/>
                <w:lang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1561" w:type="dxa"/>
            <w:tcBorders>
              <w:top w:val="single" w:color="auto" w:sz="12" w:space="0"/>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水位</w:t>
            </w:r>
          </w:p>
        </w:tc>
        <w:tc>
          <w:tcPr>
            <w:tcW w:w="1056" w:type="dxa"/>
            <w:tcBorders>
              <w:top w:val="single" w:color="auto" w:sz="12" w:space="0"/>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4.5</w:t>
            </w:r>
          </w:p>
        </w:tc>
        <w:tc>
          <w:tcPr>
            <w:tcW w:w="1116" w:type="dxa"/>
            <w:tcBorders>
              <w:top w:val="single" w:color="auto" w:sz="12" w:space="0"/>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4.7</w:t>
            </w:r>
          </w:p>
        </w:tc>
        <w:tc>
          <w:tcPr>
            <w:tcW w:w="1296" w:type="dxa"/>
            <w:tcBorders>
              <w:top w:val="single" w:color="auto" w:sz="12" w:space="0"/>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5.0</w:t>
            </w:r>
          </w:p>
        </w:tc>
        <w:tc>
          <w:tcPr>
            <w:tcW w:w="1380" w:type="dxa"/>
            <w:tcBorders>
              <w:top w:val="single" w:color="auto" w:sz="12" w:space="0"/>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4.2</w:t>
            </w:r>
          </w:p>
        </w:tc>
        <w:tc>
          <w:tcPr>
            <w:tcW w:w="895" w:type="dxa"/>
            <w:tcBorders>
              <w:top w:val="single" w:color="auto" w:sz="12" w:space="0"/>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3.7</w:t>
            </w:r>
          </w:p>
        </w:tc>
        <w:tc>
          <w:tcPr>
            <w:tcW w:w="1218" w:type="dxa"/>
            <w:tcBorders>
              <w:top w:val="single" w:color="auto" w:sz="12" w:space="0"/>
              <w:tl2br w:val="nil"/>
              <w:tr2bl w:val="nil"/>
            </w:tcBorders>
            <w:noWrap w:val="0"/>
            <w:vAlign w:val="center"/>
          </w:tcPr>
          <w:p>
            <w:pPr>
              <w:adjustRightInd w:val="0"/>
              <w:snapToGrid w:val="0"/>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4.6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rPr>
              <w:t>pH</w:t>
            </w:r>
            <w:r>
              <w:rPr>
                <w:rFonts w:hint="default" w:ascii="Times New Roman" w:hAnsi="Times New Roman" w:eastAsia="宋体" w:cs="Times New Roman"/>
                <w:color w:val="000000"/>
                <w:sz w:val="21"/>
                <w:szCs w:val="21"/>
                <w:lang w:val="en-US" w:eastAsia="zh-CN"/>
              </w:rPr>
              <w:t>值</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6.61</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lang w:val="en-US"/>
              </w:rPr>
            </w:pPr>
            <w:r>
              <w:rPr>
                <w:rFonts w:hint="eastAsia" w:cs="Times New Roman"/>
                <w:sz w:val="21"/>
                <w:szCs w:val="21"/>
                <w:lang w:val="en-US" w:eastAsia="zh-CN"/>
              </w:rPr>
              <w:t>6.55</w:t>
            </w:r>
          </w:p>
        </w:tc>
        <w:tc>
          <w:tcPr>
            <w:tcW w:w="1296" w:type="dxa"/>
            <w:tcBorders>
              <w:tl2br w:val="nil"/>
              <w:tr2bl w:val="nil"/>
            </w:tcBorders>
            <w:noWrap w:val="0"/>
            <w:vAlign w:val="center"/>
          </w:tcPr>
          <w:p>
            <w:pPr>
              <w:adjustRightInd w:val="0"/>
              <w:snapToGrid w:val="0"/>
              <w:ind w:right="-105" w:rightChars="-50"/>
              <w:jc w:val="center"/>
              <w:rPr>
                <w:rFonts w:hint="default" w:ascii="Times New Roman" w:hAnsi="Times New Roman" w:eastAsia="宋体" w:cs="Times New Roman"/>
                <w:sz w:val="21"/>
                <w:szCs w:val="21"/>
                <w:vertAlign w:val="baseline"/>
                <w:lang w:val="en-US"/>
              </w:rPr>
            </w:pPr>
            <w:r>
              <w:rPr>
                <w:rFonts w:hint="eastAsia" w:cs="Times New Roman"/>
                <w:sz w:val="21"/>
                <w:szCs w:val="21"/>
                <w:lang w:val="en-US" w:eastAsia="zh-CN"/>
              </w:rPr>
              <w:t>6.59</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总硬度</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18.8</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20.3</w:t>
            </w:r>
          </w:p>
        </w:tc>
        <w:tc>
          <w:tcPr>
            <w:tcW w:w="1296" w:type="dxa"/>
            <w:tcBorders>
              <w:tl2br w:val="nil"/>
              <w:tr2bl w:val="nil"/>
            </w:tcBorders>
            <w:noWrap w:val="0"/>
            <w:vAlign w:val="center"/>
          </w:tcPr>
          <w:p>
            <w:pPr>
              <w:adjustRightInd w:val="0"/>
              <w:snapToGrid w:val="0"/>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25.8</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溶解性总固体</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266</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335</w:t>
            </w:r>
          </w:p>
        </w:tc>
        <w:tc>
          <w:tcPr>
            <w:tcW w:w="1296" w:type="dxa"/>
            <w:tcBorders>
              <w:tl2br w:val="nil"/>
              <w:tr2bl w:val="nil"/>
            </w:tcBorders>
            <w:noWrap w:val="0"/>
            <w:vAlign w:val="center"/>
          </w:tcPr>
          <w:p>
            <w:pPr>
              <w:adjustRightInd w:val="0"/>
              <w:snapToGrid w:val="0"/>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173</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氨氮</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0.342</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0.119</w:t>
            </w:r>
          </w:p>
        </w:tc>
        <w:tc>
          <w:tcPr>
            <w:tcW w:w="1296" w:type="dxa"/>
            <w:tcBorders>
              <w:tl2br w:val="nil"/>
              <w:tr2bl w:val="nil"/>
            </w:tcBorders>
            <w:noWrap w:val="0"/>
            <w:vAlign w:val="center"/>
          </w:tcPr>
          <w:p>
            <w:pPr>
              <w:adjustRightInd w:val="0"/>
              <w:snapToGrid w:val="0"/>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0.202</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耗氧量</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1.2</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1.7</w:t>
            </w:r>
          </w:p>
        </w:tc>
        <w:tc>
          <w:tcPr>
            <w:tcW w:w="1296" w:type="dxa"/>
            <w:tcBorders>
              <w:tl2br w:val="nil"/>
              <w:tr2bl w:val="nil"/>
            </w:tcBorders>
            <w:noWrap w:val="0"/>
            <w:vAlign w:val="center"/>
          </w:tcPr>
          <w:p>
            <w:pPr>
              <w:adjustRightInd w:val="0"/>
              <w:snapToGrid w:val="0"/>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1.8</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硝酸盐</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0.492</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0.433</w:t>
            </w:r>
          </w:p>
        </w:tc>
        <w:tc>
          <w:tcPr>
            <w:tcW w:w="1296" w:type="dxa"/>
            <w:tcBorders>
              <w:tl2br w:val="nil"/>
              <w:tr2bl w:val="nil"/>
            </w:tcBorders>
            <w:noWrap w:val="0"/>
            <w:vAlign w:val="center"/>
          </w:tcPr>
          <w:p>
            <w:pPr>
              <w:adjustRightInd w:val="0"/>
              <w:snapToGrid w:val="0"/>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0.505</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亚硝酸盐</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r>
              <w:rPr>
                <w:rFonts w:hint="default" w:ascii="Times New Roman" w:hAnsi="Times New Roman" w:eastAsia="宋体" w:cs="Times New Roman"/>
                <w:sz w:val="21"/>
                <w:szCs w:val="21"/>
                <w:vertAlign w:val="subscript"/>
                <w:lang w:val="en-US" w:eastAsia="zh-CN"/>
              </w:rPr>
              <w:t>L</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r>
              <w:rPr>
                <w:rFonts w:hint="default" w:ascii="Times New Roman" w:hAnsi="Times New Roman" w:eastAsia="宋体" w:cs="Times New Roman"/>
                <w:sz w:val="21"/>
                <w:szCs w:val="21"/>
                <w:vertAlign w:val="subscript"/>
                <w:lang w:val="en-US" w:eastAsia="zh-CN"/>
              </w:rPr>
              <w:t>L</w:t>
            </w:r>
          </w:p>
        </w:tc>
        <w:tc>
          <w:tcPr>
            <w:tcW w:w="1296" w:type="dxa"/>
            <w:tcBorders>
              <w:tl2br w:val="nil"/>
              <w:tr2bl w:val="nil"/>
            </w:tcBorders>
            <w:noWrap w:val="0"/>
            <w:vAlign w:val="center"/>
          </w:tcPr>
          <w:p>
            <w:pPr>
              <w:adjustRightInd w:val="0"/>
              <w:snapToGrid w:val="0"/>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r>
              <w:rPr>
                <w:rFonts w:hint="default" w:ascii="Times New Roman" w:hAnsi="Times New Roman" w:eastAsia="宋体" w:cs="Times New Roman"/>
                <w:sz w:val="21"/>
                <w:szCs w:val="21"/>
                <w:vertAlign w:val="subscript"/>
                <w:lang w:val="en-US" w:eastAsia="zh-CN"/>
              </w:rPr>
              <w:t>L</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硫酸盐</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2.77</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2.47</w:t>
            </w:r>
          </w:p>
        </w:tc>
        <w:tc>
          <w:tcPr>
            <w:tcW w:w="1296" w:type="dxa"/>
            <w:tcBorders>
              <w:tl2br w:val="nil"/>
              <w:tr2bl w:val="nil"/>
            </w:tcBorders>
            <w:noWrap w:val="0"/>
            <w:vAlign w:val="center"/>
          </w:tcPr>
          <w:p>
            <w:pPr>
              <w:adjustRightInd w:val="0"/>
              <w:snapToGrid w:val="0"/>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2.68</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氟化物</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0.201</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0.182</w:t>
            </w:r>
          </w:p>
        </w:tc>
        <w:tc>
          <w:tcPr>
            <w:tcW w:w="1296" w:type="dxa"/>
            <w:tcBorders>
              <w:tl2br w:val="nil"/>
              <w:tr2bl w:val="nil"/>
            </w:tcBorders>
            <w:noWrap w:val="0"/>
            <w:vAlign w:val="center"/>
          </w:tcPr>
          <w:p>
            <w:pPr>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0.170</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val="en-US" w:eastAsia="zh-CN"/>
              </w:rPr>
              <w:t>氰化物</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r>
              <w:rPr>
                <w:rFonts w:hint="default" w:ascii="Times New Roman" w:hAnsi="Times New Roman" w:eastAsia="宋体" w:cs="Times New Roman"/>
                <w:sz w:val="21"/>
                <w:szCs w:val="21"/>
                <w:vertAlign w:val="subscript"/>
                <w:lang w:val="en-US" w:eastAsia="zh-CN"/>
              </w:rPr>
              <w:t>L</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r>
              <w:rPr>
                <w:rFonts w:hint="default" w:ascii="Times New Roman" w:hAnsi="Times New Roman" w:eastAsia="宋体" w:cs="Times New Roman"/>
                <w:sz w:val="21"/>
                <w:szCs w:val="21"/>
                <w:vertAlign w:val="subscript"/>
                <w:lang w:val="en-US" w:eastAsia="zh-CN"/>
              </w:rPr>
              <w:t>L</w:t>
            </w:r>
          </w:p>
        </w:tc>
        <w:tc>
          <w:tcPr>
            <w:tcW w:w="129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r>
              <w:rPr>
                <w:rFonts w:hint="default" w:ascii="Times New Roman" w:hAnsi="Times New Roman" w:eastAsia="宋体" w:cs="Times New Roman"/>
                <w:sz w:val="21"/>
                <w:szCs w:val="21"/>
                <w:vertAlign w:val="subscript"/>
                <w:lang w:val="en-US" w:eastAsia="zh-CN"/>
              </w:rPr>
              <w:t>L</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氯化物</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0.319</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0.334</w:t>
            </w:r>
          </w:p>
        </w:tc>
        <w:tc>
          <w:tcPr>
            <w:tcW w:w="129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0.336</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铁</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0.15</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0.17</w:t>
            </w:r>
          </w:p>
        </w:tc>
        <w:tc>
          <w:tcPr>
            <w:tcW w:w="129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0.18</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锰</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0.01</w:t>
            </w:r>
            <w:r>
              <w:rPr>
                <w:rFonts w:hint="default" w:ascii="Times New Roman" w:hAnsi="Times New Roman" w:eastAsia="宋体" w:cs="Times New Roman"/>
                <w:sz w:val="21"/>
                <w:szCs w:val="21"/>
                <w:vertAlign w:val="subscript"/>
                <w:lang w:val="en-US" w:eastAsia="zh-CN"/>
              </w:rPr>
              <w:t>L</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0.01</w:t>
            </w:r>
            <w:r>
              <w:rPr>
                <w:rFonts w:hint="default" w:ascii="Times New Roman" w:hAnsi="Times New Roman" w:eastAsia="宋体" w:cs="Times New Roman"/>
                <w:sz w:val="21"/>
                <w:szCs w:val="21"/>
                <w:vertAlign w:val="subscript"/>
                <w:lang w:val="en-US" w:eastAsia="zh-CN"/>
              </w:rPr>
              <w:t>L</w:t>
            </w:r>
          </w:p>
        </w:tc>
        <w:tc>
          <w:tcPr>
            <w:tcW w:w="1296" w:type="dxa"/>
            <w:tcBorders>
              <w:tl2br w:val="nil"/>
              <w:tr2bl w:val="nil"/>
            </w:tcBorders>
            <w:noWrap w:val="0"/>
            <w:vAlign w:val="center"/>
          </w:tcPr>
          <w:p>
            <w:pPr>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0.01</w:t>
            </w:r>
            <w:r>
              <w:rPr>
                <w:rFonts w:hint="default" w:ascii="Times New Roman" w:hAnsi="Times New Roman" w:eastAsia="宋体" w:cs="Times New Roman"/>
                <w:sz w:val="21"/>
                <w:szCs w:val="21"/>
                <w:vertAlign w:val="subscript"/>
                <w:lang w:val="en-US" w:eastAsia="zh-CN"/>
              </w:rPr>
              <w:t>L</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硫化物</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0.005</w:t>
            </w:r>
            <w:r>
              <w:rPr>
                <w:rFonts w:hint="default" w:ascii="Times New Roman" w:hAnsi="Times New Roman" w:eastAsia="宋体" w:cs="Times New Roman"/>
                <w:sz w:val="21"/>
                <w:szCs w:val="21"/>
                <w:vertAlign w:val="subscript"/>
                <w:lang w:val="en-US" w:eastAsia="zh-CN"/>
              </w:rPr>
              <w:t>L</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0.005</w:t>
            </w:r>
            <w:r>
              <w:rPr>
                <w:rFonts w:hint="default" w:ascii="Times New Roman" w:hAnsi="Times New Roman" w:eastAsia="宋体" w:cs="Times New Roman"/>
                <w:sz w:val="21"/>
                <w:szCs w:val="21"/>
                <w:vertAlign w:val="subscript"/>
                <w:lang w:val="en-US" w:eastAsia="zh-CN"/>
              </w:rPr>
              <w:t>L</w:t>
            </w:r>
          </w:p>
        </w:tc>
        <w:tc>
          <w:tcPr>
            <w:tcW w:w="1296" w:type="dxa"/>
            <w:tcBorders>
              <w:tl2br w:val="nil"/>
              <w:tr2bl w:val="nil"/>
            </w:tcBorders>
            <w:noWrap w:val="0"/>
            <w:vAlign w:val="center"/>
          </w:tcPr>
          <w:p>
            <w:pPr>
              <w:adjustRightInd w:val="0"/>
              <w:snapToGrid w:val="0"/>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0.005</w:t>
            </w:r>
            <w:r>
              <w:rPr>
                <w:rFonts w:hint="default" w:ascii="Times New Roman" w:hAnsi="Times New Roman" w:eastAsia="宋体" w:cs="Times New Roman"/>
                <w:sz w:val="21"/>
                <w:szCs w:val="21"/>
                <w:vertAlign w:val="subscript"/>
                <w:lang w:val="en-US" w:eastAsia="zh-CN"/>
              </w:rPr>
              <w:t>L</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砷</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0.0003</w:t>
            </w:r>
            <w:r>
              <w:rPr>
                <w:rFonts w:hint="default" w:ascii="Times New Roman" w:hAnsi="Times New Roman" w:eastAsia="宋体" w:cs="Times New Roman"/>
                <w:sz w:val="21"/>
                <w:szCs w:val="21"/>
                <w:vertAlign w:val="subscript"/>
                <w:lang w:val="en-US" w:eastAsia="zh-CN"/>
              </w:rPr>
              <w:t>L</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0.0003</w:t>
            </w:r>
            <w:r>
              <w:rPr>
                <w:rFonts w:hint="default" w:ascii="Times New Roman" w:hAnsi="Times New Roman" w:eastAsia="宋体" w:cs="Times New Roman"/>
                <w:sz w:val="21"/>
                <w:szCs w:val="21"/>
                <w:vertAlign w:val="subscript"/>
                <w:lang w:val="en-US" w:eastAsia="zh-CN"/>
              </w:rPr>
              <w:t>L</w:t>
            </w:r>
          </w:p>
        </w:tc>
        <w:tc>
          <w:tcPr>
            <w:tcW w:w="1296" w:type="dxa"/>
            <w:tcBorders>
              <w:tl2br w:val="nil"/>
              <w:tr2bl w:val="nil"/>
            </w:tcBorders>
            <w:noWrap w:val="0"/>
            <w:vAlign w:val="center"/>
          </w:tcPr>
          <w:p>
            <w:pPr>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0.0003</w:t>
            </w:r>
            <w:r>
              <w:rPr>
                <w:rFonts w:hint="default" w:ascii="Times New Roman" w:hAnsi="Times New Roman" w:eastAsia="宋体" w:cs="Times New Roman"/>
                <w:sz w:val="21"/>
                <w:szCs w:val="21"/>
                <w:vertAlign w:val="subscript"/>
                <w:lang w:val="en-US" w:eastAsia="zh-CN"/>
              </w:rPr>
              <w:t>L</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铅</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r>
              <w:rPr>
                <w:rFonts w:hint="default" w:ascii="Times New Roman" w:hAnsi="Times New Roman" w:eastAsia="宋体" w:cs="Times New Roman"/>
                <w:sz w:val="21"/>
                <w:szCs w:val="21"/>
                <w:vertAlign w:val="subscript"/>
                <w:lang w:val="en-US" w:eastAsia="zh-CN"/>
              </w:rPr>
              <w:t>L</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r>
              <w:rPr>
                <w:rFonts w:hint="default" w:ascii="Times New Roman" w:hAnsi="Times New Roman" w:eastAsia="宋体" w:cs="Times New Roman"/>
                <w:sz w:val="21"/>
                <w:szCs w:val="21"/>
                <w:vertAlign w:val="subscript"/>
                <w:lang w:val="en-US" w:eastAsia="zh-CN"/>
              </w:rPr>
              <w:t>L</w:t>
            </w:r>
          </w:p>
        </w:tc>
        <w:tc>
          <w:tcPr>
            <w:tcW w:w="1296" w:type="dxa"/>
            <w:tcBorders>
              <w:tl2br w:val="nil"/>
              <w:tr2bl w:val="nil"/>
            </w:tcBorders>
            <w:noWrap w:val="0"/>
            <w:vAlign w:val="center"/>
          </w:tcPr>
          <w:p>
            <w:pPr>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r>
              <w:rPr>
                <w:rFonts w:hint="default" w:ascii="Times New Roman" w:hAnsi="Times New Roman" w:eastAsia="宋体" w:cs="Times New Roman"/>
                <w:sz w:val="21"/>
                <w:szCs w:val="21"/>
                <w:vertAlign w:val="subscript"/>
                <w:lang w:val="en-US" w:eastAsia="zh-CN"/>
              </w:rPr>
              <w:t>L</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汞</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0.00003</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0.00001</w:t>
            </w:r>
            <w:r>
              <w:rPr>
                <w:rFonts w:hint="default" w:ascii="Times New Roman" w:hAnsi="Times New Roman" w:eastAsia="宋体" w:cs="Times New Roman"/>
                <w:sz w:val="21"/>
                <w:szCs w:val="21"/>
                <w:vertAlign w:val="subscript"/>
                <w:lang w:val="en-US" w:eastAsia="zh-CN"/>
              </w:rPr>
              <w:t>L</w:t>
            </w:r>
          </w:p>
        </w:tc>
        <w:tc>
          <w:tcPr>
            <w:tcW w:w="1296" w:type="dxa"/>
            <w:tcBorders>
              <w:tl2br w:val="nil"/>
              <w:tr2bl w:val="nil"/>
            </w:tcBorders>
            <w:noWrap w:val="0"/>
            <w:vAlign w:val="center"/>
          </w:tcPr>
          <w:p>
            <w:pPr>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0.00001</w:t>
            </w:r>
            <w:r>
              <w:rPr>
                <w:rFonts w:hint="default" w:ascii="Times New Roman" w:hAnsi="Times New Roman" w:eastAsia="宋体" w:cs="Times New Roman"/>
                <w:sz w:val="21"/>
                <w:szCs w:val="21"/>
                <w:vertAlign w:val="subscript"/>
                <w:lang w:val="en-US" w:eastAsia="zh-CN"/>
              </w:rPr>
              <w:t>L</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镉</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0.0001</w:t>
            </w:r>
            <w:r>
              <w:rPr>
                <w:rFonts w:hint="default" w:ascii="Times New Roman" w:hAnsi="Times New Roman" w:eastAsia="宋体" w:cs="Times New Roman"/>
                <w:sz w:val="21"/>
                <w:szCs w:val="21"/>
                <w:vertAlign w:val="subscript"/>
                <w:lang w:val="en-US" w:eastAsia="zh-CN"/>
              </w:rPr>
              <w:t>L</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0.0001</w:t>
            </w:r>
            <w:r>
              <w:rPr>
                <w:rFonts w:hint="default" w:ascii="Times New Roman" w:hAnsi="Times New Roman" w:eastAsia="宋体" w:cs="Times New Roman"/>
                <w:sz w:val="21"/>
                <w:szCs w:val="21"/>
                <w:vertAlign w:val="subscript"/>
                <w:lang w:val="en-US" w:eastAsia="zh-CN"/>
              </w:rPr>
              <w:t>L</w:t>
            </w:r>
          </w:p>
        </w:tc>
        <w:tc>
          <w:tcPr>
            <w:tcW w:w="1296" w:type="dxa"/>
            <w:tcBorders>
              <w:tl2br w:val="nil"/>
              <w:tr2bl w:val="nil"/>
            </w:tcBorders>
            <w:noWrap w:val="0"/>
            <w:vAlign w:val="center"/>
          </w:tcPr>
          <w:p>
            <w:pPr>
              <w:adjustRightInd w:val="0"/>
              <w:snapToGrid w:val="0"/>
              <w:ind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0.0001</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六价铬</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0.004</w:t>
            </w:r>
            <w:r>
              <w:rPr>
                <w:rFonts w:hint="default" w:ascii="Times New Roman" w:hAnsi="Times New Roman" w:eastAsia="宋体" w:cs="Times New Roman"/>
                <w:sz w:val="21"/>
                <w:szCs w:val="21"/>
                <w:vertAlign w:val="subscript"/>
                <w:lang w:val="en-US" w:eastAsia="zh-CN"/>
              </w:rPr>
              <w:t>L</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0.004</w:t>
            </w:r>
            <w:r>
              <w:rPr>
                <w:rFonts w:hint="default" w:ascii="Times New Roman" w:hAnsi="Times New Roman" w:eastAsia="宋体" w:cs="Times New Roman"/>
                <w:sz w:val="21"/>
                <w:szCs w:val="21"/>
                <w:vertAlign w:val="subscript"/>
                <w:lang w:val="en-US" w:eastAsia="zh-CN"/>
              </w:rPr>
              <w:t>L</w:t>
            </w:r>
          </w:p>
        </w:tc>
        <w:tc>
          <w:tcPr>
            <w:tcW w:w="129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0.004</w:t>
            </w:r>
            <w:r>
              <w:rPr>
                <w:rFonts w:hint="default" w:ascii="Times New Roman" w:hAnsi="Times New Roman" w:eastAsia="宋体" w:cs="Times New Roman"/>
                <w:sz w:val="21"/>
                <w:szCs w:val="21"/>
                <w:vertAlign w:val="subscript"/>
                <w:lang w:val="en-US" w:eastAsia="zh-CN"/>
              </w:rPr>
              <w:t>L</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挥发酚</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0.0012</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0.0011</w:t>
            </w:r>
          </w:p>
        </w:tc>
        <w:tc>
          <w:tcPr>
            <w:tcW w:w="129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0.0011</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总大肠菌群（个</w:t>
            </w:r>
            <w:r>
              <w:rPr>
                <w:rFonts w:hint="default" w:ascii="Times New Roman" w:hAnsi="Times New Roman" w:eastAsia="宋体" w:cs="Times New Roman"/>
                <w:color w:val="000000"/>
                <w:sz w:val="21"/>
                <w:szCs w:val="21"/>
                <w:lang w:val="en-US" w:eastAsia="zh-CN"/>
              </w:rPr>
              <w:t>/L</w:t>
            </w:r>
            <w:r>
              <w:rPr>
                <w:rFonts w:hint="default" w:ascii="Times New Roman" w:hAnsi="Times New Roman" w:eastAsia="宋体" w:cs="Times New Roman"/>
                <w:color w:val="000000"/>
                <w:sz w:val="21"/>
                <w:szCs w:val="21"/>
                <w:lang w:eastAsia="zh-CN"/>
              </w:rPr>
              <w:t>）</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w:t>
            </w:r>
          </w:p>
        </w:tc>
        <w:tc>
          <w:tcPr>
            <w:tcW w:w="129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000000"/>
                <w:sz w:val="21"/>
                <w:szCs w:val="21"/>
                <w:lang w:eastAsia="zh-CN"/>
              </w:rPr>
            </w:pPr>
            <w:r>
              <w:rPr>
                <w:rFonts w:hint="default" w:ascii="Times New Roman" w:hAnsi="Times New Roman" w:eastAsia="宋体" w:cs="Times New Roman"/>
                <w:color w:val="000000"/>
                <w:sz w:val="21"/>
                <w:szCs w:val="21"/>
                <w:lang w:eastAsia="zh-CN"/>
              </w:rPr>
              <w:t>细菌总数</w:t>
            </w:r>
          </w:p>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rPr>
              <w:t>(个/m</w:t>
            </w:r>
            <w:r>
              <w:rPr>
                <w:rFonts w:hint="default" w:ascii="Times New Roman" w:hAnsi="Times New Roman" w:eastAsia="宋体" w:cs="Times New Roman"/>
                <w:color w:val="000000"/>
                <w:sz w:val="21"/>
                <w:szCs w:val="21"/>
                <w:lang w:val="en-US" w:eastAsia="zh-CN"/>
              </w:rPr>
              <w:t>L</w:t>
            </w:r>
            <w:r>
              <w:rPr>
                <w:rFonts w:hint="default" w:ascii="Times New Roman" w:hAnsi="Times New Roman" w:eastAsia="宋体" w:cs="Times New Roman"/>
                <w:color w:val="000000"/>
                <w:sz w:val="21"/>
                <w:szCs w:val="21"/>
              </w:rPr>
              <w:t>)</w:t>
            </w:r>
          </w:p>
        </w:tc>
        <w:tc>
          <w:tcPr>
            <w:tcW w:w="105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95</w:t>
            </w:r>
          </w:p>
        </w:tc>
        <w:tc>
          <w:tcPr>
            <w:tcW w:w="111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88</w:t>
            </w:r>
          </w:p>
        </w:tc>
        <w:tc>
          <w:tcPr>
            <w:tcW w:w="1296" w:type="dxa"/>
            <w:tcBorders>
              <w:tl2br w:val="nil"/>
              <w:tr2bl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52</w:t>
            </w:r>
          </w:p>
        </w:tc>
        <w:tc>
          <w:tcPr>
            <w:tcW w:w="1380"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895"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c>
          <w:tcPr>
            <w:tcW w:w="1218" w:type="dxa"/>
            <w:tcBorders>
              <w:tl2br w:val="nil"/>
              <w:tr2bl w:val="nil"/>
            </w:tcBorders>
            <w:noWrap w:val="0"/>
            <w:textDirection w:val="lrTbV"/>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561" w:type="dxa"/>
            <w:tcBorders>
              <w:tl2br w:val="nil"/>
              <w:tr2bl w:val="nil"/>
            </w:tcBorders>
            <w:noWrap w:val="0"/>
            <w:vAlign w:val="center"/>
          </w:tcPr>
          <w:p>
            <w:pPr>
              <w:keepNext w:val="0"/>
              <w:keepLines w:val="0"/>
              <w:pageBreakBefore w:val="0"/>
              <w:widowControl w:val="0"/>
              <w:kinsoku/>
              <w:wordWrap/>
              <w:overflowPunct/>
              <w:topLinePunct w:val="0"/>
              <w:bidi w:val="0"/>
              <w:adjustRightInd w:val="0"/>
              <w:snapToGrid w:val="0"/>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color w:val="000000"/>
                <w:sz w:val="21"/>
                <w:szCs w:val="21"/>
                <w:lang w:val="en-US" w:eastAsia="zh-CN"/>
              </w:rPr>
            </w:pPr>
            <w:r>
              <w:rPr>
                <w:rFonts w:hint="default" w:ascii="Times New Roman" w:hAnsi="Times New Roman" w:eastAsia="宋体" w:cs="Times New Roman"/>
                <w:color w:val="000000"/>
                <w:sz w:val="21"/>
                <w:szCs w:val="21"/>
                <w:lang w:val="en-US" w:eastAsia="zh-CN"/>
              </w:rPr>
              <w:t>备注</w:t>
            </w:r>
          </w:p>
        </w:tc>
        <w:tc>
          <w:tcPr>
            <w:tcW w:w="6961" w:type="dxa"/>
            <w:gridSpan w:val="6"/>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rPr>
              <w:t>L表示低于方法检出限。</w:t>
            </w:r>
          </w:p>
        </w:tc>
      </w:tr>
    </w:tbl>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b/>
          <w:bCs/>
          <w:sz w:val="21"/>
          <w:szCs w:val="21"/>
          <w:lang w:val="en-US" w:eastAsia="zh-CN"/>
        </w:rPr>
      </w:pPr>
      <w:r>
        <w:rPr>
          <w:rFonts w:hint="eastAsia"/>
          <w:b/>
          <w:bCs/>
          <w:sz w:val="21"/>
          <w:szCs w:val="21"/>
        </w:rPr>
        <w:t>表</w:t>
      </w:r>
      <w:r>
        <w:rPr>
          <w:rFonts w:hint="eastAsia"/>
          <w:b/>
          <w:bCs/>
          <w:sz w:val="21"/>
          <w:szCs w:val="21"/>
          <w:lang w:val="en-US" w:eastAsia="zh-CN"/>
        </w:rPr>
        <w:t>4.3-3   地下水水质评价指数一览表</w:t>
      </w: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31"/>
        <w:gridCol w:w="2154"/>
        <w:gridCol w:w="1656"/>
        <w:gridCol w:w="25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top w:val="single" w:color="auto" w:sz="12" w:space="0"/>
              <w:left w:val="nil"/>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监测项目</w:t>
            </w:r>
          </w:p>
        </w:tc>
        <w:tc>
          <w:tcPr>
            <w:tcW w:w="2154" w:type="dxa"/>
            <w:tcBorders>
              <w:top w:val="single" w:color="auto" w:sz="12" w:space="0"/>
              <w:bottom w:val="single" w:color="auto" w:sz="12" w:space="0"/>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eastAsia="zh-CN"/>
              </w:rPr>
              <w:t>项目南侧</w:t>
            </w:r>
            <w:r>
              <w:rPr>
                <w:rFonts w:hint="default" w:ascii="Times New Roman" w:hAnsi="Times New Roman" w:eastAsia="宋体" w:cs="Times New Roman"/>
                <w:sz w:val="21"/>
                <w:szCs w:val="21"/>
                <w:lang w:val="en-US" w:eastAsia="zh-CN"/>
              </w:rPr>
              <w:t>500米处</w:t>
            </w:r>
          </w:p>
        </w:tc>
        <w:tc>
          <w:tcPr>
            <w:tcW w:w="1656" w:type="dxa"/>
            <w:tcBorders>
              <w:top w:val="single" w:color="auto" w:sz="12" w:space="0"/>
              <w:bottom w:val="single" w:color="auto" w:sz="12" w:space="0"/>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eastAsia="zh-CN"/>
              </w:rPr>
              <w:t>项目所在地</w:t>
            </w:r>
          </w:p>
        </w:tc>
        <w:tc>
          <w:tcPr>
            <w:tcW w:w="2581" w:type="dxa"/>
            <w:tcBorders>
              <w:top w:val="single" w:color="auto" w:sz="12" w:space="0"/>
              <w:bottom w:val="single" w:color="auto" w:sz="12" w:space="0"/>
              <w:righ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上塅（</w:t>
            </w:r>
            <w:r>
              <w:rPr>
                <w:rFonts w:hint="default" w:ascii="Times New Roman" w:hAnsi="Times New Roman" w:eastAsia="宋体" w:cs="Times New Roman"/>
                <w:sz w:val="21"/>
                <w:szCs w:val="21"/>
                <w:lang w:eastAsia="zh-CN"/>
              </w:rPr>
              <w:t>项目北侧</w:t>
            </w:r>
            <w:r>
              <w:rPr>
                <w:rFonts w:hint="default" w:ascii="Times New Roman" w:hAnsi="Times New Roman" w:eastAsia="宋体" w:cs="Times New Roman"/>
                <w:sz w:val="21"/>
                <w:szCs w:val="21"/>
                <w:lang w:val="en-US" w:eastAsia="zh-CN"/>
              </w:rPr>
              <w:t>490米处）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top w:val="single" w:color="auto" w:sz="12" w:space="0"/>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rPr>
              <w:t>pH值</w:t>
            </w:r>
          </w:p>
        </w:tc>
        <w:tc>
          <w:tcPr>
            <w:tcW w:w="2154" w:type="dxa"/>
            <w:tcBorders>
              <w:top w:val="single" w:color="auto" w:sz="12" w:space="0"/>
            </w:tcBorders>
            <w:noWrap w:val="0"/>
            <w:vAlign w:val="center"/>
          </w:tcPr>
          <w:p>
            <w:pPr>
              <w:adjustRightInd w:val="0"/>
              <w:snapToGrid w:val="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0.78</w:t>
            </w:r>
          </w:p>
        </w:tc>
        <w:tc>
          <w:tcPr>
            <w:tcW w:w="1656" w:type="dxa"/>
            <w:tcBorders>
              <w:top w:val="single" w:color="auto" w:sz="12" w:space="0"/>
            </w:tcBorders>
            <w:shd w:val="clear" w:color="auto" w:fill="auto"/>
            <w:noWrap w:val="0"/>
            <w:vAlign w:val="center"/>
          </w:tcPr>
          <w:p>
            <w:pPr>
              <w:adjustRightInd w:val="0"/>
              <w:snapToGrid w:val="0"/>
              <w:jc w:val="center"/>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0.9</w:t>
            </w:r>
          </w:p>
        </w:tc>
        <w:tc>
          <w:tcPr>
            <w:tcW w:w="2581" w:type="dxa"/>
            <w:tcBorders>
              <w:top w:val="single" w:color="auto" w:sz="12" w:space="0"/>
              <w:bottom w:val="single" w:color="auto" w:sz="4" w:space="0"/>
              <w:right w:val="nil"/>
            </w:tcBorders>
            <w:shd w:val="clear" w:color="auto" w:fill="auto"/>
            <w:noWrap w:val="0"/>
            <w:vAlign w:val="center"/>
          </w:tcPr>
          <w:p>
            <w:pPr>
              <w:adjustRightInd w:val="0"/>
              <w:snapToGrid w:val="0"/>
              <w:ind w:right="-105" w:rightChars="-50"/>
              <w:jc w:val="center"/>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0.82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总硬度</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0.042</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0.045</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溶解性总固体</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0.266</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0.335</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0.173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氨氮</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0.684</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0.238</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0.404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耗氧量</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0.4</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0.567</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硝酸盐</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0.002</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0.002</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亚硝酸盐</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0.001</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0.001</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硫酸盐</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0.011</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0.01</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氟化物</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0.201</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0.182</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val="en-US" w:eastAsia="zh-CN"/>
              </w:rPr>
              <w:t>氰化物</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0.02</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0.02</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氯化物</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0.001</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0.001</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铁</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0.5</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0.567</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锰</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0.1</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0.1</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硫化物</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0.25</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0.25</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砷</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0.3</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0.3</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铅</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0.1</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0.1</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汞</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0.03</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0.01</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镉</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0.02</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0.02</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六价铬</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0.08</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0.08</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挥发酚</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0.6</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0.55</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总大肠菌群（个</w:t>
            </w:r>
            <w:r>
              <w:rPr>
                <w:rFonts w:hint="default" w:ascii="Times New Roman" w:hAnsi="Times New Roman" w:eastAsia="宋体" w:cs="Times New Roman"/>
                <w:color w:val="000000"/>
                <w:sz w:val="21"/>
                <w:szCs w:val="21"/>
                <w:lang w:val="en-US" w:eastAsia="zh-CN"/>
              </w:rPr>
              <w:t>/L</w:t>
            </w:r>
            <w:r>
              <w:rPr>
                <w:rFonts w:hint="default" w:ascii="Times New Roman" w:hAnsi="Times New Roman" w:eastAsia="宋体" w:cs="Times New Roman"/>
                <w:color w:val="000000"/>
                <w:sz w:val="21"/>
                <w:szCs w:val="21"/>
                <w:lang w:eastAsia="zh-CN"/>
              </w:rPr>
              <w:t>）</w:t>
            </w:r>
          </w:p>
        </w:tc>
        <w:tc>
          <w:tcPr>
            <w:tcW w:w="2154"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0.667</w:t>
            </w:r>
          </w:p>
        </w:tc>
        <w:tc>
          <w:tcPr>
            <w:tcW w:w="1656"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0.667</w:t>
            </w:r>
          </w:p>
        </w:tc>
        <w:tc>
          <w:tcPr>
            <w:tcW w:w="2581" w:type="dxa"/>
            <w:tcBorders>
              <w:top w:val="single" w:color="auto" w:sz="4" w:space="0"/>
              <w:bottom w:val="single" w:color="auto" w:sz="4"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0.667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1" w:type="dxa"/>
            <w:tcBorders>
              <w:left w:val="nil"/>
              <w:bottom w:val="single" w:color="auto" w:sz="12" w:space="0"/>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lang w:eastAsia="zh-CN"/>
              </w:rPr>
              <w:t>细菌总数</w:t>
            </w:r>
            <w:r>
              <w:rPr>
                <w:rFonts w:hint="default" w:ascii="Times New Roman" w:hAnsi="Times New Roman" w:eastAsia="宋体" w:cs="Times New Roman"/>
                <w:color w:val="000000"/>
                <w:sz w:val="21"/>
                <w:szCs w:val="21"/>
              </w:rPr>
              <w:t>(个/m</w:t>
            </w:r>
            <w:r>
              <w:rPr>
                <w:rFonts w:hint="default" w:ascii="Times New Roman" w:hAnsi="Times New Roman" w:eastAsia="宋体" w:cs="Times New Roman"/>
                <w:color w:val="000000"/>
                <w:sz w:val="21"/>
                <w:szCs w:val="21"/>
                <w:lang w:val="en-US" w:eastAsia="zh-CN"/>
              </w:rPr>
              <w:t>L</w:t>
            </w:r>
            <w:r>
              <w:rPr>
                <w:rFonts w:hint="default" w:ascii="Times New Roman" w:hAnsi="Times New Roman" w:eastAsia="宋体" w:cs="Times New Roman"/>
                <w:color w:val="000000"/>
                <w:sz w:val="21"/>
                <w:szCs w:val="21"/>
              </w:rPr>
              <w:t>)</w:t>
            </w:r>
          </w:p>
        </w:tc>
        <w:tc>
          <w:tcPr>
            <w:tcW w:w="2154" w:type="dxa"/>
            <w:tcBorders>
              <w:bottom w:val="single" w:color="auto" w:sz="12" w:space="0"/>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0.95</w:t>
            </w:r>
          </w:p>
        </w:tc>
        <w:tc>
          <w:tcPr>
            <w:tcW w:w="1656" w:type="dxa"/>
            <w:tcBorders>
              <w:bottom w:val="single" w:color="auto" w:sz="12" w:space="0"/>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0.88</w:t>
            </w:r>
          </w:p>
        </w:tc>
        <w:tc>
          <w:tcPr>
            <w:tcW w:w="2581" w:type="dxa"/>
            <w:tcBorders>
              <w:top w:val="single" w:color="auto" w:sz="4" w:space="0"/>
              <w:bottom w:val="single" w:color="auto" w:sz="12"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0.52</w:t>
            </w:r>
          </w:p>
        </w:tc>
      </w:tr>
    </w:tbl>
    <w:p>
      <w:pPr>
        <w:pStyle w:val="9"/>
        <w:keepNext w:val="0"/>
        <w:keepLines w:val="0"/>
        <w:pageBreakBefore w:val="0"/>
        <w:widowControl w:val="0"/>
        <w:kinsoku/>
        <w:wordWrap/>
        <w:overflowPunct/>
        <w:topLinePunct w:val="0"/>
        <w:autoSpaceDE w:val="0"/>
        <w:autoSpaceDN w:val="0"/>
        <w:bidi w:val="0"/>
        <w:adjustRightInd/>
        <w:snapToGrid/>
        <w:spacing w:line="360" w:lineRule="auto"/>
        <w:ind w:left="0" w:leftChars="0" w:right="0" w:rightChars="0" w:firstLine="480" w:firstLineChars="200"/>
        <w:jc w:val="left"/>
        <w:textAlignment w:val="auto"/>
        <w:outlineLvl w:val="9"/>
        <w:rPr>
          <w:rFonts w:hint="eastAsia"/>
        </w:rPr>
      </w:pPr>
      <w:r>
        <w:rPr>
          <w:rFonts w:hint="eastAsia"/>
          <w:b w:val="0"/>
          <w:bCs w:val="0"/>
          <w:color w:val="auto"/>
          <w:sz w:val="24"/>
          <w:szCs w:val="24"/>
          <w:lang w:eastAsia="zh-CN"/>
        </w:rPr>
        <w:t>根据上表可知，本项目评价范围内监测点位监测因子均可满足《地下水质量标准》（</w:t>
      </w:r>
      <w:r>
        <w:rPr>
          <w:rFonts w:hint="eastAsia"/>
          <w:b w:val="0"/>
          <w:bCs w:val="0"/>
          <w:color w:val="auto"/>
          <w:sz w:val="24"/>
          <w:szCs w:val="24"/>
          <w:lang w:val="en-US" w:eastAsia="zh-CN"/>
        </w:rPr>
        <w:t>GB/T14848-2017）中</w:t>
      </w:r>
      <w:r>
        <w:rPr>
          <w:rFonts w:hint="eastAsia" w:ascii="Times New Roman" w:hAnsi="Times New Roman" w:eastAsia="宋体" w:cs="Times New Roman"/>
          <w:b w:val="0"/>
          <w:bCs w:val="0"/>
          <w:color w:val="auto"/>
          <w:sz w:val="24"/>
          <w:szCs w:val="24"/>
          <w:vertAlign w:val="baseline"/>
          <w:lang w:eastAsia="zh-CN"/>
        </w:rPr>
        <w:t>Ⅲ类</w:t>
      </w:r>
      <w:r>
        <w:rPr>
          <w:rFonts w:hint="eastAsia" w:cs="Times New Roman"/>
          <w:b w:val="0"/>
          <w:bCs w:val="0"/>
          <w:color w:val="auto"/>
          <w:sz w:val="24"/>
          <w:szCs w:val="24"/>
          <w:vertAlign w:val="baseline"/>
          <w:lang w:eastAsia="zh-CN"/>
        </w:rPr>
        <w:t>水质标准，项目区域地下水水质现状良好。</w:t>
      </w:r>
    </w:p>
    <w:p>
      <w:pPr>
        <w:pStyle w:val="4"/>
      </w:pPr>
      <w:bookmarkStart w:id="46" w:name="_Toc2676"/>
      <w:r>
        <w:t>环境空气质量现状调查与评价</w:t>
      </w:r>
      <w:bookmarkEnd w:id="46"/>
    </w:p>
    <w:p>
      <w:pPr>
        <w:pStyle w:val="5"/>
        <w:ind w:firstLine="562"/>
      </w:pPr>
      <w:r>
        <w:rPr>
          <w:rFonts w:hint="eastAsia"/>
          <w:lang w:eastAsia="zh-CN"/>
        </w:rPr>
        <w:t xml:space="preserve">项目所在区域环境质量达标情况 </w:t>
      </w:r>
    </w:p>
    <w:p>
      <w:pPr>
        <w:pStyle w:val="9"/>
        <w:rPr>
          <w:rFonts w:hint="default" w:ascii="Times New Roman" w:hAnsi="Times New Roman" w:eastAsia="宋体" w:cs="Times New Roman"/>
          <w:lang w:eastAsia="zh-CN"/>
        </w:rPr>
      </w:pPr>
      <w:r>
        <w:rPr>
          <w:rFonts w:hint="eastAsia"/>
          <w:lang w:eastAsia="zh-CN"/>
        </w:rPr>
        <w:t>根据韶关市生态环境局（http://epb.sg.gov.cn</w:t>
      </w:r>
      <w:r>
        <w:rPr>
          <w:rFonts w:hint="eastAsia"/>
          <w:lang w:val="en-US" w:eastAsia="zh-CN"/>
        </w:rPr>
        <w:t>/</w:t>
      </w:r>
      <w:r>
        <w:rPr>
          <w:rFonts w:hint="eastAsia"/>
          <w:lang w:eastAsia="zh-CN"/>
        </w:rPr>
        <w:t>）</w:t>
      </w:r>
      <w:r>
        <w:rPr>
          <w:rFonts w:hint="eastAsia"/>
          <w:lang w:val="en-US" w:eastAsia="zh-CN"/>
        </w:rPr>
        <w:t>2019年5月发布的《2018年韶关市环境状况公报》：</w:t>
      </w:r>
      <w:r>
        <w:rPr>
          <w:rFonts w:hint="default" w:ascii="Times New Roman" w:hAnsi="Times New Roman" w:eastAsia="宋体" w:cs="Times New Roman"/>
          <w:lang w:eastAsia="zh-CN"/>
        </w:rPr>
        <w:t>各县市的环境质量：</w:t>
      </w:r>
      <w:r>
        <w:rPr>
          <w:rFonts w:hint="default" w:ascii="Times New Roman" w:hAnsi="Times New Roman" w:eastAsia="宋体" w:cs="Times New Roman"/>
          <w:sz w:val="24"/>
          <w:szCs w:val="24"/>
        </w:rPr>
        <w:t>二氧化硫（SO</w:t>
      </w:r>
      <w:r>
        <w:rPr>
          <w:rFonts w:hint="default" w:ascii="Times New Roman" w:hAnsi="Times New Roman" w:eastAsia="宋体" w:cs="Times New Roman"/>
          <w:sz w:val="24"/>
          <w:szCs w:val="24"/>
          <w:vertAlign w:val="subscript"/>
        </w:rPr>
        <w:t>2</w:t>
      </w:r>
      <w:r>
        <w:rPr>
          <w:rFonts w:hint="default" w:ascii="Times New Roman" w:hAnsi="Times New Roman" w:eastAsia="宋体" w:cs="Times New Roman"/>
          <w:sz w:val="24"/>
          <w:szCs w:val="24"/>
        </w:rPr>
        <w:t>）年平均浓度值范围在7～16μg/m</w:t>
      </w:r>
      <w:r>
        <w:rPr>
          <w:rFonts w:hint="default" w:ascii="Times New Roman" w:hAnsi="Times New Roman" w:eastAsia="宋体" w:cs="Times New Roman"/>
          <w:sz w:val="24"/>
          <w:szCs w:val="24"/>
          <w:vertAlign w:val="superscript"/>
        </w:rPr>
        <w:t>3</w:t>
      </w:r>
      <w:r>
        <w:rPr>
          <w:rFonts w:hint="default" w:ascii="Times New Roman" w:hAnsi="Times New Roman" w:eastAsia="宋体" w:cs="Times New Roman"/>
          <w:sz w:val="24"/>
          <w:szCs w:val="24"/>
        </w:rPr>
        <w:t>之间，均达到国家环境空 气质量一级标准（20μg/m</w:t>
      </w:r>
      <w:r>
        <w:rPr>
          <w:rFonts w:hint="default" w:ascii="Times New Roman" w:hAnsi="Times New Roman" w:eastAsia="宋体" w:cs="Times New Roman"/>
          <w:sz w:val="24"/>
          <w:szCs w:val="24"/>
          <w:vertAlign w:val="superscript"/>
        </w:rPr>
        <w:t>3</w:t>
      </w:r>
      <w:r>
        <w:rPr>
          <w:rFonts w:hint="default" w:ascii="Times New Roman" w:hAnsi="Times New Roman" w:eastAsia="宋体" w:cs="Times New Roman"/>
          <w:sz w:val="24"/>
          <w:szCs w:val="24"/>
        </w:rPr>
        <w:t>）。二氧化氮（NO</w:t>
      </w:r>
      <w:r>
        <w:rPr>
          <w:rFonts w:hint="default" w:ascii="Times New Roman" w:hAnsi="Times New Roman" w:eastAsia="宋体" w:cs="Times New Roman"/>
          <w:sz w:val="24"/>
          <w:szCs w:val="24"/>
          <w:vertAlign w:val="subscript"/>
        </w:rPr>
        <w:t>2</w:t>
      </w:r>
      <w:r>
        <w:rPr>
          <w:rFonts w:hint="default" w:ascii="Times New Roman" w:hAnsi="Times New Roman" w:eastAsia="宋体" w:cs="Times New Roman"/>
          <w:sz w:val="24"/>
          <w:szCs w:val="24"/>
        </w:rPr>
        <w:t>）年平均浓度值范围在14～21μg/m</w:t>
      </w:r>
      <w:r>
        <w:rPr>
          <w:rFonts w:hint="default" w:ascii="Times New Roman" w:hAnsi="Times New Roman" w:eastAsia="宋体" w:cs="Times New Roman"/>
          <w:sz w:val="24"/>
          <w:szCs w:val="24"/>
          <w:vertAlign w:val="superscript"/>
        </w:rPr>
        <w:t>3</w:t>
      </w:r>
      <w:r>
        <w:rPr>
          <w:rFonts w:hint="default" w:ascii="Times New Roman" w:hAnsi="Times New Roman" w:eastAsia="宋体" w:cs="Times New Roman"/>
          <w:sz w:val="24"/>
          <w:szCs w:val="24"/>
        </w:rPr>
        <w:t>之间，均达到国家环境 空气质量一级标准（40μg/m</w:t>
      </w:r>
      <w:r>
        <w:rPr>
          <w:rFonts w:hint="default" w:ascii="Times New Roman" w:hAnsi="Times New Roman" w:eastAsia="宋体" w:cs="Times New Roman"/>
          <w:sz w:val="24"/>
          <w:szCs w:val="24"/>
          <w:vertAlign w:val="superscript"/>
        </w:rPr>
        <w:t>3</w:t>
      </w:r>
      <w:r>
        <w:rPr>
          <w:rFonts w:hint="default" w:ascii="Times New Roman" w:hAnsi="Times New Roman" w:eastAsia="宋体" w:cs="Times New Roman"/>
          <w:sz w:val="24"/>
          <w:szCs w:val="24"/>
        </w:rPr>
        <w:t>）。 可吸入颗粒物（PM</w:t>
      </w:r>
      <w:r>
        <w:rPr>
          <w:rFonts w:hint="default" w:ascii="Times New Roman" w:hAnsi="Times New Roman" w:eastAsia="宋体" w:cs="Times New Roman"/>
          <w:sz w:val="24"/>
          <w:szCs w:val="24"/>
          <w:vertAlign w:val="subscript"/>
        </w:rPr>
        <w:t>10</w:t>
      </w:r>
      <w:r>
        <w:rPr>
          <w:rFonts w:hint="default" w:ascii="Times New Roman" w:hAnsi="Times New Roman" w:eastAsia="宋体" w:cs="Times New Roman"/>
          <w:sz w:val="24"/>
          <w:szCs w:val="24"/>
        </w:rPr>
        <w:t>）年平均浓度值范围在37～56μg/m</w:t>
      </w:r>
      <w:r>
        <w:rPr>
          <w:rFonts w:hint="default" w:ascii="Times New Roman" w:hAnsi="Times New Roman" w:eastAsia="宋体" w:cs="Times New Roman"/>
          <w:sz w:val="24"/>
          <w:szCs w:val="24"/>
          <w:vertAlign w:val="superscript"/>
        </w:rPr>
        <w:t>3</w:t>
      </w:r>
      <w:r>
        <w:rPr>
          <w:rFonts w:hint="default" w:ascii="Times New Roman" w:hAnsi="Times New Roman" w:eastAsia="宋体" w:cs="Times New Roman"/>
          <w:sz w:val="24"/>
          <w:szCs w:val="24"/>
        </w:rPr>
        <w:t>之间；其中，翁源县、乳源县、仁化县城区达到国家环境空气质量一级标准（40μg/m</w:t>
      </w:r>
      <w:r>
        <w:rPr>
          <w:rFonts w:hint="default" w:ascii="Times New Roman" w:hAnsi="Times New Roman" w:eastAsia="宋体" w:cs="Times New Roman"/>
          <w:sz w:val="24"/>
          <w:szCs w:val="24"/>
          <w:vertAlign w:val="superscript"/>
        </w:rPr>
        <w:t>3</w:t>
      </w:r>
      <w:r>
        <w:rPr>
          <w:rFonts w:hint="default" w:ascii="Times New Roman" w:hAnsi="Times New Roman" w:eastAsia="宋体" w:cs="Times New Roman"/>
          <w:sz w:val="24"/>
          <w:szCs w:val="24"/>
        </w:rPr>
        <w:t>），其余各县（市）城区达到二级标准（70μg/m</w:t>
      </w:r>
      <w:r>
        <w:rPr>
          <w:rFonts w:hint="default" w:ascii="Times New Roman" w:hAnsi="Times New Roman" w:eastAsia="宋体" w:cs="Times New Roman"/>
          <w:sz w:val="24"/>
          <w:szCs w:val="24"/>
          <w:vertAlign w:val="superscript"/>
        </w:rPr>
        <w:t>3</w:t>
      </w:r>
      <w:r>
        <w:rPr>
          <w:rFonts w:hint="default" w:ascii="Times New Roman" w:hAnsi="Times New Roman" w:eastAsia="宋体" w:cs="Times New Roman"/>
          <w:sz w:val="24"/>
          <w:szCs w:val="24"/>
        </w:rPr>
        <w:t>）。细颗粒物（PM</w:t>
      </w:r>
      <w:r>
        <w:rPr>
          <w:rFonts w:hint="default" w:ascii="Times New Roman" w:hAnsi="Times New Roman" w:eastAsia="宋体" w:cs="Times New Roman"/>
          <w:sz w:val="24"/>
          <w:szCs w:val="24"/>
          <w:vertAlign w:val="subscript"/>
        </w:rPr>
        <w:t>2.5</w:t>
      </w:r>
      <w:r>
        <w:rPr>
          <w:rFonts w:hint="default" w:ascii="Times New Roman" w:hAnsi="Times New Roman" w:eastAsia="宋体" w:cs="Times New Roman"/>
          <w:sz w:val="24"/>
          <w:szCs w:val="24"/>
        </w:rPr>
        <w:t>）年平均浓度值范围在21～30μg/m</w:t>
      </w:r>
      <w:r>
        <w:rPr>
          <w:rFonts w:hint="default" w:ascii="Times New Roman" w:hAnsi="Times New Roman" w:eastAsia="宋体" w:cs="Times New Roman"/>
          <w:sz w:val="24"/>
          <w:szCs w:val="24"/>
          <w:vertAlign w:val="superscript"/>
        </w:rPr>
        <w:t>3</w:t>
      </w:r>
      <w:r>
        <w:rPr>
          <w:rFonts w:hint="default" w:ascii="Times New Roman" w:hAnsi="Times New Roman" w:eastAsia="宋体" w:cs="Times New Roman"/>
          <w:sz w:val="24"/>
          <w:szCs w:val="24"/>
        </w:rPr>
        <w:t>之间，均达到国家环境空气质量二级标准（35μg/m</w:t>
      </w:r>
      <w:r>
        <w:rPr>
          <w:rFonts w:hint="default" w:ascii="Times New Roman" w:hAnsi="Times New Roman" w:eastAsia="宋体" w:cs="Times New Roman"/>
          <w:sz w:val="24"/>
          <w:szCs w:val="24"/>
          <w:vertAlign w:val="superscript"/>
        </w:rPr>
        <w:t>3</w:t>
      </w:r>
      <w:r>
        <w:rPr>
          <w:rFonts w:hint="default" w:ascii="Times New Roman" w:hAnsi="Times New Roman" w:eastAsia="宋体" w:cs="Times New Roman"/>
          <w:sz w:val="24"/>
          <w:szCs w:val="24"/>
        </w:rPr>
        <w:t>）。一氧化碳（CO）日均值第95百分位数平均浓度值范围在1.2～1.6mg/m</w:t>
      </w:r>
      <w:r>
        <w:rPr>
          <w:rFonts w:hint="default" w:ascii="Times New Roman" w:hAnsi="Times New Roman" w:eastAsia="宋体" w:cs="Times New Roman"/>
          <w:sz w:val="24"/>
          <w:szCs w:val="24"/>
          <w:vertAlign w:val="superscript"/>
        </w:rPr>
        <w:t>3</w:t>
      </w:r>
      <w:r>
        <w:rPr>
          <w:rFonts w:hint="default" w:ascii="Times New Roman" w:hAnsi="Times New Roman" w:eastAsia="宋体" w:cs="Times New Roman"/>
          <w:sz w:val="24"/>
          <w:szCs w:val="24"/>
        </w:rPr>
        <w:t>之间，均达到国家环境空气质量二级标准（4mg/m</w:t>
      </w:r>
      <w:r>
        <w:rPr>
          <w:rFonts w:hint="default" w:ascii="Times New Roman" w:hAnsi="Times New Roman" w:eastAsia="宋体" w:cs="Times New Roman"/>
          <w:sz w:val="24"/>
          <w:szCs w:val="24"/>
          <w:vertAlign w:val="superscript"/>
        </w:rPr>
        <w:t>3</w:t>
      </w:r>
      <w:r>
        <w:rPr>
          <w:rFonts w:hint="default" w:ascii="Times New Roman" w:hAnsi="Times New Roman" w:eastAsia="宋体" w:cs="Times New Roman"/>
          <w:sz w:val="24"/>
          <w:szCs w:val="24"/>
        </w:rPr>
        <w:t>，参照24小时平均标准）。臭氧（O</w:t>
      </w:r>
      <w:r>
        <w:rPr>
          <w:rFonts w:hint="default" w:ascii="Times New Roman" w:hAnsi="Times New Roman" w:eastAsia="宋体" w:cs="Times New Roman"/>
          <w:sz w:val="24"/>
          <w:szCs w:val="24"/>
          <w:vertAlign w:val="subscript"/>
        </w:rPr>
        <w:t>3</w:t>
      </w:r>
      <w:r>
        <w:rPr>
          <w:rFonts w:hint="default" w:ascii="Times New Roman" w:hAnsi="Times New Roman" w:eastAsia="宋体" w:cs="Times New Roman"/>
          <w:sz w:val="24"/>
          <w:szCs w:val="24"/>
        </w:rPr>
        <w:t>）日最大8小时均值第90百分位数平均浓度值范围在126～138μg/m</w:t>
      </w:r>
      <w:r>
        <w:rPr>
          <w:rFonts w:hint="default" w:ascii="Times New Roman" w:hAnsi="Times New Roman" w:eastAsia="宋体" w:cs="Times New Roman"/>
          <w:sz w:val="24"/>
          <w:szCs w:val="24"/>
          <w:vertAlign w:val="superscript"/>
        </w:rPr>
        <w:t>3</w:t>
      </w:r>
      <w:r>
        <w:rPr>
          <w:rFonts w:hint="default" w:ascii="Times New Roman" w:hAnsi="Times New Roman" w:eastAsia="宋体" w:cs="Times New Roman"/>
          <w:sz w:val="24"/>
          <w:szCs w:val="24"/>
        </w:rPr>
        <w:t>之间，均达到国家环境空气质量二级标准（160μg/m</w:t>
      </w:r>
      <w:r>
        <w:rPr>
          <w:rFonts w:hint="default" w:ascii="Times New Roman" w:hAnsi="Times New Roman" w:eastAsia="宋体" w:cs="Times New Roman"/>
          <w:sz w:val="24"/>
          <w:szCs w:val="24"/>
          <w:vertAlign w:val="superscript"/>
        </w:rPr>
        <w:t>3</w:t>
      </w:r>
      <w:r>
        <w:rPr>
          <w:rFonts w:hint="default" w:ascii="Times New Roman" w:hAnsi="Times New Roman" w:eastAsia="宋体" w:cs="Times New Roman"/>
          <w:sz w:val="24"/>
          <w:szCs w:val="24"/>
        </w:rPr>
        <w:t>，参照日最大8小时平均标准）。各县（市）城区降尘年平均浓度值在1.46～5.40吨/平方公里·月之间，均低于广东省参考评价值（8吨/平方公里·月）。</w:t>
      </w:r>
    </w:p>
    <w:p>
      <w:pPr>
        <w:pStyle w:val="9"/>
        <w:rPr>
          <w:rFonts w:hint="eastAsia"/>
        </w:rPr>
      </w:pPr>
      <w:r>
        <w:rPr>
          <w:rFonts w:hint="eastAsia"/>
        </w:rPr>
        <w:t xml:space="preserve">综上所述，项目所在区域环境空气质量基本达标。 </w:t>
      </w:r>
    </w:p>
    <w:p>
      <w:pPr>
        <w:pStyle w:val="5"/>
        <w:ind w:firstLine="562"/>
      </w:pPr>
      <w:r>
        <w:rPr>
          <w:rFonts w:hint="eastAsia"/>
          <w:lang w:eastAsia="zh-CN"/>
        </w:rPr>
        <w:t xml:space="preserve">特征污染物监测 </w:t>
      </w:r>
    </w:p>
    <w:p>
      <w:pPr>
        <w:pStyle w:val="6"/>
        <w:rPr>
          <w:rFonts w:hint="eastAsia"/>
          <w:lang w:eastAsia="zh-CN"/>
        </w:rPr>
      </w:pPr>
      <w:r>
        <w:rPr>
          <w:rFonts w:hint="eastAsia"/>
          <w:lang w:eastAsia="zh-CN"/>
        </w:rPr>
        <w:t>监测点位布设</w:t>
      </w:r>
    </w:p>
    <w:p>
      <w:pPr>
        <w:pStyle w:val="9"/>
        <w:rPr>
          <w:rFonts w:hint="eastAsia"/>
        </w:rPr>
      </w:pPr>
      <w:r>
        <w:rPr>
          <w:rFonts w:hint="eastAsia"/>
        </w:rPr>
        <w:t>根据项目污染物排放情况、项目大气环境评价等级、评价区域气象特征及敏感点分布情况等因素，本项目大气监测共布设</w:t>
      </w:r>
      <w:r>
        <w:rPr>
          <w:rFonts w:hint="eastAsia"/>
          <w:lang w:val="en-US" w:eastAsia="zh-CN"/>
        </w:rPr>
        <w:t>2</w:t>
      </w:r>
      <w:r>
        <w:rPr>
          <w:rFonts w:hint="eastAsia"/>
        </w:rPr>
        <w:t>个监测点，监测点位情况见表</w:t>
      </w:r>
      <w:r>
        <w:rPr>
          <w:rFonts w:hint="eastAsia"/>
          <w:lang w:val="en-US" w:eastAsia="zh-CN"/>
        </w:rPr>
        <w:t>4.4</w:t>
      </w:r>
      <w:r>
        <w:rPr>
          <w:rFonts w:hint="eastAsia"/>
        </w:rPr>
        <w:t>-</w:t>
      </w:r>
      <w:r>
        <w:rPr>
          <w:rFonts w:hint="eastAsia"/>
          <w:lang w:val="en-US" w:eastAsia="zh-CN"/>
        </w:rPr>
        <w:t>1</w:t>
      </w:r>
      <w:r>
        <w:rPr>
          <w:rFonts w:hint="eastAsia"/>
        </w:rPr>
        <w:t xml:space="preserve">。 </w:t>
      </w:r>
    </w:p>
    <w:p>
      <w:pPr>
        <w:jc w:val="center"/>
        <w:rPr>
          <w:b/>
          <w:sz w:val="21"/>
          <w:szCs w:val="21"/>
        </w:rPr>
      </w:pPr>
      <w:r>
        <w:rPr>
          <w:b/>
          <w:sz w:val="21"/>
          <w:szCs w:val="21"/>
        </w:rPr>
        <w:t>表</w:t>
      </w:r>
      <w:r>
        <w:rPr>
          <w:rFonts w:hint="eastAsia"/>
          <w:b/>
          <w:sz w:val="21"/>
          <w:szCs w:val="21"/>
          <w:lang w:val="en-US" w:eastAsia="zh-CN"/>
        </w:rPr>
        <w:t>4.4-</w:t>
      </w:r>
      <w:r>
        <w:rPr>
          <w:b/>
          <w:sz w:val="21"/>
          <w:szCs w:val="21"/>
        </w:rPr>
        <w:t>1  环境空气质量现状监测点位布设情况一览表</w:t>
      </w:r>
    </w:p>
    <w:tbl>
      <w:tblPr>
        <w:tblStyle w:val="63"/>
        <w:tblW w:w="4998" w:type="pct"/>
        <w:jc w:val="center"/>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1328"/>
        <w:gridCol w:w="2803"/>
        <w:gridCol w:w="1108"/>
        <w:gridCol w:w="1678"/>
        <w:gridCol w:w="1386"/>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26" w:hRule="atLeast"/>
          <w:jc w:val="center"/>
        </w:trPr>
        <w:tc>
          <w:tcPr>
            <w:tcW w:w="799" w:type="pct"/>
            <w:tcBorders>
              <w:left w:val="nil"/>
              <w:bottom w:val="single" w:color="000000" w:sz="12"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监测点编号</w:t>
            </w:r>
          </w:p>
        </w:tc>
        <w:tc>
          <w:tcPr>
            <w:tcW w:w="1687" w:type="pct"/>
            <w:tcBorders>
              <w:left w:val="single" w:color="000000" w:sz="4" w:space="0"/>
              <w:bottom w:val="single" w:color="000000" w:sz="12"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监测具体点位</w:t>
            </w:r>
          </w:p>
        </w:tc>
        <w:tc>
          <w:tcPr>
            <w:tcW w:w="667" w:type="pct"/>
            <w:tcBorders>
              <w:left w:val="single" w:color="000000" w:sz="4" w:space="0"/>
              <w:bottom w:val="single" w:color="000000" w:sz="12"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方位</w:t>
            </w:r>
          </w:p>
        </w:tc>
        <w:tc>
          <w:tcPr>
            <w:tcW w:w="1010" w:type="pct"/>
            <w:tcBorders>
              <w:left w:val="single" w:color="000000" w:sz="4" w:space="0"/>
              <w:bottom w:val="single" w:color="000000" w:sz="4"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监测项目</w:t>
            </w:r>
          </w:p>
        </w:tc>
        <w:tc>
          <w:tcPr>
            <w:tcW w:w="834" w:type="pct"/>
            <w:tcBorders>
              <w:left w:val="single" w:color="000000" w:sz="4" w:space="0"/>
              <w:bottom w:val="single" w:color="000000" w:sz="4" w:space="0"/>
              <w:right w:val="nil"/>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记录内容</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642" w:hRule="atLeast"/>
          <w:jc w:val="center"/>
        </w:trPr>
        <w:tc>
          <w:tcPr>
            <w:tcW w:w="799" w:type="pct"/>
            <w:tcBorders>
              <w:top w:val="single" w:color="000000" w:sz="12" w:space="0"/>
              <w:left w:val="nil"/>
              <w:bottom w:val="single" w:color="000000" w:sz="4"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G1</w:t>
            </w:r>
          </w:p>
        </w:tc>
        <w:tc>
          <w:tcPr>
            <w:tcW w:w="1687" w:type="pct"/>
            <w:tcBorders>
              <w:top w:val="single" w:color="000000" w:sz="12" w:space="0"/>
              <w:left w:val="single" w:color="000000" w:sz="4" w:space="0"/>
              <w:bottom w:val="single" w:color="000000" w:sz="4"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eastAsia" w:ascii="Times New Roman" w:hAnsi="Times New Roman" w:cs="Times New Roman"/>
                <w:sz w:val="21"/>
                <w:szCs w:val="21"/>
                <w:lang w:eastAsia="zh-CN"/>
              </w:rPr>
              <w:t>厂址中心（</w:t>
            </w:r>
            <w:r>
              <w:rPr>
                <w:rFonts w:hint="default" w:ascii="Times New Roman" w:hAnsi="Times New Roman" w:eastAsia="宋体" w:cs="Times New Roman"/>
                <w:spacing w:val="-3"/>
                <w:sz w:val="21"/>
                <w:szCs w:val="21"/>
              </w:rPr>
              <w:t>E113.704162，N25.191894</w:t>
            </w:r>
            <w:r>
              <w:rPr>
                <w:rFonts w:hint="eastAsia" w:ascii="Times New Roman" w:hAnsi="Times New Roman" w:cs="Times New Roman"/>
                <w:sz w:val="21"/>
                <w:szCs w:val="21"/>
                <w:lang w:eastAsia="zh-CN"/>
              </w:rPr>
              <w:t>）</w:t>
            </w:r>
          </w:p>
        </w:tc>
        <w:tc>
          <w:tcPr>
            <w:tcW w:w="667" w:type="pct"/>
            <w:tcBorders>
              <w:top w:val="single" w:color="000000" w:sz="12" w:space="0"/>
              <w:left w:val="single" w:color="000000" w:sz="4" w:space="0"/>
              <w:bottom w:val="single" w:color="000000" w:sz="4"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eastAsia" w:ascii="Times New Roman" w:hAnsi="Times New Roman" w:eastAsia="宋体" w:cs="Times New Roman"/>
                <w:sz w:val="21"/>
                <w:szCs w:val="21"/>
                <w:lang w:eastAsia="zh-CN"/>
              </w:rPr>
            </w:pPr>
            <w:r>
              <w:rPr>
                <w:rFonts w:hint="eastAsia" w:ascii="Times New Roman" w:hAnsi="Times New Roman" w:cs="Times New Roman"/>
                <w:sz w:val="21"/>
                <w:szCs w:val="21"/>
                <w:lang w:val="en-US" w:eastAsia="zh-CN"/>
              </w:rPr>
              <w:t>/</w:t>
            </w:r>
          </w:p>
        </w:tc>
        <w:tc>
          <w:tcPr>
            <w:tcW w:w="1010" w:type="pct"/>
            <w:vMerge w:val="restart"/>
            <w:tcBorders>
              <w:top w:val="single" w:color="000000" w:sz="4" w:space="0"/>
              <w:left w:val="single" w:color="000000" w:sz="4"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H</w:t>
            </w:r>
            <w:r>
              <w:rPr>
                <w:rFonts w:hint="default" w:ascii="Times New Roman" w:hAnsi="Times New Roman" w:eastAsia="宋体" w:cs="Times New Roman"/>
                <w:sz w:val="21"/>
                <w:szCs w:val="21"/>
                <w:vertAlign w:val="subscript"/>
              </w:rPr>
              <w:t>2</w:t>
            </w:r>
            <w:r>
              <w:rPr>
                <w:rFonts w:hint="default" w:ascii="Times New Roman" w:hAnsi="Times New Roman" w:eastAsia="宋体" w:cs="Times New Roman"/>
                <w:position w:val="2"/>
                <w:sz w:val="21"/>
                <w:szCs w:val="21"/>
              </w:rPr>
              <w:t>S、NH</w:t>
            </w:r>
            <w:r>
              <w:rPr>
                <w:rFonts w:hint="default" w:ascii="Times New Roman" w:hAnsi="Times New Roman" w:eastAsia="宋体" w:cs="Times New Roman"/>
                <w:sz w:val="21"/>
                <w:szCs w:val="21"/>
                <w:vertAlign w:val="subscript"/>
              </w:rPr>
              <w:t>3</w:t>
            </w:r>
            <w:r>
              <w:rPr>
                <w:rFonts w:hint="default" w:ascii="Times New Roman" w:hAnsi="Times New Roman" w:eastAsia="宋体" w:cs="Times New Roman"/>
                <w:position w:val="2"/>
                <w:sz w:val="21"/>
                <w:szCs w:val="21"/>
              </w:rPr>
              <w:t>及臭气浓</w:t>
            </w:r>
            <w:r>
              <w:rPr>
                <w:rFonts w:hint="default" w:ascii="Times New Roman" w:hAnsi="Times New Roman" w:eastAsia="宋体" w:cs="Times New Roman"/>
                <w:sz w:val="21"/>
                <w:szCs w:val="21"/>
              </w:rPr>
              <w:t>度</w:t>
            </w:r>
          </w:p>
        </w:tc>
        <w:tc>
          <w:tcPr>
            <w:tcW w:w="834" w:type="pct"/>
            <w:vMerge w:val="restart"/>
            <w:tcBorders>
              <w:top w:val="single" w:color="000000" w:sz="4" w:space="0"/>
              <w:left w:val="single" w:color="000000" w:sz="4" w:space="0"/>
              <w:right w:val="nil"/>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坐标、监测时</w:t>
            </w:r>
          </w:p>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的风速、气温、风向、大气压等</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642" w:hRule="atLeast"/>
          <w:jc w:val="center"/>
        </w:trPr>
        <w:tc>
          <w:tcPr>
            <w:tcW w:w="799" w:type="pct"/>
            <w:tcBorders>
              <w:top w:val="single" w:color="000000" w:sz="4" w:space="0"/>
              <w:left w:val="nil"/>
              <w:bottom w:val="single" w:color="000000" w:sz="12"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G2</w:t>
            </w:r>
          </w:p>
        </w:tc>
        <w:tc>
          <w:tcPr>
            <w:tcW w:w="1687" w:type="pct"/>
            <w:tcBorders>
              <w:top w:val="single" w:color="000000" w:sz="4" w:space="0"/>
              <w:left w:val="single" w:color="000000" w:sz="4" w:space="0"/>
              <w:bottom w:val="single" w:color="000000" w:sz="12"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eastAsia" w:ascii="Times New Roman" w:hAnsi="Times New Roman" w:eastAsia="宋体" w:cs="Times New Roman"/>
                <w:sz w:val="21"/>
                <w:szCs w:val="21"/>
                <w:lang w:eastAsia="zh-CN"/>
              </w:rPr>
            </w:pPr>
            <w:r>
              <w:rPr>
                <w:rFonts w:hint="eastAsia" w:ascii="Times New Roman" w:hAnsi="Times New Roman" w:cs="Times New Roman"/>
                <w:sz w:val="21"/>
                <w:szCs w:val="21"/>
                <w:lang w:eastAsia="zh-CN"/>
              </w:rPr>
              <w:t>下风向</w:t>
            </w:r>
            <w:r>
              <w:rPr>
                <w:rFonts w:hint="default" w:ascii="Times New Roman" w:hAnsi="Times New Roman" w:eastAsia="宋体" w:cs="Times New Roman"/>
                <w:sz w:val="21"/>
                <w:szCs w:val="21"/>
              </w:rPr>
              <w:t xml:space="preserve"> (项目</w:t>
            </w:r>
            <w:r>
              <w:rPr>
                <w:rFonts w:hint="eastAsia" w:ascii="Times New Roman" w:hAnsi="Times New Roman" w:cs="Times New Roman"/>
                <w:sz w:val="21"/>
                <w:szCs w:val="21"/>
                <w:lang w:eastAsia="zh-CN"/>
              </w:rPr>
              <w:t>北</w:t>
            </w:r>
            <w:r>
              <w:rPr>
                <w:rFonts w:hint="default" w:ascii="Times New Roman" w:hAnsi="Times New Roman" w:eastAsia="宋体" w:cs="Times New Roman"/>
                <w:sz w:val="21"/>
                <w:szCs w:val="21"/>
              </w:rPr>
              <w:t xml:space="preserve">侧 </w:t>
            </w:r>
            <w:r>
              <w:rPr>
                <w:rFonts w:hint="eastAsia" w:ascii="Times New Roman" w:hAnsi="Times New Roman" w:cs="Times New Roman"/>
                <w:sz w:val="21"/>
                <w:szCs w:val="21"/>
                <w:lang w:val="en-US" w:eastAsia="zh-CN"/>
              </w:rPr>
              <w:t>80</w:t>
            </w:r>
            <w:r>
              <w:rPr>
                <w:rFonts w:hint="default" w:ascii="Times New Roman" w:hAnsi="Times New Roman" w:eastAsia="宋体" w:cs="Times New Roman"/>
                <w:sz w:val="21"/>
                <w:szCs w:val="21"/>
              </w:rPr>
              <w:t>0m</w:t>
            </w:r>
            <w:r>
              <w:rPr>
                <w:rFonts w:hint="eastAsia" w:ascii="Times New Roman" w:hAnsi="Times New Roman" w:cs="Times New Roman"/>
                <w:sz w:val="21"/>
                <w:szCs w:val="21"/>
                <w:lang w:eastAsia="zh-CN"/>
              </w:rPr>
              <w:t>，</w:t>
            </w:r>
          </w:p>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eastAsia" w:ascii="Times New Roman" w:hAnsi="Times New Roman" w:cs="Times New Roman"/>
                <w:sz w:val="21"/>
                <w:szCs w:val="21"/>
                <w:lang w:eastAsia="zh-CN"/>
              </w:rPr>
            </w:pPr>
            <w:r>
              <w:rPr>
                <w:rFonts w:hint="default" w:ascii="Times New Roman" w:hAnsi="Times New Roman" w:eastAsia="宋体" w:cs="Times New Roman"/>
                <w:sz w:val="21"/>
                <w:szCs w:val="21"/>
              </w:rPr>
              <w:t>E113.705149，N25.182544</w:t>
            </w:r>
            <w:r>
              <w:rPr>
                <w:rFonts w:hint="eastAsia" w:ascii="Times New Roman" w:hAnsi="Times New Roman" w:cs="Times New Roman"/>
                <w:sz w:val="21"/>
                <w:szCs w:val="21"/>
                <w:lang w:eastAsia="zh-CN"/>
              </w:rPr>
              <w:t>）</w:t>
            </w:r>
          </w:p>
        </w:tc>
        <w:tc>
          <w:tcPr>
            <w:tcW w:w="667" w:type="pct"/>
            <w:tcBorders>
              <w:top w:val="single" w:color="000000" w:sz="4" w:space="0"/>
              <w:left w:val="single" w:color="000000" w:sz="4" w:space="0"/>
              <w:bottom w:val="single" w:color="000000" w:sz="12"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N</w:t>
            </w:r>
          </w:p>
        </w:tc>
        <w:tc>
          <w:tcPr>
            <w:tcW w:w="1010" w:type="pct"/>
            <w:vMerge w:val="continue"/>
            <w:tcBorders>
              <w:left w:val="single" w:color="000000" w:sz="4"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position w:val="2"/>
                <w:sz w:val="21"/>
                <w:szCs w:val="21"/>
              </w:rPr>
            </w:pPr>
          </w:p>
        </w:tc>
        <w:tc>
          <w:tcPr>
            <w:tcW w:w="834" w:type="pct"/>
            <w:vMerge w:val="continue"/>
            <w:tcBorders>
              <w:left w:val="single" w:color="000000" w:sz="4" w:space="0"/>
              <w:right w:val="nil"/>
            </w:tcBorders>
            <w:noWrap w:val="0"/>
            <w:vAlign w:val="center"/>
          </w:tcPr>
          <w:p>
            <w:pPr>
              <w:pStyle w:val="866"/>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auto"/>
              <w:rPr>
                <w:rFonts w:hint="default" w:ascii="Times New Roman" w:hAnsi="Times New Roman" w:eastAsia="宋体" w:cs="Times New Roman"/>
                <w:sz w:val="21"/>
                <w:szCs w:val="21"/>
              </w:rPr>
            </w:pPr>
          </w:p>
        </w:tc>
      </w:tr>
    </w:tbl>
    <w:p>
      <w:pPr>
        <w:keepNext w:val="0"/>
        <w:keepLines w:val="0"/>
        <w:pageBreakBefore w:val="0"/>
        <w:widowControl w:val="0"/>
        <w:numPr>
          <w:ilvl w:val="0"/>
          <w:numId w:val="0"/>
        </w:numPr>
        <w:tabs>
          <w:tab w:val="left" w:pos="0"/>
        </w:tabs>
        <w:kinsoku/>
        <w:wordWrap/>
        <w:overflowPunct/>
        <w:topLinePunct w:val="0"/>
        <w:autoSpaceDE/>
        <w:autoSpaceDN/>
        <w:bidi w:val="0"/>
        <w:adjustRightInd w:val="0"/>
        <w:snapToGrid/>
        <w:textAlignment w:val="baseline"/>
        <w:outlineLvl w:val="9"/>
      </w:pPr>
      <w:r>
        <w:drawing>
          <wp:inline distT="0" distB="0" distL="114300" distR="114300">
            <wp:extent cx="5238750" cy="3535680"/>
            <wp:effectExtent l="0" t="0" r="3810" b="0"/>
            <wp:docPr id="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0"/>
                    <pic:cNvPicPr>
                      <a:picLocks noChangeAspect="1"/>
                    </pic:cNvPicPr>
                  </pic:nvPicPr>
                  <pic:blipFill>
                    <a:blip r:embed="rId62"/>
                    <a:stretch>
                      <a:fillRect/>
                    </a:stretch>
                  </pic:blipFill>
                  <pic:spPr>
                    <a:xfrm>
                      <a:off x="0" y="0"/>
                      <a:ext cx="5238750" cy="3535680"/>
                    </a:xfrm>
                    <a:prstGeom prst="rect">
                      <a:avLst/>
                    </a:prstGeom>
                    <a:noFill/>
                    <a:ln>
                      <a:noFill/>
                    </a:ln>
                  </pic:spPr>
                </pic:pic>
              </a:graphicData>
            </a:graphic>
          </wp:inline>
        </w:drawing>
      </w:r>
    </w:p>
    <w:p>
      <w:pPr>
        <w:pStyle w:val="32"/>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b/>
          <w:bCs/>
          <w:lang w:val="en-US" w:eastAsia="zh-CN"/>
        </w:rPr>
      </w:pPr>
      <w:r>
        <w:rPr>
          <w:rFonts w:hint="default" w:ascii="Times New Roman" w:hAnsi="Times New Roman" w:eastAsia="宋体" w:cs="Times New Roman"/>
          <w:b/>
          <w:bCs/>
          <w:lang w:val="en-US" w:eastAsia="zh-CN"/>
        </w:rPr>
        <w:t>图4.4-1 项目空气监测点位示意图</w:t>
      </w:r>
    </w:p>
    <w:p>
      <w:pPr>
        <w:pStyle w:val="6"/>
        <w:rPr>
          <w:rFonts w:hint="eastAsia"/>
          <w:lang w:eastAsia="zh-CN"/>
        </w:rPr>
      </w:pPr>
      <w:r>
        <w:rPr>
          <w:rFonts w:hint="eastAsia"/>
          <w:lang w:eastAsia="zh-CN"/>
        </w:rPr>
        <w:t>监测时间及频率</w:t>
      </w:r>
    </w:p>
    <w:p>
      <w:pPr>
        <w:pStyle w:val="9"/>
        <w:rPr>
          <w:rFonts w:hint="eastAsia"/>
        </w:rPr>
      </w:pPr>
      <w:r>
        <w:rPr>
          <w:rFonts w:hint="eastAsia"/>
        </w:rPr>
        <w:t>监测时间：20</w:t>
      </w:r>
      <w:r>
        <w:rPr>
          <w:rFonts w:hint="eastAsia"/>
          <w:lang w:val="en-US" w:eastAsia="zh-CN"/>
        </w:rPr>
        <w:t>20</w:t>
      </w:r>
      <w:r>
        <w:rPr>
          <w:rFonts w:hint="eastAsia"/>
        </w:rPr>
        <w:t>年</w:t>
      </w:r>
      <w:r>
        <w:rPr>
          <w:rFonts w:hint="eastAsia"/>
          <w:lang w:val="en-US" w:eastAsia="zh-CN"/>
        </w:rPr>
        <w:t>3</w:t>
      </w:r>
      <w:r>
        <w:rPr>
          <w:rFonts w:hint="eastAsia"/>
        </w:rPr>
        <w:t>月</w:t>
      </w:r>
      <w:r>
        <w:rPr>
          <w:rFonts w:hint="eastAsia"/>
          <w:lang w:val="en-US" w:eastAsia="zh-CN"/>
        </w:rPr>
        <w:t>31</w:t>
      </w:r>
      <w:r>
        <w:rPr>
          <w:rFonts w:hint="eastAsia"/>
        </w:rPr>
        <w:t>日~</w:t>
      </w:r>
      <w:r>
        <w:rPr>
          <w:rFonts w:hint="eastAsia"/>
          <w:lang w:val="en-US" w:eastAsia="zh-CN"/>
        </w:rPr>
        <w:t>4月6</w:t>
      </w:r>
      <w:r>
        <w:rPr>
          <w:rFonts w:hint="eastAsia"/>
        </w:rPr>
        <w:t xml:space="preserve">日。 </w:t>
      </w:r>
    </w:p>
    <w:p>
      <w:pPr>
        <w:pStyle w:val="9"/>
        <w:rPr>
          <w:rFonts w:hint="eastAsia"/>
        </w:rPr>
      </w:pPr>
      <w:r>
        <w:rPr>
          <w:rFonts w:hint="eastAsia"/>
          <w:lang w:eastAsia="zh-CN"/>
        </w:rPr>
        <w:t>检测频率：</w:t>
      </w:r>
      <w:r>
        <w:rPr>
          <w:rFonts w:hint="eastAsia"/>
        </w:rPr>
        <w:t xml:space="preserve">根据GB3095-2012《环境空气质量标准》，连续7天采样， </w:t>
      </w:r>
    </w:p>
    <w:p>
      <w:pPr>
        <w:pStyle w:val="9"/>
        <w:rPr>
          <w:rFonts w:hint="eastAsia"/>
        </w:rPr>
      </w:pPr>
      <w:r>
        <w:rPr>
          <w:rFonts w:hint="eastAsia"/>
        </w:rPr>
        <w:t>H</w:t>
      </w:r>
      <w:r>
        <w:rPr>
          <w:rFonts w:hint="eastAsia"/>
          <w:vertAlign w:val="subscript"/>
        </w:rPr>
        <w:t>2</w:t>
      </w:r>
      <w:r>
        <w:rPr>
          <w:rFonts w:hint="eastAsia"/>
        </w:rPr>
        <w:t>S、HN</w:t>
      </w:r>
      <w:r>
        <w:rPr>
          <w:rFonts w:hint="eastAsia"/>
          <w:vertAlign w:val="subscript"/>
        </w:rPr>
        <w:t>3</w:t>
      </w:r>
      <w:r>
        <w:rPr>
          <w:rFonts w:hint="eastAsia"/>
        </w:rPr>
        <w:t>小时浓度每日采样4次，每次采样时间保证不少于45分钟，时间分别为02:00、08:00、14:00、20:00。臭气浓度2h采一次，共采集4次，取其最大测定值。</w:t>
      </w:r>
    </w:p>
    <w:p>
      <w:pPr>
        <w:pStyle w:val="9"/>
        <w:rPr>
          <w:rFonts w:hint="eastAsia"/>
        </w:rPr>
      </w:pPr>
      <w:r>
        <w:rPr>
          <w:rFonts w:hint="eastAsia"/>
        </w:rPr>
        <w:t>采样同时观测并记录当时的风向、风速、气温、气压、湿度等气象参数，并记录监测点经纬度。</w:t>
      </w:r>
    </w:p>
    <w:p>
      <w:pPr>
        <w:pStyle w:val="6"/>
        <w:rPr>
          <w:rFonts w:hint="eastAsia"/>
          <w:lang w:eastAsia="zh-CN"/>
        </w:rPr>
      </w:pPr>
      <w:r>
        <w:rPr>
          <w:rFonts w:hint="eastAsia"/>
          <w:lang w:eastAsia="zh-CN"/>
        </w:rPr>
        <w:t>分析方法</w:t>
      </w:r>
    </w:p>
    <w:p>
      <w:pPr>
        <w:pStyle w:val="9"/>
        <w:rPr>
          <w:rFonts w:hint="eastAsia"/>
        </w:rPr>
      </w:pPr>
      <w:r>
        <w:rPr>
          <w:rFonts w:hint="eastAsia"/>
        </w:rPr>
        <w:t>环境空气质量现状监测分析方法见表</w:t>
      </w:r>
      <w:r>
        <w:rPr>
          <w:rFonts w:hint="eastAsia"/>
          <w:lang w:val="en-US" w:eastAsia="zh-CN"/>
        </w:rPr>
        <w:t>4.4</w:t>
      </w:r>
      <w:r>
        <w:rPr>
          <w:rFonts w:hint="eastAsia"/>
        </w:rPr>
        <w:t>-</w:t>
      </w:r>
      <w:r>
        <w:rPr>
          <w:rFonts w:hint="eastAsia"/>
          <w:lang w:val="en-US" w:eastAsia="zh-CN"/>
        </w:rPr>
        <w:t>2</w:t>
      </w:r>
      <w:r>
        <w:rPr>
          <w:rFonts w:hint="eastAsia"/>
        </w:rPr>
        <w:t>。</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eastAsia="zh-CN"/>
        </w:rPr>
      </w:pP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eastAsia="zh-CN"/>
        </w:rPr>
        <w:t>表</w:t>
      </w:r>
      <w:r>
        <w:rPr>
          <w:rFonts w:hint="eastAsia" w:cs="Times New Roman"/>
          <w:b/>
          <w:bCs/>
          <w:sz w:val="21"/>
          <w:szCs w:val="21"/>
          <w:lang w:val="en-US" w:eastAsia="zh-CN"/>
        </w:rPr>
        <w:t>4</w:t>
      </w:r>
      <w:r>
        <w:rPr>
          <w:rFonts w:hint="default" w:ascii="Times New Roman" w:hAnsi="Times New Roman" w:eastAsia="宋体" w:cs="Times New Roman"/>
          <w:b/>
          <w:bCs/>
          <w:sz w:val="21"/>
          <w:szCs w:val="21"/>
          <w:lang w:val="en-US" w:eastAsia="zh-CN"/>
        </w:rPr>
        <w:t>.4-</w:t>
      </w:r>
      <w:r>
        <w:rPr>
          <w:rFonts w:hint="eastAsia" w:cs="Times New Roman"/>
          <w:b/>
          <w:bCs/>
          <w:sz w:val="21"/>
          <w:szCs w:val="21"/>
          <w:lang w:val="en-US" w:eastAsia="zh-CN"/>
        </w:rPr>
        <w:t>2</w:t>
      </w:r>
      <w:r>
        <w:rPr>
          <w:rFonts w:hint="default" w:ascii="Times New Roman" w:hAnsi="Times New Roman" w:eastAsia="宋体" w:cs="Times New Roman"/>
          <w:b/>
          <w:bCs/>
          <w:sz w:val="21"/>
          <w:szCs w:val="21"/>
          <w:lang w:val="en-US" w:eastAsia="zh-CN"/>
        </w:rPr>
        <w:t xml:space="preserve">   环境空气监测项目及分析方法</w:t>
      </w:r>
    </w:p>
    <w:tbl>
      <w:tblPr>
        <w:tblStyle w:val="63"/>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972"/>
        <w:gridCol w:w="1292"/>
        <w:gridCol w:w="4123"/>
        <w:gridCol w:w="213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72"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val="en-US" w:eastAsia="zh-CN"/>
              </w:rPr>
            </w:pPr>
            <w:r>
              <w:rPr>
                <w:rFonts w:hint="eastAsia"/>
                <w:sz w:val="21"/>
                <w:szCs w:val="21"/>
                <w:vertAlign w:val="baseline"/>
                <w:lang w:val="en-US" w:eastAsia="zh-CN"/>
              </w:rPr>
              <w:t>序号</w:t>
            </w:r>
          </w:p>
        </w:tc>
        <w:tc>
          <w:tcPr>
            <w:tcW w:w="1292"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监测项目</w:t>
            </w:r>
          </w:p>
        </w:tc>
        <w:tc>
          <w:tcPr>
            <w:tcW w:w="4123"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分析方法</w:t>
            </w:r>
          </w:p>
        </w:tc>
        <w:tc>
          <w:tcPr>
            <w:tcW w:w="2135"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sz w:val="21"/>
                <w:szCs w:val="21"/>
                <w:vertAlign w:val="baseline"/>
                <w:lang w:eastAsia="zh-CN"/>
              </w:rPr>
              <w:t>检出限</w:t>
            </w:r>
            <w:r>
              <w:rPr>
                <w:rFonts w:hint="eastAsia"/>
                <w:sz w:val="21"/>
                <w:szCs w:val="21"/>
                <w:vertAlign w:val="baseline"/>
                <w:lang w:val="en-US" w:eastAsia="zh-CN"/>
              </w:rPr>
              <w:t>/检出范围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72" w:type="dxa"/>
            <w:tcBorders>
              <w:top w:val="single" w:color="auto" w:sz="12" w:space="0"/>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val="en-US" w:eastAsia="zh-CN"/>
              </w:rPr>
            </w:pPr>
            <w:r>
              <w:rPr>
                <w:rFonts w:hint="eastAsia"/>
                <w:sz w:val="21"/>
                <w:szCs w:val="21"/>
                <w:vertAlign w:val="baseline"/>
                <w:lang w:val="en-US" w:eastAsia="zh-CN"/>
              </w:rPr>
              <w:t>1</w:t>
            </w:r>
          </w:p>
        </w:tc>
        <w:tc>
          <w:tcPr>
            <w:tcW w:w="1292" w:type="dxa"/>
            <w:tcBorders>
              <w:top w:val="single" w:color="auto" w:sz="12" w:space="0"/>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采样</w:t>
            </w:r>
          </w:p>
        </w:tc>
        <w:tc>
          <w:tcPr>
            <w:tcW w:w="6258" w:type="dxa"/>
            <w:gridSpan w:val="2"/>
            <w:tcBorders>
              <w:top w:val="single" w:color="auto" w:sz="12" w:space="0"/>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val="en-US" w:eastAsia="zh-CN"/>
              </w:rPr>
            </w:pPr>
            <w:r>
              <w:rPr>
                <w:rFonts w:hint="eastAsia"/>
                <w:sz w:val="21"/>
                <w:szCs w:val="21"/>
                <w:vertAlign w:val="baseline"/>
                <w:lang w:eastAsia="zh-CN"/>
              </w:rPr>
              <w:t>环境空气质量手工监测技术规范</w:t>
            </w:r>
            <w:r>
              <w:rPr>
                <w:rFonts w:hint="eastAsia"/>
                <w:sz w:val="21"/>
                <w:szCs w:val="21"/>
                <w:vertAlign w:val="baseline"/>
                <w:lang w:val="en-US" w:eastAsia="zh-CN"/>
              </w:rPr>
              <w:t xml:space="preserve">   HJ/T 194-2005</w:t>
            </w:r>
          </w:p>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环境空气质量标准  （GB 3095-2012）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7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val="en-US" w:eastAsia="zh-CN"/>
              </w:rPr>
            </w:pPr>
            <w:r>
              <w:rPr>
                <w:rFonts w:hint="eastAsia"/>
                <w:sz w:val="21"/>
                <w:szCs w:val="21"/>
                <w:vertAlign w:val="baseline"/>
                <w:lang w:val="en-US" w:eastAsia="zh-CN"/>
              </w:rPr>
              <w:t>2</w:t>
            </w:r>
          </w:p>
        </w:tc>
        <w:tc>
          <w:tcPr>
            <w:tcW w:w="129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氨</w:t>
            </w:r>
          </w:p>
        </w:tc>
        <w:tc>
          <w:tcPr>
            <w:tcW w:w="4123"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eastAsia="宋体"/>
                <w:sz w:val="21"/>
                <w:szCs w:val="21"/>
                <w:vertAlign w:val="baseline"/>
                <w:lang w:eastAsia="zh-CN"/>
              </w:rPr>
              <w:t xml:space="preserve">环境空气和废气 氨的测定 纳氏试剂分光光度法 HJ 533-2009 </w:t>
            </w:r>
          </w:p>
        </w:tc>
        <w:tc>
          <w:tcPr>
            <w:tcW w:w="2135"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sz w:val="21"/>
                <w:szCs w:val="21"/>
                <w:vertAlign w:val="baseline"/>
                <w:lang w:val="en-US" w:eastAsia="zh-CN"/>
              </w:rPr>
              <w:t>0.001mg/m</w:t>
            </w:r>
            <w:r>
              <w:rPr>
                <w:rFonts w:hint="eastAsia"/>
                <w:sz w:val="21"/>
                <w:szCs w:val="21"/>
                <w:vertAlign w:val="superscript"/>
                <w:lang w:val="en-US" w:eastAsia="zh-CN"/>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jc w:val="center"/>
        </w:trPr>
        <w:tc>
          <w:tcPr>
            <w:tcW w:w="97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val="en-US" w:eastAsia="zh-CN"/>
              </w:rPr>
            </w:pPr>
            <w:r>
              <w:rPr>
                <w:rFonts w:hint="eastAsia"/>
                <w:sz w:val="21"/>
                <w:szCs w:val="21"/>
                <w:vertAlign w:val="baseline"/>
                <w:lang w:val="en-US" w:eastAsia="zh-CN"/>
              </w:rPr>
              <w:t>3</w:t>
            </w:r>
          </w:p>
        </w:tc>
        <w:tc>
          <w:tcPr>
            <w:tcW w:w="129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硫化氢</w:t>
            </w:r>
          </w:p>
        </w:tc>
        <w:tc>
          <w:tcPr>
            <w:tcW w:w="4123"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rPr>
              <w:t>亚甲基蓝分光光度法 《空气和废气监测分析方法》国家环保总局 第四版 2003年</w:t>
            </w:r>
          </w:p>
        </w:tc>
        <w:tc>
          <w:tcPr>
            <w:tcW w:w="2135"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sz w:val="21"/>
                <w:szCs w:val="21"/>
                <w:vertAlign w:val="baseline"/>
                <w:lang w:val="en-US" w:eastAsia="zh-CN"/>
              </w:rPr>
              <w:t>0.01mg/m</w:t>
            </w:r>
            <w:r>
              <w:rPr>
                <w:rFonts w:hint="eastAsia"/>
                <w:sz w:val="21"/>
                <w:szCs w:val="21"/>
                <w:vertAlign w:val="superscript"/>
                <w:lang w:val="en-US" w:eastAsia="zh-CN"/>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7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val="en-US" w:eastAsia="zh-CN"/>
              </w:rPr>
            </w:pPr>
            <w:r>
              <w:rPr>
                <w:rFonts w:hint="eastAsia"/>
                <w:sz w:val="21"/>
                <w:szCs w:val="21"/>
                <w:vertAlign w:val="baseline"/>
                <w:lang w:val="en-US" w:eastAsia="zh-CN"/>
              </w:rPr>
              <w:t>4</w:t>
            </w:r>
          </w:p>
        </w:tc>
        <w:tc>
          <w:tcPr>
            <w:tcW w:w="129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臭气浓度</w:t>
            </w:r>
          </w:p>
        </w:tc>
        <w:tc>
          <w:tcPr>
            <w:tcW w:w="4123"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rPr>
              <w:t>空气质量 恶臭的测定 三点式比较嗅袋法 GB/T 14675-93</w:t>
            </w:r>
          </w:p>
        </w:tc>
        <w:tc>
          <w:tcPr>
            <w:tcW w:w="2135"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sz w:val="21"/>
                <w:szCs w:val="21"/>
                <w:vertAlign w:val="baseline"/>
                <w:lang w:val="en-US" w:eastAsia="zh-CN"/>
              </w:rPr>
              <w:t>10（无量纲）</w:t>
            </w:r>
          </w:p>
        </w:tc>
      </w:tr>
    </w:tbl>
    <w:p>
      <w:pPr>
        <w:pStyle w:val="6"/>
        <w:rPr>
          <w:rFonts w:hint="eastAsia"/>
          <w:lang w:eastAsia="zh-CN"/>
        </w:rPr>
      </w:pPr>
      <w:r>
        <w:rPr>
          <w:rFonts w:hint="eastAsia"/>
          <w:lang w:eastAsia="zh-CN"/>
        </w:rPr>
        <w:t xml:space="preserve">评价标准与评价方法 </w:t>
      </w:r>
    </w:p>
    <w:p>
      <w:pPr>
        <w:pStyle w:val="9"/>
        <w:rPr>
          <w:rFonts w:hint="eastAsia"/>
        </w:rPr>
      </w:pPr>
      <w:r>
        <w:rPr>
          <w:rFonts w:hint="eastAsia"/>
        </w:rPr>
        <w:t xml:space="preserve">本项目环境空气质量执行《环境空气质量标准》（GB3095-2012）二级标准。 </w:t>
      </w:r>
    </w:p>
    <w:p>
      <w:pPr>
        <w:pStyle w:val="9"/>
        <w:rPr>
          <w:rFonts w:hint="eastAsia"/>
        </w:rPr>
      </w:pPr>
      <w:r>
        <w:rPr>
          <w:rFonts w:hint="eastAsia"/>
        </w:rPr>
        <w:t xml:space="preserve">评价方法利用单因子指数法进行评价，评价公式： </w:t>
      </w:r>
    </w:p>
    <w:p>
      <w:pPr>
        <w:pStyle w:val="9"/>
        <w:ind w:left="0" w:leftChars="0" w:firstLine="0" w:firstLineChars="0"/>
        <w:jc w:val="center"/>
        <w:rPr>
          <w:rFonts w:hint="eastAsia" w:eastAsia="宋体"/>
          <w:lang w:eastAsia="zh-CN"/>
        </w:rPr>
      </w:pPr>
      <w:r>
        <w:rPr>
          <w:rFonts w:hint="eastAsia" w:eastAsia="宋体"/>
          <w:position w:val="-30"/>
          <w:lang w:eastAsia="zh-CN"/>
        </w:rPr>
        <w:object>
          <v:shape id="_x0000_i1043" o:spt="75" type="#_x0000_t75" style="height:34pt;width:78pt;" o:ole="t" filled="f" o:preferrelative="t" stroked="f" coordsize="21600,21600">
            <v:path/>
            <v:fill on="f" focussize="0,0"/>
            <v:stroke on="f"/>
            <v:imagedata r:id="rId64" o:title=""/>
            <o:lock v:ext="edit" grouping="f" rotation="f" text="f" aspectratio="t"/>
            <w10:wrap type="none"/>
            <w10:anchorlock/>
          </v:shape>
          <o:OLEObject Type="Embed" ProgID="Equation.KSEE3" ShapeID="_x0000_i1043" DrawAspect="Content" ObjectID="_1468075743" r:id="rId63">
            <o:LockedField>false</o:LockedField>
          </o:OLEObject>
        </w:object>
      </w:r>
    </w:p>
    <w:p>
      <w:pPr>
        <w:pStyle w:val="9"/>
        <w:rPr>
          <w:rFonts w:hint="eastAsia"/>
        </w:rPr>
      </w:pPr>
      <w:r>
        <w:rPr>
          <w:rFonts w:hint="eastAsia"/>
        </w:rPr>
        <w:t>式中：</w:t>
      </w:r>
    </w:p>
    <w:p>
      <w:pPr>
        <w:pStyle w:val="9"/>
        <w:rPr>
          <w:rFonts w:hint="eastAsia"/>
        </w:rPr>
      </w:pPr>
      <w:r>
        <w:rPr>
          <w:rFonts w:hint="eastAsia" w:eastAsia="宋体"/>
          <w:position w:val="-10"/>
          <w:lang w:eastAsia="zh-CN"/>
        </w:rPr>
        <w:object>
          <v:shape id="_x0000_i1044" o:spt="75" type="#_x0000_t75" style="height:17pt;width:12pt;" o:ole="t" filled="f" o:preferrelative="t" stroked="f" coordsize="21600,21600">
            <v:path/>
            <v:fill on="f" focussize="0,0"/>
            <v:stroke on="f"/>
            <v:imagedata r:id="rId66" o:title=""/>
            <o:lock v:ext="edit" grouping="f" rotation="f" text="f" aspectratio="t"/>
            <w10:wrap type="none"/>
            <w10:anchorlock/>
          </v:shape>
          <o:OLEObject Type="Embed" ProgID="Equation.KSEE3" ShapeID="_x0000_i1044" DrawAspect="Content" ObjectID="_1468075744" r:id="rId65">
            <o:LockedField>false</o:LockedField>
          </o:OLEObject>
        </w:object>
      </w:r>
      <w:r>
        <w:rPr>
          <w:rFonts w:hint="eastAsia"/>
        </w:rPr>
        <w:t>—某污染物的污染指数；</w:t>
      </w:r>
    </w:p>
    <w:p>
      <w:pPr>
        <w:pStyle w:val="9"/>
        <w:rPr>
          <w:rFonts w:hint="eastAsia"/>
        </w:rPr>
      </w:pPr>
      <w:r>
        <w:rPr>
          <w:rFonts w:hint="eastAsia" w:eastAsia="宋体"/>
          <w:position w:val="-10"/>
          <w:lang w:eastAsia="zh-CN"/>
        </w:rPr>
        <w:object>
          <v:shape id="_x0000_i1045" o:spt="75" type="#_x0000_t75" style="height:17pt;width:13.95pt;" o:ole="t" filled="f" o:preferrelative="t" stroked="f" coordsize="21600,21600">
            <v:path/>
            <v:fill on="f" focussize="0,0"/>
            <v:stroke on="f"/>
            <v:imagedata r:id="rId68" o:title=""/>
            <o:lock v:ext="edit" grouping="f" rotation="f" text="f" aspectratio="t"/>
            <w10:wrap type="none"/>
            <w10:anchorlock/>
          </v:shape>
          <o:OLEObject Type="Embed" ProgID="Equation.KSEE3" ShapeID="_x0000_i1045" DrawAspect="Content" ObjectID="_1468075745" r:id="rId67">
            <o:LockedField>false</o:LockedField>
          </o:OLEObject>
        </w:object>
      </w:r>
      <w:r>
        <w:rPr>
          <w:rFonts w:hint="eastAsia"/>
        </w:rPr>
        <w:t>—第i种污染物的实测浓度，（mg/m</w:t>
      </w:r>
      <w:r>
        <w:rPr>
          <w:rFonts w:hint="eastAsia"/>
          <w:vertAlign w:val="superscript"/>
        </w:rPr>
        <w:t>3</w:t>
      </w:r>
      <w:r>
        <w:rPr>
          <w:rFonts w:hint="eastAsia"/>
        </w:rPr>
        <w:t>）；</w:t>
      </w:r>
    </w:p>
    <w:p>
      <w:pPr>
        <w:pStyle w:val="9"/>
        <w:rPr>
          <w:rFonts w:hint="eastAsia"/>
        </w:rPr>
      </w:pPr>
      <w:r>
        <w:rPr>
          <w:rFonts w:hint="eastAsia" w:eastAsia="宋体"/>
          <w:position w:val="-12"/>
          <w:lang w:eastAsia="zh-CN"/>
        </w:rPr>
        <w:object>
          <v:shape id="_x0000_i1046" o:spt="75" type="#_x0000_t75" style="height:18pt;width:17pt;" o:ole="t" filled="f" o:preferrelative="t" stroked="f" coordsize="21600,21600">
            <v:path/>
            <v:fill on="f" focussize="0,0"/>
            <v:stroke on="f"/>
            <v:imagedata r:id="rId70" o:title=""/>
            <o:lock v:ext="edit" grouping="f" rotation="f" text="f" aspectratio="t"/>
            <w10:wrap type="none"/>
            <w10:anchorlock/>
          </v:shape>
          <o:OLEObject Type="Embed" ProgID="Equation.KSEE3" ShapeID="_x0000_i1046" DrawAspect="Content" ObjectID="_1468075746" r:id="rId69">
            <o:LockedField>false</o:LockedField>
          </o:OLEObject>
        </w:object>
      </w:r>
      <w:r>
        <w:rPr>
          <w:rFonts w:hint="eastAsia"/>
        </w:rPr>
        <w:t>—第i种污染物的评价标准，（mg/m</w:t>
      </w:r>
      <w:r>
        <w:rPr>
          <w:rFonts w:hint="eastAsia"/>
          <w:vertAlign w:val="superscript"/>
        </w:rPr>
        <w:t>3</w:t>
      </w:r>
      <w:r>
        <w:rPr>
          <w:rFonts w:hint="eastAsia"/>
        </w:rPr>
        <w:t xml:space="preserve">）。 </w:t>
      </w:r>
    </w:p>
    <w:p>
      <w:pPr>
        <w:pStyle w:val="9"/>
        <w:rPr>
          <w:rFonts w:hint="eastAsia"/>
        </w:rPr>
      </w:pPr>
      <w:r>
        <w:rPr>
          <w:rFonts w:hint="eastAsia"/>
        </w:rPr>
        <w:t>当</w:t>
      </w:r>
      <w:r>
        <w:rPr>
          <w:rFonts w:hint="eastAsia" w:eastAsia="宋体"/>
          <w:position w:val="-10"/>
          <w:lang w:eastAsia="zh-CN"/>
        </w:rPr>
        <w:object>
          <v:shape id="_x0000_i1047" o:spt="75" type="#_x0000_t75" style="height:17pt;width:12pt;" o:ole="t" filled="f" o:preferrelative="t" stroked="f" coordsize="21600,21600">
            <v:path/>
            <v:fill on="f" focussize="0,0"/>
            <v:stroke on="f"/>
            <v:imagedata r:id="rId66" o:title=""/>
            <o:lock v:ext="edit" grouping="f" rotation="f" text="f" aspectratio="t"/>
            <w10:wrap type="none"/>
            <w10:anchorlock/>
          </v:shape>
          <o:OLEObject Type="Embed" ProgID="Equation.KSEE3" ShapeID="_x0000_i1047" DrawAspect="Content" ObjectID="_1468075747" r:id="rId71">
            <o:LockedField>false</o:LockedField>
          </o:OLEObject>
        </w:object>
      </w:r>
      <w:r>
        <w:rPr>
          <w:rFonts w:hint="eastAsia"/>
        </w:rPr>
        <w:t>≥1时，说明调查区空气中该污染物浓度超过国家规定的标准限值，当</w:t>
      </w:r>
      <w:r>
        <w:rPr>
          <w:rFonts w:hint="eastAsia" w:eastAsia="宋体"/>
          <w:position w:val="-10"/>
          <w:lang w:eastAsia="zh-CN"/>
        </w:rPr>
        <w:object>
          <v:shape id="_x0000_i1048" o:spt="75" type="#_x0000_t75" style="height:17pt;width:12pt;" o:ole="t" filled="f" o:preferrelative="t" stroked="f" coordsize="21600,21600">
            <v:path/>
            <v:fill on="f" focussize="0,0"/>
            <v:stroke on="f"/>
            <v:imagedata r:id="rId66" o:title=""/>
            <o:lock v:ext="edit" grouping="f" rotation="f" text="f" aspectratio="t"/>
            <w10:wrap type="none"/>
            <w10:anchorlock/>
          </v:shape>
          <o:OLEObject Type="Embed" ProgID="Equation.KSEE3" ShapeID="_x0000_i1048" DrawAspect="Content" ObjectID="_1468075748" r:id="rId72">
            <o:LockedField>false</o:LockedField>
          </o:OLEObject>
        </w:object>
      </w:r>
      <w:r>
        <w:rPr>
          <w:rFonts w:hint="eastAsia"/>
        </w:rPr>
        <w:t xml:space="preserve">＜1时，说明调查区空气中该污染物浓度达到国家规定的标准限值。 </w:t>
      </w:r>
    </w:p>
    <w:p>
      <w:pPr>
        <w:pStyle w:val="6"/>
        <w:rPr>
          <w:rFonts w:hint="eastAsia"/>
          <w:lang w:eastAsia="zh-CN"/>
        </w:rPr>
      </w:pPr>
      <w:r>
        <w:rPr>
          <w:rFonts w:hint="eastAsia"/>
          <w:lang w:eastAsia="zh-CN"/>
        </w:rPr>
        <w:t xml:space="preserve">监测结果及评价 </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rPr>
      </w:pPr>
      <w:r>
        <w:rPr>
          <w:rFonts w:hint="default" w:ascii="Times New Roman" w:hAnsi="Times New Roman" w:eastAsia="宋体" w:cs="Times New Roman"/>
          <w:b/>
          <w:bCs/>
          <w:sz w:val="21"/>
          <w:szCs w:val="21"/>
          <w:lang w:eastAsia="zh-CN"/>
        </w:rPr>
        <w:t>表</w:t>
      </w:r>
      <w:r>
        <w:rPr>
          <w:rFonts w:hint="eastAsia" w:cs="Times New Roman"/>
          <w:b/>
          <w:bCs/>
          <w:sz w:val="21"/>
          <w:szCs w:val="21"/>
          <w:lang w:val="en-US" w:eastAsia="zh-CN"/>
        </w:rPr>
        <w:t>4</w:t>
      </w:r>
      <w:r>
        <w:rPr>
          <w:rFonts w:hint="default" w:ascii="Times New Roman" w:hAnsi="Times New Roman" w:eastAsia="宋体" w:cs="Times New Roman"/>
          <w:b/>
          <w:bCs/>
          <w:sz w:val="21"/>
          <w:szCs w:val="21"/>
          <w:lang w:val="en-US" w:eastAsia="zh-CN"/>
        </w:rPr>
        <w:t>.4-</w:t>
      </w:r>
      <w:r>
        <w:rPr>
          <w:rFonts w:hint="eastAsia" w:cs="Times New Roman"/>
          <w:b/>
          <w:bCs/>
          <w:sz w:val="21"/>
          <w:szCs w:val="21"/>
          <w:lang w:val="en-US" w:eastAsia="zh-CN"/>
        </w:rPr>
        <w:t>3  监测期间气象记录表</w:t>
      </w: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5"/>
        <w:gridCol w:w="1065"/>
        <w:gridCol w:w="1277"/>
        <w:gridCol w:w="832"/>
        <w:gridCol w:w="777"/>
        <w:gridCol w:w="1200"/>
        <w:gridCol w:w="1240"/>
        <w:gridCol w:w="10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tcBorders>
              <w:top w:val="single" w:color="auto" w:sz="12" w:space="0"/>
              <w:left w:val="nil"/>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监测日期</w:t>
            </w:r>
          </w:p>
        </w:tc>
        <w:tc>
          <w:tcPr>
            <w:tcW w:w="1065" w:type="dxa"/>
            <w:tcBorders>
              <w:top w:val="single" w:color="auto" w:sz="12" w:space="0"/>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监测点位</w:t>
            </w:r>
          </w:p>
        </w:tc>
        <w:tc>
          <w:tcPr>
            <w:tcW w:w="1277" w:type="dxa"/>
            <w:tcBorders>
              <w:top w:val="single" w:color="auto" w:sz="12" w:space="0"/>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监测时间</w:t>
            </w:r>
          </w:p>
        </w:tc>
        <w:tc>
          <w:tcPr>
            <w:tcW w:w="832" w:type="dxa"/>
            <w:tcBorders>
              <w:top w:val="single" w:color="auto" w:sz="12" w:space="0"/>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天气</w:t>
            </w:r>
          </w:p>
        </w:tc>
        <w:tc>
          <w:tcPr>
            <w:tcW w:w="777" w:type="dxa"/>
            <w:tcBorders>
              <w:top w:val="single" w:color="auto" w:sz="12" w:space="0"/>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风向</w:t>
            </w:r>
          </w:p>
        </w:tc>
        <w:tc>
          <w:tcPr>
            <w:tcW w:w="1200" w:type="dxa"/>
            <w:tcBorders>
              <w:top w:val="single" w:color="auto" w:sz="12" w:space="0"/>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风速(m/s)</w:t>
            </w:r>
          </w:p>
        </w:tc>
        <w:tc>
          <w:tcPr>
            <w:tcW w:w="1240" w:type="dxa"/>
            <w:tcBorders>
              <w:top w:val="single" w:color="auto" w:sz="12" w:space="0"/>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气压</w:t>
            </w:r>
            <w:r>
              <w:rPr>
                <w:rFonts w:hint="default" w:ascii="Times New Roman" w:hAnsi="Times New Roman" w:eastAsia="宋体" w:cs="Times New Roman"/>
                <w:sz w:val="21"/>
                <w:szCs w:val="21"/>
              </w:rPr>
              <w:t>（KPa）</w:t>
            </w:r>
          </w:p>
        </w:tc>
        <w:tc>
          <w:tcPr>
            <w:tcW w:w="1066" w:type="dxa"/>
            <w:tcBorders>
              <w:top w:val="single" w:color="auto" w:sz="12" w:space="0"/>
              <w:bottom w:val="single" w:color="auto" w:sz="12" w:space="0"/>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气温</w:t>
            </w:r>
            <w:r>
              <w:rPr>
                <w:rFonts w:hint="default" w:ascii="Times New Roman" w:hAnsi="Times New Roman" w:eastAsia="宋体" w:cs="Times New Roman"/>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restart"/>
            <w:tcBorders>
              <w:top w:val="single" w:color="auto" w:sz="12" w:space="0"/>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厂址中心</w:t>
            </w:r>
          </w:p>
        </w:tc>
        <w:tc>
          <w:tcPr>
            <w:tcW w:w="1065" w:type="dxa"/>
            <w:vMerge w:val="restart"/>
            <w:tcBorders>
              <w:top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3.31</w:t>
            </w:r>
          </w:p>
        </w:tc>
        <w:tc>
          <w:tcPr>
            <w:tcW w:w="1277" w:type="dxa"/>
            <w:tcBorders>
              <w:top w:val="single" w:color="auto" w:sz="12" w:space="0"/>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02:00-03:00</w:t>
            </w:r>
          </w:p>
        </w:tc>
        <w:tc>
          <w:tcPr>
            <w:tcW w:w="832" w:type="dxa"/>
            <w:tcBorders>
              <w:top w:val="single" w:color="auto" w:sz="12" w:space="0"/>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tcBorders>
              <w:top w:val="single" w:color="auto" w:sz="12" w:space="0"/>
            </w:tcBorders>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tcBorders>
              <w:top w:val="single" w:color="auto" w:sz="12" w:space="0"/>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2.3</w:t>
            </w:r>
          </w:p>
        </w:tc>
        <w:tc>
          <w:tcPr>
            <w:tcW w:w="1240" w:type="dxa"/>
            <w:tcBorders>
              <w:top w:val="single" w:color="auto" w:sz="12" w:space="0"/>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top w:val="single" w:color="auto" w:sz="12" w:space="0"/>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08:00-09:00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1.8</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trPr>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14:00-15:00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1.9</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20:00-21:00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2.1</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下风向</w:t>
            </w: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02:00-03:00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2.3</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08:00-09:00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1.8</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14:00-15:00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1.9</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20:00-21:00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2.1</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厂址中心</w:t>
            </w:r>
          </w:p>
        </w:tc>
        <w:tc>
          <w:tcPr>
            <w:tcW w:w="1065"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4.1</w:t>
            </w: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02:00-03:00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1.8</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08:00-09:00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1.5</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14:00-15:00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2.3</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20:00-21:00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2.0</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下风向</w:t>
            </w: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02:00-03:00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1.8</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08:00-09:00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1.5</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14:00-15:00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2.3</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20:00-21:00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2.0</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厂址中心</w:t>
            </w:r>
          </w:p>
        </w:tc>
        <w:tc>
          <w:tcPr>
            <w:tcW w:w="1065"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4.2</w:t>
            </w: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02:00-03:00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08:00-09:00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2.3</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14:00-15:00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1.3</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20:00-21:00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1.9</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下风向</w:t>
            </w: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02:00-03:00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08:00-09:00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2.3</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14:00-15:00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1.3</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20:00-21:00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1.9</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厂址中心</w:t>
            </w:r>
          </w:p>
        </w:tc>
        <w:tc>
          <w:tcPr>
            <w:tcW w:w="1065"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4.3</w:t>
            </w: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02:00-03:00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2.3</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08:00-09:00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1.9</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14:00-15:00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2.0</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20:00-21:00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1.7</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下风向</w:t>
            </w: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02:00-03:00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2.3</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08:00-09:00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1.9</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14:00-15:00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2.0</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20:00-21:00</w:t>
            </w:r>
          </w:p>
        </w:tc>
        <w:tc>
          <w:tcPr>
            <w:tcW w:w="832"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eastAsia"/>
                <w:sz w:val="21"/>
                <w:szCs w:val="21"/>
                <w:vertAlign w:val="baseline"/>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1.7</w:t>
            </w:r>
          </w:p>
        </w:tc>
        <w:tc>
          <w:tcPr>
            <w:tcW w:w="1240" w:type="dxa"/>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sz w:val="21"/>
                <w:szCs w:val="21"/>
                <w:vertAlign w:val="baseline"/>
              </w:rPr>
            </w:pPr>
            <w:r>
              <w:rPr>
                <w:rFonts w:hint="eastAsia" w:cs="Times New Roman"/>
                <w:sz w:val="21"/>
                <w:szCs w:val="21"/>
                <w:lang w:val="en-US" w:eastAsia="zh-CN"/>
              </w:rPr>
              <w:t>15.5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restart"/>
            <w:tcBorders>
              <w:left w:val="nil"/>
            </w:tcBorders>
            <w:noWrap w:val="0"/>
            <w:vAlign w:val="center"/>
          </w:tcPr>
          <w:p>
            <w:pPr>
              <w:spacing w:line="280" w:lineRule="exact"/>
              <w:ind w:right="-105" w:rightChars="-50"/>
              <w:jc w:val="center"/>
              <w:rPr>
                <w:rFonts w:hint="eastAsia"/>
                <w:sz w:val="21"/>
                <w:szCs w:val="21"/>
                <w:vertAlign w:val="baseline"/>
              </w:rPr>
            </w:pPr>
            <w:r>
              <w:rPr>
                <w:rFonts w:hint="eastAsia" w:ascii="Times New Roman" w:hAnsi="Times New Roman" w:cs="Times New Roman"/>
                <w:sz w:val="21"/>
                <w:szCs w:val="21"/>
                <w:lang w:eastAsia="zh-CN"/>
              </w:rPr>
              <w:t>厂址中心</w:t>
            </w:r>
          </w:p>
        </w:tc>
        <w:tc>
          <w:tcPr>
            <w:tcW w:w="1065"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4.4</w:t>
            </w: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02:00-03:00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1.7</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08:00-09:00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2.2</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14:00-15:00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1.5</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20:00-21:00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2.2</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1065" w:type="dxa"/>
            <w:vMerge w:val="restart"/>
            <w:tcBorders>
              <w:left w:val="nil"/>
            </w:tcBorders>
            <w:noWrap w:val="0"/>
            <w:vAlign w:val="center"/>
          </w:tcPr>
          <w:p>
            <w:pPr>
              <w:widowControl/>
              <w:spacing w:line="280" w:lineRule="exact"/>
              <w:ind w:right="-105" w:rightChars="-50"/>
              <w:jc w:val="center"/>
              <w:rPr>
                <w:rFonts w:hint="eastAsia"/>
                <w:sz w:val="21"/>
                <w:szCs w:val="21"/>
                <w:vertAlign w:val="baseline"/>
              </w:rPr>
            </w:pPr>
            <w:r>
              <w:rPr>
                <w:rFonts w:hint="default" w:ascii="Times New Roman" w:hAnsi="Times New Roman" w:cs="Times New Roman"/>
                <w:sz w:val="21"/>
                <w:szCs w:val="21"/>
              </w:rPr>
              <w:t>下风向</w:t>
            </w: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02:00-03:00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1.7</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08:00-09:00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2.2</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rPr>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14:00-15:00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1.5</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20:00-21:00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2.2</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厂址中心</w:t>
            </w:r>
          </w:p>
        </w:tc>
        <w:tc>
          <w:tcPr>
            <w:tcW w:w="1065"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4.5</w:t>
            </w: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02:00-03:00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2.2</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trPr>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08:00-09:00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1.5</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14:00-15:00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2.3</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20:00-21:00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1.6</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下风向</w:t>
            </w: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02:00-03:00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2.2</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100.3</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08:00-09:00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1.5</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14:00-15:00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2.3</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20:00-21:00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1.6</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厂址中心</w:t>
            </w:r>
          </w:p>
        </w:tc>
        <w:tc>
          <w:tcPr>
            <w:tcW w:w="1065"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4.6</w:t>
            </w: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02:00-03:00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1.5</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08:00-09:00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1.8</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14:00-15:00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2.3</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20:00-21:00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1.8</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下风向</w:t>
            </w: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02:00-03:00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1.5</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08:00-09:00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1.8</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100.2</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14:00-15:00</w:t>
            </w:r>
          </w:p>
        </w:tc>
        <w:tc>
          <w:tcPr>
            <w:tcW w:w="832"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2.3</w:t>
            </w:r>
          </w:p>
        </w:tc>
        <w:tc>
          <w:tcPr>
            <w:tcW w:w="1240" w:type="dxa"/>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100.1</w:t>
            </w:r>
          </w:p>
        </w:tc>
        <w:tc>
          <w:tcPr>
            <w:tcW w:w="1066" w:type="dxa"/>
            <w:tcBorders>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5" w:type="dxa"/>
            <w:vMerge w:val="continue"/>
            <w:tcBorders>
              <w:left w:val="nil"/>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065" w:type="dxa"/>
            <w:vMerge w:val="continue"/>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77" w:type="dxa"/>
            <w:tcBorders>
              <w:bottom w:val="single" w:color="auto" w:sz="12" w:space="0"/>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20:00-21:00</w:t>
            </w:r>
          </w:p>
        </w:tc>
        <w:tc>
          <w:tcPr>
            <w:tcW w:w="832" w:type="dxa"/>
            <w:tcBorders>
              <w:bottom w:val="single" w:color="auto" w:sz="12" w:space="0"/>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阴</w:t>
            </w:r>
          </w:p>
        </w:tc>
        <w:tc>
          <w:tcPr>
            <w:tcW w:w="777" w:type="dxa"/>
            <w:tcBorders>
              <w:bottom w:val="single" w:color="auto" w:sz="12" w:space="0"/>
            </w:tcBorders>
            <w:noWrap w:val="0"/>
            <w:vAlign w:val="center"/>
          </w:tcPr>
          <w:p>
            <w:pPr>
              <w:spacing w:line="280" w:lineRule="exact"/>
              <w:ind w:left="-105" w:leftChars="-50" w:right="-105" w:rightChars="-50"/>
              <w:jc w:val="center"/>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北</w:t>
            </w:r>
          </w:p>
        </w:tc>
        <w:tc>
          <w:tcPr>
            <w:tcW w:w="1200" w:type="dxa"/>
            <w:tcBorders>
              <w:bottom w:val="single" w:color="auto" w:sz="12" w:space="0"/>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1.8</w:t>
            </w:r>
          </w:p>
        </w:tc>
        <w:tc>
          <w:tcPr>
            <w:tcW w:w="1240" w:type="dxa"/>
            <w:tcBorders>
              <w:bottom w:val="single" w:color="auto" w:sz="12" w:space="0"/>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100.1</w:t>
            </w:r>
          </w:p>
        </w:tc>
        <w:tc>
          <w:tcPr>
            <w:tcW w:w="1066" w:type="dxa"/>
            <w:tcBorders>
              <w:bottom w:val="single" w:color="auto" w:sz="12" w:space="0"/>
              <w:right w:val="nil"/>
            </w:tcBorders>
            <w:noWrap w:val="0"/>
            <w:vAlign w:val="center"/>
          </w:tcPr>
          <w:p>
            <w:pPr>
              <w:spacing w:line="280" w:lineRule="exact"/>
              <w:ind w:left="-105" w:leftChars="-50" w:right="-105" w:rightChars="-50"/>
              <w:jc w:val="center"/>
              <w:rPr>
                <w:rFonts w:hint="eastAsia" w:cs="Times New Roman"/>
                <w:sz w:val="21"/>
                <w:szCs w:val="21"/>
                <w:lang w:val="en-US" w:eastAsia="zh-CN"/>
              </w:rPr>
            </w:pPr>
            <w:r>
              <w:rPr>
                <w:rFonts w:hint="eastAsia" w:cs="Times New Roman"/>
                <w:sz w:val="21"/>
                <w:szCs w:val="21"/>
                <w:lang w:val="en-US" w:eastAsia="zh-CN"/>
              </w:rPr>
              <w:t>17.1</w:t>
            </w:r>
          </w:p>
        </w:tc>
      </w:tr>
    </w:tbl>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b/>
          <w:bCs/>
          <w:sz w:val="21"/>
          <w:szCs w:val="21"/>
          <w:lang w:eastAsia="zh-CN"/>
        </w:rPr>
      </w:pP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b/>
          <w:bCs/>
          <w:sz w:val="21"/>
          <w:szCs w:val="21"/>
          <w:lang w:eastAsia="zh-CN"/>
        </w:rPr>
      </w:pPr>
      <w:r>
        <w:rPr>
          <w:rFonts w:hint="default" w:ascii="Times New Roman" w:hAnsi="Times New Roman" w:eastAsia="宋体" w:cs="Times New Roman"/>
          <w:b/>
          <w:bCs/>
          <w:sz w:val="21"/>
          <w:szCs w:val="21"/>
          <w:lang w:eastAsia="zh-CN"/>
        </w:rPr>
        <w:t>表</w:t>
      </w:r>
      <w:r>
        <w:rPr>
          <w:rFonts w:hint="default" w:ascii="Times New Roman" w:hAnsi="Times New Roman" w:eastAsia="宋体" w:cs="Times New Roman"/>
          <w:b/>
          <w:bCs/>
          <w:sz w:val="21"/>
          <w:szCs w:val="21"/>
          <w:lang w:val="en-US" w:eastAsia="zh-CN"/>
        </w:rPr>
        <w:t>4.4-4   环境空气质量监测结果</w:t>
      </w:r>
      <w:r>
        <w:rPr>
          <w:rFonts w:hint="eastAsia" w:ascii="Times New Roman" w:hAnsi="Times New Roman" w:eastAsia="宋体" w:cs="Times New Roman"/>
          <w:b/>
          <w:bCs/>
          <w:sz w:val="21"/>
          <w:szCs w:val="21"/>
          <w:lang w:val="en-US" w:eastAsia="zh-CN"/>
        </w:rPr>
        <w:t>集质量指数</w:t>
      </w:r>
      <w:r>
        <w:rPr>
          <w:rFonts w:hint="default" w:ascii="Times New Roman" w:hAnsi="Times New Roman" w:eastAsia="宋体" w:cs="Times New Roman"/>
          <w:b/>
          <w:bCs/>
          <w:sz w:val="21"/>
          <w:szCs w:val="21"/>
          <w:lang w:val="en-US" w:eastAsia="zh-CN"/>
        </w:rPr>
        <w:t>一览表   单位：mg/m</w:t>
      </w:r>
      <w:r>
        <w:rPr>
          <w:rFonts w:hint="default" w:ascii="Times New Roman" w:hAnsi="Times New Roman" w:eastAsia="宋体" w:cs="Times New Roman"/>
          <w:b/>
          <w:bCs/>
          <w:sz w:val="21"/>
          <w:szCs w:val="21"/>
          <w:vertAlign w:val="superscript"/>
          <w:lang w:val="en-US" w:eastAsia="zh-CN"/>
        </w:rPr>
        <w:t>3</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7"/>
        <w:gridCol w:w="1217"/>
        <w:gridCol w:w="1217"/>
        <w:gridCol w:w="1217"/>
        <w:gridCol w:w="1218"/>
        <w:gridCol w:w="1218"/>
        <w:gridCol w:w="12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restart"/>
            <w:tcBorders>
              <w:top w:val="single" w:color="auto" w:sz="12" w:space="0"/>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监测日期</w:t>
            </w:r>
          </w:p>
        </w:tc>
        <w:tc>
          <w:tcPr>
            <w:tcW w:w="1217" w:type="dxa"/>
            <w:vMerge w:val="restart"/>
            <w:tcBorders>
              <w:top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监测点位</w:t>
            </w:r>
          </w:p>
        </w:tc>
        <w:tc>
          <w:tcPr>
            <w:tcW w:w="1217" w:type="dxa"/>
            <w:vMerge w:val="restart"/>
            <w:tcBorders>
              <w:top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监测时间</w:t>
            </w:r>
          </w:p>
        </w:tc>
        <w:tc>
          <w:tcPr>
            <w:tcW w:w="4871" w:type="dxa"/>
            <w:gridSpan w:val="4"/>
            <w:tcBorders>
              <w:top w:val="single" w:color="auto" w:sz="12" w:space="0"/>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监测项目及结果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氨</w:t>
            </w:r>
          </w:p>
        </w:tc>
        <w:tc>
          <w:tcPr>
            <w:tcW w:w="1218"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质量指数</w:t>
            </w:r>
          </w:p>
        </w:tc>
        <w:tc>
          <w:tcPr>
            <w:tcW w:w="1218"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硫化氢</w:t>
            </w:r>
          </w:p>
        </w:tc>
        <w:tc>
          <w:tcPr>
            <w:tcW w:w="1218"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质量指数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3.31</w:t>
            </w: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eastAsia="zh-CN"/>
              </w:rPr>
              <w:t>厂址中心</w:t>
            </w: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02:00-03:00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0.02</w:t>
            </w:r>
          </w:p>
        </w:tc>
        <w:tc>
          <w:tcPr>
            <w:tcW w:w="1218"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0.1</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r>
              <w:rPr>
                <w:rFonts w:hint="default" w:ascii="Times New Roman" w:hAnsi="Times New Roman" w:eastAsia="宋体" w:cs="Times New Roman"/>
                <w:sz w:val="21"/>
                <w:szCs w:val="21"/>
                <w:vertAlign w:val="subscript"/>
                <w:lang w:val="en-US" w:eastAsia="zh-CN"/>
              </w:rPr>
              <w:t>L</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08:00-09:00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0.03</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0.003</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14:00-15:00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0.03</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0.004</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20:00-21:00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eastAsia="zh-CN"/>
              </w:rPr>
              <w:t>下风向</w:t>
            </w: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02:00-03:00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0.02</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i w:val="0"/>
                <w:color w:val="000000"/>
                <w:kern w:val="0"/>
                <w:sz w:val="21"/>
                <w:szCs w:val="21"/>
                <w:u w:val="none"/>
                <w:lang w:val="en-US" w:eastAsia="zh-CN" w:bidi="ar"/>
              </w:rPr>
              <w:t>0.1</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08:00-09:00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0.006</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14:00-15:00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0.05</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0.009</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20:00-21:00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0.05</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0.005</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4.1</w:t>
            </w: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eastAsia="zh-CN"/>
              </w:rPr>
              <w:t>厂址中心</w:t>
            </w: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02:00-03:00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08:00-09:00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0.06</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0.3</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0.005</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14:00-15:00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0.06</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0.3</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0.004</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20:00-21:00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0.05</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0.007</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eastAsia="zh-CN"/>
              </w:rPr>
              <w:t>下风向</w:t>
            </w: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02:00-03:00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0.02</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r>
              <w:rPr>
                <w:rFonts w:hint="default" w:ascii="Times New Roman" w:hAnsi="Times New Roman" w:eastAsia="宋体" w:cs="Times New Roman"/>
                <w:sz w:val="21"/>
                <w:szCs w:val="21"/>
                <w:vertAlign w:val="subscript"/>
                <w:lang w:val="en-US" w:eastAsia="zh-CN"/>
              </w:rPr>
              <w:t>L</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08:00-09:00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14:00-15:00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0.05</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0.004</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20:00-21:00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0.06</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0.3</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0.003</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4.2</w:t>
            </w: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eastAsia="zh-CN"/>
              </w:rPr>
              <w:t>厂址中心</w:t>
            </w: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02:00-03:00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0.03</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0.002</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08:00-09:00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0.004</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14:00-15:00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0.05</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0.008</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20:00-21:00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0.05</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0.005</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eastAsia="zh-CN"/>
              </w:rPr>
              <w:t>下风向</w:t>
            </w: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02:00-03:00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0.03</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r>
              <w:rPr>
                <w:rFonts w:hint="default" w:ascii="Times New Roman" w:hAnsi="Times New Roman" w:eastAsia="宋体" w:cs="Times New Roman"/>
                <w:sz w:val="21"/>
                <w:szCs w:val="21"/>
                <w:vertAlign w:val="subscript"/>
                <w:lang w:val="en-US" w:eastAsia="zh-CN"/>
              </w:rPr>
              <w:t>L</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08:00-09:00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0.06</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0.3</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0.003</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14:00-15:00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0.05</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0.004</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20:00-21:00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0.002</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4.3</w:t>
            </w: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eastAsia="zh-CN"/>
              </w:rPr>
              <w:t>厂址中心</w:t>
            </w: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02:00-03:00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0.02</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08:00-09:00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0.006</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14:00-15:00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0.005</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20:00-21:00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0.05</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0.007</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eastAsia="zh-CN"/>
              </w:rPr>
              <w:t>下风向</w:t>
            </w: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02:00-03:00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0.02</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r>
              <w:rPr>
                <w:rFonts w:hint="default" w:ascii="Times New Roman" w:hAnsi="Times New Roman" w:eastAsia="宋体" w:cs="Times New Roman"/>
                <w:sz w:val="21"/>
                <w:szCs w:val="21"/>
                <w:vertAlign w:val="subscript"/>
                <w:lang w:val="en-US" w:eastAsia="zh-CN"/>
              </w:rPr>
              <w:t>L</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08:00-09:00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0.03</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0.003</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14:00-15:00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0.03</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0.006</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20:00-21:00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0.05</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0.007</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4.4</w:t>
            </w: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eastAsia="zh-CN"/>
              </w:rPr>
              <w:t>厂址中心</w:t>
            </w: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02:00-03:00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0.02</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08:00-09:00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0.02</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0.006</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14:00-15:00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0.004</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20:00-21:00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0.007</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eastAsia="zh-CN"/>
              </w:rPr>
              <w:t>下风向</w:t>
            </w: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02:00-03:00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0.02</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0.002</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08:00-09:00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0.03</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0.009</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14:00-15:00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0.004</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20:00-21:00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0.05</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0.007</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4.5</w:t>
            </w: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eastAsia="zh-CN"/>
              </w:rPr>
              <w:t>厂址中心</w:t>
            </w: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02:00-03:00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0.02</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08:00-09:00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0.005</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14:00-15:00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0.06</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0.3</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0.008</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20:00-21:00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0.006</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eastAsia="zh-CN"/>
              </w:rPr>
              <w:t>下风向</w:t>
            </w: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02:00-03:00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0.02</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0.002</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08:00-09:00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0.03</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0.004</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14:00-15:00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0.006</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20:00-21:00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0.05</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0.005</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4.6</w:t>
            </w: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eastAsia="zh-CN"/>
              </w:rPr>
              <w:t>厂址中心</w:t>
            </w: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02:00-03:00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0.02</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08:00-09:00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0.007</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14:00-15:00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0.004</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20:00-21:00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0.009</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eastAsia="zh-CN"/>
              </w:rPr>
              <w:t>下风向</w:t>
            </w: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02:00-03:00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0.03</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0.001</w:t>
            </w:r>
            <w:r>
              <w:rPr>
                <w:rFonts w:hint="default" w:ascii="Times New Roman" w:hAnsi="Times New Roman" w:eastAsia="宋体" w:cs="Times New Roman"/>
                <w:sz w:val="21"/>
                <w:szCs w:val="21"/>
                <w:vertAlign w:val="subscript"/>
                <w:lang w:val="en-US" w:eastAsia="zh-CN"/>
              </w:rPr>
              <w:t>L</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08:00-09:00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0.05</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0.003</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14:00-15:00</w:t>
            </w:r>
          </w:p>
        </w:tc>
        <w:tc>
          <w:tcPr>
            <w:tcW w:w="1217"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0.05</w:t>
            </w:r>
          </w:p>
        </w:tc>
        <w:tc>
          <w:tcPr>
            <w:tcW w:w="1218" w:type="dxa"/>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0.25</w:t>
            </w:r>
          </w:p>
        </w:tc>
        <w:tc>
          <w:tcPr>
            <w:tcW w:w="1218" w:type="dxa"/>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0.008</w:t>
            </w:r>
          </w:p>
        </w:tc>
        <w:tc>
          <w:tcPr>
            <w:tcW w:w="1218"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7" w:type="dxa"/>
            <w:vMerge w:val="continue"/>
            <w:tcBorders>
              <w:left w:val="nil"/>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vMerge w:val="continue"/>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rPr>
            </w:pPr>
          </w:p>
        </w:tc>
        <w:tc>
          <w:tcPr>
            <w:tcW w:w="1217" w:type="dxa"/>
            <w:tcBorders>
              <w:bottom w:val="single" w:color="auto" w:sz="12" w:space="0"/>
            </w:tcBorders>
            <w:noWrap w:val="0"/>
            <w:vAlign w:val="center"/>
          </w:tcPr>
          <w:p>
            <w:pPr>
              <w:spacing w:line="280" w:lineRule="exact"/>
              <w:ind w:left="-105" w:leftChars="-50" w:right="-105" w:rightChars="-5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20:00-21:00</w:t>
            </w:r>
          </w:p>
        </w:tc>
        <w:tc>
          <w:tcPr>
            <w:tcW w:w="1217" w:type="dxa"/>
            <w:tcBorders>
              <w:bottom w:val="single" w:color="auto" w:sz="12" w:space="0"/>
            </w:tcBorders>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0.06</w:t>
            </w:r>
          </w:p>
        </w:tc>
        <w:tc>
          <w:tcPr>
            <w:tcW w:w="1218" w:type="dxa"/>
            <w:tcBorders>
              <w:bottom w:val="single" w:color="auto" w:sz="12" w:space="0"/>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0.3</w:t>
            </w:r>
          </w:p>
        </w:tc>
        <w:tc>
          <w:tcPr>
            <w:tcW w:w="1218" w:type="dxa"/>
            <w:tcBorders>
              <w:bottom w:val="single" w:color="auto" w:sz="12" w:space="0"/>
            </w:tcBorders>
            <w:noWrap w:val="0"/>
            <w:vAlign w:val="center"/>
          </w:tcPr>
          <w:p>
            <w:pPr>
              <w:spacing w:line="300" w:lineRule="exact"/>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0.006</w:t>
            </w:r>
          </w:p>
        </w:tc>
        <w:tc>
          <w:tcPr>
            <w:tcW w:w="1218" w:type="dxa"/>
            <w:tcBorders>
              <w:bottom w:val="single" w:color="auto" w:sz="12"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0.6</w:t>
            </w:r>
          </w:p>
        </w:tc>
      </w:tr>
    </w:tbl>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textAlignment w:val="auto"/>
        <w:rPr>
          <w:rFonts w:hint="eastAsia"/>
        </w:rPr>
      </w:pPr>
      <w:r>
        <w:rPr>
          <w:rFonts w:hint="default" w:ascii="Times New Roman" w:hAnsi="Times New Roman" w:eastAsia="宋体" w:cs="Times New Roman"/>
          <w:b/>
          <w:bCs/>
          <w:sz w:val="18"/>
          <w:szCs w:val="18"/>
          <w:lang w:eastAsia="zh-CN"/>
        </w:rPr>
        <w:t>备注：</w:t>
      </w:r>
      <w:r>
        <w:rPr>
          <w:rFonts w:hint="eastAsia" w:cs="Times New Roman"/>
          <w:b/>
          <w:bCs/>
          <w:sz w:val="18"/>
          <w:szCs w:val="18"/>
          <w:lang w:eastAsia="zh-CN"/>
        </w:rPr>
        <w:t>质量指数中</w:t>
      </w:r>
      <w:r>
        <w:rPr>
          <w:rFonts w:hint="eastAsia" w:cs="Times New Roman"/>
          <w:b/>
          <w:bCs/>
          <w:sz w:val="18"/>
          <w:szCs w:val="18"/>
          <w:lang w:val="en-US" w:eastAsia="zh-CN"/>
        </w:rPr>
        <w:t>L</w:t>
      </w:r>
      <w:r>
        <w:rPr>
          <w:rFonts w:hint="eastAsia" w:cs="Times New Roman"/>
          <w:b/>
          <w:bCs/>
          <w:sz w:val="18"/>
          <w:szCs w:val="18"/>
          <w:lang w:eastAsia="zh-CN"/>
        </w:rPr>
        <w:t>按检出限计</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b/>
          <w:bCs/>
          <w:sz w:val="21"/>
          <w:szCs w:val="21"/>
          <w:lang w:eastAsia="zh-CN"/>
        </w:rPr>
      </w:pPr>
      <w:r>
        <w:rPr>
          <w:rFonts w:hint="default" w:ascii="Times New Roman" w:hAnsi="Times New Roman" w:eastAsia="宋体" w:cs="Times New Roman"/>
          <w:b/>
          <w:bCs/>
          <w:sz w:val="21"/>
          <w:szCs w:val="21"/>
          <w:lang w:eastAsia="zh-CN"/>
        </w:rPr>
        <w:t>表</w:t>
      </w:r>
      <w:r>
        <w:rPr>
          <w:rFonts w:hint="default" w:ascii="Times New Roman" w:hAnsi="Times New Roman" w:eastAsia="宋体" w:cs="Times New Roman"/>
          <w:b/>
          <w:bCs/>
          <w:sz w:val="21"/>
          <w:szCs w:val="21"/>
          <w:lang w:val="en-US" w:eastAsia="zh-CN"/>
        </w:rPr>
        <w:t>4.4-</w:t>
      </w:r>
      <w:r>
        <w:rPr>
          <w:rFonts w:hint="eastAsia" w:cs="Times New Roman"/>
          <w:b/>
          <w:bCs/>
          <w:sz w:val="21"/>
          <w:szCs w:val="21"/>
          <w:lang w:val="en-US" w:eastAsia="zh-CN"/>
        </w:rPr>
        <w:t>5</w:t>
      </w:r>
      <w:r>
        <w:rPr>
          <w:rFonts w:hint="default" w:ascii="Times New Roman" w:hAnsi="Times New Roman" w:eastAsia="宋体" w:cs="Times New Roman"/>
          <w:b/>
          <w:bCs/>
          <w:sz w:val="21"/>
          <w:szCs w:val="21"/>
          <w:lang w:val="en-US" w:eastAsia="zh-CN"/>
        </w:rPr>
        <w:t xml:space="preserve">   环境空气质量监测结果</w:t>
      </w:r>
      <w:r>
        <w:rPr>
          <w:rFonts w:hint="eastAsia" w:ascii="Times New Roman" w:hAnsi="Times New Roman" w:eastAsia="宋体" w:cs="Times New Roman"/>
          <w:b/>
          <w:bCs/>
          <w:sz w:val="21"/>
          <w:szCs w:val="21"/>
          <w:lang w:val="en-US" w:eastAsia="zh-CN"/>
        </w:rPr>
        <w:t>集质量指数</w:t>
      </w:r>
      <w:r>
        <w:rPr>
          <w:rFonts w:hint="default" w:ascii="Times New Roman" w:hAnsi="Times New Roman" w:eastAsia="宋体" w:cs="Times New Roman"/>
          <w:b/>
          <w:bCs/>
          <w:sz w:val="21"/>
          <w:szCs w:val="21"/>
          <w:lang w:val="en-US" w:eastAsia="zh-CN"/>
        </w:rPr>
        <w:t>一览表   单位：</w:t>
      </w:r>
      <w:r>
        <w:rPr>
          <w:rFonts w:hint="eastAsia" w:cs="Times New Roman"/>
          <w:b/>
          <w:bCs/>
          <w:sz w:val="21"/>
          <w:szCs w:val="21"/>
          <w:lang w:val="en-US" w:eastAsia="zh-CN"/>
        </w:rPr>
        <w:t>无量纲</w:t>
      </w: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7"/>
        <w:gridCol w:w="1217"/>
        <w:gridCol w:w="1217"/>
        <w:gridCol w:w="2435"/>
        <w:gridCol w:w="24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restart"/>
            <w:tcBorders>
              <w:top w:val="single" w:color="auto" w:sz="12" w:space="0"/>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监测日期</w:t>
            </w:r>
          </w:p>
        </w:tc>
        <w:tc>
          <w:tcPr>
            <w:tcW w:w="1217" w:type="dxa"/>
            <w:vMerge w:val="restart"/>
            <w:tcBorders>
              <w:top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监测点位</w:t>
            </w:r>
          </w:p>
        </w:tc>
        <w:tc>
          <w:tcPr>
            <w:tcW w:w="1217" w:type="dxa"/>
            <w:vMerge w:val="restart"/>
            <w:tcBorders>
              <w:top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监测时间</w:t>
            </w:r>
          </w:p>
        </w:tc>
        <w:tc>
          <w:tcPr>
            <w:tcW w:w="4871" w:type="dxa"/>
            <w:gridSpan w:val="2"/>
            <w:tcBorders>
              <w:top w:val="single" w:color="auto" w:sz="12" w:space="0"/>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监测项目及结果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2435"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臭气浓度</w:t>
            </w:r>
          </w:p>
        </w:tc>
        <w:tc>
          <w:tcPr>
            <w:tcW w:w="2436" w:type="dxa"/>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eastAsia="zh-CN"/>
              </w:rPr>
            </w:pPr>
            <w:r>
              <w:rPr>
                <w:rFonts w:hint="eastAsia"/>
                <w:sz w:val="21"/>
                <w:szCs w:val="21"/>
                <w:vertAlign w:val="baseline"/>
                <w:lang w:eastAsia="zh-CN"/>
              </w:rPr>
              <w:t>质量指数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3.31</w:t>
            </w: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厂址中心</w:t>
            </w:r>
          </w:p>
        </w:tc>
        <w:tc>
          <w:tcPr>
            <w:tcW w:w="1217" w:type="dxa"/>
            <w:noWrap w:val="0"/>
            <w:vAlign w:val="center"/>
          </w:tcPr>
          <w:p>
            <w:pPr>
              <w:spacing w:line="300" w:lineRule="exact"/>
              <w:jc w:val="center"/>
              <w:rPr>
                <w:rFonts w:hint="eastAsia"/>
                <w:sz w:val="21"/>
                <w:szCs w:val="21"/>
                <w:vertAlign w:val="baseline"/>
              </w:rPr>
            </w:pPr>
            <w:r>
              <w:rPr>
                <w:rFonts w:hint="eastAsia"/>
                <w:szCs w:val="21"/>
                <w:lang w:val="en-US" w:eastAsia="zh-CN"/>
              </w:rPr>
              <w:t>08:00</w:t>
            </w:r>
          </w:p>
        </w:tc>
        <w:tc>
          <w:tcPr>
            <w:tcW w:w="2435" w:type="dxa"/>
            <w:noWrap w:val="0"/>
            <w:vAlign w:val="center"/>
          </w:tcPr>
          <w:p>
            <w:pPr>
              <w:spacing w:line="300" w:lineRule="exact"/>
              <w:jc w:val="center"/>
              <w:rPr>
                <w:rFonts w:hint="eastAsia" w:eastAsia="宋体"/>
                <w:sz w:val="21"/>
                <w:szCs w:val="21"/>
                <w:vertAlign w:val="baseline"/>
                <w:lang w:val="en-US" w:eastAsia="zh-CN"/>
              </w:rPr>
            </w:pPr>
            <w:r>
              <w:rPr>
                <w:rFonts w:hint="eastAsia"/>
                <w:szCs w:val="21"/>
                <w:lang w:val="en-US" w:eastAsia="zh-CN"/>
              </w:rPr>
              <w:t>14</w:t>
            </w:r>
          </w:p>
        </w:tc>
        <w:tc>
          <w:tcPr>
            <w:tcW w:w="2436"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spacing w:line="300" w:lineRule="exact"/>
              <w:jc w:val="center"/>
              <w:rPr>
                <w:rFonts w:hint="eastAsia"/>
                <w:sz w:val="21"/>
                <w:szCs w:val="21"/>
                <w:vertAlign w:val="baseline"/>
              </w:rPr>
            </w:pPr>
            <w:r>
              <w:rPr>
                <w:rFonts w:hint="eastAsia"/>
                <w:szCs w:val="21"/>
                <w:lang w:val="en-US" w:eastAsia="zh-CN"/>
              </w:rPr>
              <w:t>10:00</w:t>
            </w:r>
          </w:p>
        </w:tc>
        <w:tc>
          <w:tcPr>
            <w:tcW w:w="2435" w:type="dxa"/>
            <w:noWrap w:val="0"/>
            <w:vAlign w:val="center"/>
          </w:tcPr>
          <w:p>
            <w:pPr>
              <w:spacing w:line="300" w:lineRule="exact"/>
              <w:jc w:val="center"/>
              <w:rPr>
                <w:rFonts w:hint="eastAsia" w:eastAsia="宋体"/>
                <w:sz w:val="21"/>
                <w:szCs w:val="21"/>
                <w:vertAlign w:val="baseline"/>
                <w:lang w:val="en-US" w:eastAsia="zh-CN"/>
              </w:rPr>
            </w:pPr>
            <w:r>
              <w:rPr>
                <w:rFonts w:hint="eastAsia"/>
                <w:szCs w:val="21"/>
                <w:lang w:val="en-US" w:eastAsia="zh-CN"/>
              </w:rPr>
              <w:t>17</w:t>
            </w:r>
          </w:p>
        </w:tc>
        <w:tc>
          <w:tcPr>
            <w:tcW w:w="2436"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spacing w:line="300" w:lineRule="exact"/>
              <w:jc w:val="center"/>
              <w:rPr>
                <w:rFonts w:hint="eastAsia"/>
                <w:sz w:val="21"/>
                <w:szCs w:val="21"/>
                <w:vertAlign w:val="baseline"/>
              </w:rPr>
            </w:pPr>
            <w:r>
              <w:rPr>
                <w:rFonts w:hint="eastAsia"/>
                <w:szCs w:val="21"/>
                <w:lang w:val="en-US" w:eastAsia="zh-CN"/>
              </w:rPr>
              <w:t>12:00</w:t>
            </w:r>
          </w:p>
        </w:tc>
        <w:tc>
          <w:tcPr>
            <w:tcW w:w="2435" w:type="dxa"/>
            <w:noWrap w:val="0"/>
            <w:vAlign w:val="center"/>
          </w:tcPr>
          <w:p>
            <w:pPr>
              <w:spacing w:line="300" w:lineRule="exact"/>
              <w:jc w:val="center"/>
              <w:rPr>
                <w:rFonts w:hint="eastAsia" w:eastAsia="宋体"/>
                <w:sz w:val="21"/>
                <w:szCs w:val="21"/>
                <w:vertAlign w:val="baseline"/>
                <w:lang w:val="en-US" w:eastAsia="zh-CN"/>
              </w:rPr>
            </w:pPr>
            <w:r>
              <w:rPr>
                <w:rFonts w:hint="eastAsia"/>
                <w:szCs w:val="21"/>
                <w:lang w:val="en-US" w:eastAsia="zh-CN"/>
              </w:rPr>
              <w:t>19</w:t>
            </w:r>
          </w:p>
        </w:tc>
        <w:tc>
          <w:tcPr>
            <w:tcW w:w="2436"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spacing w:line="300" w:lineRule="exact"/>
              <w:jc w:val="center"/>
              <w:rPr>
                <w:rFonts w:hint="eastAsia"/>
                <w:sz w:val="21"/>
                <w:szCs w:val="21"/>
                <w:vertAlign w:val="baseline"/>
              </w:rPr>
            </w:pPr>
            <w:r>
              <w:rPr>
                <w:rFonts w:hint="eastAsia"/>
                <w:szCs w:val="21"/>
                <w:lang w:val="en-US" w:eastAsia="zh-CN"/>
              </w:rPr>
              <w:t>14:00</w:t>
            </w:r>
          </w:p>
        </w:tc>
        <w:tc>
          <w:tcPr>
            <w:tcW w:w="2435" w:type="dxa"/>
            <w:noWrap w:val="0"/>
            <w:vAlign w:val="center"/>
          </w:tcPr>
          <w:p>
            <w:pPr>
              <w:spacing w:line="300" w:lineRule="exact"/>
              <w:jc w:val="center"/>
              <w:rPr>
                <w:rFonts w:hint="eastAsia"/>
                <w:sz w:val="21"/>
                <w:szCs w:val="21"/>
                <w:vertAlign w:val="baseline"/>
              </w:rPr>
            </w:pPr>
            <w:r>
              <w:rPr>
                <w:rFonts w:hint="eastAsia"/>
                <w:szCs w:val="21"/>
                <w:lang w:val="en-US" w:eastAsia="zh-CN"/>
              </w:rPr>
              <w:t>18</w:t>
            </w:r>
          </w:p>
        </w:tc>
        <w:tc>
          <w:tcPr>
            <w:tcW w:w="2436"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下风向</w:t>
            </w:r>
          </w:p>
        </w:tc>
        <w:tc>
          <w:tcPr>
            <w:tcW w:w="1217" w:type="dxa"/>
            <w:noWrap w:val="0"/>
            <w:vAlign w:val="center"/>
          </w:tcPr>
          <w:p>
            <w:pPr>
              <w:spacing w:line="300" w:lineRule="exact"/>
              <w:jc w:val="center"/>
              <w:rPr>
                <w:rFonts w:hint="eastAsia"/>
                <w:sz w:val="21"/>
                <w:szCs w:val="21"/>
                <w:vertAlign w:val="baseline"/>
              </w:rPr>
            </w:pPr>
            <w:r>
              <w:rPr>
                <w:rFonts w:hint="eastAsia"/>
                <w:szCs w:val="21"/>
                <w:lang w:val="en-US" w:eastAsia="zh-CN"/>
              </w:rPr>
              <w:t>08:00</w:t>
            </w:r>
          </w:p>
        </w:tc>
        <w:tc>
          <w:tcPr>
            <w:tcW w:w="2435" w:type="dxa"/>
            <w:noWrap w:val="0"/>
            <w:vAlign w:val="center"/>
          </w:tcPr>
          <w:p>
            <w:pPr>
              <w:spacing w:line="300" w:lineRule="exact"/>
              <w:jc w:val="center"/>
              <w:rPr>
                <w:rFonts w:hint="eastAsia"/>
                <w:sz w:val="21"/>
                <w:szCs w:val="21"/>
                <w:vertAlign w:val="baseline"/>
              </w:rPr>
            </w:pPr>
            <w:r>
              <w:rPr>
                <w:rFonts w:hint="eastAsia"/>
                <w:szCs w:val="21"/>
                <w:lang w:val="en-US" w:eastAsia="zh-CN"/>
              </w:rPr>
              <w:t>15</w:t>
            </w:r>
          </w:p>
        </w:tc>
        <w:tc>
          <w:tcPr>
            <w:tcW w:w="2436"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spacing w:line="300" w:lineRule="exact"/>
              <w:jc w:val="center"/>
              <w:rPr>
                <w:rFonts w:hint="eastAsia"/>
                <w:sz w:val="21"/>
                <w:szCs w:val="21"/>
                <w:vertAlign w:val="baseline"/>
              </w:rPr>
            </w:pPr>
            <w:r>
              <w:rPr>
                <w:rFonts w:hint="eastAsia"/>
                <w:szCs w:val="21"/>
                <w:lang w:val="en-US" w:eastAsia="zh-CN"/>
              </w:rPr>
              <w:t>10:00</w:t>
            </w:r>
          </w:p>
        </w:tc>
        <w:tc>
          <w:tcPr>
            <w:tcW w:w="2435" w:type="dxa"/>
            <w:noWrap w:val="0"/>
            <w:vAlign w:val="center"/>
          </w:tcPr>
          <w:p>
            <w:pPr>
              <w:spacing w:line="300" w:lineRule="exact"/>
              <w:jc w:val="center"/>
              <w:rPr>
                <w:rFonts w:hint="eastAsia" w:eastAsia="宋体"/>
                <w:sz w:val="21"/>
                <w:szCs w:val="21"/>
                <w:vertAlign w:val="baseline"/>
                <w:lang w:val="en-US" w:eastAsia="zh-CN"/>
              </w:rPr>
            </w:pPr>
            <w:r>
              <w:rPr>
                <w:rFonts w:hint="eastAsia"/>
                <w:szCs w:val="21"/>
                <w:lang w:val="en-US" w:eastAsia="zh-CN"/>
              </w:rPr>
              <w:t>17</w:t>
            </w:r>
          </w:p>
        </w:tc>
        <w:tc>
          <w:tcPr>
            <w:tcW w:w="2436"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spacing w:line="300" w:lineRule="exact"/>
              <w:jc w:val="center"/>
              <w:rPr>
                <w:rFonts w:hint="eastAsia"/>
                <w:sz w:val="21"/>
                <w:szCs w:val="21"/>
                <w:vertAlign w:val="baseline"/>
              </w:rPr>
            </w:pPr>
            <w:r>
              <w:rPr>
                <w:rFonts w:hint="eastAsia"/>
                <w:szCs w:val="21"/>
                <w:lang w:val="en-US" w:eastAsia="zh-CN"/>
              </w:rPr>
              <w:t>12:00</w:t>
            </w:r>
          </w:p>
        </w:tc>
        <w:tc>
          <w:tcPr>
            <w:tcW w:w="2435" w:type="dxa"/>
            <w:noWrap w:val="0"/>
            <w:vAlign w:val="center"/>
          </w:tcPr>
          <w:p>
            <w:pPr>
              <w:spacing w:line="300" w:lineRule="exact"/>
              <w:jc w:val="center"/>
              <w:rPr>
                <w:rFonts w:hint="eastAsia" w:eastAsia="宋体"/>
                <w:sz w:val="21"/>
                <w:szCs w:val="21"/>
                <w:vertAlign w:val="baseline"/>
                <w:lang w:val="en-US" w:eastAsia="zh-CN"/>
              </w:rPr>
            </w:pPr>
            <w:r>
              <w:rPr>
                <w:rFonts w:hint="eastAsia"/>
                <w:szCs w:val="21"/>
                <w:lang w:val="en-US" w:eastAsia="zh-CN"/>
              </w:rPr>
              <w:t>16</w:t>
            </w:r>
          </w:p>
        </w:tc>
        <w:tc>
          <w:tcPr>
            <w:tcW w:w="2436"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spacing w:line="300" w:lineRule="exact"/>
              <w:jc w:val="center"/>
              <w:rPr>
                <w:rFonts w:hint="eastAsia"/>
                <w:sz w:val="21"/>
                <w:szCs w:val="21"/>
                <w:vertAlign w:val="baseline"/>
              </w:rPr>
            </w:pPr>
            <w:r>
              <w:rPr>
                <w:rFonts w:hint="eastAsia"/>
                <w:szCs w:val="21"/>
                <w:lang w:val="en-US" w:eastAsia="zh-CN"/>
              </w:rPr>
              <w:t>14:00</w:t>
            </w:r>
          </w:p>
        </w:tc>
        <w:tc>
          <w:tcPr>
            <w:tcW w:w="2435" w:type="dxa"/>
            <w:noWrap w:val="0"/>
            <w:vAlign w:val="center"/>
          </w:tcPr>
          <w:p>
            <w:pPr>
              <w:spacing w:line="300" w:lineRule="exact"/>
              <w:jc w:val="center"/>
              <w:rPr>
                <w:rFonts w:hint="eastAsia" w:eastAsia="宋体"/>
                <w:sz w:val="21"/>
                <w:szCs w:val="21"/>
                <w:vertAlign w:val="baseline"/>
                <w:lang w:val="en-US" w:eastAsia="zh-CN"/>
              </w:rPr>
            </w:pPr>
            <w:r>
              <w:rPr>
                <w:rFonts w:hint="eastAsia"/>
                <w:szCs w:val="21"/>
                <w:lang w:val="en-US" w:eastAsia="zh-CN"/>
              </w:rPr>
              <w:t>15</w:t>
            </w:r>
          </w:p>
        </w:tc>
        <w:tc>
          <w:tcPr>
            <w:tcW w:w="2436"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4.1</w:t>
            </w: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厂址中心</w:t>
            </w:r>
          </w:p>
        </w:tc>
        <w:tc>
          <w:tcPr>
            <w:tcW w:w="1217" w:type="dxa"/>
            <w:noWrap w:val="0"/>
            <w:vAlign w:val="center"/>
          </w:tcPr>
          <w:p>
            <w:pPr>
              <w:spacing w:line="300" w:lineRule="exact"/>
              <w:jc w:val="center"/>
              <w:rPr>
                <w:rFonts w:hint="eastAsia"/>
                <w:sz w:val="21"/>
                <w:szCs w:val="21"/>
                <w:vertAlign w:val="baseline"/>
              </w:rPr>
            </w:pPr>
            <w:r>
              <w:rPr>
                <w:rFonts w:hint="eastAsia"/>
                <w:szCs w:val="21"/>
                <w:lang w:val="en-US" w:eastAsia="zh-CN"/>
              </w:rPr>
              <w:t>08:00</w:t>
            </w:r>
          </w:p>
        </w:tc>
        <w:tc>
          <w:tcPr>
            <w:tcW w:w="2435" w:type="dxa"/>
            <w:noWrap w:val="0"/>
            <w:vAlign w:val="center"/>
          </w:tcPr>
          <w:p>
            <w:pPr>
              <w:spacing w:line="300" w:lineRule="exact"/>
              <w:jc w:val="center"/>
              <w:rPr>
                <w:rFonts w:hint="eastAsia" w:eastAsia="宋体"/>
                <w:sz w:val="21"/>
                <w:szCs w:val="21"/>
                <w:vertAlign w:val="baseline"/>
                <w:lang w:val="en-US" w:eastAsia="zh-CN"/>
              </w:rPr>
            </w:pPr>
            <w:r>
              <w:rPr>
                <w:rFonts w:hint="eastAsia"/>
                <w:szCs w:val="21"/>
                <w:lang w:val="en-US" w:eastAsia="zh-CN"/>
              </w:rPr>
              <w:t>16</w:t>
            </w:r>
          </w:p>
        </w:tc>
        <w:tc>
          <w:tcPr>
            <w:tcW w:w="2436"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spacing w:line="300" w:lineRule="exact"/>
              <w:jc w:val="center"/>
              <w:rPr>
                <w:rFonts w:hint="eastAsia"/>
                <w:sz w:val="21"/>
                <w:szCs w:val="21"/>
                <w:vertAlign w:val="baseline"/>
              </w:rPr>
            </w:pPr>
            <w:r>
              <w:rPr>
                <w:rFonts w:hint="eastAsia"/>
                <w:szCs w:val="21"/>
                <w:lang w:val="en-US" w:eastAsia="zh-CN"/>
              </w:rPr>
              <w:t>10:00</w:t>
            </w:r>
          </w:p>
        </w:tc>
        <w:tc>
          <w:tcPr>
            <w:tcW w:w="2435" w:type="dxa"/>
            <w:noWrap w:val="0"/>
            <w:vAlign w:val="center"/>
          </w:tcPr>
          <w:p>
            <w:pPr>
              <w:spacing w:line="300" w:lineRule="exact"/>
              <w:jc w:val="center"/>
              <w:rPr>
                <w:rFonts w:hint="eastAsia" w:eastAsia="宋体"/>
                <w:sz w:val="21"/>
                <w:szCs w:val="21"/>
                <w:vertAlign w:val="baseline"/>
                <w:lang w:val="en-US" w:eastAsia="zh-CN"/>
              </w:rPr>
            </w:pPr>
            <w:r>
              <w:rPr>
                <w:rFonts w:hint="eastAsia"/>
                <w:szCs w:val="21"/>
                <w:lang w:val="en-US" w:eastAsia="zh-CN"/>
              </w:rPr>
              <w:t>15</w:t>
            </w:r>
          </w:p>
        </w:tc>
        <w:tc>
          <w:tcPr>
            <w:tcW w:w="2436"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spacing w:line="300" w:lineRule="exact"/>
              <w:jc w:val="center"/>
              <w:rPr>
                <w:rFonts w:hint="eastAsia"/>
                <w:sz w:val="21"/>
                <w:szCs w:val="21"/>
                <w:vertAlign w:val="baseline"/>
              </w:rPr>
            </w:pPr>
            <w:r>
              <w:rPr>
                <w:rFonts w:hint="eastAsia"/>
                <w:szCs w:val="21"/>
                <w:lang w:val="en-US" w:eastAsia="zh-CN"/>
              </w:rPr>
              <w:t>12:00</w:t>
            </w:r>
          </w:p>
        </w:tc>
        <w:tc>
          <w:tcPr>
            <w:tcW w:w="2435" w:type="dxa"/>
            <w:noWrap w:val="0"/>
            <w:vAlign w:val="center"/>
          </w:tcPr>
          <w:p>
            <w:pPr>
              <w:spacing w:line="300" w:lineRule="exact"/>
              <w:jc w:val="center"/>
              <w:rPr>
                <w:rFonts w:hint="eastAsia" w:eastAsia="宋体"/>
                <w:sz w:val="21"/>
                <w:szCs w:val="21"/>
                <w:vertAlign w:val="baseline"/>
                <w:lang w:val="en-US" w:eastAsia="zh-CN"/>
              </w:rPr>
            </w:pPr>
            <w:r>
              <w:rPr>
                <w:rFonts w:hint="eastAsia"/>
                <w:szCs w:val="21"/>
                <w:lang w:val="en-US" w:eastAsia="zh-CN"/>
              </w:rPr>
              <w:t>17</w:t>
            </w:r>
          </w:p>
        </w:tc>
        <w:tc>
          <w:tcPr>
            <w:tcW w:w="2436"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spacing w:line="300" w:lineRule="exact"/>
              <w:jc w:val="center"/>
              <w:rPr>
                <w:rFonts w:hint="eastAsia"/>
                <w:sz w:val="21"/>
                <w:szCs w:val="21"/>
                <w:vertAlign w:val="baseline"/>
              </w:rPr>
            </w:pPr>
            <w:r>
              <w:rPr>
                <w:rFonts w:hint="eastAsia"/>
                <w:szCs w:val="21"/>
                <w:lang w:val="en-US" w:eastAsia="zh-CN"/>
              </w:rPr>
              <w:t>14:00</w:t>
            </w:r>
          </w:p>
        </w:tc>
        <w:tc>
          <w:tcPr>
            <w:tcW w:w="2435" w:type="dxa"/>
            <w:noWrap w:val="0"/>
            <w:vAlign w:val="center"/>
          </w:tcPr>
          <w:p>
            <w:pPr>
              <w:spacing w:line="300" w:lineRule="exact"/>
              <w:jc w:val="center"/>
              <w:rPr>
                <w:rFonts w:hint="eastAsia" w:eastAsia="宋体"/>
                <w:sz w:val="21"/>
                <w:szCs w:val="21"/>
                <w:vertAlign w:val="baseline"/>
                <w:lang w:val="en-US" w:eastAsia="zh-CN"/>
              </w:rPr>
            </w:pPr>
            <w:r>
              <w:rPr>
                <w:rFonts w:hint="eastAsia"/>
                <w:szCs w:val="21"/>
                <w:lang w:val="en-US" w:eastAsia="zh-CN"/>
              </w:rPr>
              <w:t>14</w:t>
            </w:r>
          </w:p>
        </w:tc>
        <w:tc>
          <w:tcPr>
            <w:tcW w:w="2436" w:type="dxa"/>
            <w:tcBorders>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下风向</w:t>
            </w: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08:00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17</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10:00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15</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12:00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19</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14:00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18</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4.2</w:t>
            </w: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厂址中心</w:t>
            </w: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08:00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14</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10:00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16</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12:00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15</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14:00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17</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下风向</w:t>
            </w: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08:00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16</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10:00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16</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12:00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14</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14:00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15</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0" w:hRule="atLeast"/>
        </w:trPr>
        <w:tc>
          <w:tcPr>
            <w:tcW w:w="1217"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4.3</w:t>
            </w: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厂址中心</w:t>
            </w: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08:00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17</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10:00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15</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12:00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eastAsia="宋体"/>
                <w:szCs w:val="21"/>
                <w:lang w:val="en-US" w:eastAsia="zh-CN"/>
              </w:rPr>
              <w:t>17</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14:00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eastAsia="宋体"/>
                <w:szCs w:val="21"/>
                <w:lang w:val="en-US" w:eastAsia="zh-CN"/>
              </w:rPr>
              <w:t>15</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下风向</w:t>
            </w: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08:00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eastAsia="宋体"/>
                <w:szCs w:val="21"/>
                <w:lang w:val="en-US" w:eastAsia="zh-CN"/>
              </w:rPr>
              <w:t>17</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10:00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eastAsia="宋体"/>
                <w:szCs w:val="21"/>
                <w:lang w:val="en-US" w:eastAsia="zh-CN"/>
              </w:rPr>
              <w:t>15</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12:00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17</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14:00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14</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4.4</w:t>
            </w: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厂址中心</w:t>
            </w: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08:00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16</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10:00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14</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12:00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18</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14:00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14</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下风向</w:t>
            </w: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08:00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15</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10:00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16</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2" w:hRule="atLeast"/>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12:00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eastAsia="宋体"/>
                <w:szCs w:val="21"/>
                <w:lang w:val="en-US" w:eastAsia="zh-CN"/>
              </w:rPr>
              <w:t>14</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14:00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16</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4.5</w:t>
            </w: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厂址中心</w:t>
            </w: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08:00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15</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10:00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13</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12:00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eastAsia="宋体"/>
                <w:szCs w:val="21"/>
                <w:lang w:val="en-US" w:eastAsia="zh-CN"/>
              </w:rPr>
              <w:t>15</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14:00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eastAsia="宋体"/>
                <w:szCs w:val="21"/>
                <w:lang w:val="en-US" w:eastAsia="zh-CN"/>
              </w:rPr>
              <w:t>19</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下风向</w:t>
            </w: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08:00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eastAsia="宋体"/>
                <w:szCs w:val="21"/>
                <w:lang w:val="en-US" w:eastAsia="zh-CN"/>
              </w:rPr>
              <w:t>14</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10:00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eastAsia="宋体"/>
                <w:szCs w:val="21"/>
                <w:lang w:val="en-US" w:eastAsia="zh-CN"/>
              </w:rPr>
              <w:t>16</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12:00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17</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14:00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17</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restart"/>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eastAsia="宋体"/>
                <w:sz w:val="21"/>
                <w:szCs w:val="21"/>
                <w:vertAlign w:val="baseline"/>
                <w:lang w:val="en-US" w:eastAsia="zh-CN"/>
              </w:rPr>
            </w:pPr>
            <w:r>
              <w:rPr>
                <w:rFonts w:hint="eastAsia"/>
                <w:sz w:val="21"/>
                <w:szCs w:val="21"/>
                <w:vertAlign w:val="baseline"/>
                <w:lang w:val="en-US" w:eastAsia="zh-CN"/>
              </w:rPr>
              <w:t>4.6</w:t>
            </w: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厂址中心</w:t>
            </w: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08:00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19</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 w:hRule="atLeast"/>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10:00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15</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12:00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18</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14:00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12</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2" w:hRule="atLeast"/>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restart"/>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r>
              <w:rPr>
                <w:rFonts w:hint="eastAsia"/>
                <w:sz w:val="21"/>
                <w:szCs w:val="21"/>
                <w:vertAlign w:val="baseline"/>
                <w:lang w:eastAsia="zh-CN"/>
              </w:rPr>
              <w:t>下风向</w:t>
            </w: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08:00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17</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8" w:hRule="atLeast"/>
        </w:trPr>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10:00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19</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sz w:val="21"/>
                <w:szCs w:val="21"/>
                <w:vertAlign w:val="baseline"/>
              </w:rPr>
            </w:pPr>
            <w:r>
              <w:rPr>
                <w:rFonts w:hint="eastAsia"/>
                <w:szCs w:val="21"/>
                <w:lang w:val="en-US" w:eastAsia="zh-CN"/>
              </w:rPr>
              <w:t>12:00</w:t>
            </w:r>
          </w:p>
        </w:tc>
        <w:tc>
          <w:tcPr>
            <w:tcW w:w="2435" w:type="dxa"/>
            <w:noWrap w:val="0"/>
            <w:vAlign w:val="center"/>
          </w:tcPr>
          <w:p>
            <w:pPr>
              <w:keepNext w:val="0"/>
              <w:keepLines w:val="0"/>
              <w:pageBreakBefore w:val="0"/>
              <w:kinsoku/>
              <w:wordWrap/>
              <w:overflowPunct/>
              <w:topLinePunct w:val="0"/>
              <w:bidi w:val="0"/>
              <w:adjustRightInd/>
              <w:snapToGrid/>
              <w:spacing w:line="240" w:lineRule="auto"/>
              <w:jc w:val="center"/>
              <w:rPr>
                <w:rFonts w:hint="eastAsia" w:eastAsia="宋体"/>
                <w:sz w:val="21"/>
                <w:szCs w:val="21"/>
                <w:vertAlign w:val="baseline"/>
                <w:lang w:val="en-US" w:eastAsia="zh-CN"/>
              </w:rPr>
            </w:pPr>
            <w:r>
              <w:rPr>
                <w:rFonts w:hint="eastAsia"/>
                <w:szCs w:val="21"/>
                <w:lang w:val="en-US" w:eastAsia="zh-CN"/>
              </w:rPr>
              <w:t>14</w:t>
            </w:r>
          </w:p>
        </w:tc>
        <w:tc>
          <w:tcPr>
            <w:tcW w:w="2436" w:type="dxa"/>
            <w:tcBorders>
              <w:right w:val="nil"/>
            </w:tcBorders>
            <w:noWrap w:val="0"/>
            <w:vAlign w:val="center"/>
          </w:tcPr>
          <w:p>
            <w:pPr>
              <w:keepNext w:val="0"/>
              <w:keepLines w:val="0"/>
              <w:pageBreakBefore w:val="0"/>
              <w:widowControl/>
              <w:suppressLineNumbers w:val="0"/>
              <w:kinsoku/>
              <w:wordWrap/>
              <w:overflowPunct/>
              <w:topLinePunct w:val="0"/>
              <w:bidi w:val="0"/>
              <w:adjustRightInd/>
              <w:snapToGrid/>
              <w:spacing w:line="240" w:lineRule="auto"/>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4" w:hRule="atLeast"/>
        </w:trPr>
        <w:tc>
          <w:tcPr>
            <w:tcW w:w="1217" w:type="dxa"/>
            <w:vMerge w:val="continue"/>
            <w:tcBorders>
              <w:left w:val="nil"/>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vMerge w:val="continue"/>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right="0" w:rightChars="0" w:firstLine="0" w:firstLineChars="0"/>
              <w:jc w:val="center"/>
              <w:textAlignment w:val="auto"/>
              <w:outlineLvl w:val="9"/>
              <w:rPr>
                <w:rFonts w:hint="eastAsia"/>
                <w:sz w:val="21"/>
                <w:szCs w:val="21"/>
                <w:vertAlign w:val="baseline"/>
              </w:rPr>
            </w:pPr>
          </w:p>
        </w:tc>
        <w:tc>
          <w:tcPr>
            <w:tcW w:w="1217" w:type="dxa"/>
            <w:tcBorders>
              <w:bottom w:val="single" w:color="auto" w:sz="12" w:space="0"/>
            </w:tcBorders>
            <w:noWrap w:val="0"/>
            <w:vAlign w:val="center"/>
          </w:tcPr>
          <w:p>
            <w:pPr>
              <w:spacing w:line="300" w:lineRule="exact"/>
              <w:jc w:val="center"/>
              <w:rPr>
                <w:rFonts w:hint="eastAsia"/>
                <w:sz w:val="21"/>
                <w:szCs w:val="21"/>
                <w:vertAlign w:val="baseline"/>
              </w:rPr>
            </w:pPr>
            <w:r>
              <w:rPr>
                <w:rFonts w:hint="eastAsia"/>
                <w:szCs w:val="21"/>
                <w:lang w:val="en-US" w:eastAsia="zh-CN"/>
              </w:rPr>
              <w:t>14:00</w:t>
            </w:r>
          </w:p>
        </w:tc>
        <w:tc>
          <w:tcPr>
            <w:tcW w:w="2435" w:type="dxa"/>
            <w:tcBorders>
              <w:bottom w:val="single" w:color="auto" w:sz="12" w:space="0"/>
            </w:tcBorders>
            <w:noWrap w:val="0"/>
            <w:vAlign w:val="center"/>
          </w:tcPr>
          <w:p>
            <w:pPr>
              <w:spacing w:line="300" w:lineRule="exact"/>
              <w:jc w:val="center"/>
              <w:rPr>
                <w:rFonts w:hint="eastAsia" w:eastAsia="宋体"/>
                <w:sz w:val="21"/>
                <w:szCs w:val="21"/>
                <w:vertAlign w:val="baseline"/>
                <w:lang w:val="en-US" w:eastAsia="zh-CN"/>
              </w:rPr>
            </w:pPr>
            <w:r>
              <w:rPr>
                <w:rFonts w:hint="eastAsia"/>
                <w:szCs w:val="21"/>
                <w:lang w:val="en-US" w:eastAsia="zh-CN"/>
              </w:rPr>
              <w:t>14</w:t>
            </w:r>
          </w:p>
        </w:tc>
        <w:tc>
          <w:tcPr>
            <w:tcW w:w="2436" w:type="dxa"/>
            <w:tcBorders>
              <w:bottom w:val="single" w:color="auto" w:sz="12" w:space="0"/>
              <w:right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0.7</w:t>
            </w:r>
          </w:p>
        </w:tc>
      </w:tr>
    </w:tbl>
    <w:p>
      <w:pPr>
        <w:pStyle w:val="9"/>
        <w:rPr>
          <w:rFonts w:hint="eastAsia"/>
          <w:lang w:eastAsia="zh-CN"/>
        </w:rPr>
      </w:pPr>
      <w:r>
        <w:rPr>
          <w:rFonts w:hint="eastAsia"/>
          <w:lang w:eastAsia="zh-CN"/>
        </w:rPr>
        <w:t>从监测数据来看，</w:t>
      </w:r>
      <w:r>
        <w:rPr>
          <w:rFonts w:hint="eastAsia"/>
          <w:lang w:val="en-US" w:eastAsia="zh-CN"/>
        </w:rPr>
        <w:t>NH</w:t>
      </w:r>
      <w:r>
        <w:rPr>
          <w:rFonts w:hint="eastAsia"/>
          <w:vertAlign w:val="subscript"/>
          <w:lang w:val="en-US" w:eastAsia="zh-CN"/>
        </w:rPr>
        <w:t>3</w:t>
      </w:r>
      <w:r>
        <w:rPr>
          <w:rFonts w:hint="eastAsia"/>
          <w:lang w:val="en-US" w:eastAsia="zh-CN"/>
        </w:rPr>
        <w:t>、H</w:t>
      </w:r>
      <w:r>
        <w:rPr>
          <w:rFonts w:hint="eastAsia"/>
          <w:vertAlign w:val="subscript"/>
          <w:lang w:val="en-US" w:eastAsia="zh-CN"/>
        </w:rPr>
        <w:t>2</w:t>
      </w:r>
      <w:r>
        <w:rPr>
          <w:rFonts w:hint="eastAsia"/>
          <w:lang w:val="en-US" w:eastAsia="zh-CN"/>
        </w:rPr>
        <w:t>S符合《环境影响评价技术导则  大气环境》（HJ2.2-2018）附录D标准限值要求，臭气浓度满足</w:t>
      </w:r>
      <w:r>
        <w:rPr>
          <w:rFonts w:hint="eastAsia"/>
        </w:rPr>
        <w:t>《恶臭污染物排放标准》（GB14554-93）</w:t>
      </w:r>
      <w:r>
        <w:rPr>
          <w:rFonts w:hint="eastAsia"/>
          <w:lang w:eastAsia="zh-CN"/>
        </w:rPr>
        <w:t>中标准限值要求。</w:t>
      </w:r>
    </w:p>
    <w:p>
      <w:pPr>
        <w:pStyle w:val="9"/>
        <w:rPr>
          <w:rFonts w:hint="eastAsia"/>
          <w:lang w:eastAsia="zh-CN"/>
        </w:rPr>
      </w:pPr>
      <w:r>
        <w:rPr>
          <w:rFonts w:hint="eastAsia"/>
          <w:lang w:eastAsia="zh-CN"/>
        </w:rPr>
        <w:t>综上所述，各环境空气监测因子能够符合环境功能区要求，本项目所在区域环境空气质量较好。</w:t>
      </w:r>
    </w:p>
    <w:p>
      <w:pPr>
        <w:pStyle w:val="4"/>
      </w:pPr>
      <w:bookmarkStart w:id="47" w:name="_Toc969"/>
      <w:r>
        <w:rPr>
          <w:rFonts w:hint="eastAsia"/>
          <w:lang w:eastAsia="zh-CN"/>
        </w:rPr>
        <w:t>声</w:t>
      </w:r>
      <w:r>
        <w:t>环境质量现状调查与评价</w:t>
      </w:r>
      <w:bookmarkEnd w:id="47"/>
    </w:p>
    <w:p>
      <w:pPr>
        <w:pStyle w:val="5"/>
        <w:ind w:firstLine="562"/>
        <w:rPr>
          <w:rFonts w:hint="eastAsia"/>
        </w:rPr>
      </w:pPr>
      <w:r>
        <w:rPr>
          <w:rFonts w:hint="eastAsia"/>
          <w:lang w:eastAsia="zh-CN"/>
        </w:rPr>
        <w:t xml:space="preserve">监测点位 </w:t>
      </w:r>
    </w:p>
    <w:p>
      <w:pPr>
        <w:pStyle w:val="9"/>
        <w:rPr>
          <w:rFonts w:hint="eastAsia"/>
        </w:rPr>
      </w:pPr>
      <w:r>
        <w:rPr>
          <w:rFonts w:hint="eastAsia"/>
        </w:rPr>
        <w:t>为了解项目及周围区域声环境现状，在项目边界布设4个声环境质量现状监测点，监测点的位置描述见表</w:t>
      </w:r>
      <w:r>
        <w:rPr>
          <w:rFonts w:hint="eastAsia"/>
          <w:lang w:val="en-US" w:eastAsia="zh-CN"/>
        </w:rPr>
        <w:t>4.5</w:t>
      </w:r>
      <w:r>
        <w:rPr>
          <w:rFonts w:hint="eastAsia"/>
        </w:rPr>
        <w:t xml:space="preserve">-1。 </w:t>
      </w:r>
    </w:p>
    <w:p>
      <w:pPr>
        <w:autoSpaceDE w:val="0"/>
        <w:autoSpaceDN w:val="0"/>
        <w:adjustRightInd w:val="0"/>
        <w:jc w:val="center"/>
        <w:rPr>
          <w:rFonts w:ascii="Times New Roman" w:hAnsi="Times New Roman" w:cs="Times New Roman"/>
          <w:b/>
          <w:sz w:val="21"/>
          <w:szCs w:val="21"/>
        </w:rPr>
      </w:pPr>
      <w:r>
        <w:rPr>
          <w:rFonts w:ascii="Times New Roman" w:hAnsi="Times New Roman" w:cs="Times New Roman"/>
          <w:b/>
          <w:sz w:val="21"/>
          <w:szCs w:val="21"/>
        </w:rPr>
        <w:t>表</w:t>
      </w:r>
      <w:r>
        <w:rPr>
          <w:rFonts w:hint="eastAsia" w:ascii="Times New Roman" w:hAnsi="Times New Roman" w:cs="Times New Roman"/>
          <w:b/>
          <w:sz w:val="21"/>
          <w:szCs w:val="21"/>
          <w:lang w:val="en-US" w:eastAsia="zh-CN"/>
        </w:rPr>
        <w:t>4.5-1</w:t>
      </w:r>
      <w:r>
        <w:rPr>
          <w:rFonts w:ascii="Times New Roman" w:hAnsi="Times New Roman" w:cs="Times New Roman"/>
          <w:b/>
          <w:sz w:val="21"/>
          <w:szCs w:val="21"/>
        </w:rPr>
        <w:t xml:space="preserve">   声环境质量现状监测点位布设情况一览表</w:t>
      </w:r>
    </w:p>
    <w:tbl>
      <w:tblPr>
        <w:tblStyle w:val="63"/>
        <w:tblW w:w="4998" w:type="pct"/>
        <w:jc w:val="center"/>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autofit"/>
        <w:tblCellMar>
          <w:top w:w="0" w:type="dxa"/>
          <w:left w:w="0" w:type="dxa"/>
          <w:bottom w:w="0" w:type="dxa"/>
          <w:right w:w="0" w:type="dxa"/>
        </w:tblCellMar>
      </w:tblPr>
      <w:tblGrid>
        <w:gridCol w:w="635"/>
        <w:gridCol w:w="2103"/>
        <w:gridCol w:w="1276"/>
        <w:gridCol w:w="1279"/>
        <w:gridCol w:w="3010"/>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59" w:hRule="atLeast"/>
          <w:jc w:val="center"/>
        </w:trPr>
        <w:tc>
          <w:tcPr>
            <w:tcW w:w="382" w:type="pct"/>
            <w:tcBorders>
              <w:left w:val="nil"/>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序号</w:t>
            </w:r>
          </w:p>
        </w:tc>
        <w:tc>
          <w:tcPr>
            <w:tcW w:w="1266" w:type="pct"/>
            <w:tcBorders>
              <w:left w:val="single" w:color="000000" w:sz="4" w:space="0"/>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监测点名称</w:t>
            </w:r>
          </w:p>
        </w:tc>
        <w:tc>
          <w:tcPr>
            <w:tcW w:w="768" w:type="pct"/>
            <w:tcBorders>
              <w:left w:val="single" w:color="000000" w:sz="4" w:space="0"/>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方位</w:t>
            </w:r>
          </w:p>
        </w:tc>
        <w:tc>
          <w:tcPr>
            <w:tcW w:w="770" w:type="pct"/>
            <w:tcBorders>
              <w:left w:val="single" w:color="000000" w:sz="4" w:space="0"/>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距离</w:t>
            </w:r>
          </w:p>
        </w:tc>
        <w:tc>
          <w:tcPr>
            <w:tcW w:w="1812" w:type="pct"/>
            <w:tcBorders>
              <w:left w:val="single" w:color="000000" w:sz="4" w:space="0"/>
              <w:bottom w:val="single" w:color="000000" w:sz="4" w:space="0"/>
              <w:right w:val="nil"/>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监测项目</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9" w:hRule="atLeast"/>
          <w:jc w:val="center"/>
        </w:trPr>
        <w:tc>
          <w:tcPr>
            <w:tcW w:w="382" w:type="pct"/>
            <w:tcBorders>
              <w:top w:val="single" w:color="000000" w:sz="4" w:space="0"/>
              <w:left w:val="nil"/>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N1</w:t>
            </w:r>
          </w:p>
        </w:tc>
        <w:tc>
          <w:tcPr>
            <w:tcW w:w="1266" w:type="pct"/>
            <w:tcBorders>
              <w:top w:val="single" w:color="000000" w:sz="4" w:space="0"/>
              <w:left w:val="single" w:color="000000" w:sz="4" w:space="0"/>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项目东边界外1m</w:t>
            </w:r>
          </w:p>
        </w:tc>
        <w:tc>
          <w:tcPr>
            <w:tcW w:w="768" w:type="pct"/>
            <w:tcBorders>
              <w:top w:val="single" w:color="000000" w:sz="4" w:space="0"/>
              <w:left w:val="single" w:color="000000" w:sz="4" w:space="0"/>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E</w:t>
            </w:r>
          </w:p>
        </w:tc>
        <w:tc>
          <w:tcPr>
            <w:tcW w:w="770" w:type="pct"/>
            <w:tcBorders>
              <w:top w:val="single" w:color="000000" w:sz="4" w:space="0"/>
              <w:left w:val="single" w:color="000000" w:sz="4" w:space="0"/>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1m</w:t>
            </w:r>
          </w:p>
        </w:tc>
        <w:tc>
          <w:tcPr>
            <w:tcW w:w="1812" w:type="pct"/>
            <w:vMerge w:val="restart"/>
            <w:tcBorders>
              <w:top w:val="single" w:color="000000" w:sz="4" w:space="0"/>
              <w:left w:val="single" w:color="000000" w:sz="4" w:space="0"/>
              <w:right w:val="nil"/>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sz w:val="21"/>
                <w:szCs w:val="21"/>
              </w:rPr>
            </w:pPr>
          </w:p>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b/>
                <w:sz w:val="21"/>
                <w:szCs w:val="21"/>
              </w:rPr>
            </w:pPr>
          </w:p>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连续等效A 声级Leq</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39" w:hRule="atLeast"/>
          <w:jc w:val="center"/>
        </w:trPr>
        <w:tc>
          <w:tcPr>
            <w:tcW w:w="382" w:type="pct"/>
            <w:tcBorders>
              <w:top w:val="single" w:color="000000" w:sz="4" w:space="0"/>
              <w:left w:val="nil"/>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N2</w:t>
            </w:r>
          </w:p>
        </w:tc>
        <w:tc>
          <w:tcPr>
            <w:tcW w:w="1266" w:type="pct"/>
            <w:tcBorders>
              <w:top w:val="single" w:color="000000" w:sz="4" w:space="0"/>
              <w:left w:val="single" w:color="000000" w:sz="4" w:space="0"/>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项目南边界外1m</w:t>
            </w:r>
          </w:p>
        </w:tc>
        <w:tc>
          <w:tcPr>
            <w:tcW w:w="768" w:type="pct"/>
            <w:tcBorders>
              <w:top w:val="single" w:color="000000" w:sz="4" w:space="0"/>
              <w:left w:val="single" w:color="000000" w:sz="4" w:space="0"/>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S</w:t>
            </w:r>
          </w:p>
        </w:tc>
        <w:tc>
          <w:tcPr>
            <w:tcW w:w="770" w:type="pct"/>
            <w:tcBorders>
              <w:top w:val="single" w:color="000000" w:sz="4" w:space="0"/>
              <w:left w:val="single" w:color="000000" w:sz="4" w:space="0"/>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1m</w:t>
            </w:r>
          </w:p>
        </w:tc>
        <w:tc>
          <w:tcPr>
            <w:tcW w:w="1812" w:type="pct"/>
            <w:vMerge w:val="continue"/>
            <w:tcBorders>
              <w:top w:val="nil"/>
              <w:left w:val="single" w:color="000000" w:sz="4" w:space="0"/>
              <w:right w:val="nil"/>
            </w:tcBorders>
            <w:noWrap w:val="0"/>
            <w:vAlign w:val="top"/>
          </w:tcPr>
          <w:p>
            <w:pPr>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2" w:hRule="atLeast"/>
          <w:jc w:val="center"/>
        </w:trPr>
        <w:tc>
          <w:tcPr>
            <w:tcW w:w="382" w:type="pct"/>
            <w:tcBorders>
              <w:top w:val="single" w:color="000000" w:sz="4" w:space="0"/>
              <w:left w:val="nil"/>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N3</w:t>
            </w:r>
          </w:p>
        </w:tc>
        <w:tc>
          <w:tcPr>
            <w:tcW w:w="1266" w:type="pct"/>
            <w:tcBorders>
              <w:top w:val="single" w:color="000000" w:sz="4" w:space="0"/>
              <w:left w:val="single" w:color="000000" w:sz="4" w:space="0"/>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项目西边界外1m</w:t>
            </w:r>
          </w:p>
        </w:tc>
        <w:tc>
          <w:tcPr>
            <w:tcW w:w="768" w:type="pct"/>
            <w:tcBorders>
              <w:top w:val="single" w:color="000000" w:sz="4" w:space="0"/>
              <w:left w:val="single" w:color="000000" w:sz="4" w:space="0"/>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W</w:t>
            </w:r>
          </w:p>
        </w:tc>
        <w:tc>
          <w:tcPr>
            <w:tcW w:w="770" w:type="pct"/>
            <w:tcBorders>
              <w:top w:val="single" w:color="000000" w:sz="4" w:space="0"/>
              <w:left w:val="single" w:color="000000" w:sz="4" w:space="0"/>
              <w:bottom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1m</w:t>
            </w:r>
          </w:p>
        </w:tc>
        <w:tc>
          <w:tcPr>
            <w:tcW w:w="1812" w:type="pct"/>
            <w:vMerge w:val="continue"/>
            <w:tcBorders>
              <w:top w:val="nil"/>
              <w:left w:val="single" w:color="000000" w:sz="4" w:space="0"/>
              <w:right w:val="nil"/>
            </w:tcBorders>
            <w:noWrap w:val="0"/>
            <w:vAlign w:val="top"/>
          </w:tcPr>
          <w:p>
            <w:pPr>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49" w:hRule="atLeast"/>
          <w:jc w:val="center"/>
        </w:trPr>
        <w:tc>
          <w:tcPr>
            <w:tcW w:w="382" w:type="pct"/>
            <w:tcBorders>
              <w:top w:val="single" w:color="000000" w:sz="4" w:space="0"/>
              <w:left w:val="nil"/>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N4</w:t>
            </w:r>
          </w:p>
        </w:tc>
        <w:tc>
          <w:tcPr>
            <w:tcW w:w="1266" w:type="pct"/>
            <w:tcBorders>
              <w:top w:val="single" w:color="000000" w:sz="4" w:space="0"/>
              <w:left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项目北边界外1m</w:t>
            </w:r>
          </w:p>
        </w:tc>
        <w:tc>
          <w:tcPr>
            <w:tcW w:w="768" w:type="pct"/>
            <w:tcBorders>
              <w:top w:val="single" w:color="000000" w:sz="4" w:space="0"/>
              <w:left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w w:val="100"/>
                <w:sz w:val="21"/>
                <w:szCs w:val="21"/>
              </w:rPr>
              <w:t>N</w:t>
            </w:r>
          </w:p>
        </w:tc>
        <w:tc>
          <w:tcPr>
            <w:tcW w:w="770" w:type="pct"/>
            <w:tcBorders>
              <w:top w:val="single" w:color="000000" w:sz="4" w:space="0"/>
              <w:left w:val="single" w:color="000000" w:sz="4" w:space="0"/>
              <w:right w:val="single" w:color="000000" w:sz="4" w:space="0"/>
            </w:tcBorders>
            <w:noWrap w:val="0"/>
            <w:vAlign w:val="top"/>
          </w:tcPr>
          <w:p>
            <w:pPr>
              <w:pStyle w:val="866"/>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1m</w:t>
            </w:r>
          </w:p>
        </w:tc>
        <w:tc>
          <w:tcPr>
            <w:tcW w:w="1812" w:type="pct"/>
            <w:vMerge w:val="continue"/>
            <w:tcBorders>
              <w:top w:val="nil"/>
              <w:left w:val="single" w:color="000000" w:sz="4" w:space="0"/>
              <w:right w:val="nil"/>
            </w:tcBorders>
            <w:noWrap w:val="0"/>
            <w:vAlign w:val="top"/>
          </w:tcPr>
          <w:p>
            <w:pPr>
              <w:keepNext w:val="0"/>
              <w:keepLines w:val="0"/>
              <w:pageBreakBefore w:val="0"/>
              <w:widowControl/>
              <w:kinsoku/>
              <w:wordWrap/>
              <w:overflowPunct/>
              <w:topLinePunct w:val="0"/>
              <w:autoSpaceDE/>
              <w:autoSpaceDN/>
              <w:bidi w:val="0"/>
              <w:adjustRightInd/>
              <w:snapToGrid/>
              <w:spacing w:line="240" w:lineRule="auto"/>
              <w:ind w:left="0" w:right="0"/>
              <w:jc w:val="center"/>
              <w:textAlignment w:val="auto"/>
              <w:rPr>
                <w:rFonts w:hint="default" w:ascii="Times New Roman" w:hAnsi="Times New Roman" w:eastAsia="宋体" w:cs="Times New Roman"/>
                <w:sz w:val="21"/>
                <w:szCs w:val="21"/>
              </w:rPr>
            </w:pPr>
          </w:p>
        </w:tc>
      </w:tr>
    </w:tbl>
    <w:p>
      <w:pPr>
        <w:keepNext/>
        <w:keepLines/>
        <w:pageBreakBefore w:val="0"/>
        <w:widowControl w:val="0"/>
        <w:numPr>
          <w:ilvl w:val="0"/>
          <w:numId w:val="0"/>
        </w:numPr>
        <w:tabs>
          <w:tab w:val="left" w:pos="0"/>
        </w:tabs>
        <w:kinsoku/>
        <w:wordWrap/>
        <w:overflowPunct/>
        <w:topLinePunct w:val="0"/>
        <w:autoSpaceDE/>
        <w:autoSpaceDN/>
        <w:bidi w:val="0"/>
        <w:adjustRightInd/>
        <w:snapToGrid/>
        <w:textAlignment w:val="auto"/>
        <w:outlineLvl w:val="9"/>
      </w:pPr>
      <w:r>
        <w:drawing>
          <wp:inline distT="0" distB="0" distL="114300" distR="114300">
            <wp:extent cx="5200650" cy="4171950"/>
            <wp:effectExtent l="0" t="0" r="11430" b="3810"/>
            <wp:docPr id="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2"/>
                    <pic:cNvPicPr>
                      <a:picLocks noChangeAspect="1"/>
                    </pic:cNvPicPr>
                  </pic:nvPicPr>
                  <pic:blipFill>
                    <a:blip r:embed="rId73"/>
                    <a:stretch>
                      <a:fillRect/>
                    </a:stretch>
                  </pic:blipFill>
                  <pic:spPr>
                    <a:xfrm>
                      <a:off x="0" y="0"/>
                      <a:ext cx="5200650" cy="417195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eastAsia" w:eastAsia="宋体"/>
          <w:b/>
          <w:bCs/>
          <w:sz w:val="21"/>
          <w:szCs w:val="21"/>
          <w:lang w:val="en-US" w:eastAsia="zh-CN"/>
        </w:rPr>
      </w:pPr>
      <w:r>
        <w:rPr>
          <w:rFonts w:hint="eastAsia" w:eastAsia="宋体"/>
          <w:b/>
          <w:bCs/>
          <w:sz w:val="21"/>
          <w:szCs w:val="21"/>
          <w:lang w:eastAsia="zh-CN"/>
        </w:rPr>
        <w:t>图</w:t>
      </w:r>
      <w:r>
        <w:rPr>
          <w:rFonts w:hint="eastAsia" w:eastAsia="宋体"/>
          <w:b/>
          <w:bCs/>
          <w:sz w:val="21"/>
          <w:szCs w:val="21"/>
          <w:lang w:val="en-US" w:eastAsia="zh-CN"/>
        </w:rPr>
        <w:t>4.5-1   声环境监测点位示意图</w:t>
      </w:r>
    </w:p>
    <w:p>
      <w:pPr>
        <w:pStyle w:val="5"/>
        <w:ind w:firstLine="562"/>
      </w:pPr>
      <w:r>
        <w:rPr>
          <w:rFonts w:hint="eastAsia"/>
          <w:lang w:eastAsia="zh-CN"/>
        </w:rPr>
        <w:t xml:space="preserve">监测时间及频率 </w:t>
      </w:r>
    </w:p>
    <w:p>
      <w:pPr>
        <w:pStyle w:val="9"/>
        <w:rPr>
          <w:rFonts w:hint="eastAsia"/>
          <w:highlight w:val="none"/>
        </w:rPr>
      </w:pPr>
      <w:r>
        <w:rPr>
          <w:rFonts w:hint="eastAsia"/>
          <w:highlight w:val="none"/>
        </w:rPr>
        <w:t>监测时间：20</w:t>
      </w:r>
      <w:r>
        <w:rPr>
          <w:rFonts w:hint="eastAsia"/>
          <w:highlight w:val="none"/>
          <w:lang w:val="en-US" w:eastAsia="zh-CN"/>
        </w:rPr>
        <w:t>20</w:t>
      </w:r>
      <w:r>
        <w:rPr>
          <w:rFonts w:hint="eastAsia"/>
          <w:highlight w:val="none"/>
        </w:rPr>
        <w:t>年</w:t>
      </w:r>
      <w:r>
        <w:rPr>
          <w:rFonts w:hint="eastAsia"/>
          <w:highlight w:val="none"/>
          <w:lang w:val="en-US" w:eastAsia="zh-CN"/>
        </w:rPr>
        <w:t>3</w:t>
      </w:r>
      <w:r>
        <w:rPr>
          <w:rFonts w:hint="eastAsia"/>
          <w:highlight w:val="none"/>
        </w:rPr>
        <w:t>月</w:t>
      </w:r>
      <w:r>
        <w:rPr>
          <w:rFonts w:hint="eastAsia"/>
          <w:highlight w:val="none"/>
          <w:lang w:val="en-US" w:eastAsia="zh-CN"/>
        </w:rPr>
        <w:t>31</w:t>
      </w:r>
      <w:r>
        <w:rPr>
          <w:rFonts w:hint="eastAsia"/>
          <w:highlight w:val="none"/>
        </w:rPr>
        <w:t>日~</w:t>
      </w:r>
      <w:r>
        <w:rPr>
          <w:rFonts w:hint="eastAsia"/>
          <w:highlight w:val="none"/>
          <w:lang w:val="en-US" w:eastAsia="zh-CN"/>
        </w:rPr>
        <w:t>4月1</w:t>
      </w:r>
      <w:r>
        <w:rPr>
          <w:rFonts w:hint="eastAsia"/>
          <w:highlight w:val="none"/>
        </w:rPr>
        <w:t xml:space="preserve">日。 </w:t>
      </w:r>
    </w:p>
    <w:p>
      <w:pPr>
        <w:pStyle w:val="9"/>
        <w:rPr>
          <w:rFonts w:hint="eastAsia"/>
        </w:rPr>
      </w:pPr>
      <w:r>
        <w:rPr>
          <w:rFonts w:hint="eastAsia"/>
        </w:rPr>
        <w:t>按《声环境质量标准》（GB3096-2008）及《工业企业厂界环境噪声排放标准》（GB12349-2008）中规定的测量方法进行监测，昼夜监测，连续监测2 天，监测时间分别为昼间06:00-22:00，夜间22:00-06:00。</w:t>
      </w:r>
    </w:p>
    <w:p>
      <w:pPr>
        <w:pStyle w:val="5"/>
        <w:ind w:firstLine="562"/>
      </w:pPr>
      <w:r>
        <w:rPr>
          <w:rFonts w:hint="eastAsia"/>
          <w:lang w:eastAsia="zh-CN"/>
        </w:rPr>
        <w:t xml:space="preserve">测量方法 </w:t>
      </w:r>
    </w:p>
    <w:p>
      <w:pPr>
        <w:pStyle w:val="9"/>
        <w:rPr>
          <w:rFonts w:hint="eastAsia"/>
        </w:rPr>
      </w:pPr>
      <w:r>
        <w:rPr>
          <w:rFonts w:hint="eastAsia"/>
        </w:rPr>
        <w:t xml:space="preserve">按照《声环境质量标准》（GB3096-2008）进行。 </w:t>
      </w:r>
    </w:p>
    <w:p>
      <w:pPr>
        <w:pStyle w:val="9"/>
        <w:rPr>
          <w:rFonts w:hint="eastAsia"/>
        </w:rPr>
      </w:pPr>
      <w:r>
        <w:rPr>
          <w:rFonts w:hint="eastAsia"/>
        </w:rPr>
        <w:t xml:space="preserve">本次评价选取的主要评价量为等效连续A声级，等效连续声级Leq评价量为： </w:t>
      </w:r>
    </w:p>
    <w:p>
      <w:pPr>
        <w:pStyle w:val="9"/>
        <w:ind w:left="0" w:leftChars="0" w:firstLine="0" w:firstLineChars="0"/>
        <w:jc w:val="center"/>
        <w:rPr>
          <w:rFonts w:hint="eastAsia" w:eastAsia="宋体"/>
          <w:lang w:eastAsia="zh-CN"/>
        </w:rPr>
      </w:pPr>
      <w:r>
        <w:rPr>
          <w:rFonts w:hint="eastAsia" w:eastAsia="宋体"/>
          <w:position w:val="-28"/>
          <w:lang w:eastAsia="zh-CN"/>
        </w:rPr>
        <w:object>
          <v:shape id="_x0000_i1049" o:spt="75" type="#_x0000_t75" style="height:34pt;width:142pt;" o:ole="t" filled="f" o:preferrelative="t" stroked="f" coordsize="21600,21600">
            <v:path/>
            <v:fill on="f" focussize="0,0"/>
            <v:stroke on="f"/>
            <v:imagedata r:id="rId75" o:title=""/>
            <o:lock v:ext="edit" grouping="f" rotation="f" text="f" aspectratio="t"/>
            <w10:wrap type="none"/>
            <w10:anchorlock/>
          </v:shape>
          <o:OLEObject Type="Embed" ProgID="Equation.KSEE3" ShapeID="_x0000_i1049" DrawAspect="Content" ObjectID="_1468075749" r:id="rId74">
            <o:LockedField>false</o:LockedField>
          </o:OLEObject>
        </w:object>
      </w:r>
    </w:p>
    <w:p>
      <w:pPr>
        <w:pStyle w:val="9"/>
        <w:rPr>
          <w:rFonts w:hint="eastAsia"/>
        </w:rPr>
      </w:pPr>
      <w:r>
        <w:rPr>
          <w:rFonts w:hint="eastAsia"/>
        </w:rPr>
        <w:t xml:space="preserve">取等时间间隔采样测量，以上公式化为： </w:t>
      </w:r>
    </w:p>
    <w:p>
      <w:pPr>
        <w:pStyle w:val="9"/>
        <w:jc w:val="center"/>
        <w:rPr>
          <w:rFonts w:hint="eastAsia"/>
        </w:rPr>
      </w:pPr>
      <w:r>
        <w:rPr>
          <w:rFonts w:hint="eastAsia" w:eastAsia="宋体"/>
          <w:position w:val="-30"/>
          <w:lang w:eastAsia="zh-CN"/>
        </w:rPr>
        <w:object>
          <v:shape id="_x0000_i1050" o:spt="75" type="#_x0000_t75" style="height:36pt;width:131pt;" o:ole="t" filled="f" o:preferrelative="t" stroked="f" coordsize="21600,21600">
            <v:path/>
            <v:fill on="f" focussize="0,0"/>
            <v:stroke on="f"/>
            <v:imagedata r:id="rId77" o:title=""/>
            <o:lock v:ext="edit" grouping="f" rotation="f" text="f" aspectratio="t"/>
            <w10:wrap type="none"/>
            <w10:anchorlock/>
          </v:shape>
          <o:OLEObject Type="Embed" ProgID="Equation.KSEE3" ShapeID="_x0000_i1050" DrawAspect="Content" ObjectID="_1468075750" r:id="rId76">
            <o:LockedField>false</o:LockedField>
          </o:OLEObject>
        </w:object>
      </w:r>
    </w:p>
    <w:p>
      <w:pPr>
        <w:pStyle w:val="9"/>
        <w:rPr>
          <w:rFonts w:hint="eastAsia"/>
          <w:lang w:val="en-US" w:eastAsia="zh-CN"/>
        </w:rPr>
      </w:pPr>
      <w:r>
        <w:rPr>
          <w:rFonts w:hint="eastAsia"/>
          <w:lang w:eastAsia="zh-CN"/>
        </w:rPr>
        <w:t>式中：</w:t>
      </w:r>
      <w:r>
        <w:rPr>
          <w:rFonts w:hint="eastAsia"/>
          <w:lang w:val="en-US" w:eastAsia="zh-CN"/>
        </w:rPr>
        <w:t>T——测量时间；</w:t>
      </w:r>
    </w:p>
    <w:p>
      <w:pPr>
        <w:pStyle w:val="9"/>
        <w:rPr>
          <w:rFonts w:hint="default"/>
          <w:lang w:val="en-US" w:eastAsia="zh-CN"/>
        </w:rPr>
      </w:pPr>
      <w:r>
        <w:rPr>
          <w:rFonts w:hint="eastAsia"/>
          <w:lang w:val="en-US" w:eastAsia="zh-CN"/>
        </w:rPr>
        <w:t xml:space="preserve">      L</w:t>
      </w:r>
      <w:r>
        <w:rPr>
          <w:rFonts w:hint="eastAsia"/>
          <w:vertAlign w:val="subscript"/>
          <w:lang w:val="en-US" w:eastAsia="zh-CN"/>
        </w:rPr>
        <w:t>A</w:t>
      </w:r>
      <w:r>
        <w:rPr>
          <w:rFonts w:hint="eastAsia"/>
          <w:lang w:val="en-US" w:eastAsia="zh-CN"/>
        </w:rPr>
        <w:t>——为时刻的瞬间声级；</w:t>
      </w:r>
    </w:p>
    <w:p>
      <w:pPr>
        <w:pStyle w:val="9"/>
        <w:ind w:firstLine="1200" w:firstLineChars="500"/>
        <w:rPr>
          <w:rFonts w:hint="eastAsia"/>
        </w:rPr>
      </w:pPr>
      <w:r>
        <w:rPr>
          <w:rFonts w:hint="eastAsia"/>
          <w:lang w:val="en-US" w:eastAsia="zh-CN"/>
        </w:rPr>
        <w:t>L</w:t>
      </w:r>
      <w:r>
        <w:rPr>
          <w:rFonts w:hint="eastAsia"/>
          <w:vertAlign w:val="subscript"/>
          <w:lang w:val="en-US" w:eastAsia="zh-CN"/>
        </w:rPr>
        <w:t>i</w:t>
      </w:r>
      <w:r>
        <w:rPr>
          <w:rFonts w:hint="eastAsia"/>
          <w:lang w:val="en-US" w:eastAsia="zh-CN"/>
        </w:rPr>
        <w:t>——第i次采样量的A声级；</w:t>
      </w:r>
    </w:p>
    <w:p>
      <w:pPr>
        <w:pStyle w:val="9"/>
        <w:rPr>
          <w:rFonts w:hint="eastAsia"/>
        </w:rPr>
      </w:pPr>
      <w:r>
        <w:rPr>
          <w:rFonts w:hint="eastAsia"/>
          <w:lang w:val="en-US" w:eastAsia="zh-CN"/>
        </w:rPr>
        <w:t xml:space="preserve">n——测点声级采样个数。 </w:t>
      </w:r>
    </w:p>
    <w:p>
      <w:pPr>
        <w:pStyle w:val="5"/>
        <w:ind w:firstLine="562"/>
      </w:pPr>
      <w:r>
        <w:rPr>
          <w:rFonts w:hint="eastAsia"/>
          <w:lang w:eastAsia="zh-CN"/>
        </w:rPr>
        <w:t xml:space="preserve">评价标准 </w:t>
      </w:r>
    </w:p>
    <w:p>
      <w:pPr>
        <w:pStyle w:val="9"/>
        <w:rPr>
          <w:rFonts w:hint="eastAsia"/>
        </w:rPr>
      </w:pPr>
      <w:r>
        <w:rPr>
          <w:rFonts w:hint="eastAsia"/>
        </w:rPr>
        <w:t xml:space="preserve">本项目所在区域执行《声环境质量标准》（GB3096-2008）1类标准，标准见下表。 </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eastAsia="zh-CN"/>
        </w:rPr>
        <w:t>表</w:t>
      </w:r>
      <w:r>
        <w:rPr>
          <w:rFonts w:hint="default" w:ascii="Times New Roman" w:hAnsi="Times New Roman" w:eastAsia="宋体" w:cs="Times New Roman"/>
          <w:b/>
          <w:bCs/>
          <w:sz w:val="21"/>
          <w:szCs w:val="21"/>
          <w:lang w:val="en-US" w:eastAsia="zh-CN"/>
        </w:rPr>
        <w:t>4.5-2  声环境质量标准   单位：dB（A）</w:t>
      </w: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40"/>
        <w:gridCol w:w="2841"/>
        <w:gridCol w:w="28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Borders>
              <w:top w:val="single" w:color="auto" w:sz="12" w:space="0"/>
              <w:left w:val="nil"/>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vertAlign w:val="baseline"/>
                <w:lang w:eastAsia="zh-CN"/>
              </w:rPr>
            </w:pPr>
            <w:r>
              <w:rPr>
                <w:rFonts w:hint="eastAsia"/>
                <w:vertAlign w:val="baseline"/>
                <w:lang w:eastAsia="zh-CN"/>
              </w:rPr>
              <w:t>类别</w:t>
            </w:r>
          </w:p>
        </w:tc>
        <w:tc>
          <w:tcPr>
            <w:tcW w:w="2841" w:type="dxa"/>
            <w:tcBorders>
              <w:top w:val="single" w:color="auto" w:sz="12" w:space="0"/>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vertAlign w:val="baseline"/>
                <w:lang w:eastAsia="zh-CN"/>
              </w:rPr>
            </w:pPr>
            <w:r>
              <w:rPr>
                <w:rFonts w:hint="eastAsia"/>
                <w:vertAlign w:val="baseline"/>
                <w:lang w:eastAsia="zh-CN"/>
              </w:rPr>
              <w:t>昼间</w:t>
            </w:r>
          </w:p>
        </w:tc>
        <w:tc>
          <w:tcPr>
            <w:tcW w:w="2841" w:type="dxa"/>
            <w:tcBorders>
              <w:top w:val="single" w:color="auto" w:sz="12" w:space="0"/>
              <w:bottom w:val="single" w:color="auto" w:sz="12" w:space="0"/>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vertAlign w:val="baseline"/>
                <w:lang w:eastAsia="zh-CN"/>
              </w:rPr>
            </w:pPr>
            <w:r>
              <w:rPr>
                <w:rFonts w:hint="eastAsia"/>
                <w:vertAlign w:val="baseline"/>
                <w:lang w:eastAsia="zh-CN"/>
              </w:rPr>
              <w:t>夜间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Borders>
              <w:top w:val="single" w:color="auto" w:sz="12" w:space="0"/>
              <w:left w:val="nil"/>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vertAlign w:val="baseline"/>
                <w:lang w:eastAsia="zh-CN"/>
              </w:rPr>
            </w:pPr>
            <w:r>
              <w:rPr>
                <w:rFonts w:hint="eastAsia"/>
                <w:vertAlign w:val="baseline"/>
                <w:lang w:eastAsia="zh-CN"/>
              </w:rPr>
              <w:t>Ⅰ类</w:t>
            </w:r>
          </w:p>
        </w:tc>
        <w:tc>
          <w:tcPr>
            <w:tcW w:w="2841" w:type="dxa"/>
            <w:tcBorders>
              <w:top w:val="single" w:color="auto" w:sz="12" w:space="0"/>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vertAlign w:val="baseline"/>
                <w:lang w:val="en-US" w:eastAsia="zh-CN"/>
              </w:rPr>
            </w:pPr>
            <w:r>
              <w:rPr>
                <w:rFonts w:hint="eastAsia"/>
                <w:vertAlign w:val="baseline"/>
                <w:lang w:val="en-US" w:eastAsia="zh-CN"/>
              </w:rPr>
              <w:t>55</w:t>
            </w:r>
          </w:p>
        </w:tc>
        <w:tc>
          <w:tcPr>
            <w:tcW w:w="2841" w:type="dxa"/>
            <w:tcBorders>
              <w:top w:val="single" w:color="auto" w:sz="12" w:space="0"/>
              <w:bottom w:val="single" w:color="auto" w:sz="12" w:space="0"/>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vertAlign w:val="baseline"/>
                <w:lang w:val="en-US" w:eastAsia="zh-CN"/>
              </w:rPr>
            </w:pPr>
            <w:r>
              <w:rPr>
                <w:rFonts w:hint="eastAsia"/>
                <w:vertAlign w:val="baseline"/>
                <w:lang w:val="en-US" w:eastAsia="zh-CN"/>
              </w:rPr>
              <w:t>45</w:t>
            </w:r>
          </w:p>
        </w:tc>
      </w:tr>
    </w:tbl>
    <w:p>
      <w:pPr>
        <w:pStyle w:val="5"/>
        <w:ind w:firstLine="562"/>
      </w:pPr>
      <w:r>
        <w:rPr>
          <w:rFonts w:hint="eastAsia"/>
          <w:lang w:eastAsia="zh-CN"/>
        </w:rPr>
        <w:t xml:space="preserve">监测结果及评价 </w:t>
      </w:r>
    </w:p>
    <w:p>
      <w:pPr>
        <w:pStyle w:val="9"/>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rPr>
      </w:pPr>
      <w:r>
        <w:rPr>
          <w:rFonts w:hint="eastAsia"/>
        </w:rPr>
        <w:t xml:space="preserve">通过对评价范围的噪声测量，得出各测点的昼间和夜间的环境背景噪声监测结果， 详见下表。 </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eastAsia="zh-CN"/>
        </w:rPr>
        <w:t>表</w:t>
      </w:r>
      <w:r>
        <w:rPr>
          <w:rFonts w:hint="default" w:ascii="Times New Roman" w:hAnsi="Times New Roman" w:eastAsia="宋体" w:cs="Times New Roman"/>
          <w:b/>
          <w:bCs/>
          <w:sz w:val="21"/>
          <w:szCs w:val="21"/>
          <w:lang w:val="en-US" w:eastAsia="zh-CN"/>
        </w:rPr>
        <w:t>4.5-</w:t>
      </w:r>
      <w:r>
        <w:rPr>
          <w:rFonts w:hint="eastAsia" w:ascii="Times New Roman" w:hAnsi="Times New Roman" w:cs="Times New Roman"/>
          <w:b/>
          <w:bCs/>
          <w:sz w:val="21"/>
          <w:szCs w:val="21"/>
          <w:lang w:val="en-US" w:eastAsia="zh-CN"/>
        </w:rPr>
        <w:t>3</w:t>
      </w:r>
      <w:r>
        <w:rPr>
          <w:rFonts w:hint="default" w:ascii="Times New Roman" w:hAnsi="Times New Roman" w:eastAsia="宋体" w:cs="Times New Roman"/>
          <w:b/>
          <w:bCs/>
          <w:sz w:val="21"/>
          <w:szCs w:val="21"/>
          <w:lang w:val="en-US" w:eastAsia="zh-CN"/>
        </w:rPr>
        <w:t xml:space="preserve">  </w:t>
      </w:r>
      <w:r>
        <w:rPr>
          <w:rFonts w:hint="eastAsia" w:ascii="Times New Roman" w:hAnsi="Times New Roman" w:cs="Times New Roman"/>
          <w:b/>
          <w:bCs/>
          <w:sz w:val="21"/>
          <w:szCs w:val="21"/>
          <w:lang w:val="en-US" w:eastAsia="zh-CN"/>
        </w:rPr>
        <w:t>厂区周围环境噪声现状监测结果</w:t>
      </w:r>
      <w:r>
        <w:rPr>
          <w:rFonts w:hint="default" w:ascii="Times New Roman" w:hAnsi="Times New Roman" w:eastAsia="宋体" w:cs="Times New Roman"/>
          <w:b/>
          <w:bCs/>
          <w:sz w:val="21"/>
          <w:szCs w:val="21"/>
          <w:lang w:val="en-US" w:eastAsia="zh-CN"/>
        </w:rPr>
        <w:t xml:space="preserve">   单位：dB（A）</w:t>
      </w: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96"/>
        <w:gridCol w:w="1548"/>
        <w:gridCol w:w="887"/>
        <w:gridCol w:w="840"/>
        <w:gridCol w:w="870"/>
        <w:gridCol w:w="930"/>
        <w:gridCol w:w="28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6" w:type="dxa"/>
            <w:vMerge w:val="restart"/>
            <w:tcBorders>
              <w:top w:val="single" w:color="auto" w:sz="12" w:space="0"/>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sz w:val="21"/>
                <w:szCs w:val="21"/>
                <w:vertAlign w:val="baseline"/>
                <w:lang w:val="en-US" w:eastAsia="zh-CN"/>
              </w:rPr>
              <w:t>编号</w:t>
            </w:r>
          </w:p>
        </w:tc>
        <w:tc>
          <w:tcPr>
            <w:tcW w:w="1548" w:type="dxa"/>
            <w:vMerge w:val="restart"/>
            <w:tcBorders>
              <w:top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采样点名称</w:t>
            </w:r>
          </w:p>
        </w:tc>
        <w:tc>
          <w:tcPr>
            <w:tcW w:w="1727" w:type="dxa"/>
            <w:gridSpan w:val="2"/>
            <w:tcBorders>
              <w:top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val="en-US" w:eastAsia="zh-CN"/>
              </w:rPr>
            </w:pPr>
            <w:r>
              <w:rPr>
                <w:rFonts w:hint="eastAsia"/>
                <w:sz w:val="21"/>
                <w:szCs w:val="21"/>
                <w:vertAlign w:val="baseline"/>
                <w:lang w:val="en-US" w:eastAsia="zh-CN"/>
              </w:rPr>
              <w:t>2020.3.31</w:t>
            </w:r>
          </w:p>
        </w:tc>
        <w:tc>
          <w:tcPr>
            <w:tcW w:w="1800" w:type="dxa"/>
            <w:gridSpan w:val="2"/>
            <w:tcBorders>
              <w:top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val="en-US" w:eastAsia="zh-CN"/>
              </w:rPr>
            </w:pPr>
            <w:r>
              <w:rPr>
                <w:rFonts w:hint="eastAsia"/>
                <w:sz w:val="21"/>
                <w:szCs w:val="21"/>
                <w:vertAlign w:val="baseline"/>
                <w:lang w:val="en-US" w:eastAsia="zh-CN"/>
              </w:rPr>
              <w:t>2020.4.1</w:t>
            </w:r>
          </w:p>
        </w:tc>
        <w:tc>
          <w:tcPr>
            <w:tcW w:w="2851" w:type="dxa"/>
            <w:vMerge w:val="restart"/>
            <w:tcBorders>
              <w:top w:val="single" w:color="auto" w:sz="12" w:space="0"/>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标准限值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6" w:type="dxa"/>
            <w:vMerge w:val="continue"/>
            <w:tcBorders>
              <w:left w:val="nil"/>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p>
        </w:tc>
        <w:tc>
          <w:tcPr>
            <w:tcW w:w="1548" w:type="dxa"/>
            <w:vMerge w:val="continue"/>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p>
        </w:tc>
        <w:tc>
          <w:tcPr>
            <w:tcW w:w="887"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昼间</w:t>
            </w:r>
          </w:p>
        </w:tc>
        <w:tc>
          <w:tcPr>
            <w:tcW w:w="840"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夜间</w:t>
            </w:r>
          </w:p>
        </w:tc>
        <w:tc>
          <w:tcPr>
            <w:tcW w:w="870"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昼间</w:t>
            </w:r>
          </w:p>
        </w:tc>
        <w:tc>
          <w:tcPr>
            <w:tcW w:w="930"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夜间</w:t>
            </w:r>
          </w:p>
        </w:tc>
        <w:tc>
          <w:tcPr>
            <w:tcW w:w="2851" w:type="dxa"/>
            <w:vMerge w:val="continue"/>
            <w:tcBorders>
              <w:bottom w:val="single" w:color="auto" w:sz="12" w:space="0"/>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6" w:type="dxa"/>
            <w:tcBorders>
              <w:top w:val="single" w:color="auto" w:sz="12" w:space="0"/>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rPr>
            </w:pPr>
            <w:r>
              <w:rPr>
                <w:rFonts w:hint="eastAsia"/>
                <w:sz w:val="21"/>
                <w:szCs w:val="21"/>
                <w:vertAlign w:val="baseline"/>
                <w:lang w:val="en-US" w:eastAsia="zh-CN"/>
              </w:rPr>
              <w:t>N1</w:t>
            </w:r>
          </w:p>
        </w:tc>
        <w:tc>
          <w:tcPr>
            <w:tcW w:w="1548" w:type="dxa"/>
            <w:tcBorders>
              <w:top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sz w:val="21"/>
                <w:szCs w:val="21"/>
                <w:vertAlign w:val="baseline"/>
                <w:lang w:eastAsia="zh-CN"/>
              </w:rPr>
              <w:t>项目东边界</w:t>
            </w:r>
            <w:r>
              <w:rPr>
                <w:rFonts w:hint="eastAsia"/>
                <w:sz w:val="21"/>
                <w:szCs w:val="21"/>
                <w:vertAlign w:val="baseline"/>
                <w:lang w:val="en-US" w:eastAsia="zh-CN"/>
              </w:rPr>
              <w:t>1m</w:t>
            </w:r>
          </w:p>
        </w:tc>
        <w:tc>
          <w:tcPr>
            <w:tcW w:w="887" w:type="dxa"/>
            <w:tcBorders>
              <w:top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color w:val="auto"/>
                <w:sz w:val="21"/>
                <w:szCs w:val="21"/>
                <w:lang w:val="en-US" w:eastAsia="zh-CN"/>
              </w:rPr>
              <w:t>50.6</w:t>
            </w:r>
          </w:p>
        </w:tc>
        <w:tc>
          <w:tcPr>
            <w:tcW w:w="840" w:type="dxa"/>
            <w:tcBorders>
              <w:top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color w:val="auto"/>
                <w:sz w:val="21"/>
                <w:szCs w:val="21"/>
                <w:lang w:val="en-US" w:eastAsia="zh-CN"/>
              </w:rPr>
              <w:t>43.6</w:t>
            </w:r>
          </w:p>
        </w:tc>
        <w:tc>
          <w:tcPr>
            <w:tcW w:w="870" w:type="dxa"/>
            <w:tcBorders>
              <w:top w:val="single" w:color="auto" w:sz="12" w:space="0"/>
            </w:tcBorders>
            <w:noWrap w:val="0"/>
            <w:vAlign w:val="center"/>
          </w:tcPr>
          <w:p>
            <w:pPr>
              <w:jc w:val="center"/>
              <w:rPr>
                <w:rFonts w:hint="default" w:ascii="Times New Roman" w:hAnsi="Times New Roman" w:eastAsia="宋体" w:cs="Times New Roman"/>
                <w:sz w:val="21"/>
                <w:szCs w:val="21"/>
                <w:vertAlign w:val="baseline"/>
              </w:rPr>
            </w:pPr>
            <w:r>
              <w:rPr>
                <w:rFonts w:hint="eastAsia"/>
                <w:color w:val="auto"/>
                <w:sz w:val="21"/>
                <w:szCs w:val="21"/>
                <w:lang w:val="en-US" w:eastAsia="zh-CN"/>
              </w:rPr>
              <w:t>52.0</w:t>
            </w:r>
          </w:p>
        </w:tc>
        <w:tc>
          <w:tcPr>
            <w:tcW w:w="930" w:type="dxa"/>
            <w:tcBorders>
              <w:top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color w:val="000000"/>
                <w:sz w:val="21"/>
                <w:szCs w:val="21"/>
                <w:lang w:val="en-US" w:eastAsia="zh-CN"/>
              </w:rPr>
              <w:t>43.0</w:t>
            </w:r>
          </w:p>
        </w:tc>
        <w:tc>
          <w:tcPr>
            <w:tcW w:w="2851" w:type="dxa"/>
            <w:vMerge w:val="restart"/>
            <w:tcBorders>
              <w:top w:val="single" w:color="auto" w:sz="12" w:space="0"/>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b w:val="0"/>
                <w:bCs w:val="0"/>
                <w:sz w:val="21"/>
                <w:szCs w:val="21"/>
                <w:vertAlign w:val="baseline"/>
                <w:lang w:eastAsia="zh-CN"/>
              </w:rPr>
              <w:t>《声环境质量标准》（</w:t>
            </w:r>
            <w:r>
              <w:rPr>
                <w:rFonts w:hint="eastAsia"/>
                <w:b w:val="0"/>
                <w:bCs w:val="0"/>
                <w:sz w:val="21"/>
                <w:szCs w:val="21"/>
                <w:vertAlign w:val="baseline"/>
                <w:lang w:val="en-US" w:eastAsia="zh-CN"/>
              </w:rPr>
              <w:t>GB3096-2008</w:t>
            </w:r>
            <w:r>
              <w:rPr>
                <w:rFonts w:hint="eastAsia"/>
                <w:b w:val="0"/>
                <w:bCs w:val="0"/>
                <w:sz w:val="21"/>
                <w:szCs w:val="21"/>
                <w:vertAlign w:val="baseline"/>
                <w:lang w:eastAsia="zh-CN"/>
              </w:rPr>
              <w:t>）Ⅰ类标准，昼间≤</w:t>
            </w:r>
            <w:r>
              <w:rPr>
                <w:rFonts w:hint="eastAsia"/>
                <w:b w:val="0"/>
                <w:bCs w:val="0"/>
                <w:sz w:val="21"/>
                <w:szCs w:val="21"/>
                <w:vertAlign w:val="baseline"/>
                <w:lang w:val="en-US" w:eastAsia="zh-CN"/>
              </w:rPr>
              <w:t>55</w:t>
            </w:r>
            <w:r>
              <w:rPr>
                <w:rFonts w:hint="default" w:ascii="Times New Roman" w:hAnsi="Times New Roman" w:eastAsia="宋体" w:cs="Times New Roman"/>
                <w:b w:val="0"/>
                <w:bCs w:val="0"/>
                <w:sz w:val="21"/>
                <w:szCs w:val="21"/>
                <w:lang w:val="en-US" w:eastAsia="zh-CN"/>
              </w:rPr>
              <w:t>dB（A）</w:t>
            </w:r>
            <w:r>
              <w:rPr>
                <w:rFonts w:hint="eastAsia" w:ascii="Times New Roman" w:hAnsi="Times New Roman" w:cs="Times New Roman"/>
                <w:b w:val="0"/>
                <w:bCs w:val="0"/>
                <w:sz w:val="21"/>
                <w:szCs w:val="21"/>
                <w:lang w:val="en-US" w:eastAsia="zh-CN"/>
              </w:rPr>
              <w:t>，夜间</w:t>
            </w:r>
            <w:r>
              <w:rPr>
                <w:rFonts w:hint="eastAsia"/>
                <w:b w:val="0"/>
                <w:bCs w:val="0"/>
                <w:sz w:val="21"/>
                <w:szCs w:val="21"/>
                <w:vertAlign w:val="baseline"/>
                <w:lang w:eastAsia="zh-CN"/>
              </w:rPr>
              <w:t>≤</w:t>
            </w:r>
            <w:r>
              <w:rPr>
                <w:rFonts w:hint="eastAsia" w:ascii="Times New Roman" w:hAnsi="Times New Roman" w:cs="Times New Roman"/>
                <w:b w:val="0"/>
                <w:bCs w:val="0"/>
                <w:sz w:val="21"/>
                <w:szCs w:val="21"/>
                <w:lang w:val="en-US" w:eastAsia="zh-CN"/>
              </w:rPr>
              <w:t>45</w:t>
            </w:r>
            <w:r>
              <w:rPr>
                <w:rFonts w:hint="default" w:ascii="Times New Roman" w:hAnsi="Times New Roman" w:eastAsia="宋体" w:cs="Times New Roman"/>
                <w:b w:val="0"/>
                <w:bCs w:val="0"/>
                <w:sz w:val="21"/>
                <w:szCs w:val="21"/>
                <w:lang w:val="en-US" w:eastAsia="zh-CN"/>
              </w:rPr>
              <w:t>dB（A）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96"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val="en-US" w:eastAsia="zh-CN"/>
              </w:rPr>
              <w:t>N2</w:t>
            </w:r>
          </w:p>
        </w:tc>
        <w:tc>
          <w:tcPr>
            <w:tcW w:w="1548"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项目南边界</w:t>
            </w:r>
            <w:r>
              <w:rPr>
                <w:rFonts w:hint="eastAsia"/>
                <w:sz w:val="21"/>
                <w:szCs w:val="21"/>
                <w:vertAlign w:val="baseline"/>
                <w:lang w:val="en-US" w:eastAsia="zh-CN"/>
              </w:rPr>
              <w:t>1m</w:t>
            </w:r>
          </w:p>
        </w:tc>
        <w:tc>
          <w:tcPr>
            <w:tcW w:w="887" w:type="dxa"/>
            <w:noWrap w:val="0"/>
            <w:vAlign w:val="center"/>
          </w:tcPr>
          <w:p>
            <w:pPr>
              <w:jc w:val="center"/>
              <w:rPr>
                <w:rFonts w:hint="default" w:ascii="Times New Roman" w:hAnsi="Times New Roman" w:eastAsia="宋体" w:cs="Times New Roman"/>
                <w:sz w:val="21"/>
                <w:szCs w:val="21"/>
                <w:vertAlign w:val="baseline"/>
              </w:rPr>
            </w:pPr>
            <w:r>
              <w:rPr>
                <w:rFonts w:hint="eastAsia"/>
                <w:color w:val="auto"/>
                <w:sz w:val="21"/>
                <w:szCs w:val="21"/>
                <w:lang w:val="en-US" w:eastAsia="zh-CN"/>
              </w:rPr>
              <w:t>50.6</w:t>
            </w:r>
          </w:p>
        </w:tc>
        <w:tc>
          <w:tcPr>
            <w:tcW w:w="84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color w:val="auto"/>
                <w:sz w:val="21"/>
                <w:szCs w:val="21"/>
                <w:lang w:val="en-US" w:eastAsia="zh-CN"/>
              </w:rPr>
              <w:t>43.8</w:t>
            </w:r>
          </w:p>
        </w:tc>
        <w:tc>
          <w:tcPr>
            <w:tcW w:w="870" w:type="dxa"/>
            <w:noWrap w:val="0"/>
            <w:vAlign w:val="center"/>
          </w:tcPr>
          <w:p>
            <w:pPr>
              <w:jc w:val="center"/>
              <w:rPr>
                <w:rFonts w:hint="default" w:ascii="Times New Roman" w:hAnsi="Times New Roman" w:eastAsia="宋体" w:cs="Times New Roman"/>
                <w:sz w:val="21"/>
                <w:szCs w:val="21"/>
                <w:vertAlign w:val="baseline"/>
              </w:rPr>
            </w:pPr>
            <w:r>
              <w:rPr>
                <w:rFonts w:hint="eastAsia"/>
                <w:color w:val="000000"/>
                <w:sz w:val="21"/>
                <w:szCs w:val="21"/>
                <w:lang w:val="en-US" w:eastAsia="zh-CN"/>
              </w:rPr>
              <w:t>52.1</w:t>
            </w:r>
          </w:p>
        </w:tc>
        <w:tc>
          <w:tcPr>
            <w:tcW w:w="93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color w:val="000000"/>
                <w:sz w:val="21"/>
                <w:szCs w:val="21"/>
                <w:lang w:val="en-US" w:eastAsia="zh-CN"/>
              </w:rPr>
              <w:t>43.6</w:t>
            </w:r>
          </w:p>
        </w:tc>
        <w:tc>
          <w:tcPr>
            <w:tcW w:w="2851" w:type="dxa"/>
            <w:vMerge w:val="continue"/>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6" w:type="dxa"/>
            <w:tcBorders>
              <w:lef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val="en-US" w:eastAsia="zh-CN"/>
              </w:rPr>
              <w:t>N3</w:t>
            </w:r>
          </w:p>
        </w:tc>
        <w:tc>
          <w:tcPr>
            <w:tcW w:w="1548"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项目西边界</w:t>
            </w:r>
            <w:r>
              <w:rPr>
                <w:rFonts w:hint="eastAsia"/>
                <w:sz w:val="21"/>
                <w:szCs w:val="21"/>
                <w:vertAlign w:val="baseline"/>
                <w:lang w:val="en-US" w:eastAsia="zh-CN"/>
              </w:rPr>
              <w:t>1m</w:t>
            </w:r>
          </w:p>
        </w:tc>
        <w:tc>
          <w:tcPr>
            <w:tcW w:w="887" w:type="dxa"/>
            <w:noWrap w:val="0"/>
            <w:vAlign w:val="center"/>
          </w:tcPr>
          <w:p>
            <w:pPr>
              <w:jc w:val="center"/>
              <w:rPr>
                <w:rFonts w:hint="default" w:ascii="Times New Roman" w:hAnsi="Times New Roman" w:eastAsia="宋体" w:cs="Times New Roman"/>
                <w:sz w:val="21"/>
                <w:szCs w:val="21"/>
                <w:vertAlign w:val="baseline"/>
              </w:rPr>
            </w:pPr>
            <w:r>
              <w:rPr>
                <w:rFonts w:hint="eastAsia"/>
                <w:color w:val="auto"/>
                <w:sz w:val="21"/>
                <w:szCs w:val="21"/>
                <w:lang w:val="en-US" w:eastAsia="zh-CN"/>
              </w:rPr>
              <w:t>49.3</w:t>
            </w:r>
          </w:p>
        </w:tc>
        <w:tc>
          <w:tcPr>
            <w:tcW w:w="84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color w:val="auto"/>
                <w:sz w:val="21"/>
                <w:szCs w:val="21"/>
                <w:lang w:val="en-US" w:eastAsia="zh-CN"/>
              </w:rPr>
              <w:t>42.8</w:t>
            </w:r>
          </w:p>
        </w:tc>
        <w:tc>
          <w:tcPr>
            <w:tcW w:w="870" w:type="dxa"/>
            <w:noWrap w:val="0"/>
            <w:vAlign w:val="center"/>
          </w:tcPr>
          <w:p>
            <w:pPr>
              <w:jc w:val="center"/>
              <w:rPr>
                <w:rFonts w:hint="default" w:ascii="Times New Roman" w:hAnsi="Times New Roman" w:eastAsia="宋体" w:cs="Times New Roman"/>
                <w:sz w:val="21"/>
                <w:szCs w:val="21"/>
                <w:vertAlign w:val="baseline"/>
              </w:rPr>
            </w:pPr>
            <w:r>
              <w:rPr>
                <w:rFonts w:hint="eastAsia"/>
                <w:color w:val="000000"/>
                <w:sz w:val="21"/>
                <w:szCs w:val="21"/>
                <w:lang w:val="en-US" w:eastAsia="zh-CN"/>
              </w:rPr>
              <w:t>50.1</w:t>
            </w:r>
          </w:p>
        </w:tc>
        <w:tc>
          <w:tcPr>
            <w:tcW w:w="930"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color w:val="000000"/>
                <w:sz w:val="21"/>
                <w:szCs w:val="21"/>
                <w:lang w:val="en-US" w:eastAsia="zh-CN"/>
              </w:rPr>
              <w:t>42.1</w:t>
            </w:r>
          </w:p>
        </w:tc>
        <w:tc>
          <w:tcPr>
            <w:tcW w:w="2851" w:type="dxa"/>
            <w:vMerge w:val="continue"/>
            <w:tcBorders>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6" w:type="dxa"/>
            <w:tcBorders>
              <w:left w:val="nil"/>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sz w:val="21"/>
                <w:szCs w:val="21"/>
                <w:vertAlign w:val="baseline"/>
                <w:lang w:val="en-US" w:eastAsia="zh-CN"/>
              </w:rPr>
              <w:t>N4</w:t>
            </w:r>
          </w:p>
        </w:tc>
        <w:tc>
          <w:tcPr>
            <w:tcW w:w="1548"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项目北边界</w:t>
            </w:r>
            <w:r>
              <w:rPr>
                <w:rFonts w:hint="eastAsia"/>
                <w:sz w:val="21"/>
                <w:szCs w:val="21"/>
                <w:vertAlign w:val="baseline"/>
                <w:lang w:val="en-US" w:eastAsia="zh-CN"/>
              </w:rPr>
              <w:t>1m</w:t>
            </w:r>
          </w:p>
        </w:tc>
        <w:tc>
          <w:tcPr>
            <w:tcW w:w="887" w:type="dxa"/>
            <w:tcBorders>
              <w:bottom w:val="single" w:color="auto" w:sz="12" w:space="0"/>
            </w:tcBorders>
            <w:noWrap w:val="0"/>
            <w:vAlign w:val="center"/>
          </w:tcPr>
          <w:p>
            <w:pPr>
              <w:jc w:val="center"/>
              <w:rPr>
                <w:rFonts w:hint="default" w:ascii="Times New Roman" w:hAnsi="Times New Roman" w:eastAsia="宋体" w:cs="Times New Roman"/>
                <w:sz w:val="21"/>
                <w:szCs w:val="21"/>
                <w:vertAlign w:val="baseline"/>
              </w:rPr>
            </w:pPr>
            <w:r>
              <w:rPr>
                <w:rFonts w:hint="eastAsia"/>
                <w:color w:val="auto"/>
                <w:sz w:val="21"/>
                <w:szCs w:val="21"/>
                <w:lang w:val="en-US" w:eastAsia="zh-CN"/>
              </w:rPr>
              <w:t>49.0</w:t>
            </w:r>
          </w:p>
        </w:tc>
        <w:tc>
          <w:tcPr>
            <w:tcW w:w="840"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color w:val="auto"/>
                <w:sz w:val="21"/>
                <w:szCs w:val="21"/>
                <w:lang w:val="en-US" w:eastAsia="zh-CN"/>
              </w:rPr>
              <w:t>43.8</w:t>
            </w:r>
          </w:p>
        </w:tc>
        <w:tc>
          <w:tcPr>
            <w:tcW w:w="870" w:type="dxa"/>
            <w:tcBorders>
              <w:bottom w:val="single" w:color="auto" w:sz="12" w:space="0"/>
            </w:tcBorders>
            <w:noWrap w:val="0"/>
            <w:vAlign w:val="center"/>
          </w:tcPr>
          <w:p>
            <w:pPr>
              <w:jc w:val="center"/>
              <w:rPr>
                <w:rFonts w:hint="default" w:ascii="Times New Roman" w:hAnsi="Times New Roman" w:eastAsia="宋体" w:cs="Times New Roman"/>
                <w:color w:val="000000"/>
                <w:kern w:val="2"/>
                <w:sz w:val="21"/>
                <w:szCs w:val="21"/>
                <w:lang w:val="en-US" w:eastAsia="zh-CN" w:bidi="ar-SA"/>
              </w:rPr>
            </w:pPr>
            <w:r>
              <w:rPr>
                <w:rFonts w:hint="eastAsia"/>
                <w:color w:val="000000"/>
                <w:sz w:val="21"/>
                <w:szCs w:val="21"/>
                <w:lang w:val="en-US" w:eastAsia="zh-CN"/>
              </w:rPr>
              <w:t>50.9</w:t>
            </w:r>
          </w:p>
        </w:tc>
        <w:tc>
          <w:tcPr>
            <w:tcW w:w="930"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color w:val="000000"/>
                <w:sz w:val="21"/>
                <w:szCs w:val="21"/>
                <w:lang w:val="en-US" w:eastAsia="zh-CN"/>
              </w:rPr>
              <w:t>42.8</w:t>
            </w:r>
          </w:p>
        </w:tc>
        <w:tc>
          <w:tcPr>
            <w:tcW w:w="2851" w:type="dxa"/>
            <w:vMerge w:val="continue"/>
            <w:tcBorders>
              <w:bottom w:val="single" w:color="auto" w:sz="12" w:space="0"/>
              <w:right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p>
        </w:tc>
      </w:tr>
    </w:tbl>
    <w:p>
      <w:pPr>
        <w:pStyle w:val="9"/>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rPr>
      </w:pPr>
      <w:r>
        <w:rPr>
          <w:rFonts w:hint="eastAsia"/>
          <w:lang w:eastAsia="zh-CN"/>
        </w:rPr>
        <w:t>综上所述，</w:t>
      </w:r>
      <w:r>
        <w:rPr>
          <w:rFonts w:hint="eastAsia"/>
        </w:rPr>
        <w:t xml:space="preserve">本项目四周边界执行《声环境质量标准》（GB3096-2008）1类标准。从监测结果可知，本项目所在地的声环境质量现状均能满足《声环境质量标准》（GB3096-2008）1类标准的要求，即噪声昼间≤55dB(A)、夜间≤45dB(A)。可见，本项目所在地的声环境现状良好。 </w:t>
      </w:r>
    </w:p>
    <w:p>
      <w:pPr>
        <w:pStyle w:val="4"/>
      </w:pPr>
      <w:bookmarkStart w:id="48" w:name="_Toc15516"/>
      <w:r>
        <w:rPr>
          <w:rFonts w:hint="eastAsia"/>
          <w:lang w:eastAsia="zh-CN"/>
        </w:rPr>
        <w:t>土壤</w:t>
      </w:r>
      <w:r>
        <w:t>环境质量现状调查与评价</w:t>
      </w:r>
      <w:bookmarkEnd w:id="48"/>
    </w:p>
    <w:p>
      <w:pPr>
        <w:pStyle w:val="5"/>
        <w:ind w:firstLine="562"/>
      </w:pPr>
      <w:r>
        <w:rPr>
          <w:rFonts w:hint="eastAsia"/>
          <w:lang w:eastAsia="zh-CN"/>
        </w:rPr>
        <w:t xml:space="preserve">监测布点 </w:t>
      </w:r>
    </w:p>
    <w:p>
      <w:pPr>
        <w:pStyle w:val="9"/>
        <w:rPr>
          <w:rFonts w:hint="eastAsia"/>
        </w:rPr>
      </w:pPr>
      <w:r>
        <w:rPr>
          <w:rFonts w:hint="eastAsia"/>
        </w:rPr>
        <w:t xml:space="preserve">根据《环境影响评价技术导则 土壤环境（试行）》（HJ964-2018），本评价设置3个土壤样点，均在占地范围内，具体如下。 </w:t>
      </w:r>
    </w:p>
    <w:p>
      <w:pPr>
        <w:autoSpaceDE w:val="0"/>
        <w:autoSpaceDN w:val="0"/>
        <w:adjustRightInd w:val="0"/>
        <w:jc w:val="center"/>
        <w:rPr>
          <w:rFonts w:ascii="Times New Roman" w:hAnsi="Times New Roman" w:cs="Times New Roman"/>
          <w:b/>
          <w:sz w:val="21"/>
          <w:szCs w:val="21"/>
        </w:rPr>
      </w:pPr>
    </w:p>
    <w:p>
      <w:pPr>
        <w:autoSpaceDE w:val="0"/>
        <w:autoSpaceDN w:val="0"/>
        <w:adjustRightInd w:val="0"/>
        <w:jc w:val="center"/>
        <w:rPr>
          <w:rFonts w:ascii="Times New Roman" w:hAnsi="Times New Roman" w:cs="Times New Roman"/>
          <w:b/>
          <w:sz w:val="21"/>
          <w:szCs w:val="21"/>
        </w:rPr>
      </w:pPr>
    </w:p>
    <w:p>
      <w:pPr>
        <w:autoSpaceDE w:val="0"/>
        <w:autoSpaceDN w:val="0"/>
        <w:adjustRightInd w:val="0"/>
        <w:jc w:val="center"/>
        <w:rPr>
          <w:rFonts w:ascii="Times New Roman" w:hAnsi="Times New Roman" w:cs="Times New Roman"/>
          <w:b/>
          <w:sz w:val="21"/>
          <w:szCs w:val="21"/>
        </w:rPr>
      </w:pPr>
      <w:r>
        <w:rPr>
          <w:rFonts w:ascii="Times New Roman" w:hAnsi="Times New Roman" w:cs="Times New Roman"/>
          <w:b/>
          <w:sz w:val="21"/>
          <w:szCs w:val="21"/>
        </w:rPr>
        <w:t>表</w:t>
      </w:r>
      <w:r>
        <w:rPr>
          <w:rFonts w:hint="eastAsia" w:eastAsia="宋体" w:cs="Times New Roman"/>
          <w:b/>
          <w:sz w:val="21"/>
          <w:szCs w:val="21"/>
          <w:lang w:val="en-US" w:eastAsia="zh-CN"/>
        </w:rPr>
        <w:t>4.6-1</w:t>
      </w:r>
      <w:r>
        <w:rPr>
          <w:rFonts w:ascii="Times New Roman" w:hAnsi="Times New Roman" w:cs="Times New Roman"/>
          <w:b/>
          <w:sz w:val="21"/>
          <w:szCs w:val="21"/>
        </w:rPr>
        <w:t xml:space="preserve">   </w:t>
      </w:r>
      <w:r>
        <w:rPr>
          <w:rFonts w:hint="eastAsia" w:ascii="Times New Roman" w:hAnsi="Times New Roman" w:eastAsia="宋体" w:cs="Times New Roman"/>
          <w:b/>
          <w:sz w:val="21"/>
          <w:szCs w:val="21"/>
          <w:lang w:eastAsia="zh-CN"/>
        </w:rPr>
        <w:t>土壤</w:t>
      </w:r>
      <w:r>
        <w:rPr>
          <w:rFonts w:ascii="Times New Roman" w:hAnsi="Times New Roman" w:cs="Times New Roman"/>
          <w:b/>
          <w:sz w:val="21"/>
          <w:szCs w:val="21"/>
        </w:rPr>
        <w:t>环境质量现状监测点位布设情况一览表</w:t>
      </w:r>
    </w:p>
    <w:tbl>
      <w:tblPr>
        <w:tblStyle w:val="63"/>
        <w:tblW w:w="0" w:type="auto"/>
        <w:tblInd w:w="0"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fixed"/>
        <w:tblCellMar>
          <w:top w:w="0" w:type="dxa"/>
          <w:left w:w="0" w:type="dxa"/>
          <w:bottom w:w="0" w:type="dxa"/>
          <w:right w:w="0" w:type="dxa"/>
        </w:tblCellMar>
      </w:tblPr>
      <w:tblGrid>
        <w:gridCol w:w="1515"/>
        <w:gridCol w:w="1286"/>
        <w:gridCol w:w="3349"/>
        <w:gridCol w:w="2153"/>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244" w:hRule="atLeast"/>
        </w:trPr>
        <w:tc>
          <w:tcPr>
            <w:tcW w:w="1515" w:type="dxa"/>
            <w:tcBorders>
              <w:left w:val="nil"/>
              <w:bottom w:val="single" w:color="000000" w:sz="12"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范围</w:t>
            </w:r>
          </w:p>
        </w:tc>
        <w:tc>
          <w:tcPr>
            <w:tcW w:w="1286" w:type="dxa"/>
            <w:tcBorders>
              <w:left w:val="single" w:color="000000" w:sz="4" w:space="0"/>
              <w:bottom w:val="single" w:color="000000" w:sz="12"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编号</w:t>
            </w:r>
          </w:p>
        </w:tc>
        <w:tc>
          <w:tcPr>
            <w:tcW w:w="3349" w:type="dxa"/>
            <w:tcBorders>
              <w:left w:val="single" w:color="000000" w:sz="4" w:space="0"/>
              <w:bottom w:val="single" w:color="000000" w:sz="12"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经纬度</w:t>
            </w:r>
          </w:p>
        </w:tc>
        <w:tc>
          <w:tcPr>
            <w:tcW w:w="2153" w:type="dxa"/>
            <w:tcBorders>
              <w:left w:val="single" w:color="000000" w:sz="4" w:space="0"/>
              <w:bottom w:val="single" w:color="000000" w:sz="12" w:space="0"/>
              <w:right w:val="nil"/>
            </w:tcBorders>
            <w:noWrap w:val="0"/>
            <w:vAlign w:val="center"/>
          </w:tcPr>
          <w:p>
            <w:pPr>
              <w:pStyle w:val="866"/>
              <w:keepNext w:val="0"/>
              <w:keepLines w:val="0"/>
              <w:pageBreakBefore w:val="0"/>
              <w:widowControl/>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备注</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244" w:hRule="atLeast"/>
        </w:trPr>
        <w:tc>
          <w:tcPr>
            <w:tcW w:w="1515" w:type="dxa"/>
            <w:vMerge w:val="restart"/>
            <w:tcBorders>
              <w:top w:val="single" w:color="000000" w:sz="12" w:space="0"/>
              <w:left w:val="nil"/>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占地范围内</w:t>
            </w:r>
          </w:p>
        </w:tc>
        <w:tc>
          <w:tcPr>
            <w:tcW w:w="1286" w:type="dxa"/>
            <w:tcBorders>
              <w:top w:val="single" w:color="000000" w:sz="12" w:space="0"/>
              <w:left w:val="single" w:color="000000" w:sz="4" w:space="0"/>
              <w:bottom w:val="single" w:color="000000" w:sz="4"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T1</w:t>
            </w:r>
          </w:p>
        </w:tc>
        <w:tc>
          <w:tcPr>
            <w:tcW w:w="3349" w:type="dxa"/>
            <w:tcBorders>
              <w:top w:val="single" w:color="000000" w:sz="12" w:space="0"/>
              <w:left w:val="single" w:color="000000" w:sz="4" w:space="0"/>
              <w:bottom w:val="single" w:color="000000" w:sz="4"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ind w:left="0" w:leftChars="0" w:right="0" w:right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E113.704076，N25.190942</w:t>
            </w:r>
          </w:p>
        </w:tc>
        <w:tc>
          <w:tcPr>
            <w:tcW w:w="2153" w:type="dxa"/>
            <w:tcBorders>
              <w:top w:val="single" w:color="000000" w:sz="12" w:space="0"/>
              <w:left w:val="single" w:color="000000" w:sz="4" w:space="0"/>
              <w:bottom w:val="single" w:color="000000" w:sz="4" w:space="0"/>
              <w:right w:val="nil"/>
            </w:tcBorders>
            <w:noWrap w:val="0"/>
            <w:vAlign w:val="center"/>
          </w:tcPr>
          <w:p>
            <w:pPr>
              <w:pStyle w:val="866"/>
              <w:keepNext w:val="0"/>
              <w:keepLines w:val="0"/>
              <w:pageBreakBefore w:val="0"/>
              <w:widowControl/>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表层样点</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06" w:hRule="atLeast"/>
        </w:trPr>
        <w:tc>
          <w:tcPr>
            <w:tcW w:w="1515" w:type="dxa"/>
            <w:vMerge w:val="continue"/>
            <w:tcBorders>
              <w:top w:val="nil"/>
              <w:left w:val="nil"/>
              <w:right w:val="single" w:color="000000" w:sz="4" w:space="0"/>
            </w:tcBorders>
            <w:noWrap w:val="0"/>
            <w:vAlign w:val="center"/>
          </w:tcPr>
          <w:p>
            <w:pPr>
              <w:keepNext w:val="0"/>
              <w:keepLines w:val="0"/>
              <w:pageBreakBefore w:val="0"/>
              <w:widowControl/>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p>
        </w:tc>
        <w:tc>
          <w:tcPr>
            <w:tcW w:w="1286" w:type="dxa"/>
            <w:tcBorders>
              <w:top w:val="single" w:color="000000" w:sz="4" w:space="0"/>
              <w:left w:val="single" w:color="000000" w:sz="4" w:space="0"/>
              <w:bottom w:val="single" w:color="000000" w:sz="4"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T2</w:t>
            </w:r>
          </w:p>
        </w:tc>
        <w:tc>
          <w:tcPr>
            <w:tcW w:w="3349" w:type="dxa"/>
            <w:tcBorders>
              <w:top w:val="single" w:color="000000" w:sz="4" w:space="0"/>
              <w:left w:val="single" w:color="000000" w:sz="4" w:space="0"/>
              <w:bottom w:val="single" w:color="000000" w:sz="4"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ind w:left="0" w:leftChars="0" w:right="0" w:right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E113.707509，N25.192806</w:t>
            </w:r>
          </w:p>
        </w:tc>
        <w:tc>
          <w:tcPr>
            <w:tcW w:w="2153" w:type="dxa"/>
            <w:tcBorders>
              <w:top w:val="single" w:color="000000" w:sz="4" w:space="0"/>
              <w:left w:val="single" w:color="000000" w:sz="4" w:space="0"/>
              <w:bottom w:val="single" w:color="000000" w:sz="4" w:space="0"/>
              <w:right w:val="nil"/>
            </w:tcBorders>
            <w:noWrap w:val="0"/>
            <w:vAlign w:val="center"/>
          </w:tcPr>
          <w:p>
            <w:pPr>
              <w:pStyle w:val="866"/>
              <w:keepNext w:val="0"/>
              <w:keepLines w:val="0"/>
              <w:pageBreakBefore w:val="0"/>
              <w:widowControl/>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表层样点</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283" w:hRule="atLeast"/>
        </w:trPr>
        <w:tc>
          <w:tcPr>
            <w:tcW w:w="1515" w:type="dxa"/>
            <w:vMerge w:val="continue"/>
            <w:tcBorders>
              <w:top w:val="nil"/>
              <w:left w:val="nil"/>
              <w:right w:val="single" w:color="000000" w:sz="4" w:space="0"/>
            </w:tcBorders>
            <w:noWrap w:val="0"/>
            <w:vAlign w:val="center"/>
          </w:tcPr>
          <w:p>
            <w:pPr>
              <w:keepNext w:val="0"/>
              <w:keepLines w:val="0"/>
              <w:pageBreakBefore w:val="0"/>
              <w:widowControl/>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p>
        </w:tc>
        <w:tc>
          <w:tcPr>
            <w:tcW w:w="1286" w:type="dxa"/>
            <w:tcBorders>
              <w:top w:val="single" w:color="000000" w:sz="4" w:space="0"/>
              <w:left w:val="single" w:color="000000" w:sz="4"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T3</w:t>
            </w:r>
          </w:p>
        </w:tc>
        <w:tc>
          <w:tcPr>
            <w:tcW w:w="3349" w:type="dxa"/>
            <w:tcBorders>
              <w:top w:val="single" w:color="000000" w:sz="4" w:space="0"/>
              <w:left w:val="single" w:color="000000" w:sz="4" w:space="0"/>
              <w:right w:val="single" w:color="000000" w:sz="4" w:space="0"/>
            </w:tcBorders>
            <w:noWrap w:val="0"/>
            <w:vAlign w:val="center"/>
          </w:tcPr>
          <w:p>
            <w:pPr>
              <w:pStyle w:val="866"/>
              <w:keepNext w:val="0"/>
              <w:keepLines w:val="0"/>
              <w:pageBreakBefore w:val="0"/>
              <w:widowControl/>
              <w:kinsoku/>
              <w:wordWrap/>
              <w:overflowPunct/>
              <w:topLinePunct w:val="0"/>
              <w:autoSpaceDE/>
              <w:autoSpaceDN/>
              <w:bidi w:val="0"/>
              <w:adjustRightInd/>
              <w:snapToGrid/>
              <w:ind w:left="0" w:leftChars="0" w:right="0" w:right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E113.703475，N25.193933</w:t>
            </w:r>
          </w:p>
        </w:tc>
        <w:tc>
          <w:tcPr>
            <w:tcW w:w="2153" w:type="dxa"/>
            <w:tcBorders>
              <w:top w:val="single" w:color="000000" w:sz="4" w:space="0"/>
              <w:left w:val="single" w:color="000000" w:sz="4" w:space="0"/>
              <w:right w:val="nil"/>
            </w:tcBorders>
            <w:noWrap w:val="0"/>
            <w:vAlign w:val="center"/>
          </w:tcPr>
          <w:p>
            <w:pPr>
              <w:pStyle w:val="866"/>
              <w:keepNext w:val="0"/>
              <w:keepLines w:val="0"/>
              <w:pageBreakBefore w:val="0"/>
              <w:widowControl/>
              <w:kinsoku/>
              <w:wordWrap/>
              <w:overflowPunct/>
              <w:topLinePunct w:val="0"/>
              <w:autoSpaceDE/>
              <w:autoSpaceDN/>
              <w:bidi w:val="0"/>
              <w:adjustRightInd/>
              <w:snapToGrid/>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表层样点</w:t>
            </w:r>
          </w:p>
        </w:tc>
      </w:tr>
    </w:tbl>
    <w:p>
      <w:pPr>
        <w:keepNext w:val="0"/>
        <w:keepLines w:val="0"/>
        <w:pageBreakBefore w:val="0"/>
        <w:widowControl/>
        <w:kinsoku/>
        <w:wordWrap/>
        <w:overflowPunct/>
        <w:topLinePunct w:val="0"/>
        <w:autoSpaceDE w:val="0"/>
        <w:autoSpaceDN w:val="0"/>
        <w:bidi w:val="0"/>
        <w:adjustRightInd w:val="0"/>
        <w:snapToGrid/>
        <w:spacing w:line="360" w:lineRule="auto"/>
        <w:jc w:val="left"/>
        <w:textAlignment w:val="auto"/>
      </w:pPr>
      <w:r>
        <w:drawing>
          <wp:inline distT="0" distB="0" distL="114300" distR="114300">
            <wp:extent cx="5229225" cy="4457700"/>
            <wp:effectExtent l="0" t="0" r="13335" b="7620"/>
            <wp:docPr id="4"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3"/>
                    <pic:cNvPicPr>
                      <a:picLocks noChangeAspect="1"/>
                    </pic:cNvPicPr>
                  </pic:nvPicPr>
                  <pic:blipFill>
                    <a:blip r:embed="rId78"/>
                    <a:stretch>
                      <a:fillRect/>
                    </a:stretch>
                  </pic:blipFill>
                  <pic:spPr>
                    <a:xfrm>
                      <a:off x="0" y="0"/>
                      <a:ext cx="5229225" cy="4457700"/>
                    </a:xfrm>
                    <a:prstGeom prst="rect">
                      <a:avLst/>
                    </a:prstGeom>
                    <a:noFill/>
                    <a:ln>
                      <a:noFill/>
                    </a:ln>
                  </pic:spPr>
                </pic:pic>
              </a:graphicData>
            </a:graphic>
          </wp:inline>
        </w:drawing>
      </w:r>
    </w:p>
    <w:p>
      <w:pPr>
        <w:keepNext w:val="0"/>
        <w:keepLines w:val="0"/>
        <w:pageBreakBefore w:val="0"/>
        <w:widowControl/>
        <w:kinsoku/>
        <w:wordWrap/>
        <w:overflowPunct/>
        <w:topLinePunct w:val="0"/>
        <w:autoSpaceDE w:val="0"/>
        <w:autoSpaceDN w:val="0"/>
        <w:bidi w:val="0"/>
        <w:adjustRightInd w:val="0"/>
        <w:snapToGrid/>
        <w:spacing w:line="360" w:lineRule="auto"/>
        <w:jc w:val="center"/>
        <w:textAlignment w:val="auto"/>
        <w:rPr>
          <w:rFonts w:hint="eastAsia"/>
          <w:lang w:val="en-US" w:eastAsia="zh-CN"/>
        </w:rPr>
      </w:pPr>
      <w:r>
        <w:rPr>
          <w:rFonts w:hint="eastAsia" w:eastAsia="宋体"/>
          <w:b/>
          <w:bCs/>
          <w:sz w:val="21"/>
          <w:szCs w:val="21"/>
          <w:lang w:eastAsia="zh-CN"/>
        </w:rPr>
        <w:t>图</w:t>
      </w:r>
      <w:r>
        <w:rPr>
          <w:rFonts w:hint="eastAsia" w:eastAsia="宋体"/>
          <w:b/>
          <w:bCs/>
          <w:sz w:val="21"/>
          <w:szCs w:val="21"/>
          <w:lang w:val="en-US" w:eastAsia="zh-CN"/>
        </w:rPr>
        <w:t>4.6-1   土壤环境监测点位示意图</w:t>
      </w:r>
    </w:p>
    <w:p>
      <w:pPr>
        <w:pStyle w:val="5"/>
        <w:ind w:firstLine="562"/>
      </w:pPr>
      <w:r>
        <w:rPr>
          <w:rFonts w:hint="eastAsia"/>
          <w:lang w:eastAsia="zh-CN"/>
        </w:rPr>
        <w:t xml:space="preserve">监测项目 </w:t>
      </w:r>
    </w:p>
    <w:p>
      <w:pPr>
        <w:pStyle w:val="9"/>
        <w:rPr>
          <w:rFonts w:hint="eastAsia"/>
        </w:rPr>
      </w:pPr>
      <w:r>
        <w:rPr>
          <w:rFonts w:hint="eastAsia"/>
        </w:rPr>
        <w:t xml:space="preserve">监测项目包括pH、镉、汞、砷、铅、铬、铜、镍、锌共9项。 </w:t>
      </w:r>
    </w:p>
    <w:p>
      <w:pPr>
        <w:pStyle w:val="5"/>
        <w:ind w:firstLine="562"/>
      </w:pPr>
      <w:r>
        <w:rPr>
          <w:rFonts w:hint="eastAsia"/>
          <w:lang w:eastAsia="zh-CN"/>
        </w:rPr>
        <w:t xml:space="preserve">监测时间和频率 </w:t>
      </w:r>
    </w:p>
    <w:p>
      <w:pPr>
        <w:pStyle w:val="9"/>
        <w:rPr>
          <w:rFonts w:hint="eastAsia"/>
        </w:rPr>
      </w:pPr>
      <w:r>
        <w:rPr>
          <w:rFonts w:hint="eastAsia"/>
          <w:lang w:val="en-US" w:eastAsia="zh-CN"/>
        </w:rPr>
        <w:t>一次性采样。</w:t>
      </w:r>
    </w:p>
    <w:p>
      <w:pPr>
        <w:pStyle w:val="5"/>
        <w:ind w:firstLine="562"/>
      </w:pPr>
      <w:r>
        <w:rPr>
          <w:rFonts w:hint="eastAsia"/>
          <w:lang w:eastAsia="zh-CN"/>
        </w:rPr>
        <w:t xml:space="preserve">监测与分析方法 </w:t>
      </w:r>
    </w:p>
    <w:p>
      <w:pPr>
        <w:pStyle w:val="9"/>
        <w:rPr>
          <w:rFonts w:hint="eastAsia"/>
        </w:rPr>
      </w:pPr>
      <w:r>
        <w:rPr>
          <w:rFonts w:hint="eastAsia"/>
        </w:rPr>
        <w:t>各监测因子的监测方法见下表。</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eastAsia="zh-CN"/>
        </w:rPr>
      </w:pP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eastAsia="zh-CN"/>
        </w:rPr>
      </w:pP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eastAsia="zh-CN"/>
        </w:rPr>
      </w:pP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eastAsia="zh-CN"/>
        </w:rPr>
      </w:pP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eastAsia="zh-CN"/>
        </w:rPr>
        <w:t>表</w:t>
      </w:r>
      <w:r>
        <w:rPr>
          <w:rFonts w:hint="default" w:ascii="Times New Roman" w:hAnsi="Times New Roman" w:eastAsia="宋体" w:cs="Times New Roman"/>
          <w:b/>
          <w:bCs/>
          <w:sz w:val="21"/>
          <w:szCs w:val="21"/>
          <w:lang w:val="en-US" w:eastAsia="zh-CN"/>
        </w:rPr>
        <w:t>4.6-2  土壤分析方法和检出限</w:t>
      </w:r>
    </w:p>
    <w:tbl>
      <w:tblPr>
        <w:tblStyle w:val="63"/>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972"/>
        <w:gridCol w:w="1292"/>
        <w:gridCol w:w="4124"/>
        <w:gridCol w:w="213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72"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val="en-US" w:eastAsia="zh-CN"/>
              </w:rPr>
            </w:pPr>
            <w:r>
              <w:rPr>
                <w:rFonts w:hint="eastAsia"/>
                <w:sz w:val="21"/>
                <w:szCs w:val="21"/>
                <w:vertAlign w:val="baseline"/>
                <w:lang w:val="en-US" w:eastAsia="zh-CN"/>
              </w:rPr>
              <w:t>序号</w:t>
            </w:r>
          </w:p>
        </w:tc>
        <w:tc>
          <w:tcPr>
            <w:tcW w:w="1292"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监测项目</w:t>
            </w:r>
          </w:p>
        </w:tc>
        <w:tc>
          <w:tcPr>
            <w:tcW w:w="4124"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分析方法</w:t>
            </w:r>
          </w:p>
        </w:tc>
        <w:tc>
          <w:tcPr>
            <w:tcW w:w="2134" w:type="dxa"/>
            <w:tcBorders>
              <w:bottom w:val="single" w:color="auto" w:sz="12"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sz w:val="21"/>
                <w:szCs w:val="21"/>
                <w:vertAlign w:val="baseline"/>
                <w:lang w:eastAsia="zh-CN"/>
              </w:rPr>
              <w:t>检出限</w:t>
            </w:r>
            <w:r>
              <w:rPr>
                <w:rFonts w:hint="eastAsia"/>
                <w:sz w:val="21"/>
                <w:szCs w:val="21"/>
                <w:vertAlign w:val="baseline"/>
                <w:lang w:val="en-US" w:eastAsia="zh-CN"/>
              </w:rPr>
              <w:t>/检出范围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7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val="en-US" w:eastAsia="zh-CN"/>
              </w:rPr>
            </w:pPr>
            <w:r>
              <w:rPr>
                <w:rFonts w:hint="eastAsia"/>
                <w:sz w:val="21"/>
                <w:szCs w:val="21"/>
                <w:vertAlign w:val="baseline"/>
                <w:lang w:val="en-US" w:eastAsia="zh-CN"/>
              </w:rPr>
              <w:t>1</w:t>
            </w:r>
          </w:p>
        </w:tc>
        <w:tc>
          <w:tcPr>
            <w:tcW w:w="129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val="en-US" w:eastAsia="zh-CN"/>
              </w:rPr>
              <w:t>pH值</w:t>
            </w:r>
          </w:p>
        </w:tc>
        <w:tc>
          <w:tcPr>
            <w:tcW w:w="4124"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sz w:val="21"/>
                <w:szCs w:val="21"/>
                <w:vertAlign w:val="baseline"/>
                <w:lang w:eastAsia="zh-CN"/>
              </w:rPr>
              <w:t>电位法</w:t>
            </w:r>
            <w:r>
              <w:rPr>
                <w:rFonts w:hint="eastAsia"/>
                <w:sz w:val="21"/>
                <w:szCs w:val="21"/>
                <w:vertAlign w:val="baseline"/>
                <w:lang w:val="en-US" w:eastAsia="zh-CN"/>
              </w:rPr>
              <w:t>HJ962-2018</w:t>
            </w:r>
          </w:p>
        </w:tc>
        <w:tc>
          <w:tcPr>
            <w:tcW w:w="2134"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sz w:val="21"/>
                <w:szCs w:val="21"/>
                <w:vertAlign w:val="baseline"/>
                <w:lang w:val="en-US" w:eastAsia="zh-CN"/>
              </w:rPr>
              <w:t>0-14（无量纲）</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7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val="en-US" w:eastAsia="zh-CN"/>
              </w:rPr>
            </w:pPr>
            <w:r>
              <w:rPr>
                <w:rFonts w:hint="eastAsia"/>
                <w:sz w:val="21"/>
                <w:szCs w:val="21"/>
                <w:vertAlign w:val="baseline"/>
                <w:lang w:val="en-US" w:eastAsia="zh-CN"/>
              </w:rPr>
              <w:t>2</w:t>
            </w:r>
          </w:p>
        </w:tc>
        <w:tc>
          <w:tcPr>
            <w:tcW w:w="129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sz w:val="21"/>
                <w:szCs w:val="21"/>
                <w:vertAlign w:val="baseline"/>
                <w:lang w:val="en-US" w:eastAsia="zh-CN"/>
              </w:rPr>
              <w:t>砷</w:t>
            </w:r>
          </w:p>
        </w:tc>
        <w:tc>
          <w:tcPr>
            <w:tcW w:w="4124"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sz w:val="21"/>
                <w:szCs w:val="21"/>
                <w:vertAlign w:val="baseline"/>
                <w:lang w:eastAsia="zh-CN"/>
              </w:rPr>
              <w:t>原子荧光法</w:t>
            </w:r>
            <w:r>
              <w:rPr>
                <w:rFonts w:hint="eastAsia"/>
                <w:sz w:val="21"/>
                <w:szCs w:val="21"/>
                <w:vertAlign w:val="baseline"/>
                <w:lang w:val="en-US" w:eastAsia="zh-CN"/>
              </w:rPr>
              <w:t>GB/T22105.2-2008</w:t>
            </w:r>
          </w:p>
        </w:tc>
        <w:tc>
          <w:tcPr>
            <w:tcW w:w="2134"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sz w:val="21"/>
                <w:szCs w:val="21"/>
                <w:vertAlign w:val="baseline"/>
                <w:lang w:val="en-US" w:eastAsia="zh-CN"/>
              </w:rPr>
              <w:t>0.01mg/kg</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jc w:val="center"/>
        </w:trPr>
        <w:tc>
          <w:tcPr>
            <w:tcW w:w="97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val="en-US" w:eastAsia="zh-CN"/>
              </w:rPr>
            </w:pPr>
            <w:r>
              <w:rPr>
                <w:rFonts w:hint="eastAsia"/>
                <w:sz w:val="21"/>
                <w:szCs w:val="21"/>
                <w:vertAlign w:val="baseline"/>
                <w:lang w:val="en-US" w:eastAsia="zh-CN"/>
              </w:rPr>
              <w:t>3</w:t>
            </w:r>
          </w:p>
        </w:tc>
        <w:tc>
          <w:tcPr>
            <w:tcW w:w="129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汞</w:t>
            </w:r>
          </w:p>
        </w:tc>
        <w:tc>
          <w:tcPr>
            <w:tcW w:w="4124"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原子荧光法</w:t>
            </w:r>
            <w:r>
              <w:rPr>
                <w:rFonts w:hint="eastAsia"/>
                <w:sz w:val="21"/>
                <w:szCs w:val="21"/>
                <w:vertAlign w:val="baseline"/>
                <w:lang w:val="en-US" w:eastAsia="zh-CN"/>
              </w:rPr>
              <w:t>GB/T22105.1-2008</w:t>
            </w:r>
          </w:p>
        </w:tc>
        <w:tc>
          <w:tcPr>
            <w:tcW w:w="2134"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sz w:val="21"/>
                <w:szCs w:val="21"/>
                <w:vertAlign w:val="baseline"/>
                <w:lang w:val="en-US" w:eastAsia="zh-CN"/>
              </w:rPr>
            </w:pPr>
            <w:r>
              <w:rPr>
                <w:rFonts w:hint="eastAsia"/>
                <w:sz w:val="21"/>
                <w:szCs w:val="21"/>
                <w:vertAlign w:val="baseline"/>
                <w:lang w:val="en-US" w:eastAsia="zh-CN"/>
              </w:rPr>
              <w:t>0.002mg/kg</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7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4</w:t>
            </w:r>
          </w:p>
        </w:tc>
        <w:tc>
          <w:tcPr>
            <w:tcW w:w="129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铅</w:t>
            </w:r>
          </w:p>
        </w:tc>
        <w:tc>
          <w:tcPr>
            <w:tcW w:w="4124" w:type="dxa"/>
            <w:vMerge w:val="restart"/>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eastAsia="zh-CN"/>
              </w:rPr>
              <w:t>石墨炉原子吸收分光光度法</w:t>
            </w:r>
            <w:r>
              <w:rPr>
                <w:rFonts w:hint="eastAsia"/>
                <w:sz w:val="21"/>
                <w:szCs w:val="21"/>
                <w:vertAlign w:val="baseline"/>
                <w:lang w:val="en-US" w:eastAsia="zh-CN"/>
              </w:rPr>
              <w:t>GB/T17141-1997</w:t>
            </w:r>
          </w:p>
        </w:tc>
        <w:tc>
          <w:tcPr>
            <w:tcW w:w="2134"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val="en-US" w:eastAsia="zh-CN"/>
              </w:rPr>
            </w:pPr>
            <w:r>
              <w:rPr>
                <w:rFonts w:hint="eastAsia"/>
                <w:sz w:val="21"/>
                <w:szCs w:val="21"/>
                <w:vertAlign w:val="baseline"/>
                <w:lang w:val="en-US" w:eastAsia="zh-CN"/>
              </w:rPr>
              <w:t>0.1mg/kg</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7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5</w:t>
            </w:r>
          </w:p>
        </w:tc>
        <w:tc>
          <w:tcPr>
            <w:tcW w:w="129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镉</w:t>
            </w:r>
          </w:p>
        </w:tc>
        <w:tc>
          <w:tcPr>
            <w:tcW w:w="4124" w:type="dxa"/>
            <w:vMerge w:val="continue"/>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p>
        </w:tc>
        <w:tc>
          <w:tcPr>
            <w:tcW w:w="2134"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val="en-US" w:eastAsia="zh-CN"/>
              </w:rPr>
            </w:pPr>
            <w:r>
              <w:rPr>
                <w:rFonts w:hint="eastAsia"/>
                <w:sz w:val="21"/>
                <w:szCs w:val="21"/>
                <w:vertAlign w:val="baseline"/>
                <w:lang w:val="en-US" w:eastAsia="zh-CN"/>
              </w:rPr>
              <w:t>0.01mg/kg</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7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6</w:t>
            </w:r>
          </w:p>
        </w:tc>
        <w:tc>
          <w:tcPr>
            <w:tcW w:w="129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镍</w:t>
            </w:r>
          </w:p>
        </w:tc>
        <w:tc>
          <w:tcPr>
            <w:tcW w:w="4124" w:type="dxa"/>
            <w:vMerge w:val="continue"/>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p>
        </w:tc>
        <w:tc>
          <w:tcPr>
            <w:tcW w:w="2134"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val="en-US" w:eastAsia="zh-CN"/>
              </w:rPr>
            </w:pPr>
            <w:r>
              <w:rPr>
                <w:rFonts w:hint="eastAsia"/>
                <w:sz w:val="21"/>
                <w:szCs w:val="21"/>
                <w:vertAlign w:val="baseline"/>
                <w:lang w:val="en-US" w:eastAsia="zh-CN"/>
              </w:rPr>
              <w:t>3mg/kg</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jc w:val="center"/>
        </w:trPr>
        <w:tc>
          <w:tcPr>
            <w:tcW w:w="97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7</w:t>
            </w:r>
          </w:p>
        </w:tc>
        <w:tc>
          <w:tcPr>
            <w:tcW w:w="129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锌</w:t>
            </w:r>
          </w:p>
        </w:tc>
        <w:tc>
          <w:tcPr>
            <w:tcW w:w="4124" w:type="dxa"/>
            <w:vMerge w:val="continue"/>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p>
        </w:tc>
        <w:tc>
          <w:tcPr>
            <w:tcW w:w="2134"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val="en-US" w:eastAsia="zh-CN"/>
              </w:rPr>
            </w:pPr>
            <w:r>
              <w:rPr>
                <w:rFonts w:hint="eastAsia"/>
                <w:sz w:val="21"/>
                <w:szCs w:val="21"/>
                <w:vertAlign w:val="baseline"/>
                <w:lang w:val="en-US" w:eastAsia="zh-CN"/>
              </w:rPr>
              <w:t>1mg/kg</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7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8</w:t>
            </w:r>
          </w:p>
        </w:tc>
        <w:tc>
          <w:tcPr>
            <w:tcW w:w="129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铬</w:t>
            </w:r>
          </w:p>
        </w:tc>
        <w:tc>
          <w:tcPr>
            <w:tcW w:w="4124" w:type="dxa"/>
            <w:vMerge w:val="continue"/>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p>
        </w:tc>
        <w:tc>
          <w:tcPr>
            <w:tcW w:w="2134"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val="en-US" w:eastAsia="zh-CN"/>
              </w:rPr>
            </w:pPr>
            <w:r>
              <w:rPr>
                <w:rFonts w:hint="eastAsia"/>
                <w:sz w:val="21"/>
                <w:szCs w:val="21"/>
                <w:vertAlign w:val="baseline"/>
                <w:lang w:val="en-US" w:eastAsia="zh-CN"/>
              </w:rPr>
              <w:t>4mg/kg</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7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9</w:t>
            </w:r>
          </w:p>
        </w:tc>
        <w:tc>
          <w:tcPr>
            <w:tcW w:w="1292"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铜</w:t>
            </w:r>
          </w:p>
        </w:tc>
        <w:tc>
          <w:tcPr>
            <w:tcW w:w="4124" w:type="dxa"/>
            <w:vMerge w:val="continue"/>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p>
        </w:tc>
        <w:tc>
          <w:tcPr>
            <w:tcW w:w="2134"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val="en-US" w:eastAsia="zh-CN"/>
              </w:rPr>
            </w:pPr>
            <w:r>
              <w:rPr>
                <w:rFonts w:hint="eastAsia"/>
                <w:sz w:val="21"/>
                <w:szCs w:val="21"/>
                <w:vertAlign w:val="baseline"/>
                <w:lang w:val="en-US" w:eastAsia="zh-CN"/>
              </w:rPr>
              <w:t>1mg/kg</w:t>
            </w:r>
          </w:p>
        </w:tc>
      </w:tr>
    </w:tbl>
    <w:p>
      <w:pPr>
        <w:pStyle w:val="5"/>
        <w:ind w:firstLine="562"/>
      </w:pPr>
      <w:r>
        <w:rPr>
          <w:rFonts w:hint="eastAsia"/>
          <w:lang w:eastAsia="zh-CN"/>
        </w:rPr>
        <w:t xml:space="preserve">监测结果及评价 </w:t>
      </w:r>
    </w:p>
    <w:p>
      <w:pPr>
        <w:pStyle w:val="9"/>
        <w:rPr>
          <w:rFonts w:hint="eastAsia"/>
        </w:rPr>
      </w:pPr>
      <w:r>
        <w:rPr>
          <w:rFonts w:hint="eastAsia"/>
        </w:rPr>
        <w:t>本项目土壤监测结果详见下表。</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eastAsia="zh-CN"/>
        </w:rPr>
        <w:t>表</w:t>
      </w:r>
      <w:r>
        <w:rPr>
          <w:rFonts w:hint="default" w:ascii="Times New Roman" w:hAnsi="Times New Roman" w:eastAsia="宋体" w:cs="Times New Roman"/>
          <w:b/>
          <w:bCs/>
          <w:sz w:val="21"/>
          <w:szCs w:val="21"/>
          <w:lang w:val="en-US" w:eastAsia="zh-CN"/>
        </w:rPr>
        <w:t>4.6-</w:t>
      </w:r>
      <w:r>
        <w:rPr>
          <w:rFonts w:hint="eastAsia" w:ascii="Times New Roman" w:hAnsi="Times New Roman" w:cs="Times New Roman"/>
          <w:b/>
          <w:bCs/>
          <w:sz w:val="21"/>
          <w:szCs w:val="21"/>
          <w:lang w:val="en-US" w:eastAsia="zh-CN"/>
        </w:rPr>
        <w:t>3</w:t>
      </w:r>
      <w:r>
        <w:rPr>
          <w:rFonts w:hint="default" w:ascii="Times New Roman" w:hAnsi="Times New Roman" w:eastAsia="宋体" w:cs="Times New Roman"/>
          <w:b/>
          <w:bCs/>
          <w:sz w:val="21"/>
          <w:szCs w:val="21"/>
          <w:lang w:val="en-US" w:eastAsia="zh-CN"/>
        </w:rPr>
        <w:t xml:space="preserve">  </w:t>
      </w:r>
      <w:r>
        <w:rPr>
          <w:rFonts w:hint="eastAsia" w:ascii="Times New Roman" w:hAnsi="Times New Roman" w:cs="Times New Roman"/>
          <w:b/>
          <w:bCs/>
          <w:sz w:val="21"/>
          <w:szCs w:val="21"/>
          <w:lang w:val="en-US" w:eastAsia="zh-CN"/>
        </w:rPr>
        <w:t>各测点</w:t>
      </w:r>
      <w:r>
        <w:rPr>
          <w:rFonts w:hint="default" w:ascii="Times New Roman" w:hAnsi="Times New Roman" w:eastAsia="宋体" w:cs="Times New Roman"/>
          <w:b/>
          <w:bCs/>
          <w:sz w:val="21"/>
          <w:szCs w:val="21"/>
          <w:lang w:val="en-US" w:eastAsia="zh-CN"/>
        </w:rPr>
        <w:t>土壤</w:t>
      </w:r>
      <w:r>
        <w:rPr>
          <w:rFonts w:hint="eastAsia" w:ascii="Times New Roman" w:hAnsi="Times New Roman" w:cs="Times New Roman"/>
          <w:b/>
          <w:bCs/>
          <w:sz w:val="21"/>
          <w:szCs w:val="21"/>
          <w:lang w:val="en-US" w:eastAsia="zh-CN"/>
        </w:rPr>
        <w:t>监测结果（单位：mg/kg干土，pH除外）</w:t>
      </w:r>
    </w:p>
    <w:tbl>
      <w:tblPr>
        <w:tblStyle w:val="63"/>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931"/>
        <w:gridCol w:w="1909"/>
        <w:gridCol w:w="1420"/>
        <w:gridCol w:w="1420"/>
        <w:gridCol w:w="1421"/>
        <w:gridCol w:w="142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vMerge w:val="restart"/>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eastAsia="zh-CN"/>
              </w:rPr>
            </w:pPr>
            <w:r>
              <w:rPr>
                <w:rFonts w:hint="eastAsia" w:ascii="Times New Roman" w:hAnsi="Times New Roman" w:eastAsia="宋体" w:cs="Times New Roman"/>
                <w:sz w:val="21"/>
                <w:szCs w:val="21"/>
                <w:vertAlign w:val="baseline"/>
                <w:lang w:eastAsia="zh-CN"/>
              </w:rPr>
              <w:t>序号</w:t>
            </w:r>
          </w:p>
        </w:tc>
        <w:tc>
          <w:tcPr>
            <w:tcW w:w="1909" w:type="dxa"/>
            <w:vMerge w:val="restart"/>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eastAsia="zh-CN"/>
              </w:rPr>
            </w:pPr>
            <w:r>
              <w:rPr>
                <w:rFonts w:hint="eastAsia" w:ascii="Times New Roman" w:hAnsi="Times New Roman" w:eastAsia="宋体" w:cs="Times New Roman"/>
                <w:sz w:val="21"/>
                <w:szCs w:val="21"/>
                <w:vertAlign w:val="baseline"/>
                <w:lang w:eastAsia="zh-CN"/>
              </w:rPr>
              <w:t>监测项目</w:t>
            </w:r>
          </w:p>
        </w:tc>
        <w:tc>
          <w:tcPr>
            <w:tcW w:w="4261" w:type="dxa"/>
            <w:gridSpan w:val="3"/>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eastAsia="zh-CN"/>
              </w:rPr>
            </w:pPr>
            <w:r>
              <w:rPr>
                <w:rFonts w:hint="eastAsia" w:ascii="Times New Roman" w:hAnsi="Times New Roman" w:eastAsia="宋体" w:cs="Times New Roman"/>
                <w:sz w:val="21"/>
                <w:szCs w:val="21"/>
                <w:vertAlign w:val="baseline"/>
                <w:lang w:eastAsia="zh-CN"/>
              </w:rPr>
              <w:t>监测结果</w:t>
            </w:r>
          </w:p>
        </w:tc>
        <w:tc>
          <w:tcPr>
            <w:tcW w:w="1421" w:type="dxa"/>
            <w:vMerge w:val="restart"/>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标准限值</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23" w:hRule="atLeast"/>
          <w:jc w:val="center"/>
        </w:trPr>
        <w:tc>
          <w:tcPr>
            <w:tcW w:w="931" w:type="dxa"/>
            <w:vMerge w:val="continue"/>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c>
          <w:tcPr>
            <w:tcW w:w="1909" w:type="dxa"/>
            <w:vMerge w:val="continue"/>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c>
          <w:tcPr>
            <w:tcW w:w="1420"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T1</w:t>
            </w:r>
          </w:p>
        </w:tc>
        <w:tc>
          <w:tcPr>
            <w:tcW w:w="1420" w:type="dxa"/>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T2</w:t>
            </w:r>
          </w:p>
        </w:tc>
        <w:tc>
          <w:tcPr>
            <w:tcW w:w="1421" w:type="dxa"/>
            <w:tcBorders>
              <w:bottom w:val="single" w:color="auto" w:sz="12" w:space="0"/>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T3</w:t>
            </w:r>
          </w:p>
        </w:tc>
        <w:tc>
          <w:tcPr>
            <w:tcW w:w="1421" w:type="dxa"/>
            <w:vMerge w:val="continue"/>
            <w:tcBorders>
              <w:tl2br w:val="nil"/>
              <w:tr2bl w:val="nil"/>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tcBorders>
              <w:top w:val="single" w:color="auto" w:sz="12" w:space="0"/>
              <w:bottom w:val="single" w:color="auto" w:sz="4"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w:t>
            </w:r>
          </w:p>
        </w:tc>
        <w:tc>
          <w:tcPr>
            <w:tcW w:w="1909" w:type="dxa"/>
            <w:tcBorders>
              <w:top w:val="single" w:color="auto" w:sz="12" w:space="0"/>
              <w:bottom w:val="single" w:color="auto" w:sz="4"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sz w:val="21"/>
                <w:szCs w:val="21"/>
                <w:vertAlign w:val="baseline"/>
                <w:lang w:val="en-US" w:eastAsia="zh-CN"/>
              </w:rPr>
              <w:t>pH值</w:t>
            </w:r>
          </w:p>
        </w:tc>
        <w:tc>
          <w:tcPr>
            <w:tcW w:w="1420" w:type="dxa"/>
            <w:tcBorders>
              <w:top w:val="single" w:color="auto" w:sz="12" w:space="0"/>
              <w:bottom w:val="single" w:color="auto" w:sz="4" w:space="0"/>
            </w:tcBorders>
            <w:noWrap w:val="0"/>
            <w:vAlign w:val="center"/>
          </w:tcPr>
          <w:p>
            <w:pPr>
              <w:adjustRightInd w:val="0"/>
              <w:snapToGrid w:val="0"/>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lang w:val="en-US" w:eastAsia="zh-CN"/>
              </w:rPr>
              <w:t>4.79</w:t>
            </w:r>
          </w:p>
        </w:tc>
        <w:tc>
          <w:tcPr>
            <w:tcW w:w="1420" w:type="dxa"/>
            <w:tcBorders>
              <w:top w:val="single" w:color="auto" w:sz="12" w:space="0"/>
              <w:bottom w:val="single" w:color="auto" w:sz="4" w:space="0"/>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4.41</w:t>
            </w:r>
          </w:p>
        </w:tc>
        <w:tc>
          <w:tcPr>
            <w:tcW w:w="1421" w:type="dxa"/>
            <w:tcBorders>
              <w:top w:val="single" w:color="auto" w:sz="12" w:space="0"/>
              <w:bottom w:val="single" w:color="auto" w:sz="4" w:space="0"/>
            </w:tcBorders>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4.44</w:t>
            </w:r>
          </w:p>
        </w:tc>
        <w:tc>
          <w:tcPr>
            <w:tcW w:w="1421" w:type="dxa"/>
            <w:tcBorders>
              <w:top w:val="single" w:color="auto" w:sz="12" w:space="0"/>
              <w:bottom w:val="single" w:color="auto" w:sz="4"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tcBorders>
              <w:top w:val="single" w:color="auto" w:sz="4"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2</w:t>
            </w:r>
          </w:p>
        </w:tc>
        <w:tc>
          <w:tcPr>
            <w:tcW w:w="1909" w:type="dxa"/>
            <w:tcBorders>
              <w:top w:val="single" w:color="auto" w:sz="4"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val="en-US" w:eastAsia="zh-CN"/>
              </w:rPr>
            </w:pPr>
            <w:r>
              <w:rPr>
                <w:rFonts w:hint="eastAsia"/>
                <w:sz w:val="21"/>
                <w:szCs w:val="21"/>
                <w:vertAlign w:val="baseline"/>
                <w:lang w:eastAsia="zh-CN"/>
              </w:rPr>
              <w:t>镉</w:t>
            </w:r>
          </w:p>
        </w:tc>
        <w:tc>
          <w:tcPr>
            <w:tcW w:w="1420" w:type="dxa"/>
            <w:tcBorders>
              <w:top w:val="single" w:color="auto" w:sz="4" w:space="0"/>
            </w:tcBorders>
            <w:noWrap w:val="0"/>
            <w:vAlign w:val="center"/>
          </w:tcPr>
          <w:p>
            <w:pPr>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lang w:val="en-US" w:eastAsia="zh-CN"/>
              </w:rPr>
              <w:t>0.16</w:t>
            </w:r>
          </w:p>
        </w:tc>
        <w:tc>
          <w:tcPr>
            <w:tcW w:w="1420" w:type="dxa"/>
            <w:tcBorders>
              <w:top w:val="single" w:color="auto" w:sz="4" w:space="0"/>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0.05</w:t>
            </w:r>
          </w:p>
        </w:tc>
        <w:tc>
          <w:tcPr>
            <w:tcW w:w="1421" w:type="dxa"/>
            <w:tcBorders>
              <w:top w:val="single" w:color="auto" w:sz="4" w:space="0"/>
            </w:tcBorders>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0.20</w:t>
            </w:r>
          </w:p>
        </w:tc>
        <w:tc>
          <w:tcPr>
            <w:tcW w:w="1421" w:type="dxa"/>
            <w:tcBorders>
              <w:top w:val="single" w:color="auto" w:sz="4"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0.3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tcBorders>
              <w:top w:val="single" w:color="auto" w:sz="4"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3</w:t>
            </w:r>
          </w:p>
        </w:tc>
        <w:tc>
          <w:tcPr>
            <w:tcW w:w="1909" w:type="dxa"/>
            <w:tcBorders>
              <w:top w:val="single" w:color="auto" w:sz="4"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val="en-US" w:eastAsia="zh-CN"/>
              </w:rPr>
            </w:pPr>
            <w:r>
              <w:rPr>
                <w:rFonts w:hint="eastAsia"/>
                <w:sz w:val="21"/>
                <w:szCs w:val="21"/>
                <w:vertAlign w:val="baseline"/>
                <w:lang w:eastAsia="zh-CN"/>
              </w:rPr>
              <w:t>汞</w:t>
            </w:r>
          </w:p>
        </w:tc>
        <w:tc>
          <w:tcPr>
            <w:tcW w:w="1420" w:type="dxa"/>
            <w:tcBorders>
              <w:top w:val="single" w:color="auto" w:sz="4" w:space="0"/>
            </w:tcBorders>
            <w:noWrap w:val="0"/>
            <w:vAlign w:val="center"/>
          </w:tcPr>
          <w:p>
            <w:pPr>
              <w:jc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lang w:val="en-US" w:eastAsia="zh-CN"/>
              </w:rPr>
              <w:t>0.084</w:t>
            </w:r>
          </w:p>
        </w:tc>
        <w:tc>
          <w:tcPr>
            <w:tcW w:w="1420" w:type="dxa"/>
            <w:tcBorders>
              <w:top w:val="single" w:color="auto" w:sz="4" w:space="0"/>
            </w:tcBorders>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0.038</w:t>
            </w:r>
          </w:p>
        </w:tc>
        <w:tc>
          <w:tcPr>
            <w:tcW w:w="1421" w:type="dxa"/>
            <w:tcBorders>
              <w:top w:val="single" w:color="auto" w:sz="4" w:space="0"/>
            </w:tcBorders>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0.040</w:t>
            </w:r>
          </w:p>
        </w:tc>
        <w:tc>
          <w:tcPr>
            <w:tcW w:w="1421" w:type="dxa"/>
            <w:tcBorders>
              <w:top w:val="single" w:color="auto" w:sz="4" w:space="0"/>
            </w:tcBorders>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4</w:t>
            </w:r>
          </w:p>
        </w:tc>
        <w:tc>
          <w:tcPr>
            <w:tcW w:w="1909"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sz w:val="21"/>
                <w:szCs w:val="21"/>
                <w:vertAlign w:val="baseline"/>
                <w:lang w:val="en-US" w:eastAsia="zh-CN"/>
              </w:rPr>
              <w:t>砷</w:t>
            </w:r>
          </w:p>
        </w:tc>
        <w:tc>
          <w:tcPr>
            <w:tcW w:w="1420" w:type="dxa"/>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7.06</w:t>
            </w:r>
          </w:p>
        </w:tc>
        <w:tc>
          <w:tcPr>
            <w:tcW w:w="1420" w:type="dxa"/>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8.33</w:t>
            </w:r>
          </w:p>
        </w:tc>
        <w:tc>
          <w:tcPr>
            <w:tcW w:w="1421" w:type="dxa"/>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9.17</w:t>
            </w:r>
          </w:p>
        </w:tc>
        <w:tc>
          <w:tcPr>
            <w:tcW w:w="1421"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40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5</w:t>
            </w:r>
          </w:p>
        </w:tc>
        <w:tc>
          <w:tcPr>
            <w:tcW w:w="1909"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val="en-US" w:eastAsia="zh-CN"/>
              </w:rPr>
            </w:pPr>
            <w:r>
              <w:rPr>
                <w:rFonts w:hint="eastAsia"/>
                <w:sz w:val="21"/>
                <w:szCs w:val="21"/>
                <w:vertAlign w:val="baseline"/>
                <w:lang w:eastAsia="zh-CN"/>
              </w:rPr>
              <w:t>铅</w:t>
            </w:r>
          </w:p>
        </w:tc>
        <w:tc>
          <w:tcPr>
            <w:tcW w:w="1420" w:type="dxa"/>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20</w:t>
            </w:r>
          </w:p>
        </w:tc>
        <w:tc>
          <w:tcPr>
            <w:tcW w:w="1420" w:type="dxa"/>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23</w:t>
            </w:r>
          </w:p>
        </w:tc>
        <w:tc>
          <w:tcPr>
            <w:tcW w:w="1421" w:type="dxa"/>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21</w:t>
            </w:r>
          </w:p>
        </w:tc>
        <w:tc>
          <w:tcPr>
            <w:tcW w:w="1421"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70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6</w:t>
            </w:r>
          </w:p>
        </w:tc>
        <w:tc>
          <w:tcPr>
            <w:tcW w:w="1909"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sz w:val="21"/>
                <w:szCs w:val="21"/>
                <w:vertAlign w:val="baseline"/>
                <w:lang w:eastAsia="zh-CN"/>
              </w:rPr>
              <w:t>铬</w:t>
            </w:r>
          </w:p>
        </w:tc>
        <w:tc>
          <w:tcPr>
            <w:tcW w:w="1420" w:type="dxa"/>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4</w:t>
            </w:r>
            <w:r>
              <w:rPr>
                <w:rFonts w:hint="default" w:ascii="Times New Roman" w:hAnsi="Times New Roman" w:eastAsia="宋体" w:cs="Times New Roman"/>
                <w:sz w:val="21"/>
                <w:szCs w:val="21"/>
                <w:vertAlign w:val="subscript"/>
                <w:lang w:val="en-US" w:eastAsia="zh-CN"/>
              </w:rPr>
              <w:t>L</w:t>
            </w:r>
          </w:p>
        </w:tc>
        <w:tc>
          <w:tcPr>
            <w:tcW w:w="1420" w:type="dxa"/>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8</w:t>
            </w:r>
          </w:p>
        </w:tc>
        <w:tc>
          <w:tcPr>
            <w:tcW w:w="1421" w:type="dxa"/>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4</w:t>
            </w:r>
          </w:p>
        </w:tc>
        <w:tc>
          <w:tcPr>
            <w:tcW w:w="1421"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150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7</w:t>
            </w:r>
          </w:p>
        </w:tc>
        <w:tc>
          <w:tcPr>
            <w:tcW w:w="1909"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铜</w:t>
            </w:r>
          </w:p>
        </w:tc>
        <w:tc>
          <w:tcPr>
            <w:tcW w:w="1420" w:type="dxa"/>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4</w:t>
            </w:r>
          </w:p>
        </w:tc>
        <w:tc>
          <w:tcPr>
            <w:tcW w:w="1420" w:type="dxa"/>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7</w:t>
            </w:r>
          </w:p>
        </w:tc>
        <w:tc>
          <w:tcPr>
            <w:tcW w:w="1421" w:type="dxa"/>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vertAlign w:val="subscript"/>
                <w:lang w:val="en-US" w:eastAsia="zh-CN"/>
              </w:rPr>
              <w:t>L</w:t>
            </w:r>
          </w:p>
        </w:tc>
        <w:tc>
          <w:tcPr>
            <w:tcW w:w="1421"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50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8</w:t>
            </w:r>
          </w:p>
        </w:tc>
        <w:tc>
          <w:tcPr>
            <w:tcW w:w="1909"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sz w:val="21"/>
                <w:szCs w:val="21"/>
                <w:vertAlign w:val="baseline"/>
                <w:lang w:eastAsia="zh-CN"/>
              </w:rPr>
              <w:t>镍</w:t>
            </w:r>
          </w:p>
        </w:tc>
        <w:tc>
          <w:tcPr>
            <w:tcW w:w="1420" w:type="dxa"/>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3</w:t>
            </w:r>
            <w:r>
              <w:rPr>
                <w:rFonts w:hint="default" w:ascii="Times New Roman" w:hAnsi="Times New Roman" w:eastAsia="宋体" w:cs="Times New Roman"/>
                <w:sz w:val="21"/>
                <w:szCs w:val="21"/>
                <w:vertAlign w:val="subscript"/>
                <w:lang w:val="en-US" w:eastAsia="zh-CN"/>
              </w:rPr>
              <w:t>L</w:t>
            </w:r>
          </w:p>
        </w:tc>
        <w:tc>
          <w:tcPr>
            <w:tcW w:w="1420" w:type="dxa"/>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9</w:t>
            </w:r>
          </w:p>
        </w:tc>
        <w:tc>
          <w:tcPr>
            <w:tcW w:w="1421" w:type="dxa"/>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4</w:t>
            </w:r>
          </w:p>
        </w:tc>
        <w:tc>
          <w:tcPr>
            <w:tcW w:w="1421"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60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931"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9</w:t>
            </w:r>
          </w:p>
        </w:tc>
        <w:tc>
          <w:tcPr>
            <w:tcW w:w="1909"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eastAsia"/>
                <w:sz w:val="21"/>
                <w:szCs w:val="21"/>
                <w:vertAlign w:val="baseline"/>
                <w:lang w:eastAsia="zh-CN"/>
              </w:rPr>
              <w:t>锌</w:t>
            </w:r>
          </w:p>
        </w:tc>
        <w:tc>
          <w:tcPr>
            <w:tcW w:w="1420" w:type="dxa"/>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11</w:t>
            </w:r>
          </w:p>
        </w:tc>
        <w:tc>
          <w:tcPr>
            <w:tcW w:w="1420" w:type="dxa"/>
            <w:noWrap w:val="0"/>
            <w:vAlign w:val="center"/>
          </w:tcPr>
          <w:p>
            <w:pPr>
              <w:adjustRightInd w:val="0"/>
              <w:snapToGrid w:val="0"/>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18</w:t>
            </w:r>
          </w:p>
        </w:tc>
        <w:tc>
          <w:tcPr>
            <w:tcW w:w="1421" w:type="dxa"/>
            <w:noWrap w:val="0"/>
            <w:vAlign w:val="center"/>
          </w:tcPr>
          <w:p>
            <w:pPr>
              <w:jc w:val="center"/>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lang w:val="en-US" w:eastAsia="zh-CN"/>
              </w:rPr>
              <w:t>7</w:t>
            </w:r>
          </w:p>
        </w:tc>
        <w:tc>
          <w:tcPr>
            <w:tcW w:w="1421" w:type="dxa"/>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200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840" w:type="dxa"/>
            <w:gridSpan w:val="2"/>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ascii="Times New Roman" w:hAnsi="Times New Roman" w:eastAsia="宋体" w:cs="Times New Roman"/>
                <w:sz w:val="21"/>
                <w:szCs w:val="21"/>
                <w:vertAlign w:val="baseline"/>
                <w:lang w:val="en-US" w:eastAsia="zh-CN"/>
              </w:rPr>
              <w:t>备注</w:t>
            </w:r>
          </w:p>
        </w:tc>
        <w:tc>
          <w:tcPr>
            <w:tcW w:w="5682" w:type="dxa"/>
            <w:gridSpan w:val="4"/>
            <w:noWrap w:val="0"/>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ascii="Times New Roman" w:hAnsi="Times New Roman" w:eastAsia="宋体" w:cs="Times New Roman"/>
                <w:sz w:val="21"/>
                <w:szCs w:val="21"/>
                <w:vertAlign w:val="baseline"/>
                <w:lang w:val="en-US" w:eastAsia="zh-CN"/>
              </w:rPr>
            </w:pPr>
            <w:r>
              <w:rPr>
                <w:rFonts w:hint="eastAsia" w:ascii="宋体" w:hAnsi="宋体" w:eastAsia="宋体" w:cs="宋体"/>
                <w:sz w:val="24"/>
                <w:szCs w:val="24"/>
                <w:lang w:val="en-US" w:eastAsia="zh-CN"/>
              </w:rPr>
              <w:t>L表示低于方法检出限</w:t>
            </w:r>
          </w:p>
        </w:tc>
      </w:tr>
    </w:tbl>
    <w:p>
      <w:pPr>
        <w:pStyle w:val="9"/>
        <w:rPr>
          <w:rFonts w:hint="eastAsia"/>
        </w:rPr>
      </w:pPr>
      <w:r>
        <w:rPr>
          <w:rFonts w:hint="eastAsia"/>
        </w:rPr>
        <w:t>从监测结果可知，本次监测的所有土壤样点中，所有监测因子均满足《土壤环境质量 农用地土壤污染风险管控标准（试行）》（GB15618-2018）筛选值标准，说明本项目所在地土壤环境质量满足相关标准要求。</w:t>
      </w:r>
    </w:p>
    <w:p>
      <w:pPr>
        <w:pStyle w:val="4"/>
      </w:pPr>
      <w:bookmarkStart w:id="49" w:name="_Toc17504"/>
      <w:r>
        <w:t>生态环境质量现状调查与评价</w:t>
      </w:r>
      <w:bookmarkEnd w:id="49"/>
    </w:p>
    <w:p>
      <w:pPr>
        <w:pStyle w:val="9"/>
        <w:rPr>
          <w:rFonts w:hint="eastAsia"/>
        </w:rPr>
      </w:pPr>
      <w:r>
        <w:rPr>
          <w:rFonts w:hint="eastAsia"/>
        </w:rPr>
        <w:t>根据现场踏勘，项目用地现状为低山丘陵山地，评价范围内植物均为广东常见物种，无国家重点保护的植物物种。项目用地内土地类型简单，没有珍惜濒危的野生动植物。</w:t>
      </w:r>
    </w:p>
    <w:p>
      <w:pPr>
        <w:pStyle w:val="9"/>
        <w:rPr>
          <w:rFonts w:hint="eastAsia" w:eastAsia="宋体"/>
          <w:lang w:eastAsia="zh-CN"/>
        </w:rPr>
      </w:pPr>
      <w:r>
        <w:rPr>
          <w:rFonts w:hint="eastAsia"/>
        </w:rPr>
        <w:t>项目周边区域主要现状为山体、耕地等。部分区域主要现状是村庄、道路。周边区域现状用地以缓丘山地为主，东、北部现状为山体，是附近村民的经济林：竹林。林相结构单一，层次不明显，乔木层为单一的松树，覆盖率较高，达50%～70%。竹林高约7m，杆径为3～5cm。南、西部为耕地、少量的居民</w:t>
      </w:r>
      <w:r>
        <w:rPr>
          <w:rFonts w:hint="eastAsia"/>
          <w:lang w:eastAsia="zh-CN"/>
        </w:rPr>
        <w:t>。</w:t>
      </w:r>
    </w:p>
    <w:p>
      <w:pPr>
        <w:pStyle w:val="9"/>
        <w:rPr>
          <w:rFonts w:hint="eastAsia" w:eastAsia="宋体"/>
          <w:lang w:eastAsia="zh-CN"/>
        </w:rPr>
      </w:pPr>
      <w:r>
        <w:rPr>
          <w:rFonts w:hint="eastAsia"/>
        </w:rPr>
        <w:t>由此可见，本建设项目涉及区域生态系统结构简单，物种单一，生物多样性指数较低，因此项目建设对区域生态系统及生物多样性的影响较小</w:t>
      </w:r>
      <w:r>
        <w:rPr>
          <w:rFonts w:hint="eastAsia"/>
          <w:lang w:eastAsia="zh-CN"/>
        </w:rPr>
        <w:t>。</w:t>
      </w:r>
    </w:p>
    <w:tbl>
      <w:tblPr>
        <w:tblStyle w:val="63"/>
        <w:tblW w:w="0" w:type="auto"/>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361"/>
        <w:gridCol w:w="425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35" w:hRule="atLeast"/>
        </w:trPr>
        <w:tc>
          <w:tcPr>
            <w:tcW w:w="4361" w:type="dxa"/>
          </w:tcPr>
          <w:p>
            <w:pPr>
              <w:pStyle w:val="866"/>
              <w:spacing w:before="4"/>
              <w:jc w:val="left"/>
              <w:rPr>
                <w:b/>
                <w:sz w:val="3"/>
              </w:rPr>
            </w:pPr>
            <w:bookmarkStart w:id="50" w:name="_Toc511676644"/>
          </w:p>
          <w:p>
            <w:pPr>
              <w:pStyle w:val="866"/>
              <w:ind w:left="106"/>
              <w:jc w:val="left"/>
              <w:rPr>
                <w:sz w:val="20"/>
              </w:rPr>
            </w:pPr>
            <w:r>
              <w:rPr>
                <w:sz w:val="20"/>
              </w:rPr>
              <w:drawing>
                <wp:inline distT="0" distB="0" distL="0" distR="0">
                  <wp:extent cx="2659380" cy="1822450"/>
                  <wp:effectExtent l="0" t="0" r="7620" b="6350"/>
                  <wp:docPr id="51"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92.jpeg"/>
                          <pic:cNvPicPr>
                            <a:picLocks noChangeAspect="1"/>
                          </pic:cNvPicPr>
                        </pic:nvPicPr>
                        <pic:blipFill>
                          <a:blip r:embed="rId79" cstate="print"/>
                          <a:stretch>
                            <a:fillRect/>
                          </a:stretch>
                        </pic:blipFill>
                        <pic:spPr>
                          <a:xfrm>
                            <a:off x="0" y="0"/>
                            <a:ext cx="2659679" cy="1823084"/>
                          </a:xfrm>
                          <a:prstGeom prst="rect">
                            <a:avLst/>
                          </a:prstGeom>
                        </pic:spPr>
                      </pic:pic>
                    </a:graphicData>
                  </a:graphic>
                </wp:inline>
              </w:drawing>
            </w:r>
          </w:p>
        </w:tc>
        <w:tc>
          <w:tcPr>
            <w:tcW w:w="4253" w:type="dxa"/>
          </w:tcPr>
          <w:p>
            <w:pPr>
              <w:pStyle w:val="866"/>
              <w:jc w:val="left"/>
              <w:rPr>
                <w:b/>
                <w:sz w:val="4"/>
              </w:rPr>
            </w:pPr>
          </w:p>
          <w:p>
            <w:pPr>
              <w:pStyle w:val="866"/>
              <w:ind w:left="214"/>
              <w:jc w:val="left"/>
              <w:rPr>
                <w:sz w:val="20"/>
              </w:rPr>
            </w:pPr>
            <w:r>
              <w:rPr>
                <w:sz w:val="20"/>
              </w:rPr>
              <w:drawing>
                <wp:inline distT="0" distB="0" distL="0" distR="0">
                  <wp:extent cx="2423160" cy="1793875"/>
                  <wp:effectExtent l="0" t="0" r="15240" b="15875"/>
                  <wp:docPr id="20" name="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93.jpeg"/>
                          <pic:cNvPicPr>
                            <a:picLocks noChangeAspect="1"/>
                          </pic:cNvPicPr>
                        </pic:nvPicPr>
                        <pic:blipFill>
                          <a:blip r:embed="rId80" cstate="print"/>
                          <a:stretch>
                            <a:fillRect/>
                          </a:stretch>
                        </pic:blipFill>
                        <pic:spPr>
                          <a:xfrm>
                            <a:off x="0" y="0"/>
                            <a:ext cx="2423435" cy="1793938"/>
                          </a:xfrm>
                          <a:prstGeom prst="rect">
                            <a:avLst/>
                          </a:prstGeom>
                        </pic:spPr>
                      </pic:pic>
                    </a:graphicData>
                  </a:graphic>
                </wp:inline>
              </w:drawing>
            </w:r>
          </w:p>
        </w:tc>
      </w:tr>
    </w:tbl>
    <w:p>
      <w:pPr>
        <w:pStyle w:val="20"/>
        <w:rPr>
          <w:rFonts w:hint="eastAsia" w:eastAsia="宋体"/>
          <w:lang w:eastAsia="zh-CN"/>
        </w:rPr>
        <w:sectPr>
          <w:footerReference r:id="rId10"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r>
        <w:t xml:space="preserve">图 </w:t>
      </w:r>
      <w:r>
        <w:rPr>
          <w:rFonts w:ascii="Times New Roman" w:eastAsia="Times New Roman"/>
        </w:rPr>
        <w:t xml:space="preserve">5.7-1  </w:t>
      </w:r>
      <w:r>
        <w:t>项目周边的植被</w:t>
      </w:r>
      <w:r>
        <w:rPr>
          <w:rFonts w:hint="eastAsia"/>
          <w:lang w:eastAsia="zh-CN"/>
        </w:rPr>
        <w:t>情况</w:t>
      </w:r>
    </w:p>
    <w:bookmarkEnd w:id="50"/>
    <w:p>
      <w:pPr>
        <w:pStyle w:val="3"/>
        <w:jc w:val="center"/>
      </w:pPr>
      <w:bookmarkStart w:id="51" w:name="_Toc346282515"/>
      <w:bookmarkStart w:id="52" w:name="_Toc29769"/>
      <w:r>
        <w:t>环境影响预测与</w:t>
      </w:r>
      <w:bookmarkEnd w:id="51"/>
      <w:r>
        <w:rPr>
          <w:rFonts w:hint="eastAsia"/>
          <w:lang w:eastAsia="zh-CN"/>
        </w:rPr>
        <w:t>评价</w:t>
      </w:r>
      <w:bookmarkEnd w:id="52"/>
    </w:p>
    <w:p>
      <w:pPr>
        <w:pStyle w:val="4"/>
      </w:pPr>
      <w:bookmarkStart w:id="53" w:name="_Toc13604"/>
      <w:bookmarkStart w:id="54" w:name="_Toc346282516"/>
      <w:r>
        <w:t>施工期环境影响评价</w:t>
      </w:r>
      <w:bookmarkEnd w:id="53"/>
    </w:p>
    <w:bookmarkEnd w:id="54"/>
    <w:p>
      <w:pPr>
        <w:pStyle w:val="9"/>
      </w:pPr>
      <w:bookmarkStart w:id="55" w:name="_Ref342579701"/>
      <w:bookmarkStart w:id="56" w:name="_Toc346282517"/>
      <w:r>
        <w:rPr>
          <w:rFonts w:hint="eastAsia"/>
        </w:rPr>
        <w:t xml:space="preserve">项目施工期间的环境影响因素主要有施工扬尘、施工机械与运输车辆机车尾气、施工废水、施工人员生活污水、施工噪声、物料运输交通噪声、废弃土石方、施工建筑垃圾以及施工人员生产垃圾等，这些污染物均会对周围环境造成不同程度的影响。 </w:t>
      </w:r>
    </w:p>
    <w:p>
      <w:pPr>
        <w:pStyle w:val="5"/>
        <w:ind w:firstLine="562"/>
      </w:pPr>
      <w:r>
        <w:rPr>
          <w:rFonts w:hint="eastAsia"/>
          <w:lang w:eastAsia="zh-CN"/>
        </w:rPr>
        <w:t>施工期大气环境影响分析</w:t>
      </w:r>
    </w:p>
    <w:p>
      <w:pPr>
        <w:pStyle w:val="9"/>
        <w:rPr>
          <w:rFonts w:hint="eastAsia"/>
          <w:lang w:eastAsia="zh-CN"/>
        </w:rPr>
      </w:pPr>
      <w:r>
        <w:rPr>
          <w:rFonts w:hint="eastAsia"/>
          <w:lang w:eastAsia="zh-CN"/>
        </w:rPr>
        <w:t xml:space="preserve"> 项目施工期对空气环境产生影响的作业环节有：土石方挖填、场地平整、材料运输、装卸与堆存以及施工机械、运输车辆排放的机车尾气，主要污染物有扬尘、二氧化氮、一氧化碳等。 </w:t>
      </w:r>
    </w:p>
    <w:p>
      <w:pPr>
        <w:pStyle w:val="6"/>
        <w:rPr>
          <w:rFonts w:hint="eastAsia"/>
        </w:rPr>
      </w:pPr>
      <w:r>
        <w:rPr>
          <w:rFonts w:hint="eastAsia"/>
          <w:lang w:eastAsia="zh-CN"/>
        </w:rPr>
        <w:t>施工扬尘</w:t>
      </w:r>
    </w:p>
    <w:p>
      <w:pPr>
        <w:pStyle w:val="9"/>
        <w:rPr>
          <w:rFonts w:hint="eastAsia"/>
          <w:lang w:eastAsia="zh-CN"/>
        </w:rPr>
      </w:pPr>
      <w:r>
        <w:rPr>
          <w:rFonts w:hint="eastAsia"/>
          <w:lang w:eastAsia="zh-CN"/>
        </w:rPr>
        <w:t xml:space="preserve">施工期扬尘主要产生于土石方开挖调运、平整土地、弃土、建材采购运输、装卸、堆放、拌和等作业，使空气中总悬浮颗粒物含量增加，对周边大气环境产生一定的影响。 项目施工期间扬尘按其原因主要为风力扬尘和动力扬尘，其中风力起尘主要是由于露天堆放的建材（如砂石、临时堆土等）及裸露的施工区表层浮尘因天气干燥及大风，产生风力扬尘；而动力扬尘，主要是在建材的装卸、搅拌过程中，由于外力而产生的尘粒再悬浮而造成，其中施工及装卸车辆造成的扬尘最为严重。 </w:t>
      </w:r>
    </w:p>
    <w:p>
      <w:pPr>
        <w:pStyle w:val="9"/>
        <w:rPr>
          <w:rFonts w:hint="eastAsia"/>
          <w:lang w:eastAsia="zh-CN"/>
        </w:rPr>
      </w:pPr>
      <w:r>
        <w:rPr>
          <w:rFonts w:hint="eastAsia"/>
          <w:lang w:eastAsia="zh-CN"/>
        </w:rPr>
        <w:t xml:space="preserve">根据国内外的有关研究资料，施工扬尘的排放源属于无组织的面源，其起尘量 与许多因素有关，工程建设的挖土机等在工作时的起尘量与挖坑深度、挖土机抓斗 与地面的相对高度、风速、土壤的颗粒度、土壤含水量等有关。地面上的粉尘，在环境风速足够大时（大于颗粒土沙的起动速度时）就产生了扬尘，其源强大小与颗粒物的粒径大小、比重，以及环境的风速、湿度等因素有关，风速越大，颗粒越小，土沙的含水率越小，扬尘的含水率越小，扬尘的产生量就越大。 </w:t>
      </w:r>
    </w:p>
    <w:p>
      <w:pPr>
        <w:pStyle w:val="9"/>
      </w:pPr>
      <w:r>
        <w:rPr>
          <w:rFonts w:hint="eastAsia"/>
          <w:lang w:eastAsia="zh-CN"/>
        </w:rPr>
        <w:t>施工现场的扬尘大小与施工现场的条件、管理水平、机械化强度及施工季节、 建设地区土质及天气情况等诸多因素有关。本评价以某建筑工地施工现场扬尘监测数据为例，采用类比法对施工过程可能产生的扬尘影响进行分析，扬尘浓度随距离变化情况见表</w:t>
      </w:r>
      <w:r>
        <w:rPr>
          <w:rFonts w:hint="eastAsia"/>
          <w:lang w:val="en-US" w:eastAsia="zh-CN"/>
        </w:rPr>
        <w:t>5</w:t>
      </w:r>
      <w:r>
        <w:rPr>
          <w:rFonts w:hint="eastAsia"/>
          <w:lang w:eastAsia="zh-CN"/>
        </w:rPr>
        <w:t>.1-1。</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b/>
          <w:bCs/>
          <w:sz w:val="21"/>
          <w:szCs w:val="21"/>
          <w:lang w:val="en-US" w:eastAsia="zh-CN"/>
        </w:rPr>
      </w:pPr>
      <w:r>
        <w:rPr>
          <w:rFonts w:hint="eastAsia"/>
          <w:b/>
          <w:bCs/>
          <w:sz w:val="21"/>
          <w:szCs w:val="21"/>
          <w:lang w:eastAsia="zh-CN"/>
        </w:rPr>
        <w:t>表</w:t>
      </w:r>
      <w:r>
        <w:rPr>
          <w:rFonts w:hint="eastAsia"/>
          <w:b/>
          <w:bCs/>
          <w:sz w:val="21"/>
          <w:szCs w:val="21"/>
          <w:lang w:val="en-US" w:eastAsia="zh-CN"/>
        </w:rPr>
        <w:t>5.1-1  施工现场扬尘随距离变化的浓度分布一览表   单位：mg/m</w:t>
      </w:r>
      <w:r>
        <w:rPr>
          <w:rFonts w:hint="eastAsia"/>
          <w:b/>
          <w:bCs/>
          <w:sz w:val="21"/>
          <w:szCs w:val="21"/>
          <w:vertAlign w:val="superscript"/>
          <w:lang w:val="en-US" w:eastAsia="zh-CN"/>
        </w:rPr>
        <w:t>3</w:t>
      </w:r>
    </w:p>
    <w:tbl>
      <w:tblPr>
        <w:tblStyle w:val="6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22"/>
        <w:gridCol w:w="1207"/>
        <w:gridCol w:w="1415"/>
        <w:gridCol w:w="1415"/>
        <w:gridCol w:w="1415"/>
        <w:gridCol w:w="1415"/>
        <w:gridCol w:w="14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9" w:type="pct"/>
            <w:vMerge w:val="restart"/>
            <w:tcBorders>
              <w:top w:val="single" w:color="auto" w:sz="12" w:space="0"/>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防尘措施</w:t>
            </w:r>
          </w:p>
        </w:tc>
        <w:tc>
          <w:tcPr>
            <w:tcW w:w="4180" w:type="pct"/>
            <w:gridSpan w:val="6"/>
            <w:tcBorders>
              <w:top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工地下风向距离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9" w:type="pct"/>
            <w:vMerge w:val="continue"/>
            <w:tcBorders>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p>
        </w:tc>
        <w:tc>
          <w:tcPr>
            <w:tcW w:w="60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20m</w:t>
            </w:r>
          </w:p>
        </w:tc>
        <w:tc>
          <w:tcPr>
            <w:tcW w:w="71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50m</w:t>
            </w:r>
          </w:p>
        </w:tc>
        <w:tc>
          <w:tcPr>
            <w:tcW w:w="71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100m</w:t>
            </w:r>
          </w:p>
        </w:tc>
        <w:tc>
          <w:tcPr>
            <w:tcW w:w="71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150m</w:t>
            </w:r>
          </w:p>
        </w:tc>
        <w:tc>
          <w:tcPr>
            <w:tcW w:w="71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200m</w:t>
            </w:r>
          </w:p>
        </w:tc>
        <w:tc>
          <w:tcPr>
            <w:tcW w:w="715" w:type="pct"/>
            <w:tcBorders>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250m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9" w:type="pct"/>
            <w:tcBorders>
              <w:top w:val="single" w:color="auto" w:sz="12" w:space="0"/>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无</w:t>
            </w:r>
          </w:p>
        </w:tc>
        <w:tc>
          <w:tcPr>
            <w:tcW w:w="609"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1.303</w:t>
            </w:r>
          </w:p>
        </w:tc>
        <w:tc>
          <w:tcPr>
            <w:tcW w:w="71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0.722</w:t>
            </w:r>
          </w:p>
        </w:tc>
        <w:tc>
          <w:tcPr>
            <w:tcW w:w="71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0.402</w:t>
            </w:r>
          </w:p>
        </w:tc>
        <w:tc>
          <w:tcPr>
            <w:tcW w:w="71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0.311</w:t>
            </w:r>
          </w:p>
        </w:tc>
        <w:tc>
          <w:tcPr>
            <w:tcW w:w="71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0.270</w:t>
            </w:r>
          </w:p>
        </w:tc>
        <w:tc>
          <w:tcPr>
            <w:tcW w:w="715" w:type="pct"/>
            <w:tcBorders>
              <w:top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0.210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19" w:type="pct"/>
            <w:tcBorders>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有围挡措施</w:t>
            </w:r>
          </w:p>
        </w:tc>
        <w:tc>
          <w:tcPr>
            <w:tcW w:w="60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0.824</w:t>
            </w:r>
          </w:p>
        </w:tc>
        <w:tc>
          <w:tcPr>
            <w:tcW w:w="71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0.426</w:t>
            </w:r>
          </w:p>
        </w:tc>
        <w:tc>
          <w:tcPr>
            <w:tcW w:w="71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0.235</w:t>
            </w:r>
          </w:p>
        </w:tc>
        <w:tc>
          <w:tcPr>
            <w:tcW w:w="71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0.221</w:t>
            </w:r>
          </w:p>
        </w:tc>
        <w:tc>
          <w:tcPr>
            <w:tcW w:w="71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0.215</w:t>
            </w:r>
          </w:p>
        </w:tc>
        <w:tc>
          <w:tcPr>
            <w:tcW w:w="715" w:type="pct"/>
            <w:tcBorders>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0.206</w:t>
            </w:r>
          </w:p>
        </w:tc>
      </w:tr>
    </w:tbl>
    <w:p>
      <w:pPr>
        <w:pStyle w:val="9"/>
      </w:pPr>
    </w:p>
    <w:p>
      <w:pPr>
        <w:pStyle w:val="9"/>
        <w:rPr>
          <w:rFonts w:hint="eastAsia"/>
          <w:lang w:eastAsia="zh-CN"/>
        </w:rPr>
      </w:pPr>
      <w:r>
        <w:rPr>
          <w:rFonts w:hint="eastAsia"/>
          <w:lang w:eastAsia="zh-CN"/>
        </w:rPr>
        <w:t>由表</w:t>
      </w:r>
      <w:r>
        <w:rPr>
          <w:rFonts w:hint="eastAsia"/>
          <w:lang w:val="en-US" w:eastAsia="zh-CN"/>
        </w:rPr>
        <w:t>5</w:t>
      </w:r>
      <w:r>
        <w:rPr>
          <w:rFonts w:hint="eastAsia"/>
          <w:lang w:eastAsia="zh-CN"/>
        </w:rPr>
        <w:t xml:space="preserve">.1-1可知，在无任何防尘措施的情况下，施工现场对周围环境的影响较严重，30m范围内TSP浓度无法达到《大气污染物综合排放标准》（GB16297-1996）无组织排放监控浓度限值（1.0mg/L）；在有围挡措施的情况下，20m范围内TSP浓度可达到《大气污染物综合排放标准》（GB16297-1996）无组织排放监控浓度限值（1.0mg/L）。此外，洒水降尘是抑制扬尘简洁又有效的措施，对施工场地经常洒水保持表土湿润，可使扬尘减少70%左右，可将扬尘影响范围进一步缩小。 </w:t>
      </w:r>
    </w:p>
    <w:p>
      <w:pPr>
        <w:pStyle w:val="6"/>
        <w:rPr>
          <w:rFonts w:hint="eastAsia"/>
        </w:rPr>
      </w:pPr>
      <w:r>
        <w:rPr>
          <w:rFonts w:hint="eastAsia"/>
          <w:lang w:eastAsia="zh-CN"/>
        </w:rPr>
        <w:t>运输扬尘</w:t>
      </w:r>
    </w:p>
    <w:p>
      <w:pPr>
        <w:pStyle w:val="9"/>
        <w:rPr>
          <w:rFonts w:hint="eastAsia"/>
          <w:lang w:eastAsia="zh-CN"/>
        </w:rPr>
      </w:pPr>
      <w:r>
        <w:rPr>
          <w:rFonts w:hint="eastAsia"/>
          <w:lang w:eastAsia="zh-CN"/>
        </w:rPr>
        <w:t>运输产生的扬尘是一个非常重要的污染源，据有关文献，车辆行驶产生的扬尘占总扬尘的60%以上。物料运输车辆在行驶时滚动的车轮产生扬尘，尤其是重型车 辆，产生的扬尘更大，车辆行驶速度越快，产生的扬尘越大，同时，产生的扬尘量与道路的路面情况以及清洁程度有关。表</w:t>
      </w:r>
      <w:r>
        <w:rPr>
          <w:rFonts w:hint="eastAsia"/>
          <w:lang w:val="en-US" w:eastAsia="zh-CN"/>
        </w:rPr>
        <w:t>5</w:t>
      </w:r>
      <w:r>
        <w:rPr>
          <w:rFonts w:hint="eastAsia"/>
          <w:lang w:eastAsia="zh-CN"/>
        </w:rPr>
        <w:t xml:space="preserve">.1-2为一辆10吨卡车，通过一段长度为1千米的路面时，不同路面清洁程度、不同行驶速度情况下的扬尘量。 </w:t>
      </w:r>
    </w:p>
    <w:p>
      <w:pPr>
        <w:pStyle w:val="9"/>
        <w:rPr>
          <w:rFonts w:hint="eastAsia"/>
          <w:lang w:eastAsia="zh-CN"/>
        </w:rPr>
      </w:pPr>
      <w:r>
        <w:rPr>
          <w:rFonts w:hint="eastAsia"/>
          <w:lang w:eastAsia="zh-CN"/>
        </w:rPr>
        <w:t>由</w:t>
      </w:r>
      <w:r>
        <w:rPr>
          <w:rFonts w:hint="eastAsia"/>
          <w:lang w:val="en-US" w:eastAsia="zh-CN"/>
        </w:rPr>
        <w:t>5</w:t>
      </w:r>
      <w:r>
        <w:rPr>
          <w:rFonts w:hint="eastAsia"/>
          <w:lang w:eastAsia="zh-CN"/>
        </w:rPr>
        <w:t>.1-2可知，在同样路面清洁程度条件下，车速越快，扬尘量越大；而在同样 车速情况下，单位面积道路表面粉尘量越大，扬尘量越大，因此，限速行驶及保持路面的清洁是减少汽车扬尘的有效手段。</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eastAsia="zh-CN"/>
        </w:rPr>
        <w:t>表</w:t>
      </w:r>
      <w:r>
        <w:rPr>
          <w:rFonts w:hint="default" w:ascii="Times New Roman" w:hAnsi="Times New Roman" w:eastAsia="宋体" w:cs="Times New Roman"/>
          <w:b/>
          <w:bCs/>
          <w:sz w:val="21"/>
          <w:szCs w:val="21"/>
          <w:lang w:val="en-US" w:eastAsia="zh-CN"/>
        </w:rPr>
        <w:t>5.1-2   在不同车速和地面清洁程度的汽车扬尘   单位：kg/辆·公里</w:t>
      </w:r>
    </w:p>
    <w:tbl>
      <w:tblPr>
        <w:tblStyle w:val="64"/>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4"/>
        <w:gridCol w:w="1414"/>
        <w:gridCol w:w="1414"/>
        <w:gridCol w:w="1414"/>
        <w:gridCol w:w="1414"/>
        <w:gridCol w:w="1415"/>
        <w:gridCol w:w="14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pct"/>
            <w:tcBorders>
              <w:top w:val="single" w:color="auto" w:sz="12" w:space="0"/>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sz w:val="21"/>
              </w:rPr>
              <mc:AlternateContent>
                <mc:Choice Requires="wps">
                  <w:drawing>
                    <wp:anchor distT="0" distB="0" distL="114300" distR="114300" simplePos="0" relativeHeight="255248384" behindDoc="0" locked="0" layoutInCell="1" allowOverlap="1">
                      <wp:simplePos x="0" y="0"/>
                      <wp:positionH relativeFrom="column">
                        <wp:posOffset>-48895</wp:posOffset>
                      </wp:positionH>
                      <wp:positionV relativeFrom="paragraph">
                        <wp:posOffset>8890</wp:posOffset>
                      </wp:positionV>
                      <wp:extent cx="848360" cy="330200"/>
                      <wp:effectExtent l="1905" t="4445" r="3175" b="15875"/>
                      <wp:wrapNone/>
                      <wp:docPr id="42" name="直接连接符 42"/>
                      <wp:cNvGraphicFramePr/>
                      <a:graphic xmlns:a="http://schemas.openxmlformats.org/drawingml/2006/main">
                        <a:graphicData uri="http://schemas.microsoft.com/office/word/2010/wordprocessingShape">
                          <wps:wsp>
                            <wps:cNvCnPr/>
                            <wps:spPr>
                              <a:xfrm flipH="1" flipV="1">
                                <a:off x="1094105" y="7031990"/>
                                <a:ext cx="848360" cy="3302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x y;margin-left:-3.85pt;margin-top:0.7pt;height:26pt;width:66.8pt;z-index:255248384;mso-width-relative:page;mso-height-relative:page;" filled="f" stroked="t" coordsize="21600,21600" o:gfxdata="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WAAAAZHJzL1BLAQIU&#10;ABQAAAAIAIdO4kBGB1EQ1gAAAAcBAAAPAAAAAAAAAAEAIAAAADgAAABkcnMvZG93bnJldi54bWxQ&#10;SwECFAAUAAAACACHTuJALqjyzeMBAACJAwAADgAAAAAAAAABACAAAAA7AQAAZHJzL2Uyb0RvYy54&#10;bWxQSwUGAAAAAAYABgBZAQAAkAUAAAAA&#10;">
                      <v:fill on="f" focussize="0,0"/>
                      <v:stroke weight="0.5pt" color="#000000 [3213]" miterlimit="8" joinstyle="miter"/>
                      <v:imagedata o:title=""/>
                      <o:lock v:ext="edit" aspectratio="f"/>
                    </v:line>
                  </w:pict>
                </mc:Fallback>
              </mc:AlternateContent>
            </w:r>
            <w:r>
              <w:rPr>
                <w:rFonts w:hint="eastAsia"/>
                <w:sz w:val="21"/>
                <w:szCs w:val="21"/>
                <w:vertAlign w:val="baseline"/>
                <w:lang w:val="en-US" w:eastAsia="zh-CN"/>
              </w:rPr>
              <w:t xml:space="preserve">   P  </w:t>
            </w:r>
          </w:p>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both"/>
              <w:textAlignment w:val="auto"/>
              <w:rPr>
                <w:rFonts w:hint="eastAsia"/>
                <w:sz w:val="21"/>
                <w:szCs w:val="21"/>
                <w:vertAlign w:val="baseline"/>
                <w:lang w:eastAsia="zh-CN"/>
              </w:rPr>
            </w:pPr>
            <w:r>
              <w:rPr>
                <w:rFonts w:hint="eastAsia"/>
                <w:sz w:val="21"/>
                <w:szCs w:val="21"/>
                <w:vertAlign w:val="baseline"/>
                <w:lang w:eastAsia="zh-CN"/>
              </w:rPr>
              <w:t>车速</w:t>
            </w:r>
          </w:p>
        </w:tc>
        <w:tc>
          <w:tcPr>
            <w:tcW w:w="71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0.1</w:t>
            </w:r>
          </w:p>
        </w:tc>
        <w:tc>
          <w:tcPr>
            <w:tcW w:w="71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0.2</w:t>
            </w:r>
          </w:p>
        </w:tc>
        <w:tc>
          <w:tcPr>
            <w:tcW w:w="71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0.3</w:t>
            </w:r>
          </w:p>
        </w:tc>
        <w:tc>
          <w:tcPr>
            <w:tcW w:w="71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0.4</w:t>
            </w:r>
          </w:p>
        </w:tc>
        <w:tc>
          <w:tcPr>
            <w:tcW w:w="71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0.5</w:t>
            </w:r>
          </w:p>
        </w:tc>
        <w:tc>
          <w:tcPr>
            <w:tcW w:w="714" w:type="pct"/>
            <w:tcBorders>
              <w:top w:val="single" w:color="auto" w:sz="12" w:space="0"/>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pct"/>
            <w:tcBorders>
              <w:top w:val="single" w:color="auto" w:sz="12" w:space="0"/>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5（km/h）</w:t>
            </w:r>
          </w:p>
        </w:tc>
        <w:tc>
          <w:tcPr>
            <w:tcW w:w="71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0.051</w:t>
            </w:r>
          </w:p>
        </w:tc>
        <w:tc>
          <w:tcPr>
            <w:tcW w:w="71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0.086</w:t>
            </w:r>
          </w:p>
        </w:tc>
        <w:tc>
          <w:tcPr>
            <w:tcW w:w="71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0.116</w:t>
            </w:r>
          </w:p>
        </w:tc>
        <w:tc>
          <w:tcPr>
            <w:tcW w:w="71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0.144</w:t>
            </w:r>
          </w:p>
        </w:tc>
        <w:tc>
          <w:tcPr>
            <w:tcW w:w="71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0.171</w:t>
            </w:r>
          </w:p>
        </w:tc>
        <w:tc>
          <w:tcPr>
            <w:tcW w:w="714" w:type="pct"/>
            <w:tcBorders>
              <w:top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0.287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10（km/h）</w:t>
            </w:r>
          </w:p>
        </w:tc>
        <w:tc>
          <w:tcPr>
            <w:tcW w:w="714"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0.102</w:t>
            </w:r>
          </w:p>
        </w:tc>
        <w:tc>
          <w:tcPr>
            <w:tcW w:w="714"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0.171</w:t>
            </w:r>
          </w:p>
        </w:tc>
        <w:tc>
          <w:tcPr>
            <w:tcW w:w="714"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0.232</w:t>
            </w:r>
          </w:p>
        </w:tc>
        <w:tc>
          <w:tcPr>
            <w:tcW w:w="714"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0.289</w:t>
            </w:r>
          </w:p>
        </w:tc>
        <w:tc>
          <w:tcPr>
            <w:tcW w:w="714"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0.341</w:t>
            </w:r>
          </w:p>
        </w:tc>
        <w:tc>
          <w:tcPr>
            <w:tcW w:w="714"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0.574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14"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15（km/h）</w:t>
            </w:r>
          </w:p>
        </w:tc>
        <w:tc>
          <w:tcPr>
            <w:tcW w:w="714"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0.153</w:t>
            </w:r>
          </w:p>
        </w:tc>
        <w:tc>
          <w:tcPr>
            <w:tcW w:w="714"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0.257</w:t>
            </w:r>
          </w:p>
        </w:tc>
        <w:tc>
          <w:tcPr>
            <w:tcW w:w="714"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0.349</w:t>
            </w:r>
          </w:p>
        </w:tc>
        <w:tc>
          <w:tcPr>
            <w:tcW w:w="714"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0.433</w:t>
            </w:r>
          </w:p>
        </w:tc>
        <w:tc>
          <w:tcPr>
            <w:tcW w:w="714"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0.512</w:t>
            </w:r>
          </w:p>
        </w:tc>
        <w:tc>
          <w:tcPr>
            <w:tcW w:w="714"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0.861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pct"/>
            <w:tcBorders>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20（km/h）</w:t>
            </w:r>
          </w:p>
        </w:tc>
        <w:tc>
          <w:tcPr>
            <w:tcW w:w="71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0.255</w:t>
            </w:r>
          </w:p>
        </w:tc>
        <w:tc>
          <w:tcPr>
            <w:tcW w:w="71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0.429</w:t>
            </w:r>
          </w:p>
        </w:tc>
        <w:tc>
          <w:tcPr>
            <w:tcW w:w="71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0.582</w:t>
            </w:r>
          </w:p>
        </w:tc>
        <w:tc>
          <w:tcPr>
            <w:tcW w:w="71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0.722</w:t>
            </w:r>
          </w:p>
        </w:tc>
        <w:tc>
          <w:tcPr>
            <w:tcW w:w="71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0.853</w:t>
            </w:r>
          </w:p>
        </w:tc>
        <w:tc>
          <w:tcPr>
            <w:tcW w:w="714" w:type="pct"/>
            <w:tcBorders>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1.435</w:t>
            </w:r>
          </w:p>
        </w:tc>
      </w:tr>
    </w:tbl>
    <w:p>
      <w:pPr>
        <w:pStyle w:val="6"/>
        <w:rPr>
          <w:rFonts w:hint="eastAsia"/>
        </w:rPr>
      </w:pPr>
      <w:r>
        <w:rPr>
          <w:rFonts w:hint="eastAsia"/>
          <w:lang w:eastAsia="zh-CN"/>
        </w:rPr>
        <w:t xml:space="preserve">运输车辆和施工机械尾气 </w:t>
      </w:r>
    </w:p>
    <w:p>
      <w:pPr>
        <w:pStyle w:val="9"/>
        <w:rPr>
          <w:rFonts w:hint="eastAsia"/>
          <w:lang w:eastAsia="zh-CN"/>
        </w:rPr>
      </w:pPr>
      <w:r>
        <w:rPr>
          <w:rFonts w:hint="eastAsia"/>
          <w:lang w:eastAsia="zh-CN"/>
        </w:rPr>
        <w:t>施工使用的各种工程机械（如载重汽车、推土机、挖掘机等）主要以燃油为燃料，加上重型机械的尾气排放量较大，故尾气排放也使本项目所在区域内的大气环境受到污染。尾气中所含的有害物质主要有CO、THC、SO</w:t>
      </w:r>
      <w:r>
        <w:rPr>
          <w:rFonts w:hint="eastAsia"/>
          <w:vertAlign w:val="subscript"/>
          <w:lang w:eastAsia="zh-CN"/>
        </w:rPr>
        <w:t>2</w:t>
      </w:r>
      <w:r>
        <w:rPr>
          <w:rFonts w:hint="eastAsia"/>
          <w:lang w:eastAsia="zh-CN"/>
        </w:rPr>
        <w:t xml:space="preserve">、NOx等，对区域环境空气质量及施工人员产生一定影响。因此施工单位必须使用污染物排放符合国家标准的运输车辆和施工设备，加强设备、车辆的维护保养，使机械、车辆处于良好工作状态，严禁使用报废车辆和淘汰设备，以减少施工对周围环境的影响。 </w:t>
      </w:r>
    </w:p>
    <w:p>
      <w:pPr>
        <w:pStyle w:val="5"/>
        <w:ind w:firstLine="562"/>
      </w:pPr>
      <w:r>
        <w:rPr>
          <w:rFonts w:hint="eastAsia"/>
          <w:lang w:eastAsia="zh-CN"/>
        </w:rPr>
        <w:t>施工期水环境影响分析</w:t>
      </w:r>
    </w:p>
    <w:p>
      <w:pPr>
        <w:pStyle w:val="9"/>
        <w:rPr>
          <w:rFonts w:hint="eastAsia"/>
          <w:lang w:eastAsia="zh-CN"/>
        </w:rPr>
      </w:pPr>
      <w:r>
        <w:rPr>
          <w:rFonts w:hint="eastAsia"/>
          <w:lang w:eastAsia="zh-CN"/>
        </w:rPr>
        <w:t xml:space="preserve">项目施工期废水污染源主要包括各种运输车辆及施工机械所产生的清洗废水、施工过程的建筑排水以及施工人员的生活污水。 </w:t>
      </w:r>
    </w:p>
    <w:p>
      <w:pPr>
        <w:pStyle w:val="6"/>
        <w:rPr>
          <w:rFonts w:hint="eastAsia"/>
        </w:rPr>
      </w:pPr>
      <w:r>
        <w:rPr>
          <w:rFonts w:hint="eastAsia"/>
          <w:lang w:eastAsia="zh-CN"/>
        </w:rPr>
        <w:t xml:space="preserve">施工废水 </w:t>
      </w:r>
    </w:p>
    <w:p>
      <w:pPr>
        <w:pStyle w:val="9"/>
        <w:rPr>
          <w:rFonts w:hint="eastAsia"/>
          <w:lang w:eastAsia="zh-CN"/>
        </w:rPr>
      </w:pPr>
      <w:r>
        <w:rPr>
          <w:rFonts w:hint="eastAsia"/>
          <w:lang w:eastAsia="zh-CN"/>
        </w:rPr>
        <w:t xml:space="preserve">项目施工废水包括清洗废水和建筑排水，其中清洗废水的主要污染物是SS和石油类，建筑排水主要污染物是SS。此外，施工机械跑、冒、滴、漏的油污和露天施工机械经雨水等冲刷后的泥浆废水也会产生一定量的含油物质，其主要污染物为石油类。项目产生的施工废水经隔油沉淀池后用于场地喷洒除尘，不外排。 </w:t>
      </w:r>
    </w:p>
    <w:p>
      <w:pPr>
        <w:pStyle w:val="6"/>
        <w:rPr>
          <w:rFonts w:hint="eastAsia"/>
        </w:rPr>
      </w:pPr>
      <w:r>
        <w:rPr>
          <w:rFonts w:hint="eastAsia"/>
          <w:lang w:eastAsia="zh-CN"/>
        </w:rPr>
        <w:t xml:space="preserve">生活污水 </w:t>
      </w:r>
    </w:p>
    <w:p>
      <w:pPr>
        <w:pStyle w:val="9"/>
        <w:rPr>
          <w:rFonts w:hint="eastAsia"/>
          <w:lang w:eastAsia="zh-CN"/>
        </w:rPr>
      </w:pPr>
      <w:r>
        <w:rPr>
          <w:rFonts w:hint="eastAsia"/>
          <w:lang w:eastAsia="zh-CN"/>
        </w:rPr>
        <w:t>根据建设单位提供的资料，项目施工期为</w:t>
      </w:r>
      <w:r>
        <w:rPr>
          <w:rFonts w:hint="eastAsia"/>
          <w:lang w:val="en-US" w:eastAsia="zh-CN"/>
        </w:rPr>
        <w:t>8</w:t>
      </w:r>
      <w:r>
        <w:rPr>
          <w:rFonts w:hint="eastAsia"/>
          <w:lang w:eastAsia="zh-CN"/>
        </w:rPr>
        <w:t>个月，施工平均人数每天按50人计，生活用水量按80L/人·d计，则生活用水量为4m</w:t>
      </w:r>
      <w:r>
        <w:rPr>
          <w:rFonts w:hint="eastAsia"/>
          <w:vertAlign w:val="superscript"/>
          <w:lang w:eastAsia="zh-CN"/>
        </w:rPr>
        <w:t>3</w:t>
      </w:r>
      <w:r>
        <w:rPr>
          <w:rFonts w:hint="eastAsia"/>
          <w:lang w:eastAsia="zh-CN"/>
        </w:rPr>
        <w:t>/d。生活污水产生量按用水量的80%计，则污水产生量为3.2m</w:t>
      </w:r>
      <w:r>
        <w:rPr>
          <w:rFonts w:hint="eastAsia"/>
          <w:vertAlign w:val="superscript"/>
          <w:lang w:eastAsia="zh-CN"/>
        </w:rPr>
        <w:t>3</w:t>
      </w:r>
      <w:r>
        <w:rPr>
          <w:rFonts w:hint="eastAsia"/>
          <w:lang w:eastAsia="zh-CN"/>
        </w:rPr>
        <w:t>/d。施工生活污水的主要污染因子为COD、BOD、SS和NH</w:t>
      </w:r>
      <w:r>
        <w:rPr>
          <w:rFonts w:hint="eastAsia"/>
          <w:vertAlign w:val="subscript"/>
          <w:lang w:eastAsia="zh-CN"/>
        </w:rPr>
        <w:t>3</w:t>
      </w:r>
      <w:r>
        <w:rPr>
          <w:rFonts w:hint="eastAsia"/>
          <w:lang w:eastAsia="zh-CN"/>
        </w:rPr>
        <w:t>-N等，浓度约为CODCr350mg/L、BOD</w:t>
      </w:r>
      <w:r>
        <w:rPr>
          <w:rFonts w:hint="eastAsia"/>
          <w:vertAlign w:val="subscript"/>
          <w:lang w:eastAsia="zh-CN"/>
        </w:rPr>
        <w:t>5</w:t>
      </w:r>
      <w:r>
        <w:rPr>
          <w:rFonts w:hint="eastAsia"/>
          <w:lang w:eastAsia="zh-CN"/>
        </w:rPr>
        <w:t>200mg/L、SS250mg/L、NH</w:t>
      </w:r>
      <w:r>
        <w:rPr>
          <w:rFonts w:hint="eastAsia"/>
          <w:vertAlign w:val="subscript"/>
          <w:lang w:eastAsia="zh-CN"/>
        </w:rPr>
        <w:t>3</w:t>
      </w:r>
      <w:r>
        <w:rPr>
          <w:rFonts w:hint="eastAsia"/>
          <w:lang w:eastAsia="zh-CN"/>
        </w:rPr>
        <w:t>-N 30mg/L。</w:t>
      </w:r>
      <w:r>
        <w:rPr>
          <w:rFonts w:hint="eastAsia"/>
          <w:lang w:val="en-US" w:eastAsia="zh-CN"/>
        </w:rPr>
        <w:t>施工人员生活污水经化粪池处理后回用绿化。</w:t>
      </w:r>
    </w:p>
    <w:p>
      <w:pPr>
        <w:pStyle w:val="5"/>
        <w:ind w:firstLine="562"/>
      </w:pPr>
      <w:r>
        <w:rPr>
          <w:rFonts w:hint="eastAsia"/>
          <w:lang w:eastAsia="zh-CN"/>
        </w:rPr>
        <w:t xml:space="preserve"> 施工期声环境影响分析</w:t>
      </w:r>
    </w:p>
    <w:p>
      <w:pPr>
        <w:pStyle w:val="6"/>
        <w:rPr>
          <w:rFonts w:hint="eastAsia"/>
        </w:rPr>
      </w:pPr>
      <w:r>
        <w:rPr>
          <w:rFonts w:hint="eastAsia"/>
          <w:lang w:eastAsia="zh-CN"/>
        </w:rPr>
        <w:t xml:space="preserve">施工期主要噪声源分析 </w:t>
      </w:r>
    </w:p>
    <w:p>
      <w:pPr>
        <w:pStyle w:val="9"/>
        <w:rPr>
          <w:rFonts w:hint="eastAsia"/>
          <w:lang w:eastAsia="zh-CN"/>
        </w:rPr>
      </w:pPr>
      <w:r>
        <w:rPr>
          <w:rFonts w:hint="eastAsia"/>
          <w:lang w:eastAsia="zh-CN"/>
        </w:rPr>
        <w:t xml:space="preserve">项目施工期对声环境的影响主要是各种机械噪声和车辆行驶的交通噪声。据对类似工程的监测，大部分机械设备作业噪声值在距声源1.0m处为80~103dB(A)，这些噪声均为间歇性非稳定声源。 </w:t>
      </w:r>
    </w:p>
    <w:p>
      <w:pPr>
        <w:pStyle w:val="6"/>
        <w:rPr>
          <w:rFonts w:hint="eastAsia"/>
        </w:rPr>
      </w:pPr>
      <w:r>
        <w:rPr>
          <w:rFonts w:hint="eastAsia"/>
          <w:lang w:eastAsia="zh-CN"/>
        </w:rPr>
        <w:t xml:space="preserve">预测内容 </w:t>
      </w:r>
    </w:p>
    <w:p>
      <w:pPr>
        <w:pStyle w:val="9"/>
        <w:rPr>
          <w:rFonts w:hint="default"/>
          <w:b/>
          <w:bCs/>
          <w:lang w:val="en-US" w:eastAsia="zh-CN"/>
        </w:rPr>
      </w:pPr>
      <w:r>
        <w:rPr>
          <w:rFonts w:hint="eastAsia"/>
          <w:b/>
          <w:bCs/>
          <w:lang w:val="en-US" w:eastAsia="zh-CN"/>
        </w:rPr>
        <w:t>（1）预测模式</w:t>
      </w:r>
    </w:p>
    <w:p>
      <w:pPr>
        <w:pStyle w:val="9"/>
      </w:pPr>
      <w:r>
        <w:rPr>
          <w:rFonts w:hint="eastAsia"/>
          <w:lang w:eastAsia="zh-CN"/>
        </w:rPr>
        <w:t>施工期间各工场的施工机械噪声可近似作为点声源处理，根据点声源噪声传播衰减模式，可估算施工期间与噪声声源不同距离处的噪声值。预测模式如下：</w:t>
      </w:r>
    </w:p>
    <w:p>
      <w:pPr>
        <w:pStyle w:val="9"/>
        <w:ind w:left="0" w:leftChars="0" w:firstLine="0" w:firstLineChars="0"/>
        <w:jc w:val="center"/>
      </w:pPr>
      <w:r>
        <w:rPr>
          <w:rFonts w:hint="eastAsia"/>
          <w:position w:val="-32"/>
          <w:lang w:eastAsia="zh-CN"/>
        </w:rPr>
        <w:object>
          <v:shape id="_x0000_i1051" o:spt="75" type="#_x0000_t75" style="height:38pt;width:139.95pt;" o:ole="t" filled="f" o:preferrelative="t" stroked="f" coordsize="21600,21600">
            <v:path/>
            <v:fill on="f" focussize="0,0"/>
            <v:stroke on="f"/>
            <v:imagedata r:id="rId82" o:title=""/>
            <o:lock v:ext="edit" aspectratio="t"/>
            <w10:wrap type="none"/>
            <w10:anchorlock/>
          </v:shape>
          <o:OLEObject Type="Embed" ProgID="Equation.KSEE3" ShapeID="_x0000_i1051" DrawAspect="Content" ObjectID="_1468075751" r:id="rId81">
            <o:LockedField>false</o:LockedField>
          </o:OLEObject>
        </w:object>
      </w:r>
    </w:p>
    <w:p>
      <w:pPr>
        <w:pStyle w:val="9"/>
        <w:rPr>
          <w:rFonts w:hint="eastAsia"/>
          <w:lang w:eastAsia="zh-CN"/>
        </w:rPr>
      </w:pPr>
      <w:r>
        <w:rPr>
          <w:rFonts w:hint="eastAsia"/>
          <w:lang w:eastAsia="zh-CN"/>
        </w:rPr>
        <w:t xml:space="preserve">式中： </w:t>
      </w:r>
    </w:p>
    <w:p>
      <w:pPr>
        <w:pStyle w:val="9"/>
        <w:ind w:firstLine="960" w:firstLineChars="400"/>
        <w:rPr>
          <w:rFonts w:hint="eastAsia"/>
          <w:lang w:eastAsia="zh-CN"/>
        </w:rPr>
      </w:pPr>
      <w:r>
        <w:rPr>
          <w:rFonts w:hint="eastAsia"/>
          <w:position w:val="-10"/>
          <w:lang w:eastAsia="zh-CN"/>
        </w:rPr>
        <w:object>
          <v:shape id="_x0000_i1052" o:spt="75" type="#_x0000_t75" style="height:17pt;width:24pt;" o:ole="t" filled="f" o:preferrelative="t" stroked="f" coordsize="21600,21600">
            <v:path/>
            <v:fill on="f" focussize="0,0"/>
            <v:stroke on="f"/>
            <v:imagedata r:id="rId84" o:title=""/>
            <o:lock v:ext="edit" aspectratio="t"/>
            <w10:wrap type="none"/>
            <w10:anchorlock/>
          </v:shape>
          <o:OLEObject Type="Embed" ProgID="Equation.KSEE3" ShapeID="_x0000_i1052" DrawAspect="Content" ObjectID="_1468075752" r:id="rId83">
            <o:LockedField>false</o:LockedField>
          </o:OLEObject>
        </w:object>
      </w:r>
      <w:r>
        <w:rPr>
          <w:rFonts w:hint="eastAsia"/>
          <w:lang w:eastAsia="zh-CN"/>
        </w:rPr>
        <w:t>—为距声源r处的声级，dB(A)；</w:t>
      </w:r>
    </w:p>
    <w:p>
      <w:pPr>
        <w:pStyle w:val="9"/>
        <w:ind w:firstLine="960" w:firstLineChars="400"/>
        <w:rPr>
          <w:rFonts w:hint="eastAsia"/>
          <w:lang w:eastAsia="zh-CN"/>
        </w:rPr>
      </w:pPr>
      <w:r>
        <w:rPr>
          <w:rFonts w:hint="eastAsia"/>
          <w:position w:val="-12"/>
          <w:lang w:eastAsia="zh-CN"/>
        </w:rPr>
        <w:object>
          <v:shape id="_x0000_i1053" o:spt="75" type="#_x0000_t75" style="height:18pt;width:28pt;" o:ole="t" filled="f" o:preferrelative="t" stroked="f" coordsize="21600,21600">
            <v:path/>
            <v:fill on="f" focussize="0,0"/>
            <v:stroke on="f"/>
            <v:imagedata r:id="rId86" o:title=""/>
            <o:lock v:ext="edit" aspectratio="t"/>
            <w10:wrap type="none"/>
            <w10:anchorlock/>
          </v:shape>
          <o:OLEObject Type="Embed" ProgID="Equation.KSEE3" ShapeID="_x0000_i1053" DrawAspect="Content" ObjectID="_1468075753" r:id="rId85">
            <o:LockedField>false</o:LockedField>
          </o:OLEObject>
        </w:object>
      </w:r>
      <w:r>
        <w:rPr>
          <w:rFonts w:hint="eastAsia"/>
          <w:lang w:eastAsia="zh-CN"/>
        </w:rPr>
        <w:t xml:space="preserve">—为距声源r0处的声级，dB(A)； </w:t>
      </w:r>
    </w:p>
    <w:p>
      <w:pPr>
        <w:pStyle w:val="9"/>
        <w:ind w:firstLine="960" w:firstLineChars="400"/>
        <w:rPr>
          <w:rFonts w:hint="eastAsia"/>
          <w:lang w:eastAsia="zh-CN"/>
        </w:rPr>
      </w:pPr>
      <w:r>
        <w:rPr>
          <w:rFonts w:hint="eastAsia"/>
          <w:lang w:eastAsia="zh-CN"/>
        </w:rPr>
        <w:t xml:space="preserve">△L为额外衰减率，dB(A)；本报告取3dB(A)计算。 </w:t>
      </w:r>
    </w:p>
    <w:p>
      <w:pPr>
        <w:pStyle w:val="9"/>
        <w:rPr>
          <w:rFonts w:hint="default"/>
          <w:b/>
          <w:bCs/>
          <w:lang w:val="en-US" w:eastAsia="zh-CN"/>
        </w:rPr>
      </w:pPr>
      <w:r>
        <w:rPr>
          <w:rFonts w:hint="eastAsia"/>
          <w:b/>
          <w:bCs/>
          <w:lang w:val="en-US" w:eastAsia="zh-CN"/>
        </w:rPr>
        <w:t>（2）评价标准</w:t>
      </w:r>
    </w:p>
    <w:p>
      <w:pPr>
        <w:pStyle w:val="9"/>
        <w:rPr>
          <w:rFonts w:hint="eastAsia"/>
          <w:lang w:eastAsia="zh-CN"/>
        </w:rPr>
      </w:pPr>
      <w:r>
        <w:rPr>
          <w:rFonts w:hint="eastAsia"/>
          <w:lang w:eastAsia="zh-CN"/>
        </w:rPr>
        <w:t>施工期声环境评价标准采用《建筑施工场界环境噪声排放标准》（GB12523-2011）；区域声环境质量评价采用《声环境质量标准》（GB3096-2008）</w:t>
      </w:r>
      <w:r>
        <w:rPr>
          <w:rFonts w:hint="eastAsia"/>
          <w:lang w:val="en-US" w:eastAsia="zh-CN"/>
        </w:rPr>
        <w:t>1</w:t>
      </w:r>
      <w:r>
        <w:rPr>
          <w:rFonts w:hint="eastAsia"/>
          <w:lang w:eastAsia="zh-CN"/>
        </w:rPr>
        <w:t xml:space="preserve">类标准。 </w:t>
      </w:r>
    </w:p>
    <w:p>
      <w:pPr>
        <w:pStyle w:val="9"/>
        <w:rPr>
          <w:rFonts w:hint="default"/>
          <w:b/>
          <w:bCs/>
          <w:lang w:val="en-US" w:eastAsia="zh-CN"/>
        </w:rPr>
      </w:pPr>
      <w:r>
        <w:rPr>
          <w:rFonts w:hint="eastAsia"/>
          <w:b/>
          <w:bCs/>
          <w:lang w:val="en-US" w:eastAsia="zh-CN"/>
        </w:rPr>
        <w:t>（3）预测结果</w:t>
      </w:r>
    </w:p>
    <w:p>
      <w:pPr>
        <w:pStyle w:val="9"/>
        <w:rPr>
          <w:rFonts w:hint="eastAsia"/>
          <w:lang w:eastAsia="zh-CN"/>
        </w:rPr>
      </w:pPr>
      <w:r>
        <w:rPr>
          <w:rFonts w:hint="eastAsia"/>
          <w:lang w:eastAsia="zh-CN"/>
        </w:rPr>
        <w:t>各种施工机械正常运行时，与声源不同距离处的噪声预测值见表</w:t>
      </w:r>
      <w:r>
        <w:rPr>
          <w:rFonts w:hint="eastAsia"/>
          <w:lang w:val="en-US" w:eastAsia="zh-CN"/>
        </w:rPr>
        <w:t>5</w:t>
      </w:r>
      <w:r>
        <w:rPr>
          <w:rFonts w:hint="eastAsia"/>
          <w:lang w:eastAsia="zh-CN"/>
        </w:rPr>
        <w:t xml:space="preserve">.1-3。 </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b/>
          <w:bCs/>
          <w:sz w:val="21"/>
          <w:szCs w:val="21"/>
          <w:lang w:val="en-US" w:eastAsia="zh-CN"/>
        </w:rPr>
      </w:pPr>
      <w:r>
        <w:rPr>
          <w:rFonts w:hint="eastAsia"/>
          <w:b/>
          <w:bCs/>
          <w:sz w:val="21"/>
          <w:szCs w:val="21"/>
          <w:lang w:eastAsia="zh-CN"/>
        </w:rPr>
        <w:t>表</w:t>
      </w:r>
      <w:r>
        <w:rPr>
          <w:rFonts w:hint="eastAsia"/>
          <w:b/>
          <w:bCs/>
          <w:sz w:val="21"/>
          <w:szCs w:val="21"/>
          <w:lang w:val="en-US" w:eastAsia="zh-CN"/>
        </w:rPr>
        <w:t>5.1-3   各施工机械噪声值随距离变化情况表   单位：dB（A）</w:t>
      </w:r>
    </w:p>
    <w:tbl>
      <w:tblPr>
        <w:tblStyle w:val="64"/>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79"/>
        <w:gridCol w:w="1305"/>
        <w:gridCol w:w="1236"/>
        <w:gridCol w:w="1113"/>
        <w:gridCol w:w="1113"/>
        <w:gridCol w:w="1185"/>
        <w:gridCol w:w="1167"/>
        <w:gridCol w:w="10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8" w:type="pct"/>
            <w:vMerge w:val="restart"/>
            <w:tcBorders>
              <w:top w:val="single" w:color="auto" w:sz="12" w:space="0"/>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机械名称</w:t>
            </w:r>
          </w:p>
        </w:tc>
        <w:tc>
          <w:tcPr>
            <w:tcW w:w="659" w:type="pct"/>
            <w:vMerge w:val="restar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噪声源强</w:t>
            </w:r>
          </w:p>
        </w:tc>
        <w:tc>
          <w:tcPr>
            <w:tcW w:w="3442" w:type="pct"/>
            <w:gridSpan w:val="6"/>
            <w:tcBorders>
              <w:top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距声源（</w:t>
            </w:r>
            <w:r>
              <w:rPr>
                <w:rFonts w:hint="eastAsia"/>
                <w:sz w:val="21"/>
                <w:szCs w:val="21"/>
                <w:vertAlign w:val="baseline"/>
                <w:lang w:val="en-US" w:eastAsia="zh-CN"/>
              </w:rPr>
              <w:t>m</w:t>
            </w:r>
            <w:r>
              <w:rPr>
                <w:rFonts w:hint="eastAsia"/>
                <w:sz w:val="21"/>
                <w:szCs w:val="21"/>
                <w:vertAlign w:val="baseline"/>
                <w:lang w:eastAsia="zh-CN"/>
              </w:rPr>
              <w:t>）处的噪声预测值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8" w:type="pct"/>
            <w:vMerge w:val="continue"/>
            <w:tcBorders>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p>
        </w:tc>
        <w:tc>
          <w:tcPr>
            <w:tcW w:w="659" w:type="pct"/>
            <w:vMerge w:val="continue"/>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p>
        </w:tc>
        <w:tc>
          <w:tcPr>
            <w:tcW w:w="62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15m</w:t>
            </w:r>
          </w:p>
        </w:tc>
        <w:tc>
          <w:tcPr>
            <w:tcW w:w="562"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30m</w:t>
            </w:r>
          </w:p>
        </w:tc>
        <w:tc>
          <w:tcPr>
            <w:tcW w:w="562"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60m</w:t>
            </w:r>
          </w:p>
        </w:tc>
        <w:tc>
          <w:tcPr>
            <w:tcW w:w="598"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100m</w:t>
            </w:r>
          </w:p>
        </w:tc>
        <w:tc>
          <w:tcPr>
            <w:tcW w:w="58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150m</w:t>
            </w:r>
          </w:p>
        </w:tc>
        <w:tc>
          <w:tcPr>
            <w:tcW w:w="503" w:type="pct"/>
            <w:tcBorders>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200m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8" w:type="pct"/>
            <w:tcBorders>
              <w:top w:val="single" w:color="auto" w:sz="12" w:space="0"/>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挖掘机</w:t>
            </w:r>
          </w:p>
        </w:tc>
        <w:tc>
          <w:tcPr>
            <w:tcW w:w="659"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85</w:t>
            </w:r>
          </w:p>
        </w:tc>
        <w:tc>
          <w:tcPr>
            <w:tcW w:w="62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61.5</w:t>
            </w:r>
          </w:p>
        </w:tc>
        <w:tc>
          <w:tcPr>
            <w:tcW w:w="562"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55.5</w:t>
            </w:r>
          </w:p>
        </w:tc>
        <w:tc>
          <w:tcPr>
            <w:tcW w:w="562"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49.4</w:t>
            </w:r>
          </w:p>
        </w:tc>
        <w:tc>
          <w:tcPr>
            <w:tcW w:w="598"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45.0</w:t>
            </w:r>
          </w:p>
        </w:tc>
        <w:tc>
          <w:tcPr>
            <w:tcW w:w="589"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41.5</w:t>
            </w:r>
          </w:p>
        </w:tc>
        <w:tc>
          <w:tcPr>
            <w:tcW w:w="503" w:type="pct"/>
            <w:tcBorders>
              <w:top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39.0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8"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装载机</w:t>
            </w:r>
          </w:p>
        </w:tc>
        <w:tc>
          <w:tcPr>
            <w:tcW w:w="65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85</w:t>
            </w:r>
          </w:p>
        </w:tc>
        <w:tc>
          <w:tcPr>
            <w:tcW w:w="624"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61.5</w:t>
            </w:r>
          </w:p>
        </w:tc>
        <w:tc>
          <w:tcPr>
            <w:tcW w:w="562"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val="en-US" w:eastAsia="zh-CN"/>
              </w:rPr>
              <w:t>55.5</w:t>
            </w:r>
          </w:p>
        </w:tc>
        <w:tc>
          <w:tcPr>
            <w:tcW w:w="562"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val="en-US" w:eastAsia="zh-CN"/>
              </w:rPr>
              <w:t>49.4</w:t>
            </w:r>
          </w:p>
        </w:tc>
        <w:tc>
          <w:tcPr>
            <w:tcW w:w="598"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val="en-US" w:eastAsia="zh-CN"/>
              </w:rPr>
              <w:t>45.0</w:t>
            </w:r>
          </w:p>
        </w:tc>
        <w:tc>
          <w:tcPr>
            <w:tcW w:w="58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val="en-US" w:eastAsia="zh-CN"/>
              </w:rPr>
              <w:t>41.5</w:t>
            </w:r>
          </w:p>
        </w:tc>
        <w:tc>
          <w:tcPr>
            <w:tcW w:w="503"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val="en-US" w:eastAsia="zh-CN"/>
              </w:rPr>
              <w:t>39.0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8"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推土机</w:t>
            </w:r>
          </w:p>
        </w:tc>
        <w:tc>
          <w:tcPr>
            <w:tcW w:w="65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85</w:t>
            </w:r>
          </w:p>
        </w:tc>
        <w:tc>
          <w:tcPr>
            <w:tcW w:w="624"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val="en-US" w:eastAsia="zh-CN"/>
              </w:rPr>
              <w:t>61.5</w:t>
            </w:r>
          </w:p>
        </w:tc>
        <w:tc>
          <w:tcPr>
            <w:tcW w:w="562"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val="en-US" w:eastAsia="zh-CN"/>
              </w:rPr>
              <w:t>55.5</w:t>
            </w:r>
          </w:p>
        </w:tc>
        <w:tc>
          <w:tcPr>
            <w:tcW w:w="562"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val="en-US" w:eastAsia="zh-CN"/>
              </w:rPr>
              <w:t>49.4</w:t>
            </w:r>
          </w:p>
        </w:tc>
        <w:tc>
          <w:tcPr>
            <w:tcW w:w="598"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val="en-US" w:eastAsia="zh-CN"/>
              </w:rPr>
              <w:t>45.0</w:t>
            </w:r>
          </w:p>
        </w:tc>
        <w:tc>
          <w:tcPr>
            <w:tcW w:w="58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val="en-US" w:eastAsia="zh-CN"/>
              </w:rPr>
              <w:t>41.5</w:t>
            </w:r>
          </w:p>
        </w:tc>
        <w:tc>
          <w:tcPr>
            <w:tcW w:w="503"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val="en-US" w:eastAsia="zh-CN"/>
              </w:rPr>
              <w:t>39.0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8"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混凝土搅拌机</w:t>
            </w:r>
          </w:p>
        </w:tc>
        <w:tc>
          <w:tcPr>
            <w:tcW w:w="65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90</w:t>
            </w:r>
          </w:p>
        </w:tc>
        <w:tc>
          <w:tcPr>
            <w:tcW w:w="624"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66.5</w:t>
            </w:r>
          </w:p>
        </w:tc>
        <w:tc>
          <w:tcPr>
            <w:tcW w:w="562"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60.5</w:t>
            </w:r>
          </w:p>
        </w:tc>
        <w:tc>
          <w:tcPr>
            <w:tcW w:w="562"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54.4</w:t>
            </w:r>
          </w:p>
        </w:tc>
        <w:tc>
          <w:tcPr>
            <w:tcW w:w="598"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50.0</w:t>
            </w:r>
          </w:p>
        </w:tc>
        <w:tc>
          <w:tcPr>
            <w:tcW w:w="58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46.5</w:t>
            </w:r>
          </w:p>
        </w:tc>
        <w:tc>
          <w:tcPr>
            <w:tcW w:w="503"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44.0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8" w:type="pct"/>
            <w:tcBorders>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捣振器</w:t>
            </w:r>
          </w:p>
        </w:tc>
        <w:tc>
          <w:tcPr>
            <w:tcW w:w="65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95</w:t>
            </w:r>
          </w:p>
        </w:tc>
        <w:tc>
          <w:tcPr>
            <w:tcW w:w="62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71.5</w:t>
            </w:r>
          </w:p>
        </w:tc>
        <w:tc>
          <w:tcPr>
            <w:tcW w:w="562"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65.5</w:t>
            </w:r>
          </w:p>
        </w:tc>
        <w:tc>
          <w:tcPr>
            <w:tcW w:w="562"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59.4</w:t>
            </w:r>
          </w:p>
        </w:tc>
        <w:tc>
          <w:tcPr>
            <w:tcW w:w="598"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55.0</w:t>
            </w:r>
          </w:p>
        </w:tc>
        <w:tc>
          <w:tcPr>
            <w:tcW w:w="58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46.5</w:t>
            </w:r>
          </w:p>
        </w:tc>
        <w:tc>
          <w:tcPr>
            <w:tcW w:w="503" w:type="pct"/>
            <w:tcBorders>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44.0</w:t>
            </w:r>
          </w:p>
        </w:tc>
      </w:tr>
    </w:tbl>
    <w:p>
      <w:pPr>
        <w:pStyle w:val="9"/>
      </w:pPr>
      <w:r>
        <w:rPr>
          <w:rFonts w:hint="eastAsia"/>
          <w:lang w:eastAsia="zh-CN"/>
        </w:rPr>
        <w:t>从表</w:t>
      </w:r>
      <w:r>
        <w:rPr>
          <w:rFonts w:hint="eastAsia"/>
          <w:lang w:val="en-US" w:eastAsia="zh-CN"/>
        </w:rPr>
        <w:t>5</w:t>
      </w:r>
      <w:r>
        <w:rPr>
          <w:rFonts w:hint="eastAsia"/>
          <w:lang w:eastAsia="zh-CN"/>
        </w:rPr>
        <w:t>.1-3可以看出，各施工机械的噪声经100m距离衰减后，预测值均在70dB(A)以下，达到《建筑施工场界环境噪声排放标准》（GB12523-2011）（昼间）标准。各施工机械的噪声经100m距离衰减后，预测值均在</w:t>
      </w:r>
      <w:r>
        <w:rPr>
          <w:rFonts w:hint="eastAsia"/>
          <w:lang w:val="en-US" w:eastAsia="zh-CN"/>
        </w:rPr>
        <w:t>50</w:t>
      </w:r>
      <w:r>
        <w:rPr>
          <w:rFonts w:hint="eastAsia"/>
          <w:lang w:eastAsia="zh-CN"/>
        </w:rPr>
        <w:t>dB(A)以下，达到《声环境质量标准》（GB3096-2008）</w:t>
      </w:r>
      <w:r>
        <w:rPr>
          <w:rFonts w:hint="eastAsia"/>
          <w:lang w:val="en-US" w:eastAsia="zh-CN"/>
        </w:rPr>
        <w:t>1</w:t>
      </w:r>
      <w:r>
        <w:rPr>
          <w:rFonts w:hint="eastAsia"/>
          <w:lang w:eastAsia="zh-CN"/>
        </w:rPr>
        <w:t>类标准（昼间）标准。本项目养殖场周边500m范围内无居民等敏感点，施工噪声不会对周边居民产生影响。</w:t>
      </w:r>
    </w:p>
    <w:p>
      <w:pPr>
        <w:pStyle w:val="5"/>
        <w:ind w:firstLine="562"/>
      </w:pPr>
      <w:r>
        <w:rPr>
          <w:rFonts w:hint="eastAsia"/>
          <w:lang w:eastAsia="zh-CN"/>
        </w:rPr>
        <w:t xml:space="preserve"> 施工期固体废物影响分析</w:t>
      </w:r>
    </w:p>
    <w:p>
      <w:pPr>
        <w:pStyle w:val="9"/>
      </w:pPr>
      <w:r>
        <w:rPr>
          <w:rFonts w:hint="eastAsia"/>
        </w:rPr>
        <w:t xml:space="preserve">项目施工期固体废物主要包括建筑垃圾、废弃土方和施工人员产生的生活垃圾。 </w:t>
      </w:r>
    </w:p>
    <w:p>
      <w:pPr>
        <w:pStyle w:val="6"/>
        <w:rPr>
          <w:rFonts w:hint="eastAsia"/>
        </w:rPr>
      </w:pPr>
      <w:r>
        <w:rPr>
          <w:rFonts w:hint="eastAsia"/>
          <w:lang w:eastAsia="zh-CN"/>
        </w:rPr>
        <w:t xml:space="preserve">生活垃圾 </w:t>
      </w:r>
    </w:p>
    <w:p>
      <w:pPr>
        <w:pStyle w:val="9"/>
      </w:pPr>
      <w:r>
        <w:rPr>
          <w:rFonts w:hint="eastAsia"/>
        </w:rPr>
        <w:t>项目工地施工人员拟定50人，生活垃圾产生量以1.0kg/(d•人)计，生活垃圾产生量为50kg/d。施工期生活垃圾应采用定点收集方式，设立专门的容器加以收集，并运往附近村屯的生活垃圾处理点处置。</w:t>
      </w:r>
    </w:p>
    <w:bookmarkEnd w:id="55"/>
    <w:bookmarkEnd w:id="56"/>
    <w:p>
      <w:pPr>
        <w:pStyle w:val="6"/>
        <w:rPr>
          <w:rFonts w:hint="eastAsia"/>
        </w:rPr>
      </w:pPr>
      <w:bookmarkStart w:id="57" w:name="_Toc346282518"/>
      <w:r>
        <w:rPr>
          <w:rFonts w:hint="eastAsia"/>
          <w:lang w:eastAsia="zh-CN"/>
        </w:rPr>
        <w:t xml:space="preserve">建筑垃圾 </w:t>
      </w:r>
    </w:p>
    <w:p>
      <w:pPr>
        <w:pStyle w:val="9"/>
      </w:pPr>
      <w:r>
        <w:rPr>
          <w:rFonts w:hint="eastAsia"/>
        </w:rPr>
        <w:t xml:space="preserve">施工期间建筑垃圾对于可以回收利用的，如废金属、废钢筋、废铁丝、废砖块、废木材等应尽量回收利用；其他不能回收利用的建筑材料作为填料用于场地平整，无建筑垃圾外排。建筑垃圾通过合理分类处理后，对环境的影响不大。 </w:t>
      </w:r>
    </w:p>
    <w:p>
      <w:pPr>
        <w:pStyle w:val="6"/>
        <w:rPr>
          <w:rFonts w:hint="eastAsia"/>
        </w:rPr>
      </w:pPr>
      <w:r>
        <w:rPr>
          <w:rFonts w:hint="eastAsia"/>
          <w:lang w:eastAsia="zh-CN"/>
        </w:rPr>
        <w:t xml:space="preserve">废弃土方 </w:t>
      </w:r>
    </w:p>
    <w:p>
      <w:pPr>
        <w:pStyle w:val="8"/>
        <w:rPr>
          <w:rFonts w:hint="eastAsia"/>
        </w:rPr>
      </w:pPr>
      <w:r>
        <w:rPr>
          <w:rFonts w:hint="eastAsia"/>
        </w:rPr>
        <w:t>根据项目总平布置，</w:t>
      </w:r>
      <w:r>
        <w:rPr>
          <w:rFonts w:hint="eastAsia"/>
          <w:color w:val="auto"/>
        </w:rPr>
        <w:t>项目养殖区布设在地势较平坦的</w:t>
      </w:r>
      <w:r>
        <w:rPr>
          <w:rFonts w:hint="eastAsia"/>
          <w:color w:val="auto"/>
          <w:lang w:eastAsia="zh-CN"/>
        </w:rPr>
        <w:t>地方</w:t>
      </w:r>
      <w:r>
        <w:rPr>
          <w:rFonts w:hint="eastAsia"/>
          <w:color w:val="auto"/>
        </w:rPr>
        <w:t>，项</w:t>
      </w:r>
      <w:r>
        <w:rPr>
          <w:rFonts w:hint="eastAsia"/>
        </w:rPr>
        <w:t xml:space="preserve">目土方阶段主要是推平地势较高的区域，将产生的土方填到地势较低的区域，场地内取弃土方量基本平衡，无废弃土方。项目在土方阶段应注重水土保持，积极采取措施，减小项目挖方、填方过程产生的影响。 </w:t>
      </w:r>
    </w:p>
    <w:p>
      <w:pPr>
        <w:pStyle w:val="5"/>
        <w:ind w:firstLine="562"/>
      </w:pPr>
      <w:r>
        <w:rPr>
          <w:rFonts w:hint="eastAsia"/>
          <w:lang w:eastAsia="zh-CN"/>
        </w:rPr>
        <w:t xml:space="preserve"> 施工期生态环境影响分析</w:t>
      </w:r>
    </w:p>
    <w:p>
      <w:pPr>
        <w:pStyle w:val="9"/>
      </w:pPr>
      <w:r>
        <w:rPr>
          <w:rFonts w:hint="eastAsia"/>
        </w:rPr>
        <w:t xml:space="preserve">拟建项目位于乡村区域，现状用地类型以旱地为主，有少量林地。项目施工期要剥离原地表面的覆盖层，对场地进行平整及压实工作，然后进行猪舍、道路、办公生活区、生产辅助设施等建设，成植被破坏、地形改变以及水土流失，对野生动物的生存环境也生成一定的影响。项目建成后，用地类型转变为建筑用地，与周边环境存在一定的介质差异。 </w:t>
      </w:r>
    </w:p>
    <w:p>
      <w:pPr>
        <w:pStyle w:val="6"/>
        <w:rPr>
          <w:rFonts w:hint="eastAsia"/>
        </w:rPr>
      </w:pPr>
      <w:r>
        <w:rPr>
          <w:rFonts w:hint="eastAsia"/>
          <w:lang w:eastAsia="zh-CN"/>
        </w:rPr>
        <w:t xml:space="preserve">对植物的影响 </w:t>
      </w:r>
    </w:p>
    <w:p>
      <w:pPr>
        <w:pStyle w:val="9"/>
      </w:pPr>
      <w:r>
        <w:rPr>
          <w:rFonts w:hint="eastAsia"/>
        </w:rPr>
        <w:t>项目建设用地以旱地为主，有少量林地和荒地。用地区域生态系统属农业生态系统，以人工种植的</w:t>
      </w:r>
      <w:r>
        <w:rPr>
          <w:rFonts w:hint="eastAsia"/>
          <w:lang w:eastAsia="zh-CN"/>
        </w:rPr>
        <w:t>树木</w:t>
      </w:r>
      <w:r>
        <w:rPr>
          <w:rFonts w:hint="eastAsia"/>
        </w:rPr>
        <w:t xml:space="preserve">和自然荒草植被主，没有发现珍稀植物保护物种。项目施工前期进行土地平整，工程用地区域内的原有植被将遭到破坏。项目完工后，通过采用点、线、面相结合的方法，场区功能分区、道路两旁等进行乔、灌、草三结合的绿化，因此，项目建设施工对植物环境不会产生明显的影响。 </w:t>
      </w:r>
    </w:p>
    <w:p>
      <w:pPr>
        <w:pStyle w:val="6"/>
        <w:rPr>
          <w:rFonts w:hint="eastAsia"/>
        </w:rPr>
      </w:pPr>
      <w:r>
        <w:rPr>
          <w:rFonts w:hint="eastAsia"/>
          <w:lang w:eastAsia="zh-CN"/>
        </w:rPr>
        <w:t xml:space="preserve">对野生动物的影响 </w:t>
      </w:r>
    </w:p>
    <w:p>
      <w:pPr>
        <w:pStyle w:val="9"/>
        <w:rPr>
          <w:rFonts w:hint="eastAsia"/>
        </w:rPr>
      </w:pPr>
      <w:r>
        <w:rPr>
          <w:rFonts w:hint="eastAsia"/>
        </w:rPr>
        <w:t xml:space="preserve">项目施工期的工程占地、植被破坏以及施工人员活动挤占、减少了野生动物生存空间，施工噪声使野生动物受惊吓；交通运输、人员来往等活动都对野生动物的栖息地带来不良影响，使野生动物迁徙或逃逸，使生态系统造成一定程度的不可逆的影响。 </w:t>
      </w:r>
    </w:p>
    <w:p>
      <w:pPr>
        <w:pStyle w:val="9"/>
      </w:pPr>
      <w:r>
        <w:rPr>
          <w:rFonts w:hint="eastAsia"/>
        </w:rPr>
        <w:t xml:space="preserve">但项目所在地区域属农业生态系统，人类活动相对较频繁，没有发现大型野生动物，也没有发现保护类动物，且项目建成后，区域植被得到较大的恢复。因此，项目施工对野生动物不会造成明显的影响。 </w:t>
      </w:r>
    </w:p>
    <w:p>
      <w:pPr>
        <w:pStyle w:val="6"/>
        <w:rPr>
          <w:rFonts w:hint="eastAsia"/>
        </w:rPr>
      </w:pPr>
      <w:r>
        <w:rPr>
          <w:rFonts w:hint="eastAsia"/>
          <w:lang w:eastAsia="zh-CN"/>
        </w:rPr>
        <w:t xml:space="preserve">对土壤的影响 </w:t>
      </w:r>
    </w:p>
    <w:p>
      <w:pPr>
        <w:pStyle w:val="9"/>
      </w:pPr>
      <w:r>
        <w:rPr>
          <w:rFonts w:hint="eastAsia"/>
        </w:rPr>
        <w:t xml:space="preserve">工程施工必然会出现大量挖土、弃土和填土，原有自然土壤的结构将受到破坏，抵抗侵蚀能力较强的表层土壤在土石方量中所占的比例很小，土石方填挖过程中的工程土壤结构松散，有机质含量小，抵抗侵蚀的能力也大为减弱，易被冲刷。另外，项目建成后，原有的自然林地土壤部分将会变成硬化的水泥地，改变了土壤原有的结构和特性。 </w:t>
      </w:r>
    </w:p>
    <w:p>
      <w:pPr>
        <w:pStyle w:val="6"/>
        <w:rPr>
          <w:rFonts w:hint="eastAsia"/>
        </w:rPr>
      </w:pPr>
      <w:r>
        <w:rPr>
          <w:rFonts w:hint="eastAsia"/>
          <w:lang w:eastAsia="zh-CN"/>
        </w:rPr>
        <w:t xml:space="preserve">对农业生态系统的影响 </w:t>
      </w:r>
    </w:p>
    <w:p>
      <w:pPr>
        <w:pStyle w:val="9"/>
      </w:pPr>
      <w:r>
        <w:rPr>
          <w:rFonts w:hint="eastAsia"/>
        </w:rPr>
        <w:t>施工期由于水土流失，对工程区</w:t>
      </w:r>
      <w:r>
        <w:rPr>
          <w:rFonts w:hint="eastAsia"/>
          <w:lang w:eastAsia="zh-CN"/>
        </w:rPr>
        <w:t>农田</w:t>
      </w:r>
      <w:r>
        <w:rPr>
          <w:rFonts w:hint="eastAsia"/>
        </w:rPr>
        <w:t>地可能会造成一定的影响，主要是雨季施工场地泥沙中细小的部分随地表径流以</w:t>
      </w:r>
      <w:r>
        <w:rPr>
          <w:rFonts w:hint="default"/>
        </w:rPr>
        <w:t>“</w:t>
      </w:r>
      <w:r>
        <w:rPr>
          <w:rFonts w:hint="eastAsia"/>
        </w:rPr>
        <w:t>黄泥水</w:t>
      </w:r>
      <w:r>
        <w:rPr>
          <w:rFonts w:hint="default"/>
        </w:rPr>
        <w:t>”</w:t>
      </w:r>
      <w:r>
        <w:rPr>
          <w:rFonts w:hint="eastAsia"/>
        </w:rPr>
        <w:t xml:space="preserve">的形式进入甘蔗地，影响土壤的团粒结构，进而影响到农作物的生长；其次是由于车辆运输和机械作业，将产生大量的扬尘，这些扬尘在作物的叶片上聚集，达到一定厚度时将影响到农作物的光合作用，影响农作物的产量和品质。 </w:t>
      </w:r>
    </w:p>
    <w:p>
      <w:pPr>
        <w:pStyle w:val="9"/>
        <w:rPr>
          <w:rFonts w:hint="eastAsia"/>
        </w:rPr>
      </w:pPr>
      <w:r>
        <w:rPr>
          <w:rFonts w:hint="eastAsia"/>
        </w:rPr>
        <w:t xml:space="preserve">项目施工过程中，于场区周围建设截污排水沟，将施工废水、场区雨水拦截并经沉淀处理后回用于场区施工洒水降尘，不能回用部分外排，防止其到处漫流，最大限度地减轻项目施工水土流失对附近甘蔗地生产的影响。另外，在施工场所及主要道路经常洒水降尘，最大限度地减轻项目施工对附近农业生态系统中农作物的影响。 </w:t>
      </w:r>
    </w:p>
    <w:p>
      <w:pPr>
        <w:pStyle w:val="8"/>
        <w:rPr>
          <w:rFonts w:hint="eastAsia"/>
        </w:rPr>
      </w:pPr>
      <w:r>
        <w:rPr>
          <w:rFonts w:hint="eastAsia"/>
        </w:rPr>
        <w:t>综上所述，项目建设破坏了局部的自然地形地貌，改变地表覆盖层，使局部生态系统发生一定的改变；项目建设对区域的动、植物的生存环境产生暂时性的影响，但项目占地面积不大，且项目建设有较大面积的绿化面积，因此，总体而言项目建设其对周边生态环境影响的程度和范围均较小。</w:t>
      </w:r>
    </w:p>
    <w:p>
      <w:pPr>
        <w:pStyle w:val="4"/>
      </w:pPr>
      <w:bookmarkStart w:id="58" w:name="_Toc20037"/>
      <w:bookmarkStart w:id="59" w:name="_Toc32704"/>
      <w:r>
        <w:rPr>
          <w:rFonts w:hint="eastAsia"/>
          <w:lang w:eastAsia="zh-CN"/>
        </w:rPr>
        <w:t>营运期</w:t>
      </w:r>
      <w:r>
        <w:t>环境影响</w:t>
      </w:r>
      <w:r>
        <w:rPr>
          <w:rFonts w:hint="eastAsia"/>
          <w:lang w:eastAsia="zh-CN"/>
        </w:rPr>
        <w:t>分析</w:t>
      </w:r>
      <w:bookmarkEnd w:id="58"/>
      <w:bookmarkEnd w:id="59"/>
    </w:p>
    <w:p>
      <w:pPr>
        <w:pStyle w:val="5"/>
        <w:ind w:firstLine="562"/>
      </w:pPr>
      <w:r>
        <w:rPr>
          <w:rFonts w:hint="eastAsia"/>
          <w:lang w:eastAsia="zh-CN"/>
        </w:rPr>
        <w:t xml:space="preserve"> 营运期环境空气影响分析</w:t>
      </w:r>
    </w:p>
    <w:p>
      <w:pPr>
        <w:pStyle w:val="6"/>
        <w:rPr>
          <w:rFonts w:hint="eastAsia"/>
        </w:rPr>
      </w:pPr>
      <w:r>
        <w:rPr>
          <w:rFonts w:hint="eastAsia"/>
          <w:lang w:eastAsia="zh-CN"/>
        </w:rPr>
        <w:t xml:space="preserve">长期地面气象资料分析  </w:t>
      </w:r>
    </w:p>
    <w:p>
      <w:pPr>
        <w:pStyle w:val="9"/>
        <w:rPr>
          <w:rFonts w:hint="eastAsia"/>
        </w:rPr>
      </w:pPr>
      <w:r>
        <w:rPr>
          <w:rFonts w:hint="eastAsia" w:cs="Times New Roman"/>
          <w:color w:val="000000"/>
          <w:sz w:val="24"/>
          <w:szCs w:val="24"/>
          <w:lang w:eastAsia="zh-CN"/>
        </w:rPr>
        <w:t>仁化县四季气候特点是：春季，阴雨天气多，阳光少，空气潮湿，天气多变，气候由冷向暖过渡；夏季，雨水多，雷雨、洪涝、强风、高温活跃，强对流天气频繁；秋季，雨水少，阳光普照，空气干燥，天气稳定，气候由暖向冷过渡；冬季，天气冷，早晚温差大，雨量少，霜日、冰冻、寒潮，低温天气带常出现，寒冷天气较多。根据仁化县气象站近</w:t>
      </w:r>
      <w:r>
        <w:rPr>
          <w:rFonts w:hint="eastAsia" w:cs="Times New Roman"/>
          <w:color w:val="000000"/>
          <w:sz w:val="24"/>
          <w:szCs w:val="24"/>
          <w:lang w:val="en-US" w:eastAsia="zh-CN"/>
        </w:rPr>
        <w:t>20年（1996-2015年）的气象观测资料统计，其主要气候特征见表5.2-1。</w:t>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cs="Times New Roman"/>
          <w:color w:val="000000"/>
          <w:sz w:val="24"/>
          <w:szCs w:val="24"/>
          <w:lang w:val="en-US" w:eastAsia="zh-CN"/>
        </w:rPr>
      </w:pPr>
      <w:r>
        <w:rPr>
          <w:rFonts w:hint="eastAsia" w:cs="Times New Roman"/>
          <w:b/>
          <w:bCs/>
          <w:color w:val="000000"/>
          <w:sz w:val="21"/>
          <w:szCs w:val="21"/>
          <w:lang w:eastAsia="zh-CN"/>
        </w:rPr>
        <w:t>表</w:t>
      </w:r>
      <w:r>
        <w:rPr>
          <w:rFonts w:hint="eastAsia" w:cs="Times New Roman"/>
          <w:b/>
          <w:bCs/>
          <w:color w:val="000000"/>
          <w:sz w:val="21"/>
          <w:szCs w:val="21"/>
          <w:lang w:val="en-US" w:eastAsia="zh-CN"/>
        </w:rPr>
        <w:t>5.2-1   仁化气象站近20年（1996-2015年）的主要气候资料统计表</w:t>
      </w:r>
    </w:p>
    <w:tbl>
      <w:tblPr>
        <w:tblStyle w:val="6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53"/>
        <w:gridCol w:w="49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top w:val="single" w:color="auto" w:sz="12" w:space="0"/>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项目</w:t>
            </w:r>
          </w:p>
        </w:tc>
        <w:tc>
          <w:tcPr>
            <w:tcW w:w="2500" w:type="pct"/>
            <w:tcBorders>
              <w:top w:val="single" w:color="auto" w:sz="12" w:space="0"/>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数值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top w:val="single" w:color="auto" w:sz="12" w:space="0"/>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年平均风速（</w:t>
            </w:r>
            <w:r>
              <w:rPr>
                <w:rFonts w:hint="eastAsia" w:cs="Times New Roman"/>
                <w:color w:val="000000"/>
                <w:sz w:val="21"/>
                <w:szCs w:val="21"/>
                <w:vertAlign w:val="baseline"/>
                <w:lang w:val="en-US" w:eastAsia="zh-CN"/>
              </w:rPr>
              <w:t>m/s</w:t>
            </w:r>
            <w:r>
              <w:rPr>
                <w:rFonts w:hint="eastAsia" w:cs="Times New Roman"/>
                <w:color w:val="000000"/>
                <w:sz w:val="21"/>
                <w:szCs w:val="21"/>
                <w:vertAlign w:val="baseline"/>
                <w:lang w:eastAsia="zh-CN"/>
              </w:rPr>
              <w:t>）</w:t>
            </w:r>
          </w:p>
        </w:tc>
        <w:tc>
          <w:tcPr>
            <w:tcW w:w="2500" w:type="pct"/>
            <w:tcBorders>
              <w:top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最大风速（</w:t>
            </w:r>
            <w:r>
              <w:rPr>
                <w:rFonts w:hint="eastAsia" w:cs="Times New Roman"/>
                <w:color w:val="000000"/>
                <w:sz w:val="21"/>
                <w:szCs w:val="21"/>
                <w:vertAlign w:val="baseline"/>
                <w:lang w:val="en-US" w:eastAsia="zh-CN"/>
              </w:rPr>
              <w:t>m/s</w:t>
            </w:r>
            <w:r>
              <w:rPr>
                <w:rFonts w:hint="eastAsia" w:cs="Times New Roman"/>
                <w:color w:val="000000"/>
                <w:sz w:val="21"/>
                <w:szCs w:val="21"/>
                <w:vertAlign w:val="baseline"/>
                <w:lang w:eastAsia="zh-CN"/>
              </w:rPr>
              <w:t>）及出现的时间</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val="en-US" w:eastAsia="zh-CN"/>
              </w:rPr>
            </w:pPr>
            <w:r>
              <w:rPr>
                <w:rFonts w:hint="eastAsia" w:cs="Times New Roman"/>
                <w:color w:val="000000"/>
                <w:sz w:val="21"/>
                <w:szCs w:val="21"/>
                <w:vertAlign w:val="baseline"/>
                <w:lang w:val="en-US" w:eastAsia="zh-CN"/>
              </w:rPr>
              <w:t>18.2</w:t>
            </w:r>
          </w:p>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val="en-US" w:eastAsia="zh-CN"/>
              </w:rPr>
            </w:pPr>
            <w:r>
              <w:rPr>
                <w:rFonts w:hint="eastAsia" w:cs="Times New Roman"/>
                <w:color w:val="000000"/>
                <w:sz w:val="21"/>
                <w:szCs w:val="21"/>
                <w:vertAlign w:val="baseline"/>
                <w:lang w:val="en-US" w:eastAsia="zh-CN"/>
              </w:rPr>
              <w:t>相应风向：SW</w:t>
            </w:r>
          </w:p>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出现时间：2013年3月20日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年平均气温（℃）</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极端最高气温（℃）及出现的时间</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val="en-US" w:eastAsia="zh-CN"/>
              </w:rPr>
            </w:pPr>
            <w:r>
              <w:rPr>
                <w:rFonts w:hint="eastAsia" w:cs="Times New Roman"/>
                <w:color w:val="000000"/>
                <w:sz w:val="21"/>
                <w:szCs w:val="21"/>
                <w:vertAlign w:val="baseline"/>
                <w:lang w:val="en-US" w:eastAsia="zh-CN"/>
              </w:rPr>
              <w:t>40.9</w:t>
            </w:r>
          </w:p>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出现时间：2003年7月23日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极端最低气温（℃）及出现的时间</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val="en-US" w:eastAsia="zh-CN"/>
              </w:rPr>
            </w:pPr>
            <w:r>
              <w:rPr>
                <w:rFonts w:hint="eastAsia" w:cs="Times New Roman"/>
                <w:color w:val="000000"/>
                <w:sz w:val="21"/>
                <w:szCs w:val="21"/>
                <w:vertAlign w:val="baseline"/>
                <w:lang w:val="en-US" w:eastAsia="zh-CN"/>
              </w:rPr>
              <w:t>-4.8</w:t>
            </w:r>
          </w:p>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val="en-US" w:eastAsia="zh-CN"/>
              </w:rPr>
              <w:t>出现时间：1999年12月23日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年平均相对湿度（</w:t>
            </w:r>
            <w:r>
              <w:rPr>
                <w:rFonts w:hint="eastAsia" w:cs="Times New Roman"/>
                <w:color w:val="000000"/>
                <w:sz w:val="21"/>
                <w:szCs w:val="21"/>
                <w:vertAlign w:val="baseline"/>
                <w:lang w:val="en-US" w:eastAsia="zh-CN"/>
              </w:rPr>
              <w:t>%</w:t>
            </w:r>
            <w:r>
              <w:rPr>
                <w:rFonts w:hint="eastAsia" w:cs="Times New Roman"/>
                <w:color w:val="000000"/>
                <w:sz w:val="21"/>
                <w:szCs w:val="21"/>
                <w:vertAlign w:val="baseline"/>
                <w:lang w:eastAsia="zh-CN"/>
              </w:rPr>
              <w:t>）</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年均降水量（</w:t>
            </w:r>
            <w:r>
              <w:rPr>
                <w:rFonts w:hint="eastAsia" w:cs="Times New Roman"/>
                <w:color w:val="000000"/>
                <w:sz w:val="21"/>
                <w:szCs w:val="21"/>
                <w:vertAlign w:val="baseline"/>
                <w:lang w:val="en-US" w:eastAsia="zh-CN"/>
              </w:rPr>
              <w:t>mm</w:t>
            </w:r>
            <w:r>
              <w:rPr>
                <w:rFonts w:hint="eastAsia" w:cs="Times New Roman"/>
                <w:color w:val="000000"/>
                <w:sz w:val="21"/>
                <w:szCs w:val="21"/>
                <w:vertAlign w:val="baseline"/>
                <w:lang w:eastAsia="zh-CN"/>
              </w:rPr>
              <w:t>）</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1649.7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年最大降水量（</w:t>
            </w:r>
            <w:r>
              <w:rPr>
                <w:rFonts w:hint="eastAsia" w:cs="Times New Roman"/>
                <w:color w:val="000000"/>
                <w:sz w:val="21"/>
                <w:szCs w:val="21"/>
                <w:vertAlign w:val="baseline"/>
                <w:lang w:val="en-US" w:eastAsia="zh-CN"/>
              </w:rPr>
              <w:t>mm</w:t>
            </w:r>
            <w:r>
              <w:rPr>
                <w:rFonts w:hint="eastAsia" w:cs="Times New Roman"/>
                <w:color w:val="000000"/>
                <w:sz w:val="21"/>
                <w:szCs w:val="21"/>
                <w:vertAlign w:val="baseline"/>
                <w:lang w:eastAsia="zh-CN"/>
              </w:rPr>
              <w:t>）及出现的时间</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eastAsia="zh-CN"/>
              </w:rPr>
              <w:t>最大值：</w:t>
            </w:r>
            <w:r>
              <w:rPr>
                <w:rFonts w:hint="eastAsia" w:cs="Times New Roman"/>
                <w:color w:val="000000"/>
                <w:sz w:val="21"/>
                <w:szCs w:val="21"/>
                <w:vertAlign w:val="baseline"/>
                <w:lang w:val="en-US" w:eastAsia="zh-CN"/>
              </w:rPr>
              <w:t>2151.9mm 出现时间：1997年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年最小降水量（</w:t>
            </w:r>
            <w:r>
              <w:rPr>
                <w:rFonts w:hint="eastAsia" w:cs="Times New Roman"/>
                <w:color w:val="000000"/>
                <w:sz w:val="21"/>
                <w:szCs w:val="21"/>
                <w:vertAlign w:val="baseline"/>
                <w:lang w:val="en-US" w:eastAsia="zh-CN"/>
              </w:rPr>
              <w:t>mm</w:t>
            </w:r>
            <w:r>
              <w:rPr>
                <w:rFonts w:hint="eastAsia" w:cs="Times New Roman"/>
                <w:color w:val="000000"/>
                <w:sz w:val="21"/>
                <w:szCs w:val="21"/>
                <w:vertAlign w:val="baseline"/>
                <w:lang w:eastAsia="zh-CN"/>
              </w:rPr>
              <w:t>）及出现的时间</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最小值：</w:t>
            </w:r>
            <w:r>
              <w:rPr>
                <w:rFonts w:hint="eastAsia" w:cs="Times New Roman"/>
                <w:color w:val="000000"/>
                <w:sz w:val="21"/>
                <w:szCs w:val="21"/>
                <w:vertAlign w:val="baseline"/>
                <w:lang w:val="en-US" w:eastAsia="zh-CN"/>
              </w:rPr>
              <w:t>1120.4mm 出现时间：2004年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年平均日照时数（</w:t>
            </w:r>
            <w:r>
              <w:rPr>
                <w:rFonts w:hint="eastAsia" w:cs="Times New Roman"/>
                <w:color w:val="000000"/>
                <w:sz w:val="21"/>
                <w:szCs w:val="21"/>
                <w:vertAlign w:val="baseline"/>
                <w:lang w:val="en-US" w:eastAsia="zh-CN"/>
              </w:rPr>
              <w:t>h</w:t>
            </w:r>
            <w:r>
              <w:rPr>
                <w:rFonts w:hint="eastAsia" w:cs="Times New Roman"/>
                <w:color w:val="000000"/>
                <w:sz w:val="21"/>
                <w:szCs w:val="21"/>
                <w:vertAlign w:val="baseline"/>
                <w:lang w:eastAsia="zh-CN"/>
              </w:rPr>
              <w:t>）</w:t>
            </w:r>
          </w:p>
        </w:tc>
        <w:tc>
          <w:tcPr>
            <w:tcW w:w="2500"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1746.7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500" w:type="pct"/>
            <w:tcBorders>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近五年（</w:t>
            </w:r>
            <w:r>
              <w:rPr>
                <w:rFonts w:hint="eastAsia" w:cs="Times New Roman"/>
                <w:color w:val="000000"/>
                <w:sz w:val="21"/>
                <w:szCs w:val="21"/>
                <w:vertAlign w:val="baseline"/>
                <w:lang w:val="en-US" w:eastAsia="zh-CN"/>
              </w:rPr>
              <w:t>2011-2015年</w:t>
            </w:r>
            <w:r>
              <w:rPr>
                <w:rFonts w:hint="eastAsia" w:cs="Times New Roman"/>
                <w:color w:val="000000"/>
                <w:sz w:val="21"/>
                <w:szCs w:val="21"/>
                <w:vertAlign w:val="baseline"/>
                <w:lang w:eastAsia="zh-CN"/>
              </w:rPr>
              <w:t>）年平均风速（</w:t>
            </w:r>
            <w:r>
              <w:rPr>
                <w:rFonts w:hint="eastAsia" w:cs="Times New Roman"/>
                <w:color w:val="000000"/>
                <w:sz w:val="21"/>
                <w:szCs w:val="21"/>
                <w:vertAlign w:val="baseline"/>
                <w:lang w:val="en-US" w:eastAsia="zh-CN"/>
              </w:rPr>
              <w:t>m/s</w:t>
            </w:r>
            <w:r>
              <w:rPr>
                <w:rFonts w:hint="eastAsia" w:cs="Times New Roman"/>
                <w:color w:val="000000"/>
                <w:sz w:val="21"/>
                <w:szCs w:val="21"/>
                <w:vertAlign w:val="baseline"/>
                <w:lang w:eastAsia="zh-CN"/>
              </w:rPr>
              <w:t>）</w:t>
            </w:r>
          </w:p>
        </w:tc>
        <w:tc>
          <w:tcPr>
            <w:tcW w:w="2500" w:type="pct"/>
            <w:tcBorders>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1.38</w:t>
            </w:r>
          </w:p>
        </w:tc>
      </w:tr>
    </w:tbl>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cs="Times New Roman"/>
          <w:b/>
          <w:bCs/>
          <w:color w:val="000000"/>
          <w:sz w:val="21"/>
          <w:szCs w:val="21"/>
          <w:lang w:val="en-US" w:eastAsia="zh-CN"/>
        </w:rPr>
      </w:pPr>
      <w:r>
        <w:rPr>
          <w:rFonts w:hint="eastAsia" w:cs="Times New Roman"/>
          <w:b/>
          <w:bCs/>
          <w:color w:val="000000"/>
          <w:sz w:val="21"/>
          <w:szCs w:val="21"/>
          <w:lang w:eastAsia="zh-CN"/>
        </w:rPr>
        <w:t>表</w:t>
      </w:r>
      <w:r>
        <w:rPr>
          <w:rFonts w:hint="eastAsia" w:cs="Times New Roman"/>
          <w:b/>
          <w:bCs/>
          <w:color w:val="000000"/>
          <w:sz w:val="21"/>
          <w:szCs w:val="21"/>
          <w:lang w:val="en-US" w:eastAsia="zh-CN"/>
        </w:rPr>
        <w:t>5.2-2  仁化累年各月平均风速（m/s）、平均气温（℃）</w:t>
      </w:r>
    </w:p>
    <w:tbl>
      <w:tblPr>
        <w:tblStyle w:val="64"/>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61"/>
        <w:gridCol w:w="761"/>
        <w:gridCol w:w="761"/>
        <w:gridCol w:w="761"/>
        <w:gridCol w:w="761"/>
        <w:gridCol w:w="761"/>
        <w:gridCol w:w="761"/>
        <w:gridCol w:w="761"/>
        <w:gridCol w:w="762"/>
        <w:gridCol w:w="762"/>
        <w:gridCol w:w="762"/>
        <w:gridCol w:w="762"/>
        <w:gridCol w:w="7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4" w:type="pct"/>
            <w:tcBorders>
              <w:top w:val="single" w:color="auto" w:sz="12" w:space="0"/>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月份</w:t>
            </w:r>
          </w:p>
        </w:tc>
        <w:tc>
          <w:tcPr>
            <w:tcW w:w="38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w:t>
            </w:r>
          </w:p>
        </w:tc>
        <w:tc>
          <w:tcPr>
            <w:tcW w:w="38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w:t>
            </w:r>
          </w:p>
        </w:tc>
        <w:tc>
          <w:tcPr>
            <w:tcW w:w="38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3</w:t>
            </w:r>
          </w:p>
        </w:tc>
        <w:tc>
          <w:tcPr>
            <w:tcW w:w="38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4</w:t>
            </w:r>
          </w:p>
        </w:tc>
        <w:tc>
          <w:tcPr>
            <w:tcW w:w="38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5</w:t>
            </w:r>
          </w:p>
        </w:tc>
        <w:tc>
          <w:tcPr>
            <w:tcW w:w="38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6</w:t>
            </w:r>
          </w:p>
        </w:tc>
        <w:tc>
          <w:tcPr>
            <w:tcW w:w="38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7</w:t>
            </w:r>
          </w:p>
        </w:tc>
        <w:tc>
          <w:tcPr>
            <w:tcW w:w="38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8</w:t>
            </w:r>
          </w:p>
        </w:tc>
        <w:tc>
          <w:tcPr>
            <w:tcW w:w="38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9</w:t>
            </w:r>
          </w:p>
        </w:tc>
        <w:tc>
          <w:tcPr>
            <w:tcW w:w="38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c>
          <w:tcPr>
            <w:tcW w:w="384"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11</w:t>
            </w:r>
          </w:p>
        </w:tc>
        <w:tc>
          <w:tcPr>
            <w:tcW w:w="384" w:type="pct"/>
            <w:tcBorders>
              <w:top w:val="single" w:color="auto" w:sz="12" w:space="0"/>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4" w:type="pct"/>
            <w:tcBorders>
              <w:top w:val="single" w:color="auto" w:sz="12" w:space="0"/>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风速</w:t>
            </w:r>
          </w:p>
        </w:tc>
        <w:tc>
          <w:tcPr>
            <w:tcW w:w="38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0.9</w:t>
            </w:r>
          </w:p>
        </w:tc>
        <w:tc>
          <w:tcPr>
            <w:tcW w:w="38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c>
          <w:tcPr>
            <w:tcW w:w="38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c>
          <w:tcPr>
            <w:tcW w:w="38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c>
          <w:tcPr>
            <w:tcW w:w="38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0.9</w:t>
            </w:r>
          </w:p>
        </w:tc>
        <w:tc>
          <w:tcPr>
            <w:tcW w:w="38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1.1</w:t>
            </w:r>
          </w:p>
        </w:tc>
        <w:tc>
          <w:tcPr>
            <w:tcW w:w="38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1.1</w:t>
            </w:r>
          </w:p>
        </w:tc>
        <w:tc>
          <w:tcPr>
            <w:tcW w:w="38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1.1</w:t>
            </w:r>
          </w:p>
        </w:tc>
        <w:tc>
          <w:tcPr>
            <w:tcW w:w="38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1.1</w:t>
            </w:r>
          </w:p>
        </w:tc>
        <w:tc>
          <w:tcPr>
            <w:tcW w:w="38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c>
          <w:tcPr>
            <w:tcW w:w="384"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c>
          <w:tcPr>
            <w:tcW w:w="384" w:type="pct"/>
            <w:tcBorders>
              <w:top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4" w:type="pct"/>
            <w:tcBorders>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气温</w:t>
            </w:r>
          </w:p>
        </w:tc>
        <w:tc>
          <w:tcPr>
            <w:tcW w:w="38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9.7</w:t>
            </w:r>
          </w:p>
        </w:tc>
        <w:tc>
          <w:tcPr>
            <w:tcW w:w="38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12.4</w:t>
            </w:r>
          </w:p>
        </w:tc>
        <w:tc>
          <w:tcPr>
            <w:tcW w:w="38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15.3</w:t>
            </w:r>
          </w:p>
        </w:tc>
        <w:tc>
          <w:tcPr>
            <w:tcW w:w="38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20.4</w:t>
            </w:r>
          </w:p>
        </w:tc>
        <w:tc>
          <w:tcPr>
            <w:tcW w:w="38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24.3</w:t>
            </w:r>
          </w:p>
        </w:tc>
        <w:tc>
          <w:tcPr>
            <w:tcW w:w="38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27.0</w:t>
            </w:r>
          </w:p>
        </w:tc>
        <w:tc>
          <w:tcPr>
            <w:tcW w:w="38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28.4</w:t>
            </w:r>
          </w:p>
        </w:tc>
        <w:tc>
          <w:tcPr>
            <w:tcW w:w="38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28.2</w:t>
            </w:r>
          </w:p>
        </w:tc>
        <w:tc>
          <w:tcPr>
            <w:tcW w:w="38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26.9</w:t>
            </w:r>
          </w:p>
        </w:tc>
        <w:tc>
          <w:tcPr>
            <w:tcW w:w="38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22.2</w:t>
            </w:r>
          </w:p>
        </w:tc>
        <w:tc>
          <w:tcPr>
            <w:tcW w:w="384"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16.7</w:t>
            </w:r>
          </w:p>
        </w:tc>
        <w:tc>
          <w:tcPr>
            <w:tcW w:w="384" w:type="pct"/>
            <w:tcBorders>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11.1</w:t>
            </w:r>
          </w:p>
        </w:tc>
      </w:tr>
    </w:tbl>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cs="Times New Roman"/>
          <w:b/>
          <w:bCs/>
          <w:color w:val="000000"/>
          <w:sz w:val="21"/>
          <w:szCs w:val="21"/>
          <w:lang w:val="en-US" w:eastAsia="zh-CN"/>
        </w:rPr>
      </w:pPr>
      <w:r>
        <w:rPr>
          <w:rFonts w:hint="eastAsia" w:cs="Times New Roman"/>
          <w:b/>
          <w:bCs/>
          <w:color w:val="000000"/>
          <w:sz w:val="21"/>
          <w:szCs w:val="21"/>
          <w:lang w:eastAsia="zh-CN"/>
        </w:rPr>
        <w:t>表</w:t>
      </w:r>
      <w:r>
        <w:rPr>
          <w:rFonts w:hint="eastAsia" w:cs="Times New Roman"/>
          <w:b/>
          <w:bCs/>
          <w:color w:val="000000"/>
          <w:sz w:val="21"/>
          <w:szCs w:val="21"/>
          <w:lang w:val="en-US" w:eastAsia="zh-CN"/>
        </w:rPr>
        <w:t>5.2-3  仁化累年四季及年各风向频率（%）</w:t>
      </w:r>
    </w:p>
    <w:tbl>
      <w:tblPr>
        <w:tblStyle w:val="64"/>
        <w:tblW w:w="499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36"/>
        <w:gridCol w:w="1139"/>
        <w:gridCol w:w="988"/>
        <w:gridCol w:w="988"/>
        <w:gridCol w:w="988"/>
        <w:gridCol w:w="988"/>
        <w:gridCol w:w="873"/>
        <w:gridCol w:w="889"/>
        <w:gridCol w:w="907"/>
        <w:gridCol w:w="12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2" w:type="pct"/>
            <w:tcBorders>
              <w:top w:val="single" w:color="auto" w:sz="12" w:space="0"/>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风向</w:t>
            </w:r>
          </w:p>
        </w:tc>
        <w:tc>
          <w:tcPr>
            <w:tcW w:w="575"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N</w:t>
            </w:r>
          </w:p>
        </w:tc>
        <w:tc>
          <w:tcPr>
            <w:tcW w:w="499"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NNE</w:t>
            </w:r>
          </w:p>
        </w:tc>
        <w:tc>
          <w:tcPr>
            <w:tcW w:w="499"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NE</w:t>
            </w:r>
          </w:p>
        </w:tc>
        <w:tc>
          <w:tcPr>
            <w:tcW w:w="499"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ENE</w:t>
            </w:r>
          </w:p>
        </w:tc>
        <w:tc>
          <w:tcPr>
            <w:tcW w:w="499"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E</w:t>
            </w:r>
          </w:p>
        </w:tc>
        <w:tc>
          <w:tcPr>
            <w:tcW w:w="441"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ESE</w:t>
            </w:r>
          </w:p>
        </w:tc>
        <w:tc>
          <w:tcPr>
            <w:tcW w:w="449"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SE</w:t>
            </w:r>
          </w:p>
        </w:tc>
        <w:tc>
          <w:tcPr>
            <w:tcW w:w="458"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SSE</w:t>
            </w:r>
          </w:p>
        </w:tc>
        <w:tc>
          <w:tcPr>
            <w:tcW w:w="655" w:type="pct"/>
            <w:tcBorders>
              <w:top w:val="single" w:color="auto" w:sz="12" w:space="0"/>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2" w:type="pct"/>
            <w:tcBorders>
              <w:top w:val="single" w:color="auto" w:sz="12" w:space="0"/>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频率</w:t>
            </w:r>
          </w:p>
        </w:tc>
        <w:tc>
          <w:tcPr>
            <w:tcW w:w="575"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2.8</w:t>
            </w:r>
          </w:p>
        </w:tc>
        <w:tc>
          <w:tcPr>
            <w:tcW w:w="499"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3.4</w:t>
            </w:r>
          </w:p>
        </w:tc>
        <w:tc>
          <w:tcPr>
            <w:tcW w:w="499"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5.5</w:t>
            </w:r>
          </w:p>
        </w:tc>
        <w:tc>
          <w:tcPr>
            <w:tcW w:w="499"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4.5</w:t>
            </w:r>
          </w:p>
        </w:tc>
        <w:tc>
          <w:tcPr>
            <w:tcW w:w="499"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5.1</w:t>
            </w:r>
          </w:p>
        </w:tc>
        <w:tc>
          <w:tcPr>
            <w:tcW w:w="441"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4.2</w:t>
            </w:r>
          </w:p>
        </w:tc>
        <w:tc>
          <w:tcPr>
            <w:tcW w:w="449"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6.8</w:t>
            </w:r>
          </w:p>
        </w:tc>
        <w:tc>
          <w:tcPr>
            <w:tcW w:w="458"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5.7</w:t>
            </w:r>
          </w:p>
        </w:tc>
        <w:tc>
          <w:tcPr>
            <w:tcW w:w="655" w:type="pct"/>
            <w:tcBorders>
              <w:top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2"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风向</w:t>
            </w:r>
          </w:p>
        </w:tc>
        <w:tc>
          <w:tcPr>
            <w:tcW w:w="575"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SSW</w:t>
            </w:r>
          </w:p>
        </w:tc>
        <w:tc>
          <w:tcPr>
            <w:tcW w:w="49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SW</w:t>
            </w:r>
          </w:p>
        </w:tc>
        <w:tc>
          <w:tcPr>
            <w:tcW w:w="49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WSW</w:t>
            </w:r>
          </w:p>
        </w:tc>
        <w:tc>
          <w:tcPr>
            <w:tcW w:w="49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W</w:t>
            </w:r>
          </w:p>
        </w:tc>
        <w:tc>
          <w:tcPr>
            <w:tcW w:w="49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WNW</w:t>
            </w:r>
          </w:p>
        </w:tc>
        <w:tc>
          <w:tcPr>
            <w:tcW w:w="441"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NW</w:t>
            </w:r>
          </w:p>
        </w:tc>
        <w:tc>
          <w:tcPr>
            <w:tcW w:w="449"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NNW</w:t>
            </w:r>
          </w:p>
        </w:tc>
        <w:tc>
          <w:tcPr>
            <w:tcW w:w="458"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C</w:t>
            </w:r>
          </w:p>
        </w:tc>
        <w:tc>
          <w:tcPr>
            <w:tcW w:w="655"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最多风向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22" w:type="pct"/>
            <w:tcBorders>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cs="Times New Roman"/>
                <w:color w:val="000000"/>
                <w:sz w:val="21"/>
                <w:szCs w:val="21"/>
                <w:vertAlign w:val="baseline"/>
                <w:lang w:eastAsia="zh-CN"/>
              </w:rPr>
            </w:pPr>
            <w:r>
              <w:rPr>
                <w:rFonts w:hint="eastAsia" w:cs="Times New Roman"/>
                <w:color w:val="000000"/>
                <w:sz w:val="21"/>
                <w:szCs w:val="21"/>
                <w:vertAlign w:val="baseline"/>
                <w:lang w:eastAsia="zh-CN"/>
              </w:rPr>
              <w:t>频率</w:t>
            </w:r>
          </w:p>
        </w:tc>
        <w:tc>
          <w:tcPr>
            <w:tcW w:w="575"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6.0</w:t>
            </w:r>
          </w:p>
        </w:tc>
        <w:tc>
          <w:tcPr>
            <w:tcW w:w="49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5.9</w:t>
            </w:r>
          </w:p>
        </w:tc>
        <w:tc>
          <w:tcPr>
            <w:tcW w:w="49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4.8</w:t>
            </w:r>
          </w:p>
        </w:tc>
        <w:tc>
          <w:tcPr>
            <w:tcW w:w="49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4.0</w:t>
            </w:r>
          </w:p>
        </w:tc>
        <w:tc>
          <w:tcPr>
            <w:tcW w:w="49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2.3</w:t>
            </w:r>
          </w:p>
        </w:tc>
        <w:tc>
          <w:tcPr>
            <w:tcW w:w="441"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1.6</w:t>
            </w:r>
          </w:p>
        </w:tc>
        <w:tc>
          <w:tcPr>
            <w:tcW w:w="449"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1.8</w:t>
            </w:r>
          </w:p>
        </w:tc>
        <w:tc>
          <w:tcPr>
            <w:tcW w:w="458"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28.8</w:t>
            </w:r>
          </w:p>
        </w:tc>
        <w:tc>
          <w:tcPr>
            <w:tcW w:w="655" w:type="pct"/>
            <w:tcBorders>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cs="Times New Roman"/>
                <w:color w:val="000000"/>
                <w:sz w:val="21"/>
                <w:szCs w:val="21"/>
                <w:vertAlign w:val="baseline"/>
                <w:lang w:val="en-US" w:eastAsia="zh-CN"/>
              </w:rPr>
            </w:pPr>
            <w:r>
              <w:rPr>
                <w:rFonts w:hint="eastAsia" w:cs="Times New Roman"/>
                <w:color w:val="000000"/>
                <w:sz w:val="21"/>
                <w:szCs w:val="21"/>
                <w:vertAlign w:val="baseline"/>
                <w:lang w:val="en-US" w:eastAsia="zh-CN"/>
              </w:rPr>
              <w:t>S</w:t>
            </w:r>
          </w:p>
        </w:tc>
      </w:tr>
    </w:tbl>
    <w:p>
      <w:pPr>
        <w:pStyle w:val="9"/>
        <w:keepNext w:val="0"/>
        <w:keepLines w:val="0"/>
        <w:pageBreakBefore w:val="0"/>
        <w:widowControl w:val="0"/>
        <w:kinsoku/>
        <w:wordWrap/>
        <w:overflowPunct/>
        <w:topLinePunct w:val="0"/>
        <w:autoSpaceDE w:val="0"/>
        <w:autoSpaceDN w:val="0"/>
        <w:bidi w:val="0"/>
        <w:adjustRightInd/>
        <w:snapToGrid/>
        <w:spacing w:before="0" w:beforeLines="50"/>
        <w:ind w:left="105" w:leftChars="50" w:firstLine="0" w:firstLineChars="0"/>
        <w:jc w:val="center"/>
        <w:textAlignment w:val="auto"/>
        <w:rPr>
          <w:rFonts w:hint="eastAsia" w:cs="Times New Roman"/>
          <w:color w:val="000000"/>
          <w:sz w:val="24"/>
          <w:szCs w:val="24"/>
          <w:lang w:eastAsia="zh-CN"/>
        </w:rPr>
      </w:pPr>
      <w:r>
        <w:drawing>
          <wp:inline distT="0" distB="0" distL="114300" distR="114300">
            <wp:extent cx="2353310" cy="2522855"/>
            <wp:effectExtent l="12700" t="12700" r="15240" b="17145"/>
            <wp:docPr id="11"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7"/>
                    <pic:cNvPicPr>
                      <a:picLocks noChangeAspect="1"/>
                    </pic:cNvPicPr>
                  </pic:nvPicPr>
                  <pic:blipFill>
                    <a:blip r:embed="rId45"/>
                    <a:stretch>
                      <a:fillRect/>
                    </a:stretch>
                  </pic:blipFill>
                  <pic:spPr>
                    <a:xfrm>
                      <a:off x="0" y="0"/>
                      <a:ext cx="2353310" cy="2522855"/>
                    </a:xfrm>
                    <a:prstGeom prst="rect">
                      <a:avLst/>
                    </a:prstGeom>
                    <a:noFill/>
                    <a:ln w="12700">
                      <a:solidFill>
                        <a:schemeClr val="tx1"/>
                      </a:solidFill>
                    </a:ln>
                  </pic:spPr>
                </pic:pic>
              </a:graphicData>
            </a:graphic>
          </wp:inline>
        </w:drawing>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cs="Times New Roman"/>
          <w:b/>
          <w:bCs/>
          <w:color w:val="000000"/>
          <w:sz w:val="21"/>
          <w:szCs w:val="21"/>
          <w:lang w:val="en-US" w:eastAsia="zh-CN"/>
        </w:rPr>
      </w:pPr>
      <w:r>
        <w:rPr>
          <w:rFonts w:hint="eastAsia" w:cs="Times New Roman"/>
          <w:b/>
          <w:bCs/>
          <w:color w:val="000000"/>
          <w:sz w:val="21"/>
          <w:szCs w:val="21"/>
          <w:lang w:eastAsia="zh-CN"/>
        </w:rPr>
        <w:t>图</w:t>
      </w:r>
      <w:r>
        <w:rPr>
          <w:rFonts w:hint="eastAsia" w:cs="Times New Roman"/>
          <w:b/>
          <w:bCs/>
          <w:color w:val="000000"/>
          <w:sz w:val="21"/>
          <w:szCs w:val="21"/>
          <w:lang w:val="en-US" w:eastAsia="zh-CN"/>
        </w:rPr>
        <w:t>5.2-1   仁化气象站累年各季风向玫瑰图（统计年限：1996-2015年）</w:t>
      </w:r>
    </w:p>
    <w:p>
      <w:pPr>
        <w:pStyle w:val="6"/>
        <w:rPr>
          <w:rFonts w:hint="eastAsia"/>
        </w:rPr>
      </w:pPr>
      <w:r>
        <w:rPr>
          <w:rFonts w:hint="eastAsia"/>
          <w:lang w:eastAsia="zh-CN"/>
        </w:rPr>
        <w:t xml:space="preserve">预测结果  </w:t>
      </w:r>
    </w:p>
    <w:p>
      <w:pPr>
        <w:pStyle w:val="9"/>
        <w:rPr>
          <w:rFonts w:hint="eastAsia"/>
          <w:lang w:val="en-US" w:eastAsia="zh-CN"/>
        </w:rPr>
      </w:pPr>
      <w:r>
        <w:rPr>
          <w:rFonts w:hint="eastAsia"/>
          <w:lang w:val="en-US" w:eastAsia="zh-CN"/>
        </w:rPr>
        <w:t>项目使用估算模式软件AERSCREEN计算评价等级，每个污染源排放的污染物占标率及最大值出现的距离见下表。</w:t>
      </w:r>
    </w:p>
    <w:p>
      <w:pPr>
        <w:pStyle w:val="9"/>
        <w:ind w:left="0" w:leftChars="0" w:firstLine="0" w:firstLineChars="0"/>
        <w:jc w:val="center"/>
      </w:pPr>
      <w:r>
        <w:drawing>
          <wp:inline distT="0" distB="0" distL="114300" distR="114300">
            <wp:extent cx="5272405" cy="4601210"/>
            <wp:effectExtent l="0" t="0" r="4445" b="8890"/>
            <wp:docPr id="14"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2"/>
                    <pic:cNvPicPr>
                      <a:picLocks noChangeAspect="1"/>
                    </pic:cNvPicPr>
                  </pic:nvPicPr>
                  <pic:blipFill>
                    <a:blip r:embed="rId87"/>
                    <a:stretch>
                      <a:fillRect/>
                    </a:stretch>
                  </pic:blipFill>
                  <pic:spPr>
                    <a:xfrm>
                      <a:off x="0" y="0"/>
                      <a:ext cx="5272405" cy="4601210"/>
                    </a:xfrm>
                    <a:prstGeom prst="rect">
                      <a:avLst/>
                    </a:prstGeom>
                    <a:noFill/>
                    <a:ln>
                      <a:noFill/>
                    </a:ln>
                  </pic:spPr>
                </pic:pic>
              </a:graphicData>
            </a:graphic>
          </wp:inline>
        </w:drawing>
      </w:r>
    </w:p>
    <w:p>
      <w:pPr>
        <w:pStyle w:val="9"/>
        <w:ind w:left="0" w:leftChars="0" w:firstLine="0" w:firstLineChars="0"/>
        <w:jc w:val="center"/>
        <w:rPr>
          <w:rFonts w:hint="default"/>
          <w:lang w:val="en-US" w:eastAsia="zh-CN"/>
        </w:rPr>
      </w:pPr>
      <w:r>
        <w:rPr>
          <w:rFonts w:hint="eastAsia" w:cs="Times New Roman"/>
          <w:b/>
          <w:bCs/>
          <w:color w:val="000000"/>
          <w:sz w:val="21"/>
          <w:szCs w:val="21"/>
          <w:lang w:eastAsia="zh-CN"/>
        </w:rPr>
        <w:t>图</w:t>
      </w:r>
      <w:r>
        <w:rPr>
          <w:rFonts w:hint="eastAsia" w:cs="Times New Roman"/>
          <w:b/>
          <w:bCs/>
          <w:color w:val="000000"/>
          <w:sz w:val="21"/>
          <w:szCs w:val="21"/>
          <w:lang w:val="en-US" w:eastAsia="zh-CN"/>
        </w:rPr>
        <w:t>5.2-2  AERSCREEN估算模型参数截图</w:t>
      </w:r>
    </w:p>
    <w:p>
      <w:pPr>
        <w:pStyle w:val="9"/>
        <w:ind w:left="0" w:leftChars="0" w:firstLine="0" w:firstLineChars="0"/>
        <w:rPr>
          <w:rFonts w:hint="eastAsia"/>
          <w:lang w:val="en-US" w:eastAsia="zh-CN"/>
        </w:rPr>
      </w:pPr>
      <w:r>
        <w:drawing>
          <wp:inline distT="0" distB="0" distL="114300" distR="114300">
            <wp:extent cx="6147435" cy="3933825"/>
            <wp:effectExtent l="0" t="0" r="9525" b="13335"/>
            <wp:docPr id="1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0"/>
                    <pic:cNvPicPr>
                      <a:picLocks noChangeAspect="1"/>
                    </pic:cNvPicPr>
                  </pic:nvPicPr>
                  <pic:blipFill>
                    <a:blip r:embed="rId88"/>
                    <a:stretch>
                      <a:fillRect/>
                    </a:stretch>
                  </pic:blipFill>
                  <pic:spPr>
                    <a:xfrm>
                      <a:off x="0" y="0"/>
                      <a:ext cx="6147435" cy="3933825"/>
                    </a:xfrm>
                    <a:prstGeom prst="rect">
                      <a:avLst/>
                    </a:prstGeom>
                    <a:noFill/>
                    <a:ln>
                      <a:noFill/>
                    </a:ln>
                  </pic:spPr>
                </pic:pic>
              </a:graphicData>
            </a:graphic>
          </wp:inline>
        </w:drawing>
      </w:r>
    </w:p>
    <w:p>
      <w:pPr>
        <w:pStyle w:val="9"/>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b/>
          <w:bCs/>
          <w:color w:val="auto"/>
          <w:sz w:val="21"/>
          <w:szCs w:val="21"/>
          <w:lang w:eastAsia="zh-CN"/>
        </w:rPr>
        <w:t>图</w:t>
      </w:r>
      <w:r>
        <w:rPr>
          <w:rFonts w:hint="default" w:ascii="Times New Roman" w:hAnsi="Times New Roman" w:eastAsia="宋体" w:cs="Times New Roman"/>
          <w:b/>
          <w:bCs/>
          <w:color w:val="auto"/>
          <w:sz w:val="21"/>
          <w:szCs w:val="21"/>
          <w:lang w:val="en-US" w:eastAsia="zh-CN"/>
        </w:rPr>
        <w:t>5.2-3  AERSCREEN估算计算结果截图</w:t>
      </w:r>
    </w:p>
    <w:p>
      <w:pPr>
        <w:pStyle w:val="864"/>
        <w:spacing w:line="240" w:lineRule="auto"/>
        <w:ind w:firstLine="0" w:firstLineChars="0"/>
        <w:jc w:val="center"/>
        <w:rPr>
          <w:rFonts w:hint="eastAsia" w:ascii="Times New Roman" w:hAnsi="Times New Roman"/>
          <w:b/>
          <w:sz w:val="21"/>
          <w:szCs w:val="21"/>
        </w:rPr>
      </w:pPr>
      <w:r>
        <w:rPr>
          <w:rFonts w:hint="eastAsia" w:ascii="Times New Roman" w:hAnsi="Times New Roman"/>
          <w:b/>
          <w:sz w:val="21"/>
          <w:szCs w:val="21"/>
        </w:rPr>
        <w:t>表</w:t>
      </w:r>
      <w:r>
        <w:rPr>
          <w:rFonts w:hint="eastAsia" w:ascii="Times New Roman" w:hAnsi="Times New Roman"/>
          <w:b/>
          <w:sz w:val="21"/>
          <w:szCs w:val="21"/>
          <w:lang w:val="en-US" w:eastAsia="zh-CN"/>
        </w:rPr>
        <w:t xml:space="preserve">5.2-4 </w:t>
      </w:r>
      <w:r>
        <w:rPr>
          <w:rFonts w:hint="eastAsia" w:ascii="Times New Roman" w:hAnsi="Times New Roman"/>
          <w:b/>
          <w:sz w:val="21"/>
          <w:szCs w:val="21"/>
        </w:rPr>
        <w:t xml:space="preserve"> </w:t>
      </w:r>
      <w:r>
        <w:rPr>
          <w:rFonts w:hint="eastAsia" w:ascii="Times New Roman" w:hAnsi="Times New Roman"/>
          <w:b/>
          <w:sz w:val="21"/>
          <w:szCs w:val="21"/>
          <w:lang w:val="en-US" w:eastAsia="zh-CN"/>
        </w:rPr>
        <w:t>异位发酵床</w:t>
      </w:r>
      <w:r>
        <w:rPr>
          <w:rFonts w:hint="eastAsia" w:ascii="Times New Roman" w:hAnsi="Times New Roman"/>
          <w:b/>
          <w:sz w:val="21"/>
          <w:szCs w:val="21"/>
          <w:lang w:eastAsia="zh-CN"/>
        </w:rPr>
        <w:t>无组织废气正常工况</w:t>
      </w:r>
      <w:r>
        <w:rPr>
          <w:rFonts w:hint="eastAsia" w:ascii="Times New Roman" w:hAnsi="Times New Roman"/>
          <w:b/>
          <w:sz w:val="21"/>
          <w:szCs w:val="21"/>
        </w:rPr>
        <w:t>估算模式计算结果表</w:t>
      </w:r>
    </w:p>
    <w:tbl>
      <w:tblPr>
        <w:tblStyle w:val="64"/>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26"/>
        <w:gridCol w:w="1958"/>
        <w:gridCol w:w="1474"/>
        <w:gridCol w:w="1777"/>
        <w:gridCol w:w="14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vMerge w:val="restart"/>
            <w:tcBorders>
              <w:top w:val="single" w:color="auto" w:sz="12" w:space="0"/>
              <w:lef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下风向距离</w:t>
            </w:r>
          </w:p>
        </w:tc>
        <w:tc>
          <w:tcPr>
            <w:tcW w:w="1732" w:type="pct"/>
            <w:gridSpan w:val="2"/>
            <w:tcBorders>
              <w:top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NH</w:t>
            </w:r>
            <w:r>
              <w:rPr>
                <w:rFonts w:hint="default" w:ascii="Times New Roman" w:hAnsi="Times New Roman" w:eastAsia="宋体" w:cs="Times New Roman"/>
                <w:b w:val="0"/>
                <w:bCs/>
                <w:sz w:val="21"/>
                <w:szCs w:val="21"/>
                <w:vertAlign w:val="subscript"/>
                <w:lang w:val="en-US" w:eastAsia="zh-CN"/>
              </w:rPr>
              <w:t>3</w:t>
            </w:r>
          </w:p>
        </w:tc>
        <w:tc>
          <w:tcPr>
            <w:tcW w:w="1638" w:type="pct"/>
            <w:gridSpan w:val="2"/>
            <w:tcBorders>
              <w:top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H</w:t>
            </w:r>
            <w:r>
              <w:rPr>
                <w:rFonts w:hint="default" w:ascii="Times New Roman" w:hAnsi="Times New Roman" w:eastAsia="宋体" w:cs="Times New Roman"/>
                <w:b w:val="0"/>
                <w:bCs/>
                <w:sz w:val="21"/>
                <w:szCs w:val="21"/>
                <w:vertAlign w:val="subscript"/>
                <w:lang w:val="en-US" w:eastAsia="zh-CN"/>
              </w:rPr>
              <w:t>2</w:t>
            </w:r>
            <w:r>
              <w:rPr>
                <w:rFonts w:hint="default" w:ascii="Times New Roman" w:hAnsi="Times New Roman" w:eastAsia="宋体" w:cs="Times New Roman"/>
                <w:b w:val="0"/>
                <w:bCs/>
                <w:sz w:val="21"/>
                <w:szCs w:val="21"/>
                <w:vertAlign w:val="baseline"/>
                <w:lang w:val="en-US" w:eastAsia="zh-CN"/>
              </w:rPr>
              <w: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vMerge w:val="continue"/>
            <w:tcBorders>
              <w:left w:val="nil"/>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p>
        </w:tc>
        <w:tc>
          <w:tcPr>
            <w:tcW w:w="988" w:type="pct"/>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vertAlign w:val="baseline"/>
                <w:lang w:eastAsia="zh-CN"/>
              </w:rPr>
              <w:t>预测质量浓度</w:t>
            </w:r>
            <w:r>
              <w:rPr>
                <w:rFonts w:hint="default" w:ascii="Times New Roman" w:hAnsi="Times New Roman" w:eastAsia="宋体" w:cs="Times New Roman"/>
                <w:b w:val="0"/>
                <w:bCs/>
                <w:sz w:val="21"/>
                <w:szCs w:val="21"/>
                <w:vertAlign w:val="baseline"/>
                <w:lang w:val="en-US" w:eastAsia="zh-CN"/>
              </w:rPr>
              <w:t>/（μg/m</w:t>
            </w:r>
            <w:r>
              <w:rPr>
                <w:rFonts w:hint="default" w:ascii="Times New Roman" w:hAnsi="Times New Roman" w:eastAsia="宋体" w:cs="Times New Roman"/>
                <w:b w:val="0"/>
                <w:bCs/>
                <w:sz w:val="21"/>
                <w:szCs w:val="21"/>
                <w:vertAlign w:val="superscript"/>
                <w:lang w:val="en-US" w:eastAsia="zh-CN"/>
              </w:rPr>
              <w:t>3</w:t>
            </w:r>
            <w:r>
              <w:rPr>
                <w:rFonts w:hint="default" w:ascii="Times New Roman" w:hAnsi="Times New Roman" w:eastAsia="宋体" w:cs="Times New Roman"/>
                <w:b w:val="0"/>
                <w:bCs/>
                <w:sz w:val="21"/>
                <w:szCs w:val="21"/>
                <w:vertAlign w:val="baseline"/>
                <w:lang w:val="en-US" w:eastAsia="zh-CN"/>
              </w:rPr>
              <w:t>）</w:t>
            </w:r>
          </w:p>
        </w:tc>
        <w:tc>
          <w:tcPr>
            <w:tcW w:w="744" w:type="pct"/>
            <w:tcBorders>
              <w:bottom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vertAlign w:val="baseline"/>
                <w:lang w:eastAsia="zh-CN"/>
              </w:rPr>
              <w:t>占标率</w:t>
            </w:r>
            <w:r>
              <w:rPr>
                <w:rFonts w:hint="default" w:ascii="Times New Roman" w:hAnsi="Times New Roman" w:eastAsia="宋体" w:cs="Times New Roman"/>
                <w:b w:val="0"/>
                <w:bCs/>
                <w:sz w:val="21"/>
                <w:szCs w:val="21"/>
                <w:vertAlign w:val="baseline"/>
                <w:lang w:val="en-US" w:eastAsia="zh-CN"/>
              </w:rPr>
              <w:t>/%</w:t>
            </w:r>
          </w:p>
        </w:tc>
        <w:tc>
          <w:tcPr>
            <w:tcW w:w="897" w:type="pct"/>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预测质量浓度</w:t>
            </w:r>
            <w:r>
              <w:rPr>
                <w:rFonts w:hint="default" w:ascii="Times New Roman" w:hAnsi="Times New Roman" w:eastAsia="宋体" w:cs="Times New Roman"/>
                <w:b w:val="0"/>
                <w:bCs/>
                <w:sz w:val="21"/>
                <w:szCs w:val="21"/>
                <w:vertAlign w:val="baseline"/>
                <w:lang w:val="en-US" w:eastAsia="zh-CN"/>
              </w:rPr>
              <w:t>/（μg/m</w:t>
            </w:r>
            <w:r>
              <w:rPr>
                <w:rFonts w:hint="default" w:ascii="Times New Roman" w:hAnsi="Times New Roman" w:eastAsia="宋体" w:cs="Times New Roman"/>
                <w:b w:val="0"/>
                <w:bCs/>
                <w:sz w:val="21"/>
                <w:szCs w:val="21"/>
                <w:vertAlign w:val="superscript"/>
                <w:lang w:val="en-US" w:eastAsia="zh-CN"/>
              </w:rPr>
              <w:t>3</w:t>
            </w:r>
            <w:r>
              <w:rPr>
                <w:rFonts w:hint="default" w:ascii="Times New Roman" w:hAnsi="Times New Roman" w:eastAsia="宋体" w:cs="Times New Roman"/>
                <w:b w:val="0"/>
                <w:bCs/>
                <w:sz w:val="21"/>
                <w:szCs w:val="21"/>
                <w:vertAlign w:val="baseline"/>
                <w:lang w:val="en-US" w:eastAsia="zh-CN"/>
              </w:rPr>
              <w:t>）</w:t>
            </w:r>
          </w:p>
        </w:tc>
        <w:tc>
          <w:tcPr>
            <w:tcW w:w="741" w:type="pct"/>
            <w:tcBorders>
              <w:bottom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占标率</w:t>
            </w:r>
            <w:r>
              <w:rPr>
                <w:rFonts w:hint="default" w:ascii="Times New Roman" w:hAnsi="Times New Roman" w:eastAsia="宋体" w:cs="Times New Roman"/>
                <w:b w:val="0"/>
                <w:bCs/>
                <w:sz w:val="21"/>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top w:val="single" w:color="auto" w:sz="12" w:space="0"/>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rPr>
              <w:t>50.0</w:t>
            </w:r>
          </w:p>
        </w:tc>
        <w:tc>
          <w:tcPr>
            <w:tcW w:w="988" w:type="pct"/>
            <w:tcBorders>
              <w:top w:val="single" w:color="auto" w:sz="12"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12.2750</w:t>
            </w:r>
          </w:p>
        </w:tc>
        <w:tc>
          <w:tcPr>
            <w:tcW w:w="744" w:type="pct"/>
            <w:tcBorders>
              <w:top w:val="single" w:color="auto" w:sz="12"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6.1375</w:t>
            </w:r>
          </w:p>
        </w:tc>
        <w:tc>
          <w:tcPr>
            <w:tcW w:w="897" w:type="pct"/>
            <w:tcBorders>
              <w:top w:val="single" w:color="auto" w:sz="12"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0.6138</w:t>
            </w:r>
          </w:p>
        </w:tc>
        <w:tc>
          <w:tcPr>
            <w:tcW w:w="741" w:type="pct"/>
            <w:tcBorders>
              <w:top w:val="single" w:color="auto" w:sz="12" w:space="0"/>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6.1375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7.8292</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3.9146</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0.3915</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3.9146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i w:val="0"/>
                <w:color w:val="000000"/>
                <w:kern w:val="0"/>
                <w:sz w:val="21"/>
                <w:szCs w:val="21"/>
                <w:u w:val="none"/>
                <w:lang w:val="en-US" w:eastAsia="zh-CN" w:bidi="ar"/>
              </w:rPr>
            </w:pPr>
            <w:r>
              <w:rPr>
                <w:rFonts w:hint="default" w:ascii="Times New Roman" w:hAnsi="Times New Roman" w:eastAsia="宋体" w:cs="Times New Roman"/>
                <w:b w:val="0"/>
                <w:sz w:val="21"/>
                <w:szCs w:val="21"/>
              </w:rPr>
              <w:t>200.0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4.8070</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2.4035</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0.2404</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2.4035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3.5627</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1.7813</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0.1781</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1.7813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400.0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2.8635</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1.4318</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0.1432</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1.4318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500.0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2.4127</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1.2064</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0.1206</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1.2064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600.0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2.0819</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1.0410</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0.1041</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1.0410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700.0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1.8390</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0.9195</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0.0920</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0.9195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800.0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1.6602</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0.8301</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0.0830</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0.8301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900.0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1.5155</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0.7578</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0.0758</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0.7578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1000.0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1.3956</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0.6978</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0.0698</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0.6978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1200.0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1.2080</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0.6040</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0.0604</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0.6040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1400.0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1.0687</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0.5343</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0.0534</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0.5343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1600.0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0.9616</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0.4808</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0.0481</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0.4808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1800.0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0.8760</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0.4380</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0.0438</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0.4380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2000.0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0.8057</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0.4029</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0.0403</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0.4029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2500.0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0.6727</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0.3364</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0.0336</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0.3364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3000.0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0.5784</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0.2892</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0.0289</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0.2892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3500.0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0.5075</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0.2538</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0.0254</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0.2538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4000.0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0.4521</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0.2261</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0.0226</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0.2261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4500.0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0.4076</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0.2038</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0.0204</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0.2038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5000.0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0.3709</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0.1855</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0.0185</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0.1855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10000.0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0.1921</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0.0961</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0.0096</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0.0961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11000.0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0.1746</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0.0873</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0.0087</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0.0873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12000.0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0.1599</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0.0800</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0.0080</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0.0800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13000.0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0.1474</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0.0737</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0.0074</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0.0737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14000.0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0.1365</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0.0683</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0.0068</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0.0683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15000.0</w:t>
            </w:r>
          </w:p>
        </w:tc>
        <w:tc>
          <w:tcPr>
            <w:tcW w:w="988"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0.1270</w:t>
            </w:r>
          </w:p>
        </w:tc>
        <w:tc>
          <w:tcPr>
            <w:tcW w:w="744"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0.0635</w:t>
            </w:r>
          </w:p>
        </w:tc>
        <w:tc>
          <w:tcPr>
            <w:tcW w:w="897" w:type="pct"/>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0.0064</w:t>
            </w:r>
          </w:p>
        </w:tc>
        <w:tc>
          <w:tcPr>
            <w:tcW w:w="741" w:type="pct"/>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0.0635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20000.0</w:t>
            </w:r>
          </w:p>
        </w:tc>
        <w:tc>
          <w:tcPr>
            <w:tcW w:w="988" w:type="pct"/>
            <w:tcBorders>
              <w:left w:val="single" w:color="auto" w:sz="4" w:space="0"/>
              <w:bottom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0.0937</w:t>
            </w:r>
          </w:p>
        </w:tc>
        <w:tc>
          <w:tcPr>
            <w:tcW w:w="744" w:type="pct"/>
            <w:tcBorders>
              <w:left w:val="single" w:color="auto" w:sz="4" w:space="0"/>
              <w:bottom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0.0468</w:t>
            </w:r>
          </w:p>
        </w:tc>
        <w:tc>
          <w:tcPr>
            <w:tcW w:w="897" w:type="pct"/>
            <w:tcBorders>
              <w:left w:val="single" w:color="auto" w:sz="4" w:space="0"/>
              <w:bottom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0.0047</w:t>
            </w:r>
          </w:p>
        </w:tc>
        <w:tc>
          <w:tcPr>
            <w:tcW w:w="741" w:type="pct"/>
            <w:tcBorders>
              <w:left w:val="single" w:color="auto" w:sz="4" w:space="0"/>
              <w:bottom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0.0468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top w:val="single" w:color="auto" w:sz="4" w:space="0"/>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25000.0</w:t>
            </w:r>
          </w:p>
        </w:tc>
        <w:tc>
          <w:tcPr>
            <w:tcW w:w="988" w:type="pct"/>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0.0735</w:t>
            </w:r>
          </w:p>
        </w:tc>
        <w:tc>
          <w:tcPr>
            <w:tcW w:w="744" w:type="pct"/>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0.0368</w:t>
            </w:r>
          </w:p>
        </w:tc>
        <w:tc>
          <w:tcPr>
            <w:tcW w:w="897" w:type="pct"/>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0.0037</w:t>
            </w:r>
          </w:p>
        </w:tc>
        <w:tc>
          <w:tcPr>
            <w:tcW w:w="741" w:type="pct"/>
            <w:tcBorders>
              <w:top w:val="single" w:color="auto" w:sz="4" w:space="0"/>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0.0368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top w:val="single" w:color="auto" w:sz="4" w:space="0"/>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下风向最大浓度</w:t>
            </w:r>
          </w:p>
        </w:tc>
        <w:tc>
          <w:tcPr>
            <w:tcW w:w="988" w:type="pct"/>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16.5040</w:t>
            </w:r>
          </w:p>
        </w:tc>
        <w:tc>
          <w:tcPr>
            <w:tcW w:w="744" w:type="pct"/>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8.2520</w:t>
            </w:r>
          </w:p>
        </w:tc>
        <w:tc>
          <w:tcPr>
            <w:tcW w:w="897" w:type="pct"/>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0.8252</w:t>
            </w:r>
          </w:p>
        </w:tc>
        <w:tc>
          <w:tcPr>
            <w:tcW w:w="741" w:type="pct"/>
            <w:tcBorders>
              <w:top w:val="single" w:color="auto" w:sz="4" w:space="0"/>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8.2520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snapToGrid/>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下风向最大浓度出现距离</w:t>
            </w:r>
          </w:p>
        </w:tc>
        <w:tc>
          <w:tcPr>
            <w:tcW w:w="1732" w:type="pct"/>
            <w:gridSpan w:val="2"/>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26</w:t>
            </w:r>
          </w:p>
        </w:tc>
        <w:tc>
          <w:tcPr>
            <w:tcW w:w="1638" w:type="pct"/>
            <w:gridSpan w:val="2"/>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lang w:val="en-US" w:eastAsia="zh-CN"/>
              </w:rPr>
            </w:pPr>
            <w:r>
              <w:rPr>
                <w:rFonts w:hint="default" w:ascii="Times New Roman" w:hAnsi="Times New Roman" w:eastAsia="宋体" w:cs="Times New Roman"/>
                <w:b w:val="0"/>
                <w:sz w:val="21"/>
                <w:szCs w:val="21"/>
                <w:lang w:val="en-US" w:eastAsia="zh-CN"/>
              </w:rPr>
              <w:t>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bottom w:val="single" w:color="auto" w:sz="12"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D10%最远距离</w:t>
            </w:r>
          </w:p>
        </w:tc>
        <w:tc>
          <w:tcPr>
            <w:tcW w:w="988" w:type="pct"/>
            <w:tcBorders>
              <w:left w:val="single" w:color="auto" w:sz="4" w:space="0"/>
              <w:bottom w:val="single" w:color="auto" w:sz="12"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w:t>
            </w:r>
          </w:p>
        </w:tc>
        <w:tc>
          <w:tcPr>
            <w:tcW w:w="744" w:type="pct"/>
            <w:tcBorders>
              <w:left w:val="single" w:color="auto" w:sz="4" w:space="0"/>
              <w:bottom w:val="single" w:color="auto" w:sz="12"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w:t>
            </w:r>
          </w:p>
        </w:tc>
        <w:tc>
          <w:tcPr>
            <w:tcW w:w="897" w:type="pct"/>
            <w:tcBorders>
              <w:left w:val="single" w:color="auto" w:sz="4" w:space="0"/>
              <w:bottom w:val="single" w:color="auto" w:sz="12"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w:t>
            </w:r>
          </w:p>
        </w:tc>
        <w:tc>
          <w:tcPr>
            <w:tcW w:w="741" w:type="pct"/>
            <w:tcBorders>
              <w:left w:val="single" w:color="auto" w:sz="4" w:space="0"/>
              <w:bottom w:val="single" w:color="auto" w:sz="12"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w:t>
            </w:r>
          </w:p>
        </w:tc>
      </w:tr>
    </w:tbl>
    <w:p>
      <w:pPr>
        <w:pStyle w:val="864"/>
        <w:spacing w:line="240" w:lineRule="auto"/>
        <w:ind w:firstLine="0" w:firstLineChars="0"/>
        <w:jc w:val="center"/>
        <w:rPr>
          <w:rFonts w:hint="eastAsia" w:ascii="Times New Roman" w:hAnsi="Times New Roman"/>
          <w:b/>
          <w:sz w:val="21"/>
          <w:szCs w:val="21"/>
        </w:rPr>
      </w:pPr>
      <w:r>
        <w:rPr>
          <w:rFonts w:hint="eastAsia" w:ascii="Times New Roman" w:hAnsi="Times New Roman"/>
          <w:b/>
          <w:sz w:val="21"/>
          <w:szCs w:val="21"/>
        </w:rPr>
        <w:t>表</w:t>
      </w:r>
      <w:r>
        <w:rPr>
          <w:rFonts w:hint="eastAsia" w:ascii="Times New Roman" w:hAnsi="Times New Roman"/>
          <w:b/>
          <w:sz w:val="21"/>
          <w:szCs w:val="21"/>
          <w:lang w:val="en-US" w:eastAsia="zh-CN"/>
        </w:rPr>
        <w:t xml:space="preserve">5.2-5 </w:t>
      </w:r>
      <w:r>
        <w:rPr>
          <w:rFonts w:hint="eastAsia" w:ascii="Times New Roman" w:hAnsi="Times New Roman"/>
          <w:b/>
          <w:sz w:val="21"/>
          <w:szCs w:val="21"/>
        </w:rPr>
        <w:t xml:space="preserve"> </w:t>
      </w:r>
      <w:r>
        <w:rPr>
          <w:rFonts w:hint="eastAsia" w:ascii="Times New Roman" w:hAnsi="Times New Roman"/>
          <w:b/>
          <w:sz w:val="21"/>
          <w:szCs w:val="21"/>
          <w:lang w:val="en-US" w:eastAsia="zh-CN"/>
        </w:rPr>
        <w:t>猪舍</w:t>
      </w:r>
      <w:r>
        <w:rPr>
          <w:rFonts w:hint="eastAsia" w:ascii="Times New Roman" w:hAnsi="Times New Roman"/>
          <w:b/>
          <w:sz w:val="21"/>
          <w:szCs w:val="21"/>
          <w:lang w:eastAsia="zh-CN"/>
        </w:rPr>
        <w:t>无组织</w:t>
      </w:r>
      <w:r>
        <w:rPr>
          <w:rFonts w:hint="eastAsia" w:ascii="Times New Roman" w:hAnsi="Times New Roman"/>
          <w:b/>
          <w:sz w:val="21"/>
          <w:szCs w:val="21"/>
          <w:lang w:val="en-US" w:eastAsia="zh-CN"/>
        </w:rPr>
        <w:t>恶臭</w:t>
      </w:r>
      <w:r>
        <w:rPr>
          <w:rFonts w:hint="eastAsia" w:ascii="Times New Roman" w:hAnsi="Times New Roman"/>
          <w:b/>
          <w:sz w:val="21"/>
          <w:szCs w:val="21"/>
          <w:lang w:eastAsia="zh-CN"/>
        </w:rPr>
        <w:t>正常工况</w:t>
      </w:r>
      <w:r>
        <w:rPr>
          <w:rFonts w:hint="eastAsia" w:ascii="Times New Roman" w:hAnsi="Times New Roman"/>
          <w:b/>
          <w:sz w:val="21"/>
          <w:szCs w:val="21"/>
        </w:rPr>
        <w:t>估算模式计算结果表</w:t>
      </w:r>
    </w:p>
    <w:tbl>
      <w:tblPr>
        <w:tblStyle w:val="64"/>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26"/>
        <w:gridCol w:w="1958"/>
        <w:gridCol w:w="1474"/>
        <w:gridCol w:w="1777"/>
        <w:gridCol w:w="14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vMerge w:val="restart"/>
            <w:tcBorders>
              <w:top w:val="single" w:color="auto" w:sz="12" w:space="0"/>
              <w:lef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下风向距离</w:t>
            </w:r>
          </w:p>
        </w:tc>
        <w:tc>
          <w:tcPr>
            <w:tcW w:w="1732" w:type="pct"/>
            <w:gridSpan w:val="2"/>
            <w:tcBorders>
              <w:top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NH</w:t>
            </w:r>
            <w:r>
              <w:rPr>
                <w:rFonts w:hint="default" w:ascii="Times New Roman" w:hAnsi="Times New Roman" w:eastAsia="宋体" w:cs="Times New Roman"/>
                <w:b w:val="0"/>
                <w:bCs/>
                <w:sz w:val="21"/>
                <w:szCs w:val="21"/>
                <w:vertAlign w:val="subscript"/>
                <w:lang w:val="en-US" w:eastAsia="zh-CN"/>
              </w:rPr>
              <w:t>3</w:t>
            </w:r>
          </w:p>
        </w:tc>
        <w:tc>
          <w:tcPr>
            <w:tcW w:w="1638" w:type="pct"/>
            <w:gridSpan w:val="2"/>
            <w:tcBorders>
              <w:top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H</w:t>
            </w:r>
            <w:r>
              <w:rPr>
                <w:rFonts w:hint="default" w:ascii="Times New Roman" w:hAnsi="Times New Roman" w:eastAsia="宋体" w:cs="Times New Roman"/>
                <w:b w:val="0"/>
                <w:bCs/>
                <w:sz w:val="21"/>
                <w:szCs w:val="21"/>
                <w:vertAlign w:val="subscript"/>
                <w:lang w:val="en-US" w:eastAsia="zh-CN"/>
              </w:rPr>
              <w:t>2</w:t>
            </w:r>
            <w:r>
              <w:rPr>
                <w:rFonts w:hint="default" w:ascii="Times New Roman" w:hAnsi="Times New Roman" w:eastAsia="宋体" w:cs="Times New Roman"/>
                <w:b w:val="0"/>
                <w:bCs/>
                <w:sz w:val="21"/>
                <w:szCs w:val="21"/>
                <w:vertAlign w:val="baseline"/>
                <w:lang w:val="en-US" w:eastAsia="zh-CN"/>
              </w:rPr>
              <w: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vMerge w:val="continue"/>
            <w:tcBorders>
              <w:left w:val="nil"/>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p>
        </w:tc>
        <w:tc>
          <w:tcPr>
            <w:tcW w:w="988" w:type="pct"/>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vertAlign w:val="baseline"/>
                <w:lang w:eastAsia="zh-CN"/>
              </w:rPr>
              <w:t>预测质量浓度</w:t>
            </w:r>
            <w:r>
              <w:rPr>
                <w:rFonts w:hint="default" w:ascii="Times New Roman" w:hAnsi="Times New Roman" w:eastAsia="宋体" w:cs="Times New Roman"/>
                <w:b w:val="0"/>
                <w:bCs/>
                <w:sz w:val="21"/>
                <w:szCs w:val="21"/>
                <w:vertAlign w:val="baseline"/>
                <w:lang w:val="en-US" w:eastAsia="zh-CN"/>
              </w:rPr>
              <w:t>/（μg/m</w:t>
            </w:r>
            <w:r>
              <w:rPr>
                <w:rFonts w:hint="default" w:ascii="Times New Roman" w:hAnsi="Times New Roman" w:eastAsia="宋体" w:cs="Times New Roman"/>
                <w:b w:val="0"/>
                <w:bCs/>
                <w:sz w:val="21"/>
                <w:szCs w:val="21"/>
                <w:vertAlign w:val="superscript"/>
                <w:lang w:val="en-US" w:eastAsia="zh-CN"/>
              </w:rPr>
              <w:t>3</w:t>
            </w:r>
            <w:r>
              <w:rPr>
                <w:rFonts w:hint="default" w:ascii="Times New Roman" w:hAnsi="Times New Roman" w:eastAsia="宋体" w:cs="Times New Roman"/>
                <w:b w:val="0"/>
                <w:bCs/>
                <w:sz w:val="21"/>
                <w:szCs w:val="21"/>
                <w:vertAlign w:val="baseline"/>
                <w:lang w:val="en-US" w:eastAsia="zh-CN"/>
              </w:rPr>
              <w:t>）</w:t>
            </w:r>
          </w:p>
        </w:tc>
        <w:tc>
          <w:tcPr>
            <w:tcW w:w="744" w:type="pct"/>
            <w:tcBorders>
              <w:bottom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vertAlign w:val="baseline"/>
                <w:lang w:eastAsia="zh-CN"/>
              </w:rPr>
              <w:t>占标率</w:t>
            </w:r>
            <w:r>
              <w:rPr>
                <w:rFonts w:hint="default" w:ascii="Times New Roman" w:hAnsi="Times New Roman" w:eastAsia="宋体" w:cs="Times New Roman"/>
                <w:b w:val="0"/>
                <w:bCs/>
                <w:sz w:val="21"/>
                <w:szCs w:val="21"/>
                <w:vertAlign w:val="baseline"/>
                <w:lang w:val="en-US" w:eastAsia="zh-CN"/>
              </w:rPr>
              <w:t>/%</w:t>
            </w:r>
          </w:p>
        </w:tc>
        <w:tc>
          <w:tcPr>
            <w:tcW w:w="897" w:type="pct"/>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预测质量浓度</w:t>
            </w:r>
            <w:r>
              <w:rPr>
                <w:rFonts w:hint="default" w:ascii="Times New Roman" w:hAnsi="Times New Roman" w:eastAsia="宋体" w:cs="Times New Roman"/>
                <w:b w:val="0"/>
                <w:bCs/>
                <w:sz w:val="21"/>
                <w:szCs w:val="21"/>
                <w:vertAlign w:val="baseline"/>
                <w:lang w:val="en-US" w:eastAsia="zh-CN"/>
              </w:rPr>
              <w:t>/（μg/m</w:t>
            </w:r>
            <w:r>
              <w:rPr>
                <w:rFonts w:hint="default" w:ascii="Times New Roman" w:hAnsi="Times New Roman" w:eastAsia="宋体" w:cs="Times New Roman"/>
                <w:b w:val="0"/>
                <w:bCs/>
                <w:sz w:val="21"/>
                <w:szCs w:val="21"/>
                <w:vertAlign w:val="superscript"/>
                <w:lang w:val="en-US" w:eastAsia="zh-CN"/>
              </w:rPr>
              <w:t>3</w:t>
            </w:r>
            <w:r>
              <w:rPr>
                <w:rFonts w:hint="default" w:ascii="Times New Roman" w:hAnsi="Times New Roman" w:eastAsia="宋体" w:cs="Times New Roman"/>
                <w:b w:val="0"/>
                <w:bCs/>
                <w:sz w:val="21"/>
                <w:szCs w:val="21"/>
                <w:vertAlign w:val="baseline"/>
                <w:lang w:val="en-US" w:eastAsia="zh-CN"/>
              </w:rPr>
              <w:t>）</w:t>
            </w:r>
          </w:p>
        </w:tc>
        <w:tc>
          <w:tcPr>
            <w:tcW w:w="741" w:type="pct"/>
            <w:tcBorders>
              <w:bottom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占标率</w:t>
            </w:r>
            <w:r>
              <w:rPr>
                <w:rFonts w:hint="default" w:ascii="Times New Roman" w:hAnsi="Times New Roman" w:eastAsia="宋体" w:cs="Times New Roman"/>
                <w:b w:val="0"/>
                <w:bCs/>
                <w:sz w:val="21"/>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top w:val="single" w:color="auto" w:sz="12" w:space="0"/>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rPr>
              <w:t>50.0</w:t>
            </w:r>
          </w:p>
        </w:tc>
        <w:tc>
          <w:tcPr>
            <w:tcW w:w="1958" w:type="dxa"/>
            <w:tcBorders>
              <w:top w:val="single" w:color="auto" w:sz="12"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7.0308</w:t>
            </w:r>
          </w:p>
        </w:tc>
        <w:tc>
          <w:tcPr>
            <w:tcW w:w="1474" w:type="dxa"/>
            <w:tcBorders>
              <w:top w:val="single" w:color="auto" w:sz="12"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3.5154</w:t>
            </w:r>
          </w:p>
        </w:tc>
        <w:tc>
          <w:tcPr>
            <w:tcW w:w="1777" w:type="dxa"/>
            <w:tcBorders>
              <w:top w:val="single" w:color="auto" w:sz="12"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0.4218</w:t>
            </w:r>
          </w:p>
        </w:tc>
        <w:tc>
          <w:tcPr>
            <w:tcW w:w="1469" w:type="dxa"/>
            <w:tcBorders>
              <w:top w:val="single" w:color="auto" w:sz="12" w:space="0"/>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4.2185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8.6932</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4.3466</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0.5216</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5.2159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i w:val="0"/>
                <w:color w:val="000000"/>
                <w:kern w:val="0"/>
                <w:sz w:val="21"/>
                <w:szCs w:val="21"/>
                <w:u w:val="none"/>
                <w:lang w:val="en-US" w:eastAsia="zh-CN" w:bidi="ar"/>
              </w:rPr>
            </w:pPr>
            <w:r>
              <w:rPr>
                <w:rFonts w:hint="default" w:ascii="Times New Roman" w:hAnsi="Times New Roman" w:eastAsia="宋体" w:cs="Times New Roman"/>
                <w:b w:val="0"/>
                <w:sz w:val="21"/>
                <w:szCs w:val="21"/>
              </w:rPr>
              <w:t>200.0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7.1018</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3.5509</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0.4261</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4.2611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5.7115</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2.8558</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0.3427</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3.4269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400.0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4.7492</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2.3746</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0.2850</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2.8495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500.0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4.0631</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2.0316</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0.2438</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2.4379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600.0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3.5517</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1.7758</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0.2131</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2.1310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700.0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3.1533</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1.5767</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0.1892</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1.8920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800.0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2.8353</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1.4177</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0.1701</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1.7012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900.0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2.6032</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1.3016</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0.1562</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1.5619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2.4090</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1.2045</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0.1445</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1.4454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1200.0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2.1007</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1.0503</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0.1260</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1.2604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1400.0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1.8646</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0.9323</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0.1119</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1.1188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1600.0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1.6808</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0.8404</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0.1008</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1.0085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1800.0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1.5638</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0.7819</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0.0938</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0.9383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1.4384</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0.7192</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0.0863</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0.8630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2500.0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1.2010</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0.6005</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0.0721</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0.7206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1.0325</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0.5162</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0.0619</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0.6195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3500.0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0.9060</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0.4530</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0.0544</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0.5436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4000.0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0.8072</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0.4036</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0.0484</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0.4843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4500.0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0.7277</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0.3638</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0.0437</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0.4366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5000.0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0.6622</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0.3311</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0.0397</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0.3973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10000.0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0.3430</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0.1715</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0.0206</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0.2058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11000.0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0.3118</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0.1559</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0.0187</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0.1871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12000.0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0.2855</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0.1427</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0.0171</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0.1713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13000.0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0.2631</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0.1315</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0.0158</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0.1578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14000.0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0.2437</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0.1218</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0.0146</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0.1462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15000.0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0.2268</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0.1134</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0.0136</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0.1361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20000.0</w:t>
            </w:r>
          </w:p>
        </w:tc>
        <w:tc>
          <w:tcPr>
            <w:tcW w:w="1958" w:type="dxa"/>
            <w:tcBorders>
              <w:left w:val="single" w:color="auto" w:sz="4" w:space="0"/>
              <w:bottom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0.1672</w:t>
            </w:r>
          </w:p>
        </w:tc>
        <w:tc>
          <w:tcPr>
            <w:tcW w:w="1474" w:type="dxa"/>
            <w:tcBorders>
              <w:left w:val="single" w:color="auto" w:sz="4" w:space="0"/>
              <w:bottom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0.0836</w:t>
            </w:r>
          </w:p>
        </w:tc>
        <w:tc>
          <w:tcPr>
            <w:tcW w:w="1777" w:type="dxa"/>
            <w:tcBorders>
              <w:left w:val="single" w:color="auto" w:sz="4" w:space="0"/>
              <w:bottom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0.0100</w:t>
            </w:r>
          </w:p>
        </w:tc>
        <w:tc>
          <w:tcPr>
            <w:tcW w:w="1469" w:type="dxa"/>
            <w:tcBorders>
              <w:left w:val="single" w:color="auto" w:sz="4" w:space="0"/>
              <w:bottom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top w:val="single" w:color="auto" w:sz="4" w:space="0"/>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25000.0</w:t>
            </w:r>
          </w:p>
        </w:tc>
        <w:tc>
          <w:tcPr>
            <w:tcW w:w="1958" w:type="dxa"/>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0.1313</w:t>
            </w:r>
          </w:p>
        </w:tc>
        <w:tc>
          <w:tcPr>
            <w:tcW w:w="1474" w:type="dxa"/>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0.0656</w:t>
            </w:r>
          </w:p>
        </w:tc>
        <w:tc>
          <w:tcPr>
            <w:tcW w:w="1777" w:type="dxa"/>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0.0079</w:t>
            </w:r>
          </w:p>
        </w:tc>
        <w:tc>
          <w:tcPr>
            <w:tcW w:w="1469" w:type="dxa"/>
            <w:tcBorders>
              <w:top w:val="single" w:color="auto" w:sz="4" w:space="0"/>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0.0788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top w:val="single" w:color="auto" w:sz="4" w:space="0"/>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下风向最大浓度</w:t>
            </w:r>
          </w:p>
        </w:tc>
        <w:tc>
          <w:tcPr>
            <w:tcW w:w="1958" w:type="dxa"/>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8.7906</w:t>
            </w:r>
          </w:p>
        </w:tc>
        <w:tc>
          <w:tcPr>
            <w:tcW w:w="1474" w:type="dxa"/>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4.3953</w:t>
            </w:r>
          </w:p>
        </w:tc>
        <w:tc>
          <w:tcPr>
            <w:tcW w:w="1777" w:type="dxa"/>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0.5274</w:t>
            </w:r>
          </w:p>
        </w:tc>
        <w:tc>
          <w:tcPr>
            <w:tcW w:w="1469" w:type="dxa"/>
            <w:tcBorders>
              <w:top w:val="single" w:color="auto" w:sz="4" w:space="0"/>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5.2744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snapToGrid/>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下风向最大浓度出现距离</w:t>
            </w:r>
          </w:p>
        </w:tc>
        <w:tc>
          <w:tcPr>
            <w:tcW w:w="1732" w:type="pct"/>
            <w:gridSpan w:val="2"/>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92</w:t>
            </w:r>
          </w:p>
        </w:tc>
        <w:tc>
          <w:tcPr>
            <w:tcW w:w="1638" w:type="pct"/>
            <w:gridSpan w:val="2"/>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lang w:val="en-US" w:eastAsia="zh-CN"/>
              </w:rPr>
            </w:pPr>
            <w:r>
              <w:rPr>
                <w:rFonts w:hint="default" w:ascii="Times New Roman" w:hAnsi="Times New Roman" w:eastAsia="宋体" w:cs="Times New Roman"/>
                <w:b w:val="0"/>
                <w:sz w:val="21"/>
                <w:szCs w:val="21"/>
                <w:lang w:val="en-US" w:eastAsia="zh-CN"/>
              </w:rPr>
              <w:t>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8" w:type="pct"/>
            <w:tcBorders>
              <w:left w:val="nil"/>
              <w:bottom w:val="single" w:color="auto" w:sz="12"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D10%最远距离</w:t>
            </w:r>
          </w:p>
        </w:tc>
        <w:tc>
          <w:tcPr>
            <w:tcW w:w="988" w:type="pct"/>
            <w:tcBorders>
              <w:left w:val="single" w:color="auto" w:sz="4" w:space="0"/>
              <w:bottom w:val="single" w:color="auto" w:sz="12"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w:t>
            </w:r>
          </w:p>
        </w:tc>
        <w:tc>
          <w:tcPr>
            <w:tcW w:w="744" w:type="pct"/>
            <w:tcBorders>
              <w:left w:val="single" w:color="auto" w:sz="4" w:space="0"/>
              <w:bottom w:val="single" w:color="auto" w:sz="12"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w:t>
            </w:r>
          </w:p>
        </w:tc>
        <w:tc>
          <w:tcPr>
            <w:tcW w:w="897" w:type="pct"/>
            <w:tcBorders>
              <w:left w:val="single" w:color="auto" w:sz="4" w:space="0"/>
              <w:bottom w:val="single" w:color="auto" w:sz="12"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w:t>
            </w:r>
          </w:p>
        </w:tc>
        <w:tc>
          <w:tcPr>
            <w:tcW w:w="741" w:type="pct"/>
            <w:tcBorders>
              <w:left w:val="single" w:color="auto" w:sz="4" w:space="0"/>
              <w:bottom w:val="single" w:color="auto" w:sz="12"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w:t>
            </w:r>
          </w:p>
        </w:tc>
      </w:tr>
    </w:tbl>
    <w:p>
      <w:pPr>
        <w:pStyle w:val="864"/>
        <w:spacing w:line="240" w:lineRule="auto"/>
        <w:ind w:firstLine="0" w:firstLineChars="0"/>
        <w:jc w:val="center"/>
        <w:rPr>
          <w:rFonts w:hint="eastAsia" w:ascii="Times New Roman" w:hAnsi="Times New Roman"/>
          <w:b/>
          <w:sz w:val="21"/>
          <w:szCs w:val="21"/>
        </w:rPr>
      </w:pPr>
      <w:r>
        <w:rPr>
          <w:rFonts w:hint="eastAsia" w:ascii="Times New Roman" w:hAnsi="Times New Roman"/>
          <w:b/>
          <w:sz w:val="21"/>
          <w:szCs w:val="21"/>
        </w:rPr>
        <w:t>表</w:t>
      </w:r>
      <w:r>
        <w:rPr>
          <w:rFonts w:hint="eastAsia" w:ascii="Times New Roman" w:hAnsi="Times New Roman"/>
          <w:b/>
          <w:sz w:val="21"/>
          <w:szCs w:val="21"/>
          <w:lang w:val="en-US" w:eastAsia="zh-CN"/>
        </w:rPr>
        <w:t xml:space="preserve">5.2-6 </w:t>
      </w:r>
      <w:r>
        <w:rPr>
          <w:rFonts w:hint="eastAsia" w:ascii="Times New Roman" w:hAnsi="Times New Roman"/>
          <w:b/>
          <w:sz w:val="21"/>
          <w:szCs w:val="21"/>
        </w:rPr>
        <w:t xml:space="preserve"> </w:t>
      </w:r>
      <w:r>
        <w:rPr>
          <w:rFonts w:hint="eastAsia" w:ascii="Times New Roman" w:hAnsi="Times New Roman"/>
          <w:b/>
          <w:sz w:val="21"/>
          <w:szCs w:val="21"/>
          <w:lang w:eastAsia="zh-CN"/>
        </w:rPr>
        <w:t>污水处理设施无组织</w:t>
      </w:r>
      <w:r>
        <w:rPr>
          <w:rFonts w:hint="eastAsia" w:ascii="Times New Roman" w:hAnsi="Times New Roman"/>
          <w:b/>
          <w:sz w:val="21"/>
          <w:szCs w:val="21"/>
          <w:lang w:val="en-US" w:eastAsia="zh-CN"/>
        </w:rPr>
        <w:t>恶臭</w:t>
      </w:r>
      <w:r>
        <w:rPr>
          <w:rFonts w:hint="eastAsia" w:ascii="Times New Roman" w:hAnsi="Times New Roman"/>
          <w:b/>
          <w:sz w:val="21"/>
          <w:szCs w:val="21"/>
          <w:lang w:eastAsia="zh-CN"/>
        </w:rPr>
        <w:t>正常工况</w:t>
      </w:r>
      <w:r>
        <w:rPr>
          <w:rFonts w:hint="eastAsia" w:ascii="Times New Roman" w:hAnsi="Times New Roman"/>
          <w:b/>
          <w:sz w:val="21"/>
          <w:szCs w:val="21"/>
        </w:rPr>
        <w:t>估算模式计算结果表</w:t>
      </w:r>
    </w:p>
    <w:tbl>
      <w:tblPr>
        <w:tblStyle w:val="64"/>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26"/>
        <w:gridCol w:w="1958"/>
        <w:gridCol w:w="1474"/>
        <w:gridCol w:w="1777"/>
        <w:gridCol w:w="14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vMerge w:val="restart"/>
            <w:tcBorders>
              <w:top w:val="single" w:color="auto" w:sz="12" w:space="0"/>
              <w:lef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下风向距离</w:t>
            </w:r>
          </w:p>
        </w:tc>
        <w:tc>
          <w:tcPr>
            <w:tcW w:w="1732" w:type="pct"/>
            <w:gridSpan w:val="2"/>
            <w:tcBorders>
              <w:top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NH</w:t>
            </w:r>
            <w:r>
              <w:rPr>
                <w:rFonts w:hint="default" w:ascii="Times New Roman" w:hAnsi="Times New Roman" w:eastAsia="宋体" w:cs="Times New Roman"/>
                <w:b w:val="0"/>
                <w:bCs/>
                <w:sz w:val="21"/>
                <w:szCs w:val="21"/>
                <w:vertAlign w:val="subscript"/>
                <w:lang w:val="en-US" w:eastAsia="zh-CN"/>
              </w:rPr>
              <w:t>3</w:t>
            </w:r>
          </w:p>
        </w:tc>
        <w:tc>
          <w:tcPr>
            <w:tcW w:w="1638" w:type="pct"/>
            <w:gridSpan w:val="2"/>
            <w:tcBorders>
              <w:top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bCs/>
                <w:sz w:val="21"/>
                <w:szCs w:val="21"/>
                <w:vertAlign w:val="baseline"/>
                <w:lang w:val="en-US" w:eastAsia="zh-CN"/>
              </w:rPr>
              <w:t>H</w:t>
            </w:r>
            <w:r>
              <w:rPr>
                <w:rFonts w:hint="default" w:ascii="Times New Roman" w:hAnsi="Times New Roman" w:eastAsia="宋体" w:cs="Times New Roman"/>
                <w:b w:val="0"/>
                <w:bCs/>
                <w:sz w:val="21"/>
                <w:szCs w:val="21"/>
                <w:vertAlign w:val="subscript"/>
                <w:lang w:val="en-US" w:eastAsia="zh-CN"/>
              </w:rPr>
              <w:t>2</w:t>
            </w:r>
            <w:r>
              <w:rPr>
                <w:rFonts w:hint="default" w:ascii="Times New Roman" w:hAnsi="Times New Roman" w:eastAsia="宋体" w:cs="Times New Roman"/>
                <w:b w:val="0"/>
                <w:bCs/>
                <w:sz w:val="21"/>
                <w:szCs w:val="21"/>
                <w:vertAlign w:val="baseline"/>
                <w:lang w:val="en-US" w:eastAsia="zh-CN"/>
              </w:rPr>
              <w: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vMerge w:val="continue"/>
            <w:tcBorders>
              <w:left w:val="nil"/>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p>
        </w:tc>
        <w:tc>
          <w:tcPr>
            <w:tcW w:w="988" w:type="pct"/>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vertAlign w:val="baseline"/>
                <w:lang w:eastAsia="zh-CN"/>
              </w:rPr>
              <w:t>预测质量浓度</w:t>
            </w:r>
            <w:r>
              <w:rPr>
                <w:rFonts w:hint="default" w:ascii="Times New Roman" w:hAnsi="Times New Roman" w:eastAsia="宋体" w:cs="Times New Roman"/>
                <w:b w:val="0"/>
                <w:bCs/>
                <w:sz w:val="21"/>
                <w:szCs w:val="21"/>
                <w:vertAlign w:val="baseline"/>
                <w:lang w:val="en-US" w:eastAsia="zh-CN"/>
              </w:rPr>
              <w:t>/（μg/m</w:t>
            </w:r>
            <w:r>
              <w:rPr>
                <w:rFonts w:hint="default" w:ascii="Times New Roman" w:hAnsi="Times New Roman" w:eastAsia="宋体" w:cs="Times New Roman"/>
                <w:b w:val="0"/>
                <w:bCs/>
                <w:sz w:val="21"/>
                <w:szCs w:val="21"/>
                <w:vertAlign w:val="superscript"/>
                <w:lang w:val="en-US" w:eastAsia="zh-CN"/>
              </w:rPr>
              <w:t>3</w:t>
            </w:r>
            <w:r>
              <w:rPr>
                <w:rFonts w:hint="default" w:ascii="Times New Roman" w:hAnsi="Times New Roman" w:eastAsia="宋体" w:cs="Times New Roman"/>
                <w:b w:val="0"/>
                <w:bCs/>
                <w:sz w:val="21"/>
                <w:szCs w:val="21"/>
                <w:vertAlign w:val="baseline"/>
                <w:lang w:val="en-US" w:eastAsia="zh-CN"/>
              </w:rPr>
              <w:t>）</w:t>
            </w:r>
          </w:p>
        </w:tc>
        <w:tc>
          <w:tcPr>
            <w:tcW w:w="744" w:type="pct"/>
            <w:tcBorders>
              <w:bottom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bCs/>
                <w:sz w:val="21"/>
                <w:szCs w:val="21"/>
                <w:vertAlign w:val="baseline"/>
                <w:lang w:eastAsia="zh-CN"/>
              </w:rPr>
              <w:t>占标率</w:t>
            </w:r>
            <w:r>
              <w:rPr>
                <w:rFonts w:hint="default" w:ascii="Times New Roman" w:hAnsi="Times New Roman" w:eastAsia="宋体" w:cs="Times New Roman"/>
                <w:b w:val="0"/>
                <w:bCs/>
                <w:sz w:val="21"/>
                <w:szCs w:val="21"/>
                <w:vertAlign w:val="baseline"/>
                <w:lang w:val="en-US" w:eastAsia="zh-CN"/>
              </w:rPr>
              <w:t>/%</w:t>
            </w:r>
          </w:p>
        </w:tc>
        <w:tc>
          <w:tcPr>
            <w:tcW w:w="897" w:type="pct"/>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预测质量浓度</w:t>
            </w:r>
            <w:r>
              <w:rPr>
                <w:rFonts w:hint="default" w:ascii="Times New Roman" w:hAnsi="Times New Roman" w:eastAsia="宋体" w:cs="Times New Roman"/>
                <w:b w:val="0"/>
                <w:bCs/>
                <w:sz w:val="21"/>
                <w:szCs w:val="21"/>
                <w:vertAlign w:val="baseline"/>
                <w:lang w:val="en-US" w:eastAsia="zh-CN"/>
              </w:rPr>
              <w:t>/（μg/m</w:t>
            </w:r>
            <w:r>
              <w:rPr>
                <w:rFonts w:hint="default" w:ascii="Times New Roman" w:hAnsi="Times New Roman" w:eastAsia="宋体" w:cs="Times New Roman"/>
                <w:b w:val="0"/>
                <w:bCs/>
                <w:sz w:val="21"/>
                <w:szCs w:val="21"/>
                <w:vertAlign w:val="superscript"/>
                <w:lang w:val="en-US" w:eastAsia="zh-CN"/>
              </w:rPr>
              <w:t>3</w:t>
            </w:r>
            <w:r>
              <w:rPr>
                <w:rFonts w:hint="default" w:ascii="Times New Roman" w:hAnsi="Times New Roman" w:eastAsia="宋体" w:cs="Times New Roman"/>
                <w:b w:val="0"/>
                <w:bCs/>
                <w:sz w:val="21"/>
                <w:szCs w:val="21"/>
                <w:vertAlign w:val="baseline"/>
                <w:lang w:val="en-US" w:eastAsia="zh-CN"/>
              </w:rPr>
              <w:t>）</w:t>
            </w:r>
          </w:p>
        </w:tc>
        <w:tc>
          <w:tcPr>
            <w:tcW w:w="741" w:type="pct"/>
            <w:tcBorders>
              <w:bottom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sz w:val="21"/>
                <w:szCs w:val="21"/>
                <w:vertAlign w:val="baseline"/>
                <w:lang w:eastAsia="zh-CN"/>
              </w:rPr>
            </w:pPr>
            <w:r>
              <w:rPr>
                <w:rFonts w:hint="default" w:ascii="Times New Roman" w:hAnsi="Times New Roman" w:eastAsia="宋体" w:cs="Times New Roman"/>
                <w:b w:val="0"/>
                <w:bCs/>
                <w:sz w:val="21"/>
                <w:szCs w:val="21"/>
                <w:vertAlign w:val="baseline"/>
                <w:lang w:eastAsia="zh-CN"/>
              </w:rPr>
              <w:t>占标率</w:t>
            </w:r>
            <w:r>
              <w:rPr>
                <w:rFonts w:hint="default" w:ascii="Times New Roman" w:hAnsi="Times New Roman" w:eastAsia="宋体" w:cs="Times New Roman"/>
                <w:b w:val="0"/>
                <w:bCs/>
                <w:sz w:val="21"/>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top w:val="single" w:color="auto" w:sz="12" w:space="0"/>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lang w:val="en-US" w:eastAsia="zh-CN"/>
              </w:rPr>
            </w:pPr>
            <w:r>
              <w:rPr>
                <w:rFonts w:hint="default" w:ascii="Times New Roman" w:hAnsi="Times New Roman" w:eastAsia="宋体" w:cs="Times New Roman"/>
                <w:b w:val="0"/>
                <w:sz w:val="21"/>
                <w:szCs w:val="21"/>
              </w:rPr>
              <w:t>50.0</w:t>
            </w:r>
          </w:p>
        </w:tc>
        <w:tc>
          <w:tcPr>
            <w:tcW w:w="1958" w:type="dxa"/>
            <w:tcBorders>
              <w:top w:val="single" w:color="auto" w:sz="12"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5.5816</w:t>
            </w:r>
          </w:p>
        </w:tc>
        <w:tc>
          <w:tcPr>
            <w:tcW w:w="1474" w:type="dxa"/>
            <w:tcBorders>
              <w:top w:val="single" w:color="auto" w:sz="12"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2.7908</w:t>
            </w:r>
          </w:p>
        </w:tc>
        <w:tc>
          <w:tcPr>
            <w:tcW w:w="1777" w:type="dxa"/>
            <w:tcBorders>
              <w:top w:val="single" w:color="auto" w:sz="12"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0.3005</w:t>
            </w:r>
          </w:p>
        </w:tc>
        <w:tc>
          <w:tcPr>
            <w:tcW w:w="1469" w:type="dxa"/>
            <w:tcBorders>
              <w:top w:val="single" w:color="auto" w:sz="12" w:space="0"/>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3.0055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3.6114</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1.8057</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0.1945</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1.9446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i w:val="0"/>
                <w:color w:val="000000"/>
                <w:kern w:val="0"/>
                <w:sz w:val="21"/>
                <w:szCs w:val="21"/>
                <w:u w:val="none"/>
                <w:lang w:val="en-US" w:eastAsia="zh-CN" w:bidi="ar"/>
              </w:rPr>
            </w:pPr>
            <w:r>
              <w:rPr>
                <w:rFonts w:hint="default" w:ascii="Times New Roman" w:hAnsi="Times New Roman" w:eastAsia="宋体" w:cs="Times New Roman"/>
                <w:b w:val="0"/>
                <w:sz w:val="21"/>
                <w:szCs w:val="21"/>
              </w:rPr>
              <w:t>200.0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2.2250</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1.1125</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0.1198</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1.1981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1.6509</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0.8255</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0.0889</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0.8889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400.0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1.3271</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0.6635</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0.0715</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0.7146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500.0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1.1145</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0.5573</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0.0600</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0.6001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600.0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0.9665</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0.4833</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0.0520</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0.5204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700.0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0.8537</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0.4269</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0.0460</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0.4597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800.0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0.7707</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0.3854</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0.0415</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0.4150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900.0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0.7036</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0.3518</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0.0379</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0.3788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0.6479</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0.3239</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0.0349</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0.3489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1200.0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0.5608</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0.2804</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0.0302</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0.3020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1400.0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0.4961</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0.2481</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0.0267</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0.2672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1600.0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0.4464</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0.2232</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0.0240</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0.2404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1800.0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0.4067</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0.2033</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0.0219</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0.2190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0.3740</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0.1870</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0.0201</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0.2014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2500.0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0.3123</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0.1562</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0.0168</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0.1682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0.2685</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0.1343</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0.0145</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0.1446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3500.0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0.2356</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0.1178</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0.0127</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0.1269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4000.0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0.2099</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0.1050</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0.0113</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0.1130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4500.0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0.1892</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0.0946</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0.0102</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0.1019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5000.0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0.1722</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0.0861</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0.0093</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0.0927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10000.0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0.0892</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0.0446</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0.0048</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0.0480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11000.0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0.0811</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0.0405</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0.0044</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0.0437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12000.0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0.0742</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0.0371</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0.0040</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13000.0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0.0684</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0.0342</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0.0037</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0.0368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14000.0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0.0634</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0.0317</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0.0034</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0.0341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15000.0</w:t>
            </w:r>
          </w:p>
        </w:tc>
        <w:tc>
          <w:tcPr>
            <w:tcW w:w="1958"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0.0590</w:t>
            </w:r>
          </w:p>
        </w:tc>
        <w:tc>
          <w:tcPr>
            <w:tcW w:w="1474"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0.0295</w:t>
            </w:r>
          </w:p>
        </w:tc>
        <w:tc>
          <w:tcPr>
            <w:tcW w:w="1777" w:type="dxa"/>
            <w:tcBorders>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0.0032</w:t>
            </w:r>
          </w:p>
        </w:tc>
        <w:tc>
          <w:tcPr>
            <w:tcW w:w="1469" w:type="dxa"/>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0.0318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20000.0</w:t>
            </w:r>
          </w:p>
        </w:tc>
        <w:tc>
          <w:tcPr>
            <w:tcW w:w="1958" w:type="dxa"/>
            <w:tcBorders>
              <w:left w:val="single" w:color="auto" w:sz="4" w:space="0"/>
              <w:bottom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0.0435</w:t>
            </w:r>
          </w:p>
        </w:tc>
        <w:tc>
          <w:tcPr>
            <w:tcW w:w="1474" w:type="dxa"/>
            <w:tcBorders>
              <w:left w:val="single" w:color="auto" w:sz="4" w:space="0"/>
              <w:bottom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0.0217</w:t>
            </w:r>
          </w:p>
        </w:tc>
        <w:tc>
          <w:tcPr>
            <w:tcW w:w="1777" w:type="dxa"/>
            <w:tcBorders>
              <w:left w:val="single" w:color="auto" w:sz="4" w:space="0"/>
              <w:bottom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0.0023</w:t>
            </w:r>
          </w:p>
        </w:tc>
        <w:tc>
          <w:tcPr>
            <w:tcW w:w="1469" w:type="dxa"/>
            <w:tcBorders>
              <w:left w:val="single" w:color="auto" w:sz="4" w:space="0"/>
              <w:bottom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0.0234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top w:val="single" w:color="auto" w:sz="4" w:space="0"/>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25000.0</w:t>
            </w:r>
          </w:p>
        </w:tc>
        <w:tc>
          <w:tcPr>
            <w:tcW w:w="1958" w:type="dxa"/>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0.0341</w:t>
            </w:r>
          </w:p>
        </w:tc>
        <w:tc>
          <w:tcPr>
            <w:tcW w:w="1474" w:type="dxa"/>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bCs/>
                <w:sz w:val="21"/>
                <w:szCs w:val="21"/>
                <w:vertAlign w:val="baseline"/>
              </w:rPr>
            </w:pPr>
            <w:r>
              <w:rPr>
                <w:rFonts w:hint="default" w:ascii="Times New Roman" w:hAnsi="Times New Roman" w:eastAsia="宋体" w:cs="Times New Roman"/>
                <w:b w:val="0"/>
                <w:sz w:val="21"/>
                <w:szCs w:val="21"/>
              </w:rPr>
              <w:t>0.0171</w:t>
            </w:r>
          </w:p>
        </w:tc>
        <w:tc>
          <w:tcPr>
            <w:tcW w:w="1777" w:type="dxa"/>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0.0018</w:t>
            </w:r>
          </w:p>
        </w:tc>
        <w:tc>
          <w:tcPr>
            <w:tcW w:w="1469" w:type="dxa"/>
            <w:tcBorders>
              <w:top w:val="single" w:color="auto" w:sz="4" w:space="0"/>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0.0184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top w:val="single" w:color="auto" w:sz="4" w:space="0"/>
              <w:left w:val="nil"/>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下风向最大浓度</w:t>
            </w:r>
          </w:p>
        </w:tc>
        <w:tc>
          <w:tcPr>
            <w:tcW w:w="1958" w:type="dxa"/>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6.7131</w:t>
            </w:r>
          </w:p>
        </w:tc>
        <w:tc>
          <w:tcPr>
            <w:tcW w:w="1474" w:type="dxa"/>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3.3565</w:t>
            </w:r>
          </w:p>
        </w:tc>
        <w:tc>
          <w:tcPr>
            <w:tcW w:w="1777" w:type="dxa"/>
            <w:tcBorders>
              <w:top w:val="single" w:color="auto" w:sz="4" w:space="0"/>
              <w:left w:val="single" w:color="auto" w:sz="4"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0.3615</w:t>
            </w:r>
          </w:p>
        </w:tc>
        <w:tc>
          <w:tcPr>
            <w:tcW w:w="1469" w:type="dxa"/>
            <w:tcBorders>
              <w:top w:val="single" w:color="auto" w:sz="4" w:space="0"/>
              <w:left w:val="single" w:color="auto" w:sz="4"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3.6147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snapToGrid/>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下风向最大浓度出现距离</w:t>
            </w:r>
          </w:p>
        </w:tc>
        <w:tc>
          <w:tcPr>
            <w:tcW w:w="1732" w:type="pct"/>
            <w:gridSpan w:val="2"/>
            <w:tcBorders>
              <w:left w:val="single" w:color="auto" w:sz="4"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32</w:t>
            </w:r>
          </w:p>
        </w:tc>
        <w:tc>
          <w:tcPr>
            <w:tcW w:w="1638" w:type="pct"/>
            <w:gridSpan w:val="2"/>
            <w:tcBorders>
              <w:left w:val="single" w:color="auto" w:sz="4" w:space="0"/>
              <w:right w:val="nil"/>
            </w:tcBorders>
            <w:noWrap w:val="0"/>
            <w:vAlign w:val="center"/>
          </w:tcPr>
          <w:p>
            <w:pPr>
              <w:jc w:val="center"/>
              <w:rPr>
                <w:rFonts w:hint="default" w:ascii="Times New Roman" w:hAnsi="Times New Roman" w:eastAsia="宋体" w:cs="Times New Roman"/>
                <w:b w:val="0"/>
                <w:sz w:val="21"/>
                <w:szCs w:val="21"/>
                <w:lang w:val="en-US" w:eastAsia="zh-CN"/>
              </w:rPr>
            </w:pPr>
            <w:r>
              <w:rPr>
                <w:rFonts w:hint="default" w:ascii="Times New Roman" w:hAnsi="Times New Roman" w:eastAsia="宋体" w:cs="Times New Roman"/>
                <w:b w:val="0"/>
                <w:sz w:val="21"/>
                <w:szCs w:val="21"/>
                <w:lang w:val="en-US" w:eastAsia="zh-CN"/>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28" w:type="pct"/>
            <w:tcBorders>
              <w:left w:val="nil"/>
              <w:bottom w:val="single" w:color="auto" w:sz="12"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D10%最远距离</w:t>
            </w:r>
          </w:p>
        </w:tc>
        <w:tc>
          <w:tcPr>
            <w:tcW w:w="988" w:type="pct"/>
            <w:tcBorders>
              <w:left w:val="single" w:color="auto" w:sz="4" w:space="0"/>
              <w:bottom w:val="single" w:color="auto" w:sz="12" w:space="0"/>
              <w:right w:val="single" w:color="auto" w:sz="4" w:space="0"/>
            </w:tcBorders>
            <w:noWrap w:val="0"/>
            <w:vAlign w:val="center"/>
          </w:tcPr>
          <w:p>
            <w:pPr>
              <w:jc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b w:val="0"/>
                <w:sz w:val="21"/>
                <w:szCs w:val="21"/>
              </w:rPr>
              <w:t>/</w:t>
            </w:r>
          </w:p>
        </w:tc>
        <w:tc>
          <w:tcPr>
            <w:tcW w:w="744" w:type="pct"/>
            <w:tcBorders>
              <w:left w:val="single" w:color="auto" w:sz="4" w:space="0"/>
              <w:bottom w:val="single" w:color="auto" w:sz="12"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w:t>
            </w:r>
          </w:p>
        </w:tc>
        <w:tc>
          <w:tcPr>
            <w:tcW w:w="897" w:type="pct"/>
            <w:tcBorders>
              <w:left w:val="single" w:color="auto" w:sz="4" w:space="0"/>
              <w:bottom w:val="single" w:color="auto" w:sz="12" w:space="0"/>
              <w:right w:val="single" w:color="auto" w:sz="4" w:space="0"/>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w:t>
            </w:r>
          </w:p>
        </w:tc>
        <w:tc>
          <w:tcPr>
            <w:tcW w:w="741" w:type="pct"/>
            <w:tcBorders>
              <w:left w:val="single" w:color="auto" w:sz="4" w:space="0"/>
              <w:bottom w:val="single" w:color="auto" w:sz="12" w:space="0"/>
              <w:right w:val="nil"/>
            </w:tcBorders>
            <w:noWrap w:val="0"/>
            <w:vAlign w:val="center"/>
          </w:tcPr>
          <w:p>
            <w:pPr>
              <w:jc w:val="center"/>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w:t>
            </w:r>
          </w:p>
        </w:tc>
      </w:tr>
    </w:tbl>
    <w:p>
      <w:pPr>
        <w:pStyle w:val="8"/>
        <w:rPr>
          <w:rFonts w:hint="default" w:ascii="Times New Roman" w:hAnsi="Times New Roman" w:eastAsia="宋体" w:cs="Times New Roman"/>
        </w:rPr>
      </w:pPr>
      <w:r>
        <w:rPr>
          <w:rFonts w:hint="default" w:ascii="Times New Roman" w:hAnsi="Times New Roman" w:eastAsia="宋体" w:cs="Times New Roman"/>
        </w:rPr>
        <w:t xml:space="preserve"> 本项目P</w:t>
      </w:r>
      <w:r>
        <w:rPr>
          <w:rFonts w:hint="default" w:ascii="Times New Roman" w:hAnsi="Times New Roman" w:eastAsia="宋体" w:cs="Times New Roman"/>
          <w:vertAlign w:val="subscript"/>
        </w:rPr>
        <w:t>max</w:t>
      </w:r>
      <w:r>
        <w:rPr>
          <w:rFonts w:hint="default" w:ascii="Times New Roman" w:hAnsi="Times New Roman" w:eastAsia="宋体" w:cs="Times New Roman"/>
        </w:rPr>
        <w:t>最大值出现为异位发酵床排放的NH</w:t>
      </w:r>
      <w:r>
        <w:rPr>
          <w:rFonts w:hint="default" w:ascii="Times New Roman" w:hAnsi="Times New Roman" w:eastAsia="宋体" w:cs="Times New Roman"/>
          <w:vertAlign w:val="subscript"/>
        </w:rPr>
        <w:t>3</w:t>
      </w:r>
      <w:r>
        <w:rPr>
          <w:rFonts w:hint="default" w:ascii="Times New Roman" w:hAnsi="Times New Roman" w:eastAsia="宋体" w:cs="Times New Roman"/>
        </w:rPr>
        <w:t>P</w:t>
      </w:r>
      <w:r>
        <w:rPr>
          <w:rFonts w:hint="default" w:ascii="Times New Roman" w:hAnsi="Times New Roman" w:eastAsia="宋体" w:cs="Times New Roman"/>
          <w:vertAlign w:val="subscript"/>
        </w:rPr>
        <w:t>max</w:t>
      </w:r>
      <w:r>
        <w:rPr>
          <w:rFonts w:hint="default" w:ascii="Times New Roman" w:hAnsi="Times New Roman" w:eastAsia="宋体" w:cs="Times New Roman"/>
        </w:rPr>
        <w:t>值为8.252%</w:t>
      </w:r>
      <w:r>
        <w:rPr>
          <w:rFonts w:hint="default" w:ascii="Times New Roman" w:hAnsi="Times New Roman" w:eastAsia="宋体" w:cs="Times New Roman"/>
          <w:lang w:eastAsia="zh-CN"/>
        </w:rPr>
        <w:t>，</w:t>
      </w:r>
      <w:r>
        <w:rPr>
          <w:rFonts w:hint="default" w:ascii="Times New Roman" w:hAnsi="Times New Roman" w:eastAsia="宋体" w:cs="Times New Roman"/>
        </w:rPr>
        <w:t>C</w:t>
      </w:r>
      <w:r>
        <w:rPr>
          <w:rFonts w:hint="default" w:ascii="Times New Roman" w:hAnsi="Times New Roman" w:eastAsia="宋体" w:cs="Times New Roman"/>
          <w:vertAlign w:val="subscript"/>
        </w:rPr>
        <w:t>max</w:t>
      </w:r>
      <w:r>
        <w:rPr>
          <w:rFonts w:hint="default" w:ascii="Times New Roman" w:hAnsi="Times New Roman" w:eastAsia="宋体" w:cs="Times New Roman"/>
        </w:rPr>
        <w:t>为16.504μg/m³，根据《环境影响评价技术导则 大气环境》（HJ2.2-2018）分级判据，确定本项目大气环境影响评价工作等级为二级。</w:t>
      </w:r>
    </w:p>
    <w:p>
      <w:pPr>
        <w:pStyle w:val="864"/>
        <w:keepNext w:val="0"/>
        <w:keepLines w:val="0"/>
        <w:pageBreakBefore w:val="0"/>
        <w:widowControl w:val="0"/>
        <w:kinsoku/>
        <w:wordWrap/>
        <w:overflowPunct/>
        <w:topLinePunct w:val="0"/>
        <w:autoSpaceDE/>
        <w:autoSpaceDN/>
        <w:bidi w:val="0"/>
        <w:adjustRightInd/>
        <w:snapToGrid/>
        <w:ind w:firstLine="480" w:firstLineChars="200"/>
        <w:jc w:val="left"/>
        <w:textAlignment w:val="auto"/>
        <w:rPr>
          <w:rFonts w:hint="default" w:ascii="Times New Roman" w:hAnsi="宋体"/>
          <w:color w:val="000000"/>
          <w:kern w:val="2"/>
          <w:sz w:val="24"/>
          <w:szCs w:val="24"/>
          <w:lang w:val="en-US" w:eastAsia="zh-CN" w:bidi="ar-SA"/>
        </w:rPr>
      </w:pPr>
      <w:r>
        <w:rPr>
          <w:rFonts w:hint="default" w:ascii="Times New Roman" w:hAnsi="宋体"/>
          <w:color w:val="000000"/>
          <w:kern w:val="2"/>
          <w:sz w:val="24"/>
          <w:szCs w:val="24"/>
          <w:lang w:val="en-US" w:eastAsia="zh-CN" w:bidi="ar-SA"/>
        </w:rPr>
        <w:t>根据《环境影响评价技术导则 大气环境》（HJ2.2-2018）的要求“一级评价项目应采用进一步预测模型开展大气环境影响预测与评价；二级评价项目不进行进一步预测与评价，只对污染物排放量进行核算；三级评价不进行进一步预测与评价”。本项目为</w:t>
      </w:r>
      <w:r>
        <w:rPr>
          <w:rFonts w:hint="eastAsia" w:ascii="Times New Roman" w:hAnsi="宋体"/>
          <w:color w:val="000000"/>
          <w:kern w:val="2"/>
          <w:sz w:val="24"/>
          <w:szCs w:val="24"/>
          <w:lang w:val="en-US" w:eastAsia="zh-CN" w:bidi="ar-SA"/>
        </w:rPr>
        <w:t>二</w:t>
      </w:r>
      <w:r>
        <w:rPr>
          <w:rFonts w:hint="default" w:ascii="Times New Roman" w:hAnsi="宋体"/>
          <w:color w:val="000000"/>
          <w:kern w:val="2"/>
          <w:sz w:val="24"/>
          <w:szCs w:val="24"/>
          <w:lang w:val="en-US" w:eastAsia="zh-CN" w:bidi="ar-SA"/>
        </w:rPr>
        <w:t>级评价项目，不进行进一步预测与评价</w:t>
      </w:r>
      <w:r>
        <w:rPr>
          <w:rFonts w:hint="eastAsia" w:ascii="Times New Roman" w:hAnsi="宋体"/>
          <w:color w:val="000000"/>
          <w:kern w:val="2"/>
          <w:sz w:val="24"/>
          <w:szCs w:val="24"/>
          <w:lang w:val="en-US" w:eastAsia="zh-CN" w:bidi="ar-SA"/>
        </w:rPr>
        <w:t>，</w:t>
      </w:r>
      <w:r>
        <w:rPr>
          <w:rFonts w:hint="eastAsia" w:ascii="Times New Roman" w:hAnsi="Times New Roman"/>
          <w:bCs/>
          <w:color w:val="auto"/>
          <w:kern w:val="2"/>
          <w:sz w:val="24"/>
          <w:szCs w:val="24"/>
          <w:lang w:val="en-US" w:eastAsia="zh-CN" w:bidi="ar-SA"/>
        </w:rPr>
        <w:t>仅需要对污染物排放量进行核算</w:t>
      </w:r>
      <w:r>
        <w:rPr>
          <w:rFonts w:hint="default" w:ascii="Times New Roman" w:hAnsi="Times New Roman"/>
          <w:bCs/>
          <w:color w:val="auto"/>
          <w:kern w:val="2"/>
          <w:sz w:val="24"/>
          <w:szCs w:val="24"/>
          <w:lang w:val="en-US" w:eastAsia="zh-CN" w:bidi="ar-SA"/>
        </w:rPr>
        <w:t>。</w:t>
      </w:r>
    </w:p>
    <w:p>
      <w:pPr>
        <w:pStyle w:val="864"/>
        <w:keepNext w:val="0"/>
        <w:keepLines w:val="0"/>
        <w:pageBreakBefore w:val="0"/>
        <w:widowControl w:val="0"/>
        <w:kinsoku/>
        <w:wordWrap/>
        <w:overflowPunct/>
        <w:topLinePunct w:val="0"/>
        <w:autoSpaceDE/>
        <w:autoSpaceDN/>
        <w:bidi w:val="0"/>
        <w:adjustRightInd/>
        <w:snapToGrid/>
        <w:ind w:firstLine="480" w:firstLineChars="200"/>
        <w:jc w:val="left"/>
        <w:textAlignment w:val="auto"/>
        <w:rPr>
          <w:rFonts w:hint="eastAsia" w:ascii="Times New Roman" w:hAnsi="宋体"/>
          <w:color w:val="000000"/>
          <w:kern w:val="2"/>
          <w:sz w:val="24"/>
          <w:szCs w:val="24"/>
          <w:lang w:val="en-US" w:eastAsia="zh-CN" w:bidi="ar-SA"/>
        </w:rPr>
      </w:pPr>
      <w:r>
        <w:rPr>
          <w:rFonts w:hint="default" w:ascii="Times New Roman" w:hAnsi="宋体"/>
          <w:color w:val="000000"/>
          <w:kern w:val="2"/>
          <w:sz w:val="24"/>
          <w:szCs w:val="24"/>
          <w:lang w:val="en-US" w:eastAsia="zh-CN" w:bidi="ar-SA"/>
        </w:rPr>
        <w:t>项目下风向</w:t>
      </w:r>
      <w:r>
        <w:rPr>
          <w:rFonts w:hint="eastAsia" w:ascii="Times New Roman" w:hAnsi="宋体"/>
          <w:color w:val="000000"/>
          <w:kern w:val="2"/>
          <w:sz w:val="24"/>
          <w:szCs w:val="24"/>
          <w:lang w:val="en-US" w:eastAsia="zh-CN" w:bidi="ar-SA"/>
        </w:rPr>
        <w:t>NH</w:t>
      </w:r>
      <w:r>
        <w:rPr>
          <w:rFonts w:hint="eastAsia" w:ascii="Times New Roman" w:hAnsi="宋体"/>
          <w:color w:val="000000"/>
          <w:kern w:val="2"/>
          <w:sz w:val="24"/>
          <w:szCs w:val="24"/>
          <w:vertAlign w:val="subscript"/>
          <w:lang w:val="en-US" w:eastAsia="zh-CN" w:bidi="ar-SA"/>
        </w:rPr>
        <w:t>3</w:t>
      </w:r>
      <w:r>
        <w:rPr>
          <w:rFonts w:hint="default" w:ascii="Times New Roman" w:hAnsi="宋体"/>
          <w:color w:val="000000"/>
          <w:kern w:val="2"/>
          <w:sz w:val="24"/>
          <w:szCs w:val="24"/>
          <w:lang w:val="en-US" w:eastAsia="zh-CN" w:bidi="ar-SA"/>
        </w:rPr>
        <w:t>最大落地浓度(占标率)为16.50</w:t>
      </w:r>
      <w:r>
        <w:rPr>
          <w:rFonts w:hint="default" w:ascii="Times New Roman" w:hAnsi="Times New Roman" w:eastAsia="宋体" w:cs="Times New Roman"/>
          <w:b w:val="0"/>
          <w:bCs/>
          <w:sz w:val="24"/>
          <w:szCs w:val="24"/>
        </w:rPr>
        <w:t>μg/m</w:t>
      </w:r>
      <w:r>
        <w:rPr>
          <w:rFonts w:hint="default" w:ascii="Times New Roman" w:hAnsi="Times New Roman" w:eastAsia="宋体" w:cs="Times New Roman"/>
          <w:b w:val="0"/>
          <w:bCs/>
          <w:sz w:val="24"/>
          <w:szCs w:val="24"/>
          <w:vertAlign w:val="superscript"/>
          <w:lang w:val="en-US" w:eastAsia="zh-CN"/>
        </w:rPr>
        <w:t>3</w:t>
      </w:r>
      <w:r>
        <w:rPr>
          <w:rFonts w:hint="default" w:ascii="Times New Roman" w:hAnsi="宋体"/>
          <w:color w:val="000000"/>
          <w:kern w:val="2"/>
          <w:sz w:val="24"/>
          <w:szCs w:val="24"/>
          <w:lang w:val="en-US" w:eastAsia="zh-CN" w:bidi="ar-SA"/>
        </w:rPr>
        <w:t>（8.252%），小于《环境空气质量标准》（GB3095-2012）二级标准</w:t>
      </w:r>
      <w:r>
        <w:rPr>
          <w:rFonts w:hint="eastAsia" w:ascii="Times New Roman" w:hAnsi="宋体"/>
          <w:color w:val="000000"/>
          <w:kern w:val="2"/>
          <w:sz w:val="24"/>
          <w:szCs w:val="24"/>
          <w:lang w:val="en-US" w:eastAsia="zh-CN" w:bidi="ar-SA"/>
        </w:rPr>
        <w:t>。</w:t>
      </w:r>
    </w:p>
    <w:p>
      <w:pPr>
        <w:pStyle w:val="864"/>
        <w:keepNext w:val="0"/>
        <w:keepLines w:val="0"/>
        <w:pageBreakBefore w:val="0"/>
        <w:widowControl w:val="0"/>
        <w:kinsoku/>
        <w:wordWrap/>
        <w:overflowPunct/>
        <w:topLinePunct w:val="0"/>
        <w:autoSpaceDE/>
        <w:autoSpaceDN/>
        <w:bidi w:val="0"/>
        <w:adjustRightInd/>
        <w:snapToGrid/>
        <w:ind w:firstLine="480" w:firstLineChars="200"/>
        <w:jc w:val="left"/>
        <w:textAlignment w:val="auto"/>
        <w:rPr>
          <w:rFonts w:hint="default" w:ascii="Times New Roman" w:hAnsi="Times New Roman"/>
          <w:bCs/>
          <w:color w:val="auto"/>
          <w:kern w:val="2"/>
          <w:sz w:val="24"/>
          <w:szCs w:val="24"/>
          <w:lang w:val="en-US" w:eastAsia="zh-CN" w:bidi="ar-SA"/>
        </w:rPr>
      </w:pPr>
      <w:r>
        <w:rPr>
          <w:rFonts w:hint="default" w:ascii="Times New Roman" w:hAnsi="Times New Roman"/>
          <w:bCs/>
          <w:color w:val="auto"/>
          <w:kern w:val="2"/>
          <w:sz w:val="24"/>
          <w:szCs w:val="24"/>
          <w:lang w:val="en-US" w:eastAsia="zh-CN" w:bidi="ar-SA"/>
        </w:rPr>
        <w:t>综上所述，项目投入使用后，排放的颗粒物</w:t>
      </w:r>
      <w:r>
        <w:rPr>
          <w:rFonts w:hint="eastAsia" w:ascii="Times New Roman" w:hAnsi="Times New Roman"/>
          <w:bCs/>
          <w:color w:val="auto"/>
          <w:kern w:val="2"/>
          <w:sz w:val="24"/>
          <w:szCs w:val="24"/>
          <w:lang w:val="en-US" w:eastAsia="zh-CN" w:bidi="ar-SA"/>
        </w:rPr>
        <w:t>废气</w:t>
      </w:r>
      <w:r>
        <w:rPr>
          <w:rFonts w:hint="default" w:ascii="Times New Roman" w:hAnsi="Times New Roman"/>
          <w:bCs/>
          <w:color w:val="auto"/>
          <w:kern w:val="2"/>
          <w:sz w:val="24"/>
          <w:szCs w:val="24"/>
          <w:lang w:val="en-US" w:eastAsia="zh-CN" w:bidi="ar-SA"/>
        </w:rPr>
        <w:t>对周围环境空气的环境影响较小</w:t>
      </w:r>
      <w:r>
        <w:rPr>
          <w:rFonts w:hint="eastAsia" w:ascii="Times New Roman" w:hAnsi="Times New Roman"/>
          <w:bCs/>
          <w:color w:val="auto"/>
          <w:kern w:val="2"/>
          <w:sz w:val="24"/>
          <w:szCs w:val="24"/>
          <w:lang w:val="en-US" w:eastAsia="zh-CN" w:bidi="ar-SA"/>
        </w:rPr>
        <w:t>。</w:t>
      </w:r>
    </w:p>
    <w:p>
      <w:pPr>
        <w:pStyle w:val="6"/>
        <w:rPr>
          <w:rFonts w:hint="eastAsia"/>
        </w:rPr>
      </w:pPr>
      <w:r>
        <w:rPr>
          <w:rFonts w:hint="eastAsia"/>
          <w:lang w:eastAsia="zh-CN"/>
        </w:rPr>
        <w:t xml:space="preserve">大气环境防护距离  </w:t>
      </w:r>
    </w:p>
    <w:p>
      <w:pPr>
        <w:pStyle w:val="9"/>
        <w:rPr>
          <w:rFonts w:hint="eastAsia"/>
        </w:rPr>
      </w:pPr>
      <w:r>
        <w:rPr>
          <w:rFonts w:hint="eastAsia"/>
        </w:rPr>
        <w:t>根据《环境影响评价技术导则 大气环境》（HJ2.2-2018），对于项目厂界浓度满足大气污染物厂界浓度限值，但厂界外大气污染物短期贡献浓度超过环境质量浓度限值的，可以自厂界外设置一定范围的大气环境防护区域，以确保大气环境防护区域外的污染物贡献浓度满足环境质量标准。根据估算模式的预测结果，</w:t>
      </w:r>
      <w:r>
        <w:rPr>
          <w:rFonts w:hint="eastAsia"/>
          <w:lang w:val="en-US" w:eastAsia="zh-CN"/>
        </w:rPr>
        <w:t>项目</w:t>
      </w:r>
      <w:r>
        <w:rPr>
          <w:rFonts w:hint="eastAsia" w:ascii="Times New Roman" w:hAnsi="宋体"/>
          <w:color w:val="000000"/>
          <w:kern w:val="2"/>
          <w:sz w:val="24"/>
          <w:szCs w:val="24"/>
          <w:lang w:val="en-US" w:eastAsia="zh-CN" w:bidi="ar-SA"/>
        </w:rPr>
        <w:t>NH</w:t>
      </w:r>
      <w:r>
        <w:rPr>
          <w:rFonts w:hint="eastAsia" w:ascii="Times New Roman" w:hAnsi="宋体"/>
          <w:color w:val="000000"/>
          <w:kern w:val="2"/>
          <w:sz w:val="24"/>
          <w:szCs w:val="24"/>
          <w:vertAlign w:val="subscript"/>
          <w:lang w:val="en-US" w:eastAsia="zh-CN" w:bidi="ar-SA"/>
        </w:rPr>
        <w:t>3</w:t>
      </w:r>
      <w:r>
        <w:rPr>
          <w:rFonts w:hint="eastAsia"/>
          <w:lang w:val="en-US" w:eastAsia="zh-CN"/>
        </w:rPr>
        <w:t>下风向最大落地浓度(占标率)为</w:t>
      </w:r>
      <w:r>
        <w:rPr>
          <w:rFonts w:hint="default" w:ascii="Times New Roman" w:hAnsi="宋体"/>
          <w:color w:val="000000"/>
          <w:kern w:val="2"/>
          <w:sz w:val="24"/>
          <w:szCs w:val="24"/>
          <w:lang w:val="en-US" w:eastAsia="zh-CN" w:bidi="ar-SA"/>
        </w:rPr>
        <w:t>16.50</w:t>
      </w:r>
      <w:r>
        <w:rPr>
          <w:rFonts w:hint="default" w:ascii="Times New Roman" w:hAnsi="Times New Roman" w:eastAsia="宋体" w:cs="Times New Roman"/>
          <w:b w:val="0"/>
          <w:bCs/>
          <w:sz w:val="24"/>
          <w:szCs w:val="24"/>
        </w:rPr>
        <w:t>μg/m</w:t>
      </w:r>
      <w:r>
        <w:rPr>
          <w:rFonts w:hint="default" w:ascii="Times New Roman" w:hAnsi="Times New Roman" w:eastAsia="宋体" w:cs="Times New Roman"/>
          <w:b w:val="0"/>
          <w:bCs/>
          <w:sz w:val="24"/>
          <w:szCs w:val="24"/>
          <w:vertAlign w:val="superscript"/>
          <w:lang w:val="en-US" w:eastAsia="zh-CN"/>
        </w:rPr>
        <w:t>3</w:t>
      </w:r>
      <w:r>
        <w:rPr>
          <w:rFonts w:hint="default" w:ascii="Times New Roman" w:hAnsi="宋体"/>
          <w:color w:val="000000"/>
          <w:kern w:val="2"/>
          <w:sz w:val="24"/>
          <w:szCs w:val="24"/>
          <w:lang w:val="en-US" w:eastAsia="zh-CN" w:bidi="ar-SA"/>
        </w:rPr>
        <w:t>（8.252%）</w:t>
      </w:r>
      <w:r>
        <w:rPr>
          <w:rFonts w:hint="eastAsia"/>
          <w:lang w:val="en-US" w:eastAsia="zh-CN"/>
        </w:rPr>
        <w:t>）</w:t>
      </w:r>
      <w:r>
        <w:rPr>
          <w:rFonts w:hint="eastAsia"/>
        </w:rPr>
        <w:t xml:space="preserve">小于10%，厂界外不存在短期贡献浓度超标点。 </w:t>
      </w:r>
    </w:p>
    <w:p>
      <w:pPr>
        <w:pStyle w:val="864"/>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default" w:ascii="Times New Roman" w:hAnsi="Times New Roman"/>
          <w:bCs/>
          <w:color w:val="FF0000"/>
          <w:kern w:val="2"/>
          <w:sz w:val="24"/>
          <w:szCs w:val="24"/>
          <w:lang w:val="en-US" w:eastAsia="zh-CN" w:bidi="ar-SA"/>
        </w:rPr>
      </w:pPr>
      <w:r>
        <w:rPr>
          <w:rFonts w:hint="eastAsia" w:ascii="宋体" w:hAnsi="宋体" w:eastAsia="宋体"/>
          <w:color w:val="000000"/>
          <w:sz w:val="24"/>
          <w:szCs w:val="24"/>
        </w:rPr>
        <w:t>因此，本项目无需设置大气</w:t>
      </w:r>
      <w:r>
        <w:rPr>
          <w:rFonts w:hint="eastAsia" w:ascii="宋体" w:hAnsi="宋体" w:eastAsia="宋体"/>
          <w:color w:val="000000"/>
          <w:sz w:val="24"/>
          <w:szCs w:val="24"/>
          <w:lang w:eastAsia="zh-CN"/>
        </w:rPr>
        <w:t>环境</w:t>
      </w:r>
      <w:r>
        <w:rPr>
          <w:rFonts w:hint="eastAsia" w:ascii="宋体" w:hAnsi="宋体" w:eastAsia="宋体"/>
          <w:color w:val="000000"/>
          <w:sz w:val="24"/>
          <w:szCs w:val="24"/>
        </w:rPr>
        <w:t xml:space="preserve">防护距离。 </w:t>
      </w:r>
    </w:p>
    <w:p>
      <w:pPr>
        <w:pStyle w:val="6"/>
        <w:rPr>
          <w:rFonts w:hint="eastAsia"/>
        </w:rPr>
      </w:pPr>
      <w:r>
        <w:rPr>
          <w:rFonts w:hint="eastAsia"/>
          <w:lang w:eastAsia="zh-CN"/>
        </w:rPr>
        <w:t xml:space="preserve">大气污染物排放量核算  </w:t>
      </w:r>
    </w:p>
    <w:p>
      <w:pPr>
        <w:pStyle w:val="8"/>
        <w:rPr>
          <w:rFonts w:hint="eastAsia"/>
          <w:lang w:val="en-US" w:eastAsia="zh-CN"/>
        </w:rPr>
      </w:pPr>
      <w:r>
        <w:rPr>
          <w:rFonts w:hint="eastAsia"/>
          <w:lang w:val="en-US" w:eastAsia="zh-CN"/>
        </w:rPr>
        <w:t>根据《环境影响评价技术导则 大气环境》（HJ2.2-2018），二级评价项目不进行进一步预测与评价，只对污染物排放量进行核算；三级评价不进行进一步预测与评价”。本项目为二级评价项目，不进行进一步预测与评价，仅需要对污染物排放量进行核算，见表5.2-7。</w:t>
      </w: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leftChars="0"/>
        <w:jc w:val="center"/>
        <w:textAlignment w:val="auto"/>
        <w:rPr>
          <w:rFonts w:hint="eastAsia" w:ascii="Times New Roman" w:hAnsi="Times New Roman" w:cs="Times New Roman"/>
          <w:b/>
          <w:color w:val="000000"/>
          <w:sz w:val="21"/>
          <w:szCs w:val="21"/>
          <w:lang w:eastAsia="zh-CN"/>
        </w:rPr>
      </w:pPr>
      <w:r>
        <w:rPr>
          <w:rFonts w:hint="default" w:ascii="Times New Roman" w:hAnsi="Times New Roman" w:cs="Times New Roman"/>
          <w:b/>
          <w:color w:val="000000"/>
          <w:sz w:val="21"/>
          <w:szCs w:val="21"/>
          <w:lang w:val="en-US" w:eastAsia="zh-CN"/>
        </w:rPr>
        <w:t>表</w:t>
      </w:r>
      <w:r>
        <w:rPr>
          <w:rFonts w:hint="eastAsia" w:ascii="Times New Roman" w:hAnsi="Times New Roman" w:cs="Times New Roman"/>
          <w:b/>
          <w:color w:val="000000"/>
          <w:sz w:val="21"/>
          <w:szCs w:val="21"/>
          <w:lang w:val="en-US" w:eastAsia="zh-CN"/>
        </w:rPr>
        <w:t>5.2-</w:t>
      </w:r>
      <w:r>
        <w:rPr>
          <w:rFonts w:hint="eastAsia" w:cs="Times New Roman"/>
          <w:b/>
          <w:color w:val="000000"/>
          <w:sz w:val="21"/>
          <w:szCs w:val="21"/>
          <w:lang w:val="en-US" w:eastAsia="zh-CN"/>
        </w:rPr>
        <w:t>7</w:t>
      </w:r>
      <w:r>
        <w:rPr>
          <w:rFonts w:hint="default" w:ascii="Times New Roman" w:hAnsi="Times New Roman" w:cs="Times New Roman"/>
          <w:b/>
          <w:color w:val="000000"/>
          <w:sz w:val="21"/>
          <w:szCs w:val="21"/>
          <w:lang w:val="en-US" w:eastAsia="zh-CN"/>
        </w:rPr>
        <w:t xml:space="preserve">  </w:t>
      </w:r>
      <w:r>
        <w:rPr>
          <w:rFonts w:hint="eastAsia" w:ascii="Times New Roman" w:hAnsi="Times New Roman" w:cs="Times New Roman"/>
          <w:b/>
          <w:color w:val="000000"/>
          <w:sz w:val="21"/>
          <w:szCs w:val="21"/>
          <w:lang w:val="en-US" w:eastAsia="zh-CN"/>
        </w:rPr>
        <w:t>大气污染物</w:t>
      </w:r>
      <w:r>
        <w:rPr>
          <w:rFonts w:hint="eastAsia" w:ascii="Times New Roman" w:hAnsi="Times New Roman" w:cs="Times New Roman"/>
          <w:b/>
          <w:color w:val="000000"/>
          <w:sz w:val="21"/>
          <w:szCs w:val="21"/>
          <w:lang w:eastAsia="zh-CN"/>
        </w:rPr>
        <w:t>无组织排放量核算表</w:t>
      </w:r>
    </w:p>
    <w:tbl>
      <w:tblPr>
        <w:tblStyle w:val="6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2"/>
        <w:gridCol w:w="743"/>
        <w:gridCol w:w="1498"/>
        <w:gridCol w:w="765"/>
        <w:gridCol w:w="6"/>
        <w:gridCol w:w="987"/>
        <w:gridCol w:w="2649"/>
        <w:gridCol w:w="1341"/>
        <w:gridCol w:w="6"/>
        <w:gridCol w:w="1319"/>
        <w:gridCol w:w="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 w:type="pct"/>
        </w:trPr>
        <w:tc>
          <w:tcPr>
            <w:tcW w:w="294" w:type="pct"/>
            <w:vMerge w:val="restart"/>
            <w:tcBorders>
              <w:top w:val="single" w:color="auto" w:sz="12" w:space="0"/>
              <w:lef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r>
              <w:rPr>
                <w:rFonts w:hint="default" w:ascii="Times New Roman" w:hAnsi="Times New Roman" w:eastAsia="宋体" w:cs="Times New Roman"/>
                <w:b w:val="0"/>
                <w:bCs/>
                <w:color w:val="000000"/>
                <w:sz w:val="21"/>
                <w:szCs w:val="21"/>
                <w:vertAlign w:val="baseline"/>
                <w:lang w:eastAsia="zh-CN"/>
              </w:rPr>
              <w:t>序号</w:t>
            </w:r>
          </w:p>
        </w:tc>
        <w:tc>
          <w:tcPr>
            <w:tcW w:w="375" w:type="pct"/>
            <w:vMerge w:val="restart"/>
            <w:tcBorders>
              <w:top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r>
              <w:rPr>
                <w:rFonts w:hint="default" w:ascii="Times New Roman" w:hAnsi="Times New Roman" w:eastAsia="宋体" w:cs="Times New Roman"/>
                <w:b w:val="0"/>
                <w:bCs/>
                <w:color w:val="000000"/>
                <w:sz w:val="21"/>
                <w:szCs w:val="21"/>
                <w:vertAlign w:val="baseline"/>
                <w:lang w:eastAsia="zh-CN"/>
              </w:rPr>
              <w:t>排放口编号</w:t>
            </w:r>
          </w:p>
        </w:tc>
        <w:tc>
          <w:tcPr>
            <w:tcW w:w="756" w:type="pct"/>
            <w:vMerge w:val="restart"/>
            <w:tcBorders>
              <w:top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r>
              <w:rPr>
                <w:rFonts w:hint="default" w:ascii="Times New Roman" w:hAnsi="Times New Roman" w:eastAsia="宋体" w:cs="Times New Roman"/>
                <w:b w:val="0"/>
                <w:bCs/>
                <w:color w:val="000000"/>
                <w:sz w:val="21"/>
                <w:szCs w:val="21"/>
                <w:vertAlign w:val="baseline"/>
                <w:lang w:eastAsia="zh-CN"/>
              </w:rPr>
              <w:t>产污环节</w:t>
            </w:r>
          </w:p>
        </w:tc>
        <w:tc>
          <w:tcPr>
            <w:tcW w:w="386" w:type="pct"/>
            <w:vMerge w:val="restart"/>
            <w:tcBorders>
              <w:top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r>
              <w:rPr>
                <w:rFonts w:hint="default" w:ascii="Times New Roman" w:hAnsi="Times New Roman" w:eastAsia="宋体" w:cs="Times New Roman"/>
                <w:b w:val="0"/>
                <w:bCs/>
                <w:color w:val="000000"/>
                <w:sz w:val="21"/>
                <w:szCs w:val="21"/>
                <w:vertAlign w:val="baseline"/>
                <w:lang w:eastAsia="zh-CN"/>
              </w:rPr>
              <w:t>污染物</w:t>
            </w:r>
          </w:p>
        </w:tc>
        <w:tc>
          <w:tcPr>
            <w:tcW w:w="501" w:type="pct"/>
            <w:gridSpan w:val="2"/>
            <w:vMerge w:val="restart"/>
            <w:tcBorders>
              <w:top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r>
              <w:rPr>
                <w:rFonts w:hint="default" w:ascii="Times New Roman" w:hAnsi="Times New Roman" w:eastAsia="宋体" w:cs="Times New Roman"/>
                <w:b w:val="0"/>
                <w:bCs/>
                <w:color w:val="000000"/>
                <w:sz w:val="21"/>
                <w:szCs w:val="21"/>
                <w:vertAlign w:val="baseline"/>
                <w:lang w:eastAsia="zh-CN"/>
              </w:rPr>
              <w:t>主要污染防治措施</w:t>
            </w:r>
          </w:p>
        </w:tc>
        <w:tc>
          <w:tcPr>
            <w:tcW w:w="2014" w:type="pct"/>
            <w:gridSpan w:val="2"/>
            <w:tcBorders>
              <w:top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r>
              <w:rPr>
                <w:rFonts w:hint="default" w:ascii="Times New Roman" w:hAnsi="Times New Roman" w:eastAsia="宋体" w:cs="Times New Roman"/>
                <w:b w:val="0"/>
                <w:bCs/>
                <w:color w:val="000000"/>
                <w:sz w:val="21"/>
                <w:szCs w:val="21"/>
                <w:vertAlign w:val="baseline"/>
                <w:lang w:eastAsia="zh-CN"/>
              </w:rPr>
              <w:t>国家或地方污染物排放标准</w:t>
            </w:r>
          </w:p>
        </w:tc>
        <w:tc>
          <w:tcPr>
            <w:tcW w:w="669" w:type="pct"/>
            <w:gridSpan w:val="2"/>
            <w:vMerge w:val="restart"/>
            <w:tcBorders>
              <w:top w:val="single" w:color="auto" w:sz="12" w:space="0"/>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r>
              <w:rPr>
                <w:rFonts w:hint="default" w:ascii="Times New Roman" w:hAnsi="Times New Roman" w:eastAsia="宋体" w:cs="Times New Roman"/>
                <w:b w:val="0"/>
                <w:bCs/>
                <w:color w:val="000000"/>
                <w:sz w:val="21"/>
                <w:szCs w:val="21"/>
                <w:vertAlign w:val="baseline"/>
                <w:lang w:eastAsia="zh-CN"/>
              </w:rPr>
              <w:t>年排放量</w:t>
            </w:r>
          </w:p>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r>
              <w:rPr>
                <w:rFonts w:hint="default" w:ascii="Times New Roman" w:hAnsi="Times New Roman" w:eastAsia="宋体" w:cs="Times New Roman"/>
                <w:b w:val="0"/>
                <w:bCs/>
                <w:color w:val="000000"/>
                <w:sz w:val="21"/>
                <w:szCs w:val="21"/>
                <w:vertAlign w:val="baseline"/>
                <w:lang w:eastAsia="zh-CN"/>
              </w:rPr>
              <w:t>（</w:t>
            </w:r>
            <w:r>
              <w:rPr>
                <w:rFonts w:hint="default" w:ascii="Times New Roman" w:hAnsi="Times New Roman" w:eastAsia="宋体" w:cs="Times New Roman"/>
                <w:b w:val="0"/>
                <w:bCs/>
                <w:color w:val="000000"/>
                <w:sz w:val="21"/>
                <w:szCs w:val="21"/>
                <w:vertAlign w:val="baseline"/>
                <w:lang w:val="en-US" w:eastAsia="zh-CN"/>
              </w:rPr>
              <w:t>t/a</w:t>
            </w:r>
            <w:r>
              <w:rPr>
                <w:rFonts w:hint="default" w:ascii="Times New Roman" w:hAnsi="Times New Roman" w:eastAsia="宋体" w:cs="Times New Roman"/>
                <w:b w:val="0"/>
                <w:bCs/>
                <w:color w:val="000000"/>
                <w:sz w:val="21"/>
                <w:szCs w:val="21"/>
                <w:vertAlign w:val="baseline"/>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 w:type="pct"/>
        </w:trPr>
        <w:tc>
          <w:tcPr>
            <w:tcW w:w="294" w:type="pct"/>
            <w:vMerge w:val="continue"/>
            <w:tcBorders>
              <w:left w:val="nil"/>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p>
        </w:tc>
        <w:tc>
          <w:tcPr>
            <w:tcW w:w="375" w:type="pct"/>
            <w:vMerge w:val="continue"/>
            <w:tcBorders>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p>
        </w:tc>
        <w:tc>
          <w:tcPr>
            <w:tcW w:w="756" w:type="pct"/>
            <w:vMerge w:val="continue"/>
            <w:tcBorders>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p>
        </w:tc>
        <w:tc>
          <w:tcPr>
            <w:tcW w:w="386" w:type="pct"/>
            <w:vMerge w:val="continue"/>
            <w:tcBorders>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p>
        </w:tc>
        <w:tc>
          <w:tcPr>
            <w:tcW w:w="501" w:type="pct"/>
            <w:gridSpan w:val="2"/>
            <w:vMerge w:val="continue"/>
            <w:tcBorders>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p>
        </w:tc>
        <w:tc>
          <w:tcPr>
            <w:tcW w:w="1337" w:type="pct"/>
            <w:tcBorders>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r>
              <w:rPr>
                <w:rFonts w:hint="default" w:ascii="Times New Roman" w:hAnsi="Times New Roman" w:eastAsia="宋体" w:cs="Times New Roman"/>
                <w:b w:val="0"/>
                <w:bCs/>
                <w:color w:val="000000"/>
                <w:sz w:val="21"/>
                <w:szCs w:val="21"/>
                <w:vertAlign w:val="baseline"/>
                <w:lang w:eastAsia="zh-CN"/>
              </w:rPr>
              <w:t>标准名称</w:t>
            </w:r>
          </w:p>
        </w:tc>
        <w:tc>
          <w:tcPr>
            <w:tcW w:w="677" w:type="pct"/>
            <w:tcBorders>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val="en-US" w:eastAsia="zh-CN"/>
              </w:rPr>
            </w:pPr>
            <w:r>
              <w:rPr>
                <w:rFonts w:hint="default" w:ascii="Times New Roman" w:hAnsi="Times New Roman" w:eastAsia="宋体" w:cs="Times New Roman"/>
                <w:b w:val="0"/>
                <w:bCs/>
                <w:color w:val="000000"/>
                <w:sz w:val="21"/>
                <w:szCs w:val="21"/>
                <w:vertAlign w:val="baseline"/>
                <w:lang w:eastAsia="zh-CN"/>
              </w:rPr>
              <w:t>浓度限值</w:t>
            </w:r>
            <w:r>
              <w:rPr>
                <w:rFonts w:hint="default" w:ascii="Times New Roman" w:hAnsi="Times New Roman" w:eastAsia="宋体" w:cs="Times New Roman"/>
                <w:b w:val="0"/>
                <w:bCs/>
                <w:color w:val="000000"/>
                <w:sz w:val="21"/>
                <w:szCs w:val="21"/>
                <w:vertAlign w:val="baseline"/>
                <w:lang w:val="en-US" w:eastAsia="zh-CN"/>
              </w:rPr>
              <w:t>(</w:t>
            </w:r>
            <w:r>
              <w:rPr>
                <w:rFonts w:hint="eastAsia" w:cs="Times New Roman"/>
                <w:b w:val="0"/>
                <w:bCs/>
                <w:color w:val="000000"/>
                <w:sz w:val="21"/>
                <w:szCs w:val="21"/>
                <w:vertAlign w:val="baseline"/>
                <w:lang w:val="en-US" w:eastAsia="zh-CN"/>
              </w:rPr>
              <w:t>m</w:t>
            </w:r>
            <w:r>
              <w:rPr>
                <w:rFonts w:hint="default" w:ascii="Times New Roman" w:hAnsi="Times New Roman" w:eastAsia="宋体" w:cs="Times New Roman"/>
                <w:b w:val="0"/>
                <w:bCs/>
                <w:color w:val="000000"/>
                <w:sz w:val="21"/>
                <w:szCs w:val="21"/>
                <w:vertAlign w:val="baseline"/>
                <w:lang w:val="en-US" w:eastAsia="zh-CN"/>
              </w:rPr>
              <w:t>g/m</w:t>
            </w:r>
            <w:r>
              <w:rPr>
                <w:rFonts w:hint="default" w:ascii="Times New Roman" w:hAnsi="Times New Roman" w:eastAsia="宋体" w:cs="Times New Roman"/>
                <w:b w:val="0"/>
                <w:bCs/>
                <w:color w:val="000000"/>
                <w:sz w:val="21"/>
                <w:szCs w:val="21"/>
                <w:vertAlign w:val="superscript"/>
                <w:lang w:val="en-US" w:eastAsia="zh-CN"/>
              </w:rPr>
              <w:t>3</w:t>
            </w:r>
            <w:r>
              <w:rPr>
                <w:rFonts w:hint="default" w:ascii="Times New Roman" w:hAnsi="Times New Roman" w:eastAsia="宋体" w:cs="Times New Roman"/>
                <w:b w:val="0"/>
                <w:bCs/>
                <w:color w:val="000000"/>
                <w:sz w:val="21"/>
                <w:szCs w:val="21"/>
                <w:vertAlign w:val="baseline"/>
                <w:lang w:val="en-US" w:eastAsia="zh-CN"/>
              </w:rPr>
              <w:t>）</w:t>
            </w:r>
          </w:p>
        </w:tc>
        <w:tc>
          <w:tcPr>
            <w:tcW w:w="669" w:type="pct"/>
            <w:gridSpan w:val="2"/>
            <w:vMerge w:val="continue"/>
            <w:tcBorders>
              <w:bottom w:val="single" w:color="auto" w:sz="12" w:space="0"/>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 w:type="pct"/>
          <w:trHeight w:val="456" w:hRule="atLeast"/>
        </w:trPr>
        <w:tc>
          <w:tcPr>
            <w:tcW w:w="294" w:type="pct"/>
            <w:vMerge w:val="restart"/>
            <w:tcBorders>
              <w:top w:val="single" w:color="auto" w:sz="12" w:space="0"/>
              <w:left w:val="nil"/>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val="en-US" w:eastAsia="zh-CN"/>
              </w:rPr>
            </w:pPr>
            <w:r>
              <w:rPr>
                <w:rFonts w:hint="default" w:ascii="Times New Roman" w:hAnsi="Times New Roman" w:eastAsia="宋体" w:cs="Times New Roman"/>
                <w:b w:val="0"/>
                <w:bCs/>
                <w:color w:val="000000"/>
                <w:sz w:val="21"/>
                <w:szCs w:val="21"/>
                <w:vertAlign w:val="baseline"/>
                <w:lang w:val="en-US" w:eastAsia="zh-CN"/>
              </w:rPr>
              <w:t>1</w:t>
            </w:r>
          </w:p>
        </w:tc>
        <w:tc>
          <w:tcPr>
            <w:tcW w:w="375" w:type="pct"/>
            <w:vMerge w:val="restart"/>
            <w:tcBorders>
              <w:top w:val="single" w:color="auto" w:sz="12" w:space="0"/>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r>
              <w:rPr>
                <w:rFonts w:hint="default" w:ascii="Times New Roman" w:hAnsi="Times New Roman" w:eastAsia="宋体" w:cs="Times New Roman"/>
                <w:b w:val="0"/>
                <w:bCs/>
                <w:color w:val="000000"/>
                <w:sz w:val="21"/>
                <w:szCs w:val="21"/>
                <w:vertAlign w:val="baseline"/>
                <w:lang w:eastAsia="zh-CN"/>
              </w:rPr>
              <w:t>厂界</w:t>
            </w:r>
          </w:p>
        </w:tc>
        <w:tc>
          <w:tcPr>
            <w:tcW w:w="756" w:type="pct"/>
            <w:vMerge w:val="restart"/>
            <w:tcBorders>
              <w:top w:val="single" w:color="auto" w:sz="12" w:space="0"/>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r>
              <w:rPr>
                <w:rFonts w:hint="default" w:ascii="Times New Roman" w:hAnsi="Times New Roman" w:eastAsia="宋体" w:cs="Times New Roman"/>
                <w:b w:val="0"/>
                <w:bCs/>
                <w:color w:val="000000"/>
                <w:sz w:val="21"/>
                <w:szCs w:val="21"/>
                <w:vertAlign w:val="baseline"/>
                <w:lang w:eastAsia="zh-CN"/>
              </w:rPr>
              <w:t>猪舍、污水处理设施、异位发酵床</w:t>
            </w:r>
          </w:p>
        </w:tc>
        <w:tc>
          <w:tcPr>
            <w:tcW w:w="386" w:type="pct"/>
            <w:tcBorders>
              <w:top w:val="single" w:color="auto" w:sz="12" w:space="0"/>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val="en-US" w:eastAsia="zh-CN"/>
              </w:rPr>
            </w:pPr>
            <w:r>
              <w:rPr>
                <w:rFonts w:hint="default" w:ascii="Times New Roman" w:hAnsi="Times New Roman" w:eastAsia="宋体" w:cs="Times New Roman"/>
                <w:b w:val="0"/>
                <w:bCs/>
                <w:color w:val="000000"/>
                <w:sz w:val="21"/>
                <w:szCs w:val="21"/>
                <w:vertAlign w:val="baseline"/>
                <w:lang w:val="en-US" w:eastAsia="zh-CN"/>
              </w:rPr>
              <w:t>NH</w:t>
            </w:r>
            <w:r>
              <w:rPr>
                <w:rFonts w:hint="default" w:ascii="Times New Roman" w:hAnsi="Times New Roman" w:eastAsia="宋体" w:cs="Times New Roman"/>
                <w:b w:val="0"/>
                <w:bCs/>
                <w:color w:val="000000"/>
                <w:sz w:val="21"/>
                <w:szCs w:val="21"/>
                <w:vertAlign w:val="subscript"/>
                <w:lang w:val="en-US" w:eastAsia="zh-CN"/>
              </w:rPr>
              <w:t>3</w:t>
            </w:r>
          </w:p>
        </w:tc>
        <w:tc>
          <w:tcPr>
            <w:tcW w:w="501" w:type="pct"/>
            <w:gridSpan w:val="2"/>
            <w:vMerge w:val="restart"/>
            <w:tcBorders>
              <w:top w:val="single" w:color="auto" w:sz="12" w:space="0"/>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r>
              <w:rPr>
                <w:rFonts w:hint="eastAsia" w:cs="Times New Roman"/>
                <w:b w:val="0"/>
                <w:bCs/>
                <w:color w:val="000000"/>
                <w:sz w:val="21"/>
                <w:szCs w:val="21"/>
                <w:vertAlign w:val="baseline"/>
                <w:lang w:eastAsia="zh-CN"/>
              </w:rPr>
              <w:t>生物</w:t>
            </w:r>
            <w:r>
              <w:rPr>
                <w:rFonts w:hint="default" w:ascii="Times New Roman" w:hAnsi="Times New Roman" w:eastAsia="宋体" w:cs="Times New Roman"/>
                <w:b w:val="0"/>
                <w:bCs/>
                <w:color w:val="000000"/>
                <w:sz w:val="21"/>
                <w:szCs w:val="21"/>
                <w:vertAlign w:val="baseline"/>
                <w:lang w:eastAsia="zh-CN"/>
              </w:rPr>
              <w:t>除臭剂、绿化稀释</w:t>
            </w:r>
          </w:p>
        </w:tc>
        <w:tc>
          <w:tcPr>
            <w:tcW w:w="1337" w:type="pct"/>
            <w:vMerge w:val="restart"/>
            <w:tcBorders>
              <w:top w:val="single" w:color="auto" w:sz="12" w:space="0"/>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val="en-US" w:eastAsia="zh-CN"/>
              </w:rPr>
            </w:pPr>
            <w:r>
              <w:rPr>
                <w:rFonts w:hint="default" w:ascii="Times New Roman" w:hAnsi="Times New Roman" w:eastAsia="宋体" w:cs="Times New Roman"/>
                <w:b w:val="0"/>
                <w:bCs/>
                <w:color w:val="000000"/>
                <w:sz w:val="21"/>
                <w:szCs w:val="21"/>
                <w:vertAlign w:val="baseline"/>
                <w:lang w:eastAsia="zh-CN"/>
              </w:rPr>
              <w:t>《恶臭污染物排放标准》（</w:t>
            </w:r>
            <w:r>
              <w:rPr>
                <w:rFonts w:hint="default" w:ascii="Times New Roman" w:hAnsi="Times New Roman" w:eastAsia="宋体" w:cs="Times New Roman"/>
                <w:b w:val="0"/>
                <w:bCs/>
                <w:color w:val="000000"/>
                <w:sz w:val="21"/>
                <w:szCs w:val="21"/>
                <w:vertAlign w:val="baseline"/>
                <w:lang w:val="en-US" w:eastAsia="zh-CN"/>
              </w:rPr>
              <w:t>GB14554-93</w:t>
            </w:r>
            <w:r>
              <w:rPr>
                <w:rFonts w:hint="default" w:ascii="Times New Roman" w:hAnsi="Times New Roman" w:eastAsia="宋体" w:cs="Times New Roman"/>
                <w:b w:val="0"/>
                <w:bCs/>
                <w:color w:val="000000"/>
                <w:sz w:val="21"/>
                <w:szCs w:val="21"/>
                <w:vertAlign w:val="baseline"/>
                <w:lang w:eastAsia="zh-CN"/>
              </w:rPr>
              <w:t>）中表</w:t>
            </w:r>
            <w:r>
              <w:rPr>
                <w:rFonts w:hint="default" w:ascii="Times New Roman" w:hAnsi="Times New Roman" w:eastAsia="宋体" w:cs="Times New Roman"/>
                <w:b w:val="0"/>
                <w:bCs/>
                <w:color w:val="000000"/>
                <w:sz w:val="21"/>
                <w:szCs w:val="21"/>
                <w:vertAlign w:val="baseline"/>
                <w:lang w:val="en-US" w:eastAsia="zh-CN"/>
              </w:rPr>
              <w:t>1新改扩建二级厂界标准</w:t>
            </w:r>
          </w:p>
        </w:tc>
        <w:tc>
          <w:tcPr>
            <w:tcW w:w="677" w:type="pct"/>
            <w:tcBorders>
              <w:top w:val="single" w:color="auto" w:sz="12" w:space="0"/>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val="en-US" w:eastAsia="zh-CN"/>
              </w:rPr>
            </w:pPr>
            <w:r>
              <w:rPr>
                <w:rFonts w:hint="default" w:ascii="Times New Roman" w:hAnsi="Times New Roman" w:eastAsia="宋体" w:cs="Times New Roman"/>
                <w:b w:val="0"/>
                <w:bCs/>
                <w:color w:val="000000"/>
                <w:sz w:val="21"/>
                <w:szCs w:val="21"/>
                <w:vertAlign w:val="baseline"/>
                <w:lang w:val="en-US" w:eastAsia="zh-CN"/>
              </w:rPr>
              <w:t>1.5</w:t>
            </w:r>
          </w:p>
        </w:tc>
        <w:tc>
          <w:tcPr>
            <w:tcW w:w="669" w:type="pct"/>
            <w:gridSpan w:val="2"/>
            <w:tcBorders>
              <w:top w:val="single" w:color="auto" w:sz="12" w:space="0"/>
              <w:bottom w:val="single" w:color="auto" w:sz="4" w:space="0"/>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b w:val="0"/>
                <w:bCs/>
                <w:color w:val="000000"/>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 w:type="pct"/>
        </w:trPr>
        <w:tc>
          <w:tcPr>
            <w:tcW w:w="294" w:type="pct"/>
            <w:vMerge w:val="continue"/>
            <w:tcBorders>
              <w:top w:val="single" w:color="auto" w:sz="4" w:space="0"/>
              <w:left w:val="nil"/>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p>
        </w:tc>
        <w:tc>
          <w:tcPr>
            <w:tcW w:w="375" w:type="pct"/>
            <w:vMerge w:val="continue"/>
            <w:tcBorders>
              <w:top w:val="single" w:color="auto" w:sz="4" w:space="0"/>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p>
        </w:tc>
        <w:tc>
          <w:tcPr>
            <w:tcW w:w="756" w:type="pct"/>
            <w:vMerge w:val="continue"/>
            <w:tcBorders>
              <w:top w:val="single" w:color="auto" w:sz="4" w:space="0"/>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p>
        </w:tc>
        <w:tc>
          <w:tcPr>
            <w:tcW w:w="386" w:type="pct"/>
            <w:tcBorders>
              <w:top w:val="single" w:color="auto" w:sz="4" w:space="0"/>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val="en-US" w:eastAsia="zh-CN"/>
              </w:rPr>
            </w:pPr>
            <w:r>
              <w:rPr>
                <w:rFonts w:hint="default" w:ascii="Times New Roman" w:hAnsi="Times New Roman" w:eastAsia="宋体" w:cs="Times New Roman"/>
                <w:b w:val="0"/>
                <w:bCs/>
                <w:color w:val="000000"/>
                <w:sz w:val="21"/>
                <w:szCs w:val="21"/>
                <w:vertAlign w:val="baseline"/>
                <w:lang w:val="en-US" w:eastAsia="zh-CN"/>
              </w:rPr>
              <w:t>H</w:t>
            </w:r>
            <w:r>
              <w:rPr>
                <w:rFonts w:hint="eastAsia" w:ascii="Times New Roman" w:hAnsi="Times New Roman" w:eastAsia="宋体" w:cs="Times New Roman"/>
                <w:b w:val="0"/>
                <w:bCs/>
                <w:color w:val="000000"/>
                <w:sz w:val="21"/>
                <w:szCs w:val="21"/>
                <w:vertAlign w:val="subscript"/>
                <w:lang w:val="en-US" w:eastAsia="zh-CN"/>
              </w:rPr>
              <w:t>2</w:t>
            </w:r>
            <w:r>
              <w:rPr>
                <w:rFonts w:hint="eastAsia" w:ascii="Times New Roman" w:hAnsi="Times New Roman" w:eastAsia="宋体" w:cs="Times New Roman"/>
                <w:b w:val="0"/>
                <w:bCs/>
                <w:color w:val="000000"/>
                <w:sz w:val="21"/>
                <w:szCs w:val="21"/>
                <w:vertAlign w:val="baseline"/>
                <w:lang w:val="en-US" w:eastAsia="zh-CN"/>
              </w:rPr>
              <w:t>S</w:t>
            </w:r>
          </w:p>
        </w:tc>
        <w:tc>
          <w:tcPr>
            <w:tcW w:w="501" w:type="pct"/>
            <w:gridSpan w:val="2"/>
            <w:vMerge w:val="continue"/>
            <w:tcBorders>
              <w:top w:val="single" w:color="auto" w:sz="4" w:space="0"/>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p>
        </w:tc>
        <w:tc>
          <w:tcPr>
            <w:tcW w:w="1337" w:type="pct"/>
            <w:vMerge w:val="continue"/>
            <w:tcBorders>
              <w:top w:val="single" w:color="auto" w:sz="4" w:space="0"/>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eastAsia="zh-CN"/>
              </w:rPr>
            </w:pPr>
          </w:p>
        </w:tc>
        <w:tc>
          <w:tcPr>
            <w:tcW w:w="677" w:type="pct"/>
            <w:tcBorders>
              <w:top w:val="single" w:color="auto" w:sz="4" w:space="0"/>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sz w:val="21"/>
                <w:szCs w:val="21"/>
                <w:vertAlign w:val="baseline"/>
                <w:lang w:val="en-US" w:eastAsia="zh-CN"/>
              </w:rPr>
            </w:pPr>
            <w:r>
              <w:rPr>
                <w:rFonts w:hint="default" w:ascii="Times New Roman" w:hAnsi="Times New Roman" w:eastAsia="宋体" w:cs="Times New Roman"/>
                <w:b w:val="0"/>
                <w:bCs/>
                <w:color w:val="000000"/>
                <w:sz w:val="21"/>
                <w:szCs w:val="21"/>
                <w:vertAlign w:val="baseline"/>
                <w:lang w:val="en-US" w:eastAsia="zh-CN"/>
              </w:rPr>
              <w:t>0.06</w:t>
            </w:r>
          </w:p>
        </w:tc>
        <w:tc>
          <w:tcPr>
            <w:tcW w:w="669" w:type="pct"/>
            <w:gridSpan w:val="2"/>
            <w:tcBorders>
              <w:top w:val="single" w:color="auto" w:sz="4" w:space="0"/>
              <w:bottom w:val="single" w:color="auto" w:sz="4" w:space="0"/>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b w:val="0"/>
                <w:bCs/>
                <w:color w:val="000000"/>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0.0048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11"/>
            <w:tcBorders>
              <w:top w:val="single" w:color="auto" w:sz="4" w:space="0"/>
              <w:left w:val="nil"/>
              <w:bottom w:val="single" w:color="auto" w:sz="4" w:space="0"/>
              <w:right w:val="nil"/>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cs="Times New Roman"/>
                <w:b w:val="0"/>
                <w:bCs/>
                <w:color w:val="000000"/>
                <w:sz w:val="21"/>
                <w:szCs w:val="21"/>
                <w:vertAlign w:val="baseline"/>
                <w:lang w:eastAsia="zh-CN"/>
              </w:rPr>
            </w:pPr>
            <w:r>
              <w:rPr>
                <w:rFonts w:hint="eastAsia" w:ascii="Times New Roman" w:hAnsi="Times New Roman" w:cs="Times New Roman"/>
                <w:b w:val="0"/>
                <w:bCs/>
                <w:color w:val="000000"/>
                <w:sz w:val="21"/>
                <w:szCs w:val="21"/>
                <w:vertAlign w:val="baseline"/>
                <w:lang w:eastAsia="zh-CN"/>
              </w:rPr>
              <w:t>无组织排放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4" w:type="pct"/>
            <w:gridSpan w:val="5"/>
            <w:vMerge w:val="restart"/>
            <w:tcBorders>
              <w:top w:val="single" w:color="auto" w:sz="4" w:space="0"/>
              <w:left w:val="nil"/>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b w:val="0"/>
                <w:bCs/>
                <w:color w:val="000000"/>
                <w:sz w:val="21"/>
                <w:szCs w:val="21"/>
                <w:vertAlign w:val="baseline"/>
                <w:lang w:val="en-US" w:eastAsia="zh-CN"/>
              </w:rPr>
            </w:pPr>
            <w:r>
              <w:rPr>
                <w:rFonts w:hint="eastAsia" w:ascii="Times New Roman" w:hAnsi="Times New Roman" w:cs="Times New Roman"/>
                <w:b w:val="0"/>
                <w:bCs/>
                <w:color w:val="000000"/>
                <w:sz w:val="21"/>
                <w:szCs w:val="21"/>
                <w:vertAlign w:val="baseline"/>
                <w:lang w:val="en-US" w:eastAsia="zh-CN"/>
              </w:rPr>
              <w:t>无组织排放总计</w:t>
            </w:r>
          </w:p>
        </w:tc>
        <w:tc>
          <w:tcPr>
            <w:tcW w:w="2515" w:type="pct"/>
            <w:gridSpan w:val="4"/>
            <w:tcBorders>
              <w:top w:val="single" w:color="auto" w:sz="4" w:space="0"/>
              <w:bottom w:val="single" w:color="auto" w:sz="4"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cs="Times New Roman"/>
                <w:b w:val="0"/>
                <w:bCs/>
                <w:color w:val="000000"/>
                <w:sz w:val="21"/>
                <w:szCs w:val="21"/>
                <w:vertAlign w:val="baseline"/>
                <w:lang w:eastAsia="zh-CN"/>
              </w:rPr>
            </w:pPr>
            <w:r>
              <w:rPr>
                <w:rFonts w:hint="default" w:ascii="Times New Roman" w:hAnsi="Times New Roman" w:eastAsia="宋体" w:cs="Times New Roman"/>
                <w:b w:val="0"/>
                <w:bCs/>
                <w:color w:val="000000"/>
                <w:sz w:val="21"/>
                <w:szCs w:val="21"/>
                <w:vertAlign w:val="baseline"/>
                <w:lang w:val="en-US" w:eastAsia="zh-CN"/>
              </w:rPr>
              <w:t>NH</w:t>
            </w:r>
            <w:r>
              <w:rPr>
                <w:rFonts w:hint="default" w:ascii="Times New Roman" w:hAnsi="Times New Roman" w:eastAsia="宋体" w:cs="Times New Roman"/>
                <w:b w:val="0"/>
                <w:bCs/>
                <w:color w:val="000000"/>
                <w:sz w:val="21"/>
                <w:szCs w:val="21"/>
                <w:vertAlign w:val="subscript"/>
                <w:lang w:val="en-US" w:eastAsia="zh-CN"/>
              </w:rPr>
              <w:t>3</w:t>
            </w:r>
          </w:p>
        </w:tc>
        <w:tc>
          <w:tcPr>
            <w:tcW w:w="1329" w:type="dxa"/>
            <w:gridSpan w:val="2"/>
            <w:tcBorders>
              <w:top w:val="single" w:color="auto" w:sz="4" w:space="0"/>
              <w:bottom w:val="single" w:color="auto" w:sz="4" w:space="0"/>
              <w:right w:val="nil"/>
            </w:tcBorders>
            <w:vAlign w:val="center"/>
          </w:tcPr>
          <w:p>
            <w:pPr>
              <w:keepNext w:val="0"/>
              <w:keepLines w:val="0"/>
              <w:widowControl/>
              <w:suppressLineNumbers w:val="0"/>
              <w:jc w:val="center"/>
              <w:textAlignment w:val="center"/>
              <w:rPr>
                <w:rFonts w:hint="eastAsia" w:ascii="Times New Roman" w:hAnsi="Times New Roman" w:cs="Times New Roman"/>
                <w:b w:val="0"/>
                <w:bCs/>
                <w:color w:val="00000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4" w:type="pct"/>
            <w:gridSpan w:val="5"/>
            <w:vMerge w:val="continue"/>
            <w:tcBorders>
              <w:top w:val="single" w:color="auto" w:sz="4" w:space="0"/>
              <w:left w:val="nil"/>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cs="Times New Roman"/>
                <w:b w:val="0"/>
                <w:bCs/>
                <w:color w:val="000000"/>
                <w:sz w:val="21"/>
                <w:szCs w:val="21"/>
                <w:vertAlign w:val="baseline"/>
                <w:lang w:eastAsia="zh-CN"/>
              </w:rPr>
            </w:pPr>
          </w:p>
        </w:tc>
        <w:tc>
          <w:tcPr>
            <w:tcW w:w="2515" w:type="pct"/>
            <w:gridSpan w:val="4"/>
            <w:tcBorders>
              <w:top w:val="single" w:color="auto" w:sz="4" w:space="0"/>
              <w:bottom w:val="single" w:color="auto" w:sz="12" w:space="0"/>
            </w:tcBorders>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cs="Times New Roman"/>
                <w:b w:val="0"/>
                <w:bCs/>
                <w:color w:val="000000"/>
                <w:sz w:val="21"/>
                <w:szCs w:val="21"/>
                <w:vertAlign w:val="baseline"/>
                <w:lang w:eastAsia="zh-CN"/>
              </w:rPr>
            </w:pPr>
            <w:r>
              <w:rPr>
                <w:rFonts w:hint="default" w:ascii="Times New Roman" w:hAnsi="Times New Roman" w:eastAsia="宋体" w:cs="Times New Roman"/>
                <w:b w:val="0"/>
                <w:bCs/>
                <w:color w:val="000000"/>
                <w:sz w:val="21"/>
                <w:szCs w:val="21"/>
                <w:vertAlign w:val="baseline"/>
                <w:lang w:val="en-US" w:eastAsia="zh-CN"/>
              </w:rPr>
              <w:t>H</w:t>
            </w:r>
            <w:r>
              <w:rPr>
                <w:rFonts w:hint="eastAsia" w:ascii="Times New Roman" w:hAnsi="Times New Roman" w:eastAsia="宋体" w:cs="Times New Roman"/>
                <w:b w:val="0"/>
                <w:bCs/>
                <w:color w:val="000000"/>
                <w:sz w:val="21"/>
                <w:szCs w:val="21"/>
                <w:vertAlign w:val="subscript"/>
                <w:lang w:val="en-US" w:eastAsia="zh-CN"/>
              </w:rPr>
              <w:t>2</w:t>
            </w:r>
            <w:r>
              <w:rPr>
                <w:rFonts w:hint="eastAsia" w:ascii="Times New Roman" w:hAnsi="Times New Roman" w:eastAsia="宋体" w:cs="Times New Roman"/>
                <w:b w:val="0"/>
                <w:bCs/>
                <w:color w:val="000000"/>
                <w:sz w:val="21"/>
                <w:szCs w:val="21"/>
                <w:vertAlign w:val="baseline"/>
                <w:lang w:val="en-US" w:eastAsia="zh-CN"/>
              </w:rPr>
              <w:t>S</w:t>
            </w:r>
          </w:p>
        </w:tc>
        <w:tc>
          <w:tcPr>
            <w:tcW w:w="1329" w:type="dxa"/>
            <w:gridSpan w:val="2"/>
            <w:tcBorders>
              <w:top w:val="single" w:color="auto" w:sz="4" w:space="0"/>
              <w:bottom w:val="single" w:color="auto" w:sz="12" w:space="0"/>
              <w:right w:val="nil"/>
            </w:tcBorders>
            <w:vAlign w:val="center"/>
          </w:tcPr>
          <w:p>
            <w:pPr>
              <w:keepNext w:val="0"/>
              <w:keepLines w:val="0"/>
              <w:widowControl/>
              <w:suppressLineNumbers w:val="0"/>
              <w:jc w:val="center"/>
              <w:textAlignment w:val="center"/>
              <w:rPr>
                <w:rFonts w:hint="eastAsia" w:ascii="Times New Roman" w:hAnsi="Times New Roman" w:cs="Times New Roman"/>
                <w:b w:val="0"/>
                <w:bCs/>
                <w:color w:val="00000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0.0048</w:t>
            </w:r>
          </w:p>
        </w:tc>
      </w:tr>
    </w:tbl>
    <w:p>
      <w:pPr>
        <w:keepNext w:val="0"/>
        <w:keepLines w:val="0"/>
        <w:pageBreakBefore w:val="0"/>
        <w:widowControl/>
        <w:numPr>
          <w:ilvl w:val="0"/>
          <w:numId w:val="0"/>
        </w:numPr>
        <w:kinsoku/>
        <w:wordWrap/>
        <w:overflowPunct/>
        <w:topLinePunct w:val="0"/>
        <w:autoSpaceDE/>
        <w:autoSpaceDN/>
        <w:bidi w:val="0"/>
        <w:adjustRightInd/>
        <w:snapToGrid/>
        <w:spacing w:line="240" w:lineRule="auto"/>
        <w:ind w:leftChars="0"/>
        <w:jc w:val="center"/>
        <w:textAlignment w:val="auto"/>
        <w:rPr>
          <w:rFonts w:hint="default" w:ascii="Times New Roman" w:hAnsi="Times New Roman" w:cs="Times New Roman"/>
          <w:b/>
          <w:color w:val="000000"/>
          <w:sz w:val="21"/>
          <w:szCs w:val="21"/>
        </w:rPr>
      </w:pPr>
      <w:r>
        <w:rPr>
          <w:rFonts w:hint="default" w:ascii="Times New Roman" w:hAnsi="Times New Roman" w:cs="Times New Roman"/>
          <w:b/>
          <w:color w:val="000000"/>
          <w:sz w:val="21"/>
          <w:szCs w:val="21"/>
          <w:lang w:val="en-US" w:eastAsia="zh-CN"/>
        </w:rPr>
        <w:t>表</w:t>
      </w:r>
      <w:r>
        <w:rPr>
          <w:rFonts w:hint="eastAsia" w:ascii="Times New Roman" w:hAnsi="Times New Roman" w:cs="Times New Roman"/>
          <w:b/>
          <w:color w:val="000000"/>
          <w:sz w:val="21"/>
          <w:szCs w:val="21"/>
          <w:lang w:val="en-US" w:eastAsia="zh-CN"/>
        </w:rPr>
        <w:t>5.2-</w:t>
      </w:r>
      <w:r>
        <w:rPr>
          <w:rFonts w:hint="eastAsia" w:cs="Times New Roman"/>
          <w:b/>
          <w:color w:val="000000"/>
          <w:sz w:val="21"/>
          <w:szCs w:val="21"/>
          <w:lang w:val="en-US" w:eastAsia="zh-CN"/>
        </w:rPr>
        <w:t>8</w:t>
      </w:r>
      <w:r>
        <w:rPr>
          <w:rFonts w:hint="default" w:ascii="Times New Roman" w:hAnsi="Times New Roman" w:cs="Times New Roman"/>
          <w:b/>
          <w:color w:val="000000"/>
          <w:sz w:val="21"/>
          <w:szCs w:val="21"/>
          <w:lang w:val="en-US" w:eastAsia="zh-CN"/>
        </w:rPr>
        <w:t xml:space="preserve">  </w:t>
      </w:r>
      <w:r>
        <w:rPr>
          <w:rFonts w:hint="eastAsia" w:ascii="Times New Roman" w:hAnsi="Times New Roman" w:cs="Times New Roman"/>
          <w:b/>
          <w:color w:val="000000"/>
          <w:sz w:val="21"/>
          <w:szCs w:val="21"/>
          <w:lang w:val="en-US" w:eastAsia="zh-CN"/>
        </w:rPr>
        <w:t>大气污染物</w:t>
      </w:r>
      <w:r>
        <w:rPr>
          <w:rFonts w:hint="eastAsia" w:ascii="Times New Roman" w:hAnsi="Times New Roman" w:cs="Times New Roman"/>
          <w:b/>
          <w:color w:val="000000"/>
          <w:sz w:val="21"/>
          <w:szCs w:val="21"/>
          <w:lang w:eastAsia="zh-CN"/>
        </w:rPr>
        <w:t>年排放量核算表</w:t>
      </w:r>
    </w:p>
    <w:tbl>
      <w:tblPr>
        <w:tblStyle w:val="64"/>
        <w:tblW w:w="4999"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991"/>
        <w:gridCol w:w="4423"/>
        <w:gridCol w:w="349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1005" w:type="pct"/>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bCs/>
                <w:color w:val="auto"/>
                <w:kern w:val="2"/>
                <w:sz w:val="21"/>
                <w:szCs w:val="21"/>
                <w:vertAlign w:val="baseline"/>
                <w:lang w:val="en-US" w:eastAsia="zh-CN" w:bidi="ar-SA"/>
              </w:rPr>
            </w:pPr>
            <w:r>
              <w:rPr>
                <w:rFonts w:hint="eastAsia" w:ascii="Times New Roman" w:hAnsi="Times New Roman"/>
                <w:bCs/>
                <w:color w:val="auto"/>
                <w:kern w:val="2"/>
                <w:sz w:val="21"/>
                <w:szCs w:val="21"/>
                <w:vertAlign w:val="baseline"/>
                <w:lang w:val="en-US" w:eastAsia="zh-CN" w:bidi="ar-SA"/>
              </w:rPr>
              <w:t>序号</w:t>
            </w:r>
          </w:p>
        </w:tc>
        <w:tc>
          <w:tcPr>
            <w:tcW w:w="2232" w:type="pct"/>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bCs/>
                <w:color w:val="auto"/>
                <w:kern w:val="2"/>
                <w:sz w:val="21"/>
                <w:szCs w:val="21"/>
                <w:vertAlign w:val="baseline"/>
                <w:lang w:val="en-US" w:eastAsia="zh-CN" w:bidi="ar-SA"/>
              </w:rPr>
            </w:pPr>
            <w:r>
              <w:rPr>
                <w:rFonts w:hint="eastAsia" w:ascii="Times New Roman" w:hAnsi="Times New Roman"/>
                <w:bCs/>
                <w:color w:val="auto"/>
                <w:kern w:val="2"/>
                <w:sz w:val="21"/>
                <w:szCs w:val="21"/>
                <w:vertAlign w:val="baseline"/>
                <w:lang w:val="en-US" w:eastAsia="zh-CN" w:bidi="ar-SA"/>
              </w:rPr>
              <w:t>污染物</w:t>
            </w:r>
          </w:p>
        </w:tc>
        <w:tc>
          <w:tcPr>
            <w:tcW w:w="1761" w:type="pct"/>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bCs/>
                <w:color w:val="auto"/>
                <w:kern w:val="2"/>
                <w:sz w:val="21"/>
                <w:szCs w:val="21"/>
                <w:vertAlign w:val="baseline"/>
                <w:lang w:val="en-US" w:eastAsia="zh-CN" w:bidi="ar-SA"/>
              </w:rPr>
            </w:pPr>
            <w:r>
              <w:rPr>
                <w:rFonts w:hint="eastAsia" w:ascii="Times New Roman" w:hAnsi="Times New Roman"/>
                <w:bCs/>
                <w:color w:val="auto"/>
                <w:kern w:val="2"/>
                <w:sz w:val="21"/>
                <w:szCs w:val="21"/>
                <w:vertAlign w:val="baseline"/>
                <w:lang w:val="en-US" w:eastAsia="zh-CN" w:bidi="ar-SA"/>
              </w:rPr>
              <w:t>年排放量(t/a)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05" w:type="pct"/>
            <w:tcBorders>
              <w:tl2br w:val="nil"/>
              <w:tr2bl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bCs/>
                <w:color w:val="auto"/>
                <w:kern w:val="2"/>
                <w:sz w:val="21"/>
                <w:szCs w:val="21"/>
                <w:vertAlign w:val="baseline"/>
                <w:lang w:val="en-US" w:eastAsia="zh-CN" w:bidi="ar-SA"/>
              </w:rPr>
            </w:pPr>
            <w:r>
              <w:rPr>
                <w:rFonts w:hint="eastAsia" w:ascii="Times New Roman" w:hAnsi="Times New Roman"/>
                <w:bCs/>
                <w:color w:val="auto"/>
                <w:kern w:val="2"/>
                <w:sz w:val="21"/>
                <w:szCs w:val="21"/>
                <w:vertAlign w:val="baseline"/>
                <w:lang w:val="en-US" w:eastAsia="zh-CN" w:bidi="ar-SA"/>
              </w:rPr>
              <w:t>1</w:t>
            </w:r>
          </w:p>
        </w:tc>
        <w:tc>
          <w:tcPr>
            <w:tcW w:w="2232" w:type="pct"/>
            <w:tcBorders>
              <w:tl2br w:val="nil"/>
              <w:tr2bl w:val="nil"/>
            </w:tcBorders>
            <w:noWrap w:val="0"/>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bCs/>
                <w:color w:val="auto"/>
                <w:kern w:val="2"/>
                <w:sz w:val="21"/>
                <w:szCs w:val="21"/>
                <w:vertAlign w:val="baseline"/>
                <w:lang w:val="en-US" w:eastAsia="zh-CN" w:bidi="ar-SA"/>
              </w:rPr>
            </w:pPr>
            <w:r>
              <w:rPr>
                <w:rFonts w:hint="default" w:ascii="Times New Roman" w:hAnsi="Times New Roman" w:eastAsia="宋体" w:cs="Times New Roman"/>
                <w:b w:val="0"/>
                <w:bCs/>
                <w:color w:val="000000"/>
                <w:sz w:val="21"/>
                <w:szCs w:val="21"/>
                <w:vertAlign w:val="baseline"/>
                <w:lang w:val="en-US" w:eastAsia="zh-CN"/>
              </w:rPr>
              <w:t>NH</w:t>
            </w:r>
            <w:r>
              <w:rPr>
                <w:rFonts w:hint="default" w:ascii="Times New Roman" w:hAnsi="Times New Roman" w:eastAsia="宋体" w:cs="Times New Roman"/>
                <w:b w:val="0"/>
                <w:bCs/>
                <w:color w:val="000000"/>
                <w:sz w:val="21"/>
                <w:szCs w:val="21"/>
                <w:vertAlign w:val="subscript"/>
                <w:lang w:val="en-US" w:eastAsia="zh-CN"/>
              </w:rPr>
              <w:t>3</w:t>
            </w:r>
          </w:p>
        </w:tc>
        <w:tc>
          <w:tcPr>
            <w:tcW w:w="3004"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bCs/>
                <w:color w:val="auto"/>
                <w:kern w:val="2"/>
                <w:sz w:val="21"/>
                <w:szCs w:val="21"/>
                <w:vertAlign w:val="baseline"/>
                <w:lang w:val="en-US" w:eastAsia="zh-CN" w:bidi="ar-SA"/>
              </w:rPr>
            </w:pPr>
            <w:r>
              <w:rPr>
                <w:rFonts w:hint="default" w:ascii="Times New Roman" w:hAnsi="Times New Roman" w:eastAsia="宋体" w:cs="Times New Roman"/>
                <w:i w:val="0"/>
                <w:color w:val="000000"/>
                <w:kern w:val="0"/>
                <w:sz w:val="21"/>
                <w:szCs w:val="21"/>
                <w:u w:val="none"/>
                <w:lang w:val="en-US" w:eastAsia="zh-CN" w:bidi="ar"/>
              </w:rPr>
              <w:t>0.08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005" w:type="pct"/>
            <w:tcBorders>
              <w:tl2br w:val="nil"/>
              <w:tr2bl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bCs/>
                <w:color w:val="auto"/>
                <w:kern w:val="2"/>
                <w:sz w:val="21"/>
                <w:szCs w:val="21"/>
                <w:vertAlign w:val="baseline"/>
                <w:lang w:val="en-US" w:eastAsia="zh-CN" w:bidi="ar-SA"/>
              </w:rPr>
            </w:pPr>
            <w:r>
              <w:rPr>
                <w:rFonts w:hint="eastAsia" w:ascii="Times New Roman" w:hAnsi="Times New Roman"/>
                <w:bCs/>
                <w:color w:val="auto"/>
                <w:kern w:val="2"/>
                <w:sz w:val="21"/>
                <w:szCs w:val="21"/>
                <w:vertAlign w:val="baseline"/>
                <w:lang w:val="en-US" w:eastAsia="zh-CN" w:bidi="ar-SA"/>
              </w:rPr>
              <w:t>2</w:t>
            </w:r>
          </w:p>
        </w:tc>
        <w:tc>
          <w:tcPr>
            <w:tcW w:w="2232" w:type="pct"/>
            <w:tcBorders>
              <w:tl2br w:val="nil"/>
              <w:tr2bl w:val="nil"/>
            </w:tcBorders>
            <w:noWrap w:val="0"/>
            <w:vAlign w:val="center"/>
          </w:tcPr>
          <w:p>
            <w:pPr>
              <w:pStyle w:val="1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b w:val="0"/>
                <w:bCs/>
                <w:color w:val="000000"/>
                <w:sz w:val="21"/>
                <w:szCs w:val="21"/>
                <w:vertAlign w:val="baseline"/>
                <w:lang w:val="en-US" w:eastAsia="zh-CN"/>
              </w:rPr>
              <w:t>H</w:t>
            </w:r>
            <w:r>
              <w:rPr>
                <w:rFonts w:hint="eastAsia" w:ascii="Times New Roman" w:hAnsi="Times New Roman" w:eastAsia="宋体" w:cs="Times New Roman"/>
                <w:b w:val="0"/>
                <w:bCs/>
                <w:color w:val="000000"/>
                <w:sz w:val="21"/>
                <w:szCs w:val="21"/>
                <w:vertAlign w:val="subscript"/>
                <w:lang w:val="en-US" w:eastAsia="zh-CN"/>
              </w:rPr>
              <w:t>2</w:t>
            </w:r>
            <w:r>
              <w:rPr>
                <w:rFonts w:hint="eastAsia" w:ascii="Times New Roman" w:hAnsi="Times New Roman" w:eastAsia="宋体" w:cs="Times New Roman"/>
                <w:b w:val="0"/>
                <w:bCs/>
                <w:color w:val="000000"/>
                <w:sz w:val="21"/>
                <w:szCs w:val="21"/>
                <w:vertAlign w:val="baseline"/>
                <w:lang w:val="en-US" w:eastAsia="zh-CN"/>
              </w:rPr>
              <w:t>S</w:t>
            </w:r>
          </w:p>
        </w:tc>
        <w:tc>
          <w:tcPr>
            <w:tcW w:w="3004"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0.0048</w:t>
            </w:r>
          </w:p>
        </w:tc>
      </w:tr>
    </w:tbl>
    <w:p>
      <w:pPr>
        <w:pStyle w:val="6"/>
        <w:rPr>
          <w:rFonts w:hint="eastAsia"/>
        </w:rPr>
      </w:pPr>
      <w:r>
        <w:rPr>
          <w:rFonts w:hint="eastAsia"/>
          <w:lang w:eastAsia="zh-CN"/>
        </w:rPr>
        <w:t xml:space="preserve">大气环境影响评价自查表  </w:t>
      </w:r>
    </w:p>
    <w:p>
      <w:pPr>
        <w:pStyle w:val="864"/>
        <w:keepNext w:val="0"/>
        <w:keepLines w:val="0"/>
        <w:pageBreakBefore w:val="0"/>
        <w:widowControl w:val="0"/>
        <w:kinsoku/>
        <w:wordWrap/>
        <w:overflowPunct/>
        <w:topLinePunct w:val="0"/>
        <w:autoSpaceDE/>
        <w:autoSpaceDN/>
        <w:bidi w:val="0"/>
        <w:adjustRightInd/>
        <w:snapToGrid/>
        <w:ind w:firstLine="480" w:firstLineChars="200"/>
        <w:jc w:val="left"/>
        <w:textAlignment w:val="auto"/>
        <w:rPr>
          <w:rFonts w:hint="default" w:ascii="Times New Roman" w:hAnsi="宋体"/>
          <w:color w:val="auto"/>
          <w:kern w:val="2"/>
          <w:sz w:val="24"/>
          <w:szCs w:val="24"/>
          <w:lang w:val="en-US" w:eastAsia="zh-CN" w:bidi="ar-SA"/>
        </w:rPr>
      </w:pPr>
      <w:r>
        <w:rPr>
          <w:rFonts w:hint="default" w:ascii="Times New Roman" w:hAnsi="宋体"/>
          <w:color w:val="auto"/>
          <w:kern w:val="2"/>
          <w:sz w:val="24"/>
          <w:szCs w:val="24"/>
          <w:lang w:val="en-US" w:eastAsia="zh-CN" w:bidi="ar-SA"/>
        </w:rPr>
        <w:t>以下为项目大气环境影响评价自查表：</w:t>
      </w:r>
    </w:p>
    <w:p>
      <w:pPr>
        <w:pStyle w:val="864"/>
        <w:spacing w:line="240" w:lineRule="auto"/>
        <w:ind w:firstLine="0" w:firstLineChars="0"/>
        <w:jc w:val="center"/>
        <w:rPr>
          <w:rFonts w:ascii="Times New Roman" w:hAnsi="Times New Roman"/>
          <w:b/>
          <w:color w:val="auto"/>
          <w:sz w:val="21"/>
          <w:szCs w:val="24"/>
        </w:rPr>
      </w:pPr>
      <w:r>
        <w:rPr>
          <w:rFonts w:hint="eastAsia" w:ascii="Times New Roman" w:hAnsi="Times New Roman"/>
          <w:b/>
          <w:color w:val="auto"/>
          <w:sz w:val="21"/>
          <w:szCs w:val="24"/>
        </w:rPr>
        <w:t>表</w:t>
      </w:r>
      <w:r>
        <w:rPr>
          <w:rFonts w:hint="eastAsia" w:ascii="Times New Roman" w:hAnsi="Times New Roman"/>
          <w:b/>
          <w:color w:val="auto"/>
          <w:sz w:val="21"/>
          <w:szCs w:val="24"/>
          <w:lang w:val="en-US" w:eastAsia="zh-CN"/>
        </w:rPr>
        <w:t>5.2-9</w:t>
      </w:r>
      <w:r>
        <w:rPr>
          <w:rFonts w:hint="eastAsia" w:ascii="Times New Roman" w:hAnsi="Times New Roman"/>
          <w:b/>
          <w:color w:val="auto"/>
          <w:sz w:val="21"/>
          <w:szCs w:val="24"/>
        </w:rPr>
        <w:t xml:space="preserve">  </w:t>
      </w:r>
      <w:r>
        <w:rPr>
          <w:rFonts w:hint="eastAsia" w:ascii="Times New Roman" w:hAnsi="Times New Roman"/>
          <w:b/>
          <w:color w:val="auto"/>
          <w:sz w:val="21"/>
          <w:szCs w:val="24"/>
          <w:lang w:val="en-US" w:eastAsia="zh-CN"/>
        </w:rPr>
        <w:t>大气环境影响评价自查表</w:t>
      </w:r>
    </w:p>
    <w:tbl>
      <w:tblPr>
        <w:tblStyle w:val="63"/>
        <w:tblW w:w="4984" w:type="pct"/>
        <w:tblInd w:w="0" w:type="dxa"/>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1025"/>
        <w:gridCol w:w="2459"/>
        <w:gridCol w:w="1205"/>
        <w:gridCol w:w="223"/>
        <w:gridCol w:w="687"/>
        <w:gridCol w:w="764"/>
        <w:gridCol w:w="383"/>
        <w:gridCol w:w="128"/>
        <w:gridCol w:w="1003"/>
        <w:gridCol w:w="265"/>
        <w:gridCol w:w="447"/>
        <w:gridCol w:w="1285"/>
      </w:tblGrid>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63" w:hRule="atLeast"/>
        </w:trPr>
        <w:tc>
          <w:tcPr>
            <w:tcW w:w="1764" w:type="pct"/>
            <w:gridSpan w:val="2"/>
            <w:tcBorders>
              <w:top w:val="single" w:color="auto" w:sz="12" w:space="0"/>
              <w:bottom w:val="single" w:color="auto" w:sz="12" w:space="0"/>
            </w:tcBorders>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工作内容</w:t>
            </w:r>
          </w:p>
        </w:tc>
        <w:tc>
          <w:tcPr>
            <w:tcW w:w="3235" w:type="pct"/>
            <w:gridSpan w:val="10"/>
            <w:tcBorders>
              <w:top w:val="single" w:color="auto" w:sz="12" w:space="0"/>
              <w:bottom w:val="single" w:color="auto" w:sz="12" w:space="0"/>
            </w:tcBorders>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自查项目</w:t>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76" w:hRule="atLeast"/>
        </w:trPr>
        <w:tc>
          <w:tcPr>
            <w:tcW w:w="519" w:type="pct"/>
            <w:vMerge w:val="restart"/>
            <w:tcBorders>
              <w:top w:val="single" w:color="auto" w:sz="12" w:space="0"/>
            </w:tcBorders>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评价等级与范围</w:t>
            </w:r>
          </w:p>
        </w:tc>
        <w:tc>
          <w:tcPr>
            <w:tcW w:w="1244" w:type="pct"/>
            <w:tcBorders>
              <w:top w:val="single" w:color="auto" w:sz="12" w:space="0"/>
            </w:tcBorders>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评价等级</w:t>
            </w:r>
          </w:p>
        </w:tc>
        <w:tc>
          <w:tcPr>
            <w:tcW w:w="723" w:type="pct"/>
            <w:gridSpan w:val="2"/>
            <w:tcBorders>
              <w:top w:val="single" w:color="auto" w:sz="12" w:space="0"/>
            </w:tcBorders>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一级□</w:t>
            </w:r>
          </w:p>
        </w:tc>
        <w:tc>
          <w:tcPr>
            <w:tcW w:w="1501" w:type="pct"/>
            <w:gridSpan w:val="5"/>
            <w:tcBorders>
              <w:top w:val="single" w:color="auto" w:sz="12" w:space="0"/>
            </w:tcBorders>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二级</w:t>
            </w:r>
            <w:r>
              <w:rPr>
                <w:rFonts w:ascii="Times New Roman" w:hAnsi="Times New Roman" w:cs="Times New Roman"/>
                <w:color w:val="auto"/>
                <w:kern w:val="2"/>
                <w:sz w:val="18"/>
                <w:szCs w:val="18"/>
              </w:rPr>
              <w:sym w:font="Wingdings 2" w:char="0052"/>
            </w:r>
          </w:p>
        </w:tc>
        <w:tc>
          <w:tcPr>
            <w:tcW w:w="1010" w:type="pct"/>
            <w:gridSpan w:val="3"/>
            <w:tcBorders>
              <w:top w:val="single" w:color="auto" w:sz="12" w:space="0"/>
            </w:tcBorders>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三级</w:t>
            </w:r>
            <w:r>
              <w:rPr>
                <w:rFonts w:ascii="Times New Roman" w:hAnsi="Times New Roman" w:cs="Times New Roman"/>
                <w:color w:val="auto"/>
                <w:kern w:val="2"/>
                <w:sz w:val="18"/>
                <w:szCs w:val="18"/>
              </w:rPr>
              <w:sym w:font="Wingdings 2" w:char="00A3"/>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39" w:hRule="atLeast"/>
        </w:trPr>
        <w:tc>
          <w:tcPr>
            <w:tcW w:w="519" w:type="pct"/>
            <w:vMerge w:val="continue"/>
            <w:noWrap w:val="0"/>
            <w:vAlign w:val="center"/>
          </w:tcPr>
          <w:p>
            <w:pPr>
              <w:pStyle w:val="865"/>
              <w:adjustRightInd w:val="0"/>
              <w:snapToGrid w:val="0"/>
              <w:rPr>
                <w:rFonts w:ascii="Times New Roman" w:hAnsi="Times New Roman" w:cs="Times New Roman"/>
                <w:color w:val="auto"/>
                <w:kern w:val="2"/>
                <w:sz w:val="18"/>
                <w:szCs w:val="18"/>
              </w:rPr>
            </w:pPr>
          </w:p>
        </w:tc>
        <w:tc>
          <w:tcPr>
            <w:tcW w:w="1244"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评级范围</w:t>
            </w:r>
          </w:p>
        </w:tc>
        <w:tc>
          <w:tcPr>
            <w:tcW w:w="723" w:type="pct"/>
            <w:gridSpan w:val="2"/>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边长=50km□</w:t>
            </w:r>
          </w:p>
        </w:tc>
        <w:tc>
          <w:tcPr>
            <w:tcW w:w="1501" w:type="pct"/>
            <w:gridSpan w:val="5"/>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边长=5~50km□</w:t>
            </w:r>
          </w:p>
        </w:tc>
        <w:tc>
          <w:tcPr>
            <w:tcW w:w="1010" w:type="pct"/>
            <w:gridSpan w:val="3"/>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边长=5km</w:t>
            </w:r>
            <w:r>
              <w:rPr>
                <w:rFonts w:ascii="Times New Roman" w:hAnsi="Times New Roman" w:cs="Times New Roman"/>
                <w:color w:val="auto"/>
                <w:kern w:val="2"/>
                <w:sz w:val="18"/>
                <w:szCs w:val="18"/>
              </w:rPr>
              <w:sym w:font="Wingdings 2" w:char="F052"/>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525" w:hRule="atLeast"/>
        </w:trPr>
        <w:tc>
          <w:tcPr>
            <w:tcW w:w="519"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评价</w:t>
            </w:r>
          </w:p>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因子</w:t>
            </w:r>
          </w:p>
        </w:tc>
        <w:tc>
          <w:tcPr>
            <w:tcW w:w="1244"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评价因子</w:t>
            </w:r>
          </w:p>
        </w:tc>
        <w:tc>
          <w:tcPr>
            <w:tcW w:w="1458" w:type="pct"/>
            <w:gridSpan w:val="4"/>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基本污染物（</w:t>
            </w:r>
            <w:r>
              <w:rPr>
                <w:rFonts w:hint="eastAsia" w:ascii="Times New Roman" w:hAnsi="Times New Roman" w:cs="Times New Roman"/>
                <w:color w:val="auto"/>
                <w:kern w:val="2"/>
                <w:sz w:val="18"/>
                <w:szCs w:val="18"/>
                <w:lang w:val="en-US" w:eastAsia="zh-CN"/>
              </w:rPr>
              <w:t xml:space="preserve">  </w:t>
            </w:r>
            <w:r>
              <w:rPr>
                <w:rFonts w:ascii="Times New Roman" w:hAnsi="Times New Roman" w:cs="Times New Roman"/>
                <w:color w:val="auto"/>
                <w:kern w:val="2"/>
                <w:sz w:val="18"/>
                <w:szCs w:val="18"/>
              </w:rPr>
              <w:t>）</w:t>
            </w:r>
          </w:p>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其他污染物（</w:t>
            </w:r>
            <w:r>
              <w:rPr>
                <w:rFonts w:hint="eastAsia" w:ascii="Times New Roman" w:hAnsi="Times New Roman" w:cs="Times New Roman"/>
                <w:color w:val="auto"/>
                <w:kern w:val="2"/>
                <w:sz w:val="18"/>
                <w:szCs w:val="18"/>
                <w:lang w:val="en-US" w:eastAsia="zh-CN"/>
              </w:rPr>
              <w:t>NH</w:t>
            </w:r>
            <w:r>
              <w:rPr>
                <w:rFonts w:hint="eastAsia" w:ascii="Times New Roman" w:hAnsi="Times New Roman" w:cs="Times New Roman"/>
                <w:color w:val="auto"/>
                <w:kern w:val="2"/>
                <w:sz w:val="18"/>
                <w:szCs w:val="18"/>
                <w:vertAlign w:val="subscript"/>
                <w:lang w:val="en-US" w:eastAsia="zh-CN"/>
              </w:rPr>
              <w:t>3</w:t>
            </w:r>
            <w:r>
              <w:rPr>
                <w:rFonts w:hint="eastAsia" w:cs="Times New Roman"/>
                <w:color w:val="auto"/>
                <w:kern w:val="2"/>
                <w:sz w:val="18"/>
                <w:szCs w:val="18"/>
                <w:lang w:val="en-US" w:eastAsia="zh-CN"/>
              </w:rPr>
              <w:t>、H</w:t>
            </w:r>
            <w:r>
              <w:rPr>
                <w:rFonts w:hint="eastAsia" w:cs="Times New Roman"/>
                <w:color w:val="auto"/>
                <w:kern w:val="2"/>
                <w:sz w:val="18"/>
                <w:szCs w:val="18"/>
                <w:vertAlign w:val="subscript"/>
                <w:lang w:val="en-US" w:eastAsia="zh-CN"/>
              </w:rPr>
              <w:t>2</w:t>
            </w:r>
            <w:r>
              <w:rPr>
                <w:rFonts w:hint="eastAsia" w:cs="Times New Roman"/>
                <w:color w:val="auto"/>
                <w:kern w:val="2"/>
                <w:sz w:val="18"/>
                <w:szCs w:val="18"/>
                <w:lang w:val="en-US" w:eastAsia="zh-CN"/>
              </w:rPr>
              <w:t>S</w:t>
            </w:r>
            <w:r>
              <w:rPr>
                <w:rFonts w:ascii="Times New Roman" w:hAnsi="Times New Roman" w:cs="Times New Roman"/>
                <w:color w:val="auto"/>
                <w:kern w:val="2"/>
                <w:sz w:val="18"/>
                <w:szCs w:val="18"/>
              </w:rPr>
              <w:t>）</w:t>
            </w:r>
          </w:p>
        </w:tc>
        <w:tc>
          <w:tcPr>
            <w:tcW w:w="1777" w:type="pct"/>
            <w:gridSpan w:val="6"/>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包括二次PM2.5</w:t>
            </w:r>
            <w:r>
              <w:rPr>
                <w:rFonts w:hint="eastAsia" w:ascii="Times New Roman" w:hAnsi="Times New Roman" w:cs="Times New Roman"/>
                <w:color w:val="auto"/>
                <w:kern w:val="2"/>
                <w:sz w:val="18"/>
                <w:szCs w:val="18"/>
              </w:rPr>
              <w:t>□</w:t>
            </w:r>
          </w:p>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不包括PM2.5</w:t>
            </w:r>
            <w:r>
              <w:rPr>
                <w:rFonts w:ascii="Times New Roman" w:hAnsi="Times New Roman" w:cs="Times New Roman"/>
                <w:color w:val="auto"/>
                <w:kern w:val="2"/>
                <w:sz w:val="18"/>
                <w:szCs w:val="18"/>
              </w:rPr>
              <w:sym w:font="Wingdings 2" w:char="F052"/>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10" w:hRule="atLeast"/>
        </w:trPr>
        <w:tc>
          <w:tcPr>
            <w:tcW w:w="519"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评价标准</w:t>
            </w:r>
          </w:p>
        </w:tc>
        <w:tc>
          <w:tcPr>
            <w:tcW w:w="1244"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评价标准</w:t>
            </w:r>
          </w:p>
        </w:tc>
        <w:tc>
          <w:tcPr>
            <w:tcW w:w="610"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国家标准</w:t>
            </w:r>
            <w:r>
              <w:rPr>
                <w:rFonts w:ascii="Times New Roman" w:hAnsi="Times New Roman" w:cs="Times New Roman"/>
                <w:color w:val="auto"/>
                <w:kern w:val="2"/>
                <w:sz w:val="18"/>
                <w:szCs w:val="18"/>
              </w:rPr>
              <w:sym w:font="Wingdings 2" w:char="F052"/>
            </w:r>
          </w:p>
        </w:tc>
        <w:tc>
          <w:tcPr>
            <w:tcW w:w="848" w:type="pct"/>
            <w:gridSpan w:val="3"/>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地方标准</w:t>
            </w:r>
            <w:r>
              <w:rPr>
                <w:rFonts w:ascii="Times New Roman" w:hAnsi="Times New Roman" w:cs="Times New Roman"/>
                <w:color w:val="auto"/>
                <w:kern w:val="2"/>
                <w:sz w:val="18"/>
                <w:szCs w:val="18"/>
              </w:rPr>
              <w:sym w:font="Wingdings 2" w:char="0052"/>
            </w:r>
          </w:p>
        </w:tc>
        <w:tc>
          <w:tcPr>
            <w:tcW w:w="767" w:type="pct"/>
            <w:gridSpan w:val="3"/>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附录D</w:t>
            </w:r>
            <w:r>
              <w:rPr>
                <w:rFonts w:ascii="Times New Roman" w:hAnsi="Times New Roman" w:cs="Times New Roman"/>
                <w:color w:val="auto"/>
                <w:kern w:val="2"/>
                <w:sz w:val="18"/>
                <w:szCs w:val="18"/>
              </w:rPr>
              <w:sym w:font="Wingdings 2" w:char="0052"/>
            </w:r>
          </w:p>
        </w:tc>
        <w:tc>
          <w:tcPr>
            <w:tcW w:w="1010" w:type="pct"/>
            <w:gridSpan w:val="3"/>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其他标准□</w:t>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76" w:hRule="atLeast"/>
        </w:trPr>
        <w:tc>
          <w:tcPr>
            <w:tcW w:w="519" w:type="pct"/>
            <w:vMerge w:val="restar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现状</w:t>
            </w:r>
          </w:p>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评价</w:t>
            </w:r>
          </w:p>
        </w:tc>
        <w:tc>
          <w:tcPr>
            <w:tcW w:w="1244"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环境功能区</w:t>
            </w:r>
          </w:p>
        </w:tc>
        <w:tc>
          <w:tcPr>
            <w:tcW w:w="723" w:type="pct"/>
            <w:gridSpan w:val="2"/>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一类区□</w:t>
            </w:r>
          </w:p>
        </w:tc>
        <w:tc>
          <w:tcPr>
            <w:tcW w:w="994" w:type="pct"/>
            <w:gridSpan w:val="4"/>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二类区</w:t>
            </w:r>
            <w:r>
              <w:rPr>
                <w:rFonts w:ascii="Times New Roman" w:hAnsi="Times New Roman" w:cs="Times New Roman"/>
                <w:color w:val="auto"/>
                <w:kern w:val="2"/>
                <w:sz w:val="18"/>
                <w:szCs w:val="18"/>
              </w:rPr>
              <w:sym w:font="Wingdings 2" w:char="F052"/>
            </w:r>
          </w:p>
        </w:tc>
        <w:tc>
          <w:tcPr>
            <w:tcW w:w="1516" w:type="pct"/>
            <w:gridSpan w:val="4"/>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一类区和二类区□</w:t>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39" w:hRule="atLeast"/>
        </w:trPr>
        <w:tc>
          <w:tcPr>
            <w:tcW w:w="519" w:type="pct"/>
            <w:vMerge w:val="continue"/>
            <w:noWrap w:val="0"/>
            <w:vAlign w:val="center"/>
          </w:tcPr>
          <w:p>
            <w:pPr>
              <w:pStyle w:val="865"/>
              <w:adjustRightInd w:val="0"/>
              <w:snapToGrid w:val="0"/>
              <w:rPr>
                <w:rFonts w:ascii="Times New Roman" w:hAnsi="Times New Roman" w:cs="Times New Roman"/>
                <w:color w:val="auto"/>
                <w:kern w:val="2"/>
                <w:sz w:val="18"/>
                <w:szCs w:val="18"/>
              </w:rPr>
            </w:pPr>
          </w:p>
        </w:tc>
        <w:tc>
          <w:tcPr>
            <w:tcW w:w="1244"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评价基准年</w:t>
            </w:r>
          </w:p>
        </w:tc>
        <w:tc>
          <w:tcPr>
            <w:tcW w:w="3235" w:type="pct"/>
            <w:gridSpan w:val="10"/>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（201</w:t>
            </w:r>
            <w:r>
              <w:rPr>
                <w:rFonts w:hint="eastAsia" w:cs="Times New Roman"/>
                <w:color w:val="auto"/>
                <w:kern w:val="2"/>
                <w:sz w:val="18"/>
                <w:szCs w:val="18"/>
                <w:lang w:val="en-US" w:eastAsia="zh-CN"/>
              </w:rPr>
              <w:t>8</w:t>
            </w:r>
            <w:r>
              <w:rPr>
                <w:rFonts w:ascii="Times New Roman" w:hAnsi="Times New Roman" w:cs="Times New Roman"/>
                <w:color w:val="auto"/>
                <w:kern w:val="2"/>
                <w:sz w:val="18"/>
                <w:szCs w:val="18"/>
              </w:rPr>
              <w:t>）年</w:t>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39" w:hRule="atLeast"/>
        </w:trPr>
        <w:tc>
          <w:tcPr>
            <w:tcW w:w="519" w:type="pct"/>
            <w:vMerge w:val="continue"/>
            <w:noWrap w:val="0"/>
            <w:vAlign w:val="center"/>
          </w:tcPr>
          <w:p>
            <w:pPr>
              <w:pStyle w:val="865"/>
              <w:adjustRightInd w:val="0"/>
              <w:snapToGrid w:val="0"/>
              <w:rPr>
                <w:rFonts w:ascii="Times New Roman" w:hAnsi="Times New Roman" w:cs="Times New Roman"/>
                <w:color w:val="FF0000"/>
                <w:kern w:val="2"/>
                <w:sz w:val="18"/>
                <w:szCs w:val="18"/>
              </w:rPr>
            </w:pPr>
          </w:p>
        </w:tc>
        <w:tc>
          <w:tcPr>
            <w:tcW w:w="1244"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环境空气现状调查数据来源</w:t>
            </w:r>
          </w:p>
        </w:tc>
        <w:tc>
          <w:tcPr>
            <w:tcW w:w="1071" w:type="pct"/>
            <w:gridSpan w:val="3"/>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长期例行监测数据□</w:t>
            </w:r>
          </w:p>
        </w:tc>
        <w:tc>
          <w:tcPr>
            <w:tcW w:w="1153" w:type="pct"/>
            <w:gridSpan w:val="4"/>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主管部门发布的数据</w:t>
            </w:r>
            <w:r>
              <w:rPr>
                <w:rFonts w:ascii="Times New Roman" w:hAnsi="Times New Roman" w:cs="Times New Roman"/>
                <w:color w:val="auto"/>
                <w:kern w:val="2"/>
                <w:sz w:val="18"/>
                <w:szCs w:val="18"/>
              </w:rPr>
              <w:sym w:font="Wingdings 2" w:char="0052"/>
            </w:r>
          </w:p>
        </w:tc>
        <w:tc>
          <w:tcPr>
            <w:tcW w:w="1010" w:type="pct"/>
            <w:gridSpan w:val="3"/>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现状补充监测</w:t>
            </w:r>
            <w:r>
              <w:rPr>
                <w:rFonts w:ascii="Times New Roman" w:hAnsi="Times New Roman" w:cs="Times New Roman"/>
                <w:color w:val="auto"/>
                <w:kern w:val="2"/>
                <w:sz w:val="18"/>
                <w:szCs w:val="18"/>
              </w:rPr>
              <w:sym w:font="Wingdings 2" w:char="0052"/>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39" w:hRule="atLeast"/>
        </w:trPr>
        <w:tc>
          <w:tcPr>
            <w:tcW w:w="519" w:type="pct"/>
            <w:vMerge w:val="continue"/>
            <w:noWrap w:val="0"/>
            <w:vAlign w:val="center"/>
          </w:tcPr>
          <w:p>
            <w:pPr>
              <w:pStyle w:val="865"/>
              <w:adjustRightInd w:val="0"/>
              <w:snapToGrid w:val="0"/>
              <w:rPr>
                <w:rFonts w:ascii="Times New Roman" w:hAnsi="Times New Roman" w:cs="Times New Roman"/>
                <w:color w:val="FF0000"/>
                <w:kern w:val="2"/>
                <w:sz w:val="18"/>
                <w:szCs w:val="18"/>
              </w:rPr>
            </w:pPr>
          </w:p>
        </w:tc>
        <w:tc>
          <w:tcPr>
            <w:tcW w:w="1244"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现状评价</w:t>
            </w:r>
          </w:p>
        </w:tc>
        <w:tc>
          <w:tcPr>
            <w:tcW w:w="1652" w:type="pct"/>
            <w:gridSpan w:val="5"/>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达标区</w:t>
            </w:r>
            <w:r>
              <w:rPr>
                <w:rFonts w:ascii="Times New Roman" w:hAnsi="Times New Roman" w:cs="Times New Roman"/>
                <w:color w:val="auto"/>
                <w:kern w:val="2"/>
                <w:sz w:val="18"/>
                <w:szCs w:val="18"/>
              </w:rPr>
              <w:sym w:font="Wingdings 2" w:char="0052"/>
            </w:r>
          </w:p>
        </w:tc>
        <w:tc>
          <w:tcPr>
            <w:tcW w:w="1582" w:type="pct"/>
            <w:gridSpan w:val="5"/>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不达标区</w:t>
            </w:r>
            <w:r>
              <w:rPr>
                <w:rFonts w:ascii="Times New Roman" w:hAnsi="Times New Roman" w:cs="Times New Roman"/>
                <w:color w:val="auto"/>
                <w:kern w:val="2"/>
                <w:sz w:val="18"/>
                <w:szCs w:val="18"/>
              </w:rPr>
              <w:sym w:font="Wingdings 2" w:char="00A3"/>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717" w:hRule="atLeast"/>
        </w:trPr>
        <w:tc>
          <w:tcPr>
            <w:tcW w:w="519"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污染源调查</w:t>
            </w:r>
          </w:p>
        </w:tc>
        <w:tc>
          <w:tcPr>
            <w:tcW w:w="1244"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调查内容</w:t>
            </w:r>
          </w:p>
        </w:tc>
        <w:tc>
          <w:tcPr>
            <w:tcW w:w="1071" w:type="pct"/>
            <w:gridSpan w:val="3"/>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本项目正常排放源</w:t>
            </w:r>
            <w:r>
              <w:rPr>
                <w:rFonts w:ascii="Times New Roman" w:hAnsi="Times New Roman" w:cs="Times New Roman"/>
                <w:color w:val="auto"/>
                <w:kern w:val="2"/>
                <w:sz w:val="18"/>
                <w:szCs w:val="18"/>
              </w:rPr>
              <w:sym w:font="Wingdings 2" w:char="F052"/>
            </w:r>
          </w:p>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本项目非正常排放源□</w:t>
            </w:r>
          </w:p>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现有污染源□</w:t>
            </w:r>
          </w:p>
        </w:tc>
        <w:tc>
          <w:tcPr>
            <w:tcW w:w="581" w:type="pct"/>
            <w:gridSpan w:val="2"/>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拟替代的污染源□</w:t>
            </w:r>
          </w:p>
        </w:tc>
        <w:tc>
          <w:tcPr>
            <w:tcW w:w="933" w:type="pct"/>
            <w:gridSpan w:val="4"/>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其他在建、拟建项目污染源□</w:t>
            </w:r>
          </w:p>
        </w:tc>
        <w:tc>
          <w:tcPr>
            <w:tcW w:w="649"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区域污染源□</w:t>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61" w:hRule="atLeast"/>
        </w:trPr>
        <w:tc>
          <w:tcPr>
            <w:tcW w:w="519" w:type="pct"/>
            <w:vMerge w:val="restar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环境监测计划</w:t>
            </w:r>
          </w:p>
        </w:tc>
        <w:tc>
          <w:tcPr>
            <w:tcW w:w="1244" w:type="pct"/>
            <w:vMerge w:val="restar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污染源监测</w:t>
            </w:r>
          </w:p>
        </w:tc>
        <w:tc>
          <w:tcPr>
            <w:tcW w:w="1071" w:type="pct"/>
            <w:gridSpan w:val="3"/>
            <w:vMerge w:val="restar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监测因子（</w:t>
            </w:r>
            <w:r>
              <w:rPr>
                <w:rFonts w:hint="eastAsia" w:ascii="Times New Roman" w:hAnsi="Times New Roman" w:cs="Times New Roman"/>
                <w:color w:val="auto"/>
                <w:kern w:val="2"/>
                <w:sz w:val="18"/>
                <w:szCs w:val="18"/>
                <w:lang w:val="en-US" w:eastAsia="zh-CN"/>
              </w:rPr>
              <w:t>NH</w:t>
            </w:r>
            <w:r>
              <w:rPr>
                <w:rFonts w:hint="eastAsia" w:ascii="Times New Roman" w:hAnsi="Times New Roman" w:cs="Times New Roman"/>
                <w:color w:val="auto"/>
                <w:kern w:val="2"/>
                <w:sz w:val="18"/>
                <w:szCs w:val="18"/>
                <w:vertAlign w:val="subscript"/>
                <w:lang w:val="en-US" w:eastAsia="zh-CN"/>
              </w:rPr>
              <w:t>3</w:t>
            </w:r>
            <w:r>
              <w:rPr>
                <w:rFonts w:hint="eastAsia" w:cs="Times New Roman"/>
                <w:color w:val="auto"/>
                <w:kern w:val="2"/>
                <w:sz w:val="18"/>
                <w:szCs w:val="18"/>
                <w:lang w:val="en-US" w:eastAsia="zh-CN"/>
              </w:rPr>
              <w:t>、H</w:t>
            </w:r>
            <w:r>
              <w:rPr>
                <w:rFonts w:hint="eastAsia" w:cs="Times New Roman"/>
                <w:color w:val="auto"/>
                <w:kern w:val="2"/>
                <w:sz w:val="18"/>
                <w:szCs w:val="18"/>
                <w:vertAlign w:val="subscript"/>
                <w:lang w:val="en-US" w:eastAsia="zh-CN"/>
              </w:rPr>
              <w:t>2</w:t>
            </w:r>
            <w:r>
              <w:rPr>
                <w:rFonts w:hint="eastAsia" w:cs="Times New Roman"/>
                <w:color w:val="auto"/>
                <w:kern w:val="2"/>
                <w:sz w:val="18"/>
                <w:szCs w:val="18"/>
                <w:lang w:val="en-US" w:eastAsia="zh-CN"/>
              </w:rPr>
              <w:t>S</w:t>
            </w:r>
            <w:r>
              <w:rPr>
                <w:rFonts w:ascii="Times New Roman" w:hAnsi="Times New Roman" w:cs="Times New Roman"/>
                <w:color w:val="auto"/>
                <w:kern w:val="2"/>
                <w:sz w:val="18"/>
                <w:szCs w:val="18"/>
              </w:rPr>
              <w:t>）</w:t>
            </w:r>
          </w:p>
        </w:tc>
        <w:tc>
          <w:tcPr>
            <w:tcW w:w="1287" w:type="pct"/>
            <w:gridSpan w:val="5"/>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有组织废气</w:t>
            </w:r>
            <w:r>
              <w:rPr>
                <w:rFonts w:ascii="Times New Roman" w:hAnsi="Times New Roman" w:cs="Times New Roman"/>
                <w:color w:val="auto"/>
                <w:kern w:val="2"/>
                <w:sz w:val="18"/>
                <w:szCs w:val="18"/>
              </w:rPr>
              <w:sym w:font="Wingdings 2" w:char="00A3"/>
            </w:r>
          </w:p>
        </w:tc>
        <w:tc>
          <w:tcPr>
            <w:tcW w:w="876" w:type="pct"/>
            <w:gridSpan w:val="2"/>
            <w:vMerge w:val="restar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无监测</w:t>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61" w:hRule="atLeast"/>
        </w:trPr>
        <w:tc>
          <w:tcPr>
            <w:tcW w:w="519" w:type="pct"/>
            <w:vMerge w:val="continue"/>
            <w:noWrap w:val="0"/>
            <w:vAlign w:val="center"/>
          </w:tcPr>
          <w:p>
            <w:pPr>
              <w:pStyle w:val="865"/>
              <w:adjustRightInd w:val="0"/>
              <w:snapToGrid w:val="0"/>
              <w:rPr>
                <w:rFonts w:ascii="Times New Roman" w:hAnsi="Times New Roman" w:cs="Times New Roman"/>
                <w:color w:val="auto"/>
                <w:kern w:val="2"/>
                <w:sz w:val="18"/>
                <w:szCs w:val="18"/>
              </w:rPr>
            </w:pPr>
          </w:p>
        </w:tc>
        <w:tc>
          <w:tcPr>
            <w:tcW w:w="1244" w:type="pct"/>
            <w:vMerge w:val="continue"/>
            <w:noWrap w:val="0"/>
            <w:vAlign w:val="center"/>
          </w:tcPr>
          <w:p>
            <w:pPr>
              <w:pStyle w:val="865"/>
              <w:adjustRightInd w:val="0"/>
              <w:snapToGrid w:val="0"/>
              <w:rPr>
                <w:rFonts w:ascii="Times New Roman" w:hAnsi="Times New Roman" w:cs="Times New Roman"/>
                <w:color w:val="auto"/>
                <w:kern w:val="2"/>
                <w:sz w:val="18"/>
                <w:szCs w:val="18"/>
              </w:rPr>
            </w:pPr>
          </w:p>
        </w:tc>
        <w:tc>
          <w:tcPr>
            <w:tcW w:w="1071" w:type="pct"/>
            <w:gridSpan w:val="3"/>
            <w:vMerge w:val="continue"/>
            <w:noWrap w:val="0"/>
            <w:vAlign w:val="center"/>
          </w:tcPr>
          <w:p>
            <w:pPr>
              <w:pStyle w:val="865"/>
              <w:adjustRightInd w:val="0"/>
              <w:snapToGrid w:val="0"/>
              <w:rPr>
                <w:rFonts w:ascii="Times New Roman" w:hAnsi="Times New Roman" w:cs="Times New Roman"/>
                <w:color w:val="auto"/>
                <w:kern w:val="2"/>
                <w:sz w:val="18"/>
                <w:szCs w:val="18"/>
              </w:rPr>
            </w:pPr>
          </w:p>
        </w:tc>
        <w:tc>
          <w:tcPr>
            <w:tcW w:w="1287" w:type="pct"/>
            <w:gridSpan w:val="5"/>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无组织废气监测</w:t>
            </w:r>
            <w:r>
              <w:rPr>
                <w:rFonts w:ascii="Times New Roman" w:hAnsi="Times New Roman" w:cs="Times New Roman"/>
                <w:color w:val="auto"/>
                <w:kern w:val="2"/>
                <w:sz w:val="18"/>
                <w:szCs w:val="18"/>
              </w:rPr>
              <w:sym w:font="Wingdings 2" w:char="F052"/>
            </w:r>
          </w:p>
        </w:tc>
        <w:tc>
          <w:tcPr>
            <w:tcW w:w="876" w:type="pct"/>
            <w:gridSpan w:val="2"/>
            <w:vMerge w:val="continue"/>
            <w:noWrap w:val="0"/>
            <w:vAlign w:val="center"/>
          </w:tcPr>
          <w:p>
            <w:pPr>
              <w:pStyle w:val="865"/>
              <w:adjustRightInd w:val="0"/>
              <w:snapToGrid w:val="0"/>
              <w:rPr>
                <w:rFonts w:ascii="Times New Roman" w:hAnsi="Times New Roman" w:cs="Times New Roman"/>
                <w:color w:val="auto"/>
                <w:kern w:val="2"/>
                <w:sz w:val="18"/>
                <w:szCs w:val="18"/>
              </w:rPr>
            </w:pP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39" w:hRule="atLeast"/>
        </w:trPr>
        <w:tc>
          <w:tcPr>
            <w:tcW w:w="519" w:type="pct"/>
            <w:vMerge w:val="continue"/>
            <w:noWrap w:val="0"/>
            <w:vAlign w:val="center"/>
          </w:tcPr>
          <w:p>
            <w:pPr>
              <w:pStyle w:val="865"/>
              <w:adjustRightInd w:val="0"/>
              <w:snapToGrid w:val="0"/>
              <w:rPr>
                <w:rFonts w:ascii="Times New Roman" w:hAnsi="Times New Roman" w:cs="Times New Roman"/>
                <w:color w:val="auto"/>
                <w:kern w:val="2"/>
                <w:sz w:val="18"/>
                <w:szCs w:val="18"/>
              </w:rPr>
            </w:pPr>
          </w:p>
        </w:tc>
        <w:tc>
          <w:tcPr>
            <w:tcW w:w="1244"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环境质量监测</w:t>
            </w:r>
          </w:p>
        </w:tc>
        <w:tc>
          <w:tcPr>
            <w:tcW w:w="1071" w:type="pct"/>
            <w:gridSpan w:val="3"/>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监测因子（）</w:t>
            </w:r>
          </w:p>
        </w:tc>
        <w:tc>
          <w:tcPr>
            <w:tcW w:w="1287" w:type="pct"/>
            <w:gridSpan w:val="5"/>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监测点位数（）</w:t>
            </w:r>
          </w:p>
        </w:tc>
        <w:tc>
          <w:tcPr>
            <w:tcW w:w="876" w:type="pct"/>
            <w:gridSpan w:val="2"/>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无监测</w:t>
            </w:r>
            <w:r>
              <w:rPr>
                <w:rFonts w:ascii="Times New Roman" w:hAnsi="Times New Roman" w:cs="Times New Roman"/>
                <w:color w:val="auto"/>
                <w:kern w:val="2"/>
                <w:sz w:val="18"/>
                <w:szCs w:val="18"/>
              </w:rPr>
              <w:sym w:font="Wingdings 2" w:char="F052"/>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49" w:hRule="atLeast"/>
        </w:trPr>
        <w:tc>
          <w:tcPr>
            <w:tcW w:w="519" w:type="pct"/>
            <w:vMerge w:val="restar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评价结论</w:t>
            </w:r>
          </w:p>
        </w:tc>
        <w:tc>
          <w:tcPr>
            <w:tcW w:w="1244"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环境影响</w:t>
            </w:r>
          </w:p>
        </w:tc>
        <w:tc>
          <w:tcPr>
            <w:tcW w:w="3235" w:type="pct"/>
            <w:gridSpan w:val="10"/>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可以接受</w:t>
            </w:r>
            <w:r>
              <w:rPr>
                <w:rFonts w:ascii="Times New Roman" w:hAnsi="Times New Roman" w:cs="Times New Roman"/>
                <w:color w:val="auto"/>
                <w:kern w:val="2"/>
                <w:sz w:val="18"/>
                <w:szCs w:val="18"/>
              </w:rPr>
              <w:sym w:font="Wingdings 2" w:char="F052"/>
            </w:r>
            <w:r>
              <w:rPr>
                <w:rFonts w:hint="eastAsia" w:ascii="Times New Roman" w:hAnsi="Times New Roman" w:cs="Times New Roman"/>
                <w:color w:val="auto"/>
                <w:kern w:val="2"/>
                <w:sz w:val="18"/>
                <w:szCs w:val="18"/>
              </w:rPr>
              <w:t xml:space="preserve">        </w:t>
            </w:r>
            <w:r>
              <w:rPr>
                <w:rFonts w:ascii="Times New Roman" w:hAnsi="Times New Roman" w:cs="Times New Roman"/>
                <w:color w:val="auto"/>
                <w:kern w:val="2"/>
                <w:sz w:val="18"/>
                <w:szCs w:val="18"/>
              </w:rPr>
              <w:t>不可以接受□</w:t>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39" w:hRule="atLeast"/>
        </w:trPr>
        <w:tc>
          <w:tcPr>
            <w:tcW w:w="519" w:type="pct"/>
            <w:vMerge w:val="continue"/>
            <w:noWrap w:val="0"/>
            <w:vAlign w:val="center"/>
          </w:tcPr>
          <w:p>
            <w:pPr>
              <w:pStyle w:val="865"/>
              <w:adjustRightInd w:val="0"/>
              <w:snapToGrid w:val="0"/>
              <w:rPr>
                <w:rFonts w:ascii="Times New Roman" w:hAnsi="Times New Roman" w:cs="Times New Roman"/>
                <w:color w:val="auto"/>
                <w:kern w:val="2"/>
                <w:sz w:val="18"/>
                <w:szCs w:val="18"/>
              </w:rPr>
            </w:pPr>
          </w:p>
        </w:tc>
        <w:tc>
          <w:tcPr>
            <w:tcW w:w="1244" w:type="pct"/>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大气环境防护距离</w:t>
            </w:r>
          </w:p>
        </w:tc>
        <w:tc>
          <w:tcPr>
            <w:tcW w:w="3235" w:type="pct"/>
            <w:gridSpan w:val="10"/>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本项目不设大气防护距离</w:t>
            </w:r>
          </w:p>
        </w:tc>
      </w:tr>
      <w:tr>
        <w:tblPrEx>
          <w:tblBorders>
            <w:top w:val="single" w:color="000000" w:sz="4" w:space="0"/>
            <w:left w:val="none" w:color="auto" w:sz="0" w:space="0"/>
            <w:bottom w:val="single" w:color="000000" w:sz="4"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139" w:hRule="atLeast"/>
        </w:trPr>
        <w:tc>
          <w:tcPr>
            <w:tcW w:w="519" w:type="pct"/>
            <w:vMerge w:val="continue"/>
            <w:tcBorders>
              <w:bottom w:val="single" w:color="auto" w:sz="12" w:space="0"/>
            </w:tcBorders>
            <w:noWrap w:val="0"/>
            <w:vAlign w:val="center"/>
          </w:tcPr>
          <w:p>
            <w:pPr>
              <w:pStyle w:val="865"/>
              <w:adjustRightInd w:val="0"/>
              <w:snapToGrid w:val="0"/>
              <w:rPr>
                <w:rFonts w:ascii="Times New Roman" w:hAnsi="Times New Roman" w:cs="Times New Roman"/>
                <w:color w:val="auto"/>
                <w:kern w:val="2"/>
                <w:sz w:val="18"/>
                <w:szCs w:val="18"/>
              </w:rPr>
            </w:pPr>
          </w:p>
        </w:tc>
        <w:tc>
          <w:tcPr>
            <w:tcW w:w="1244" w:type="pct"/>
            <w:tcBorders>
              <w:bottom w:val="single" w:color="auto" w:sz="12" w:space="0"/>
            </w:tcBorders>
            <w:noWrap w:val="0"/>
            <w:vAlign w:val="center"/>
          </w:tcPr>
          <w:p>
            <w:pPr>
              <w:pStyle w:val="865"/>
              <w:adjustRightInd w:val="0"/>
              <w:snapToGrid w:val="0"/>
              <w:rPr>
                <w:rFonts w:ascii="Times New Roman" w:hAnsi="Times New Roman" w:cs="Times New Roman"/>
                <w:color w:val="auto"/>
                <w:kern w:val="2"/>
                <w:sz w:val="18"/>
                <w:szCs w:val="18"/>
              </w:rPr>
            </w:pPr>
            <w:r>
              <w:rPr>
                <w:rFonts w:ascii="Times New Roman" w:hAnsi="Times New Roman" w:cs="Times New Roman"/>
                <w:color w:val="auto"/>
                <w:kern w:val="2"/>
                <w:sz w:val="18"/>
                <w:szCs w:val="18"/>
              </w:rPr>
              <w:t>污染物年排放量</w:t>
            </w:r>
          </w:p>
        </w:tc>
        <w:tc>
          <w:tcPr>
            <w:tcW w:w="3235" w:type="pct"/>
            <w:gridSpan w:val="10"/>
            <w:tcBorders>
              <w:bottom w:val="single" w:color="auto" w:sz="12" w:space="0"/>
            </w:tcBorders>
            <w:noWrap w:val="0"/>
            <w:vAlign w:val="center"/>
          </w:tcPr>
          <w:p>
            <w:pPr>
              <w:pStyle w:val="865"/>
              <w:adjustRightInd w:val="0"/>
              <w:snapToGrid w:val="0"/>
              <w:rPr>
                <w:rFonts w:hint="eastAsia" w:ascii="Times New Roman" w:hAnsi="Times New Roman" w:eastAsia="宋体" w:cs="Times New Roman"/>
                <w:color w:val="auto"/>
                <w:kern w:val="2"/>
                <w:sz w:val="18"/>
                <w:szCs w:val="18"/>
                <w:lang w:eastAsia="zh-CN"/>
              </w:rPr>
            </w:pPr>
            <w:r>
              <w:rPr>
                <w:rFonts w:hint="eastAsia" w:ascii="Times New Roman" w:hAnsi="Times New Roman" w:cs="Times New Roman"/>
                <w:color w:val="auto"/>
                <w:kern w:val="2"/>
                <w:sz w:val="18"/>
                <w:szCs w:val="18"/>
                <w:lang w:val="en-US" w:eastAsia="zh-CN"/>
              </w:rPr>
              <w:t>NH</w:t>
            </w:r>
            <w:r>
              <w:rPr>
                <w:rFonts w:hint="eastAsia" w:ascii="Times New Roman" w:hAnsi="Times New Roman" w:cs="Times New Roman"/>
                <w:color w:val="auto"/>
                <w:kern w:val="2"/>
                <w:sz w:val="18"/>
                <w:szCs w:val="18"/>
                <w:vertAlign w:val="subscript"/>
                <w:lang w:val="en-US" w:eastAsia="zh-CN"/>
              </w:rPr>
              <w:t>3</w:t>
            </w:r>
            <w:r>
              <w:rPr>
                <w:rFonts w:ascii="Times New Roman" w:hAnsi="Times New Roman" w:cs="Times New Roman"/>
                <w:color w:val="auto"/>
                <w:kern w:val="2"/>
                <w:sz w:val="18"/>
                <w:szCs w:val="18"/>
              </w:rPr>
              <w:t>（</w:t>
            </w:r>
            <w:r>
              <w:rPr>
                <w:rFonts w:hint="eastAsia" w:ascii="Times New Roman" w:hAnsi="Times New Roman" w:cs="Times New Roman"/>
                <w:color w:val="auto"/>
                <w:kern w:val="2"/>
                <w:sz w:val="18"/>
                <w:szCs w:val="18"/>
                <w:lang w:val="en-US" w:eastAsia="zh-CN"/>
              </w:rPr>
              <w:t>0.08</w:t>
            </w:r>
            <w:r>
              <w:rPr>
                <w:rFonts w:ascii="Times New Roman" w:hAnsi="Times New Roman" w:cs="Times New Roman"/>
                <w:color w:val="auto"/>
                <w:kern w:val="2"/>
                <w:sz w:val="18"/>
                <w:szCs w:val="18"/>
              </w:rPr>
              <w:t>）t/a</w:t>
            </w:r>
            <w:r>
              <w:rPr>
                <w:rFonts w:hint="eastAsia" w:cs="Times New Roman"/>
                <w:color w:val="auto"/>
                <w:kern w:val="2"/>
                <w:sz w:val="18"/>
                <w:szCs w:val="18"/>
                <w:lang w:eastAsia="zh-CN"/>
              </w:rPr>
              <w:t>、</w:t>
            </w:r>
            <w:r>
              <w:rPr>
                <w:rFonts w:hint="eastAsia" w:cs="Times New Roman"/>
                <w:color w:val="auto"/>
                <w:kern w:val="2"/>
                <w:sz w:val="18"/>
                <w:szCs w:val="18"/>
                <w:lang w:val="en-US" w:eastAsia="zh-CN"/>
              </w:rPr>
              <w:t>H</w:t>
            </w:r>
            <w:r>
              <w:rPr>
                <w:rFonts w:hint="eastAsia" w:cs="Times New Roman"/>
                <w:color w:val="auto"/>
                <w:kern w:val="2"/>
                <w:sz w:val="18"/>
                <w:szCs w:val="18"/>
                <w:vertAlign w:val="subscript"/>
                <w:lang w:val="en-US" w:eastAsia="zh-CN"/>
              </w:rPr>
              <w:t>2</w:t>
            </w:r>
            <w:r>
              <w:rPr>
                <w:rFonts w:hint="eastAsia" w:cs="Times New Roman"/>
                <w:color w:val="auto"/>
                <w:kern w:val="2"/>
                <w:sz w:val="18"/>
                <w:szCs w:val="18"/>
                <w:lang w:val="en-US" w:eastAsia="zh-CN"/>
              </w:rPr>
              <w:t>S</w:t>
            </w:r>
            <w:r>
              <w:rPr>
                <w:rFonts w:ascii="Times New Roman" w:hAnsi="Times New Roman" w:cs="Times New Roman"/>
                <w:color w:val="auto"/>
                <w:kern w:val="2"/>
                <w:sz w:val="18"/>
                <w:szCs w:val="18"/>
              </w:rPr>
              <w:t>（</w:t>
            </w:r>
            <w:r>
              <w:rPr>
                <w:rFonts w:hint="eastAsia" w:ascii="Times New Roman" w:hAnsi="Times New Roman" w:cs="Times New Roman"/>
                <w:color w:val="auto"/>
                <w:kern w:val="2"/>
                <w:sz w:val="18"/>
                <w:szCs w:val="18"/>
                <w:lang w:val="en-US" w:eastAsia="zh-CN"/>
              </w:rPr>
              <w:t>0.004</w:t>
            </w:r>
            <w:r>
              <w:rPr>
                <w:rFonts w:hint="eastAsia" w:cs="Times New Roman"/>
                <w:color w:val="auto"/>
                <w:kern w:val="2"/>
                <w:sz w:val="18"/>
                <w:szCs w:val="18"/>
                <w:lang w:val="en-US" w:eastAsia="zh-CN"/>
              </w:rPr>
              <w:t>8</w:t>
            </w:r>
            <w:r>
              <w:rPr>
                <w:rFonts w:ascii="Times New Roman" w:hAnsi="Times New Roman" w:cs="Times New Roman"/>
                <w:color w:val="auto"/>
                <w:kern w:val="2"/>
                <w:sz w:val="18"/>
                <w:szCs w:val="18"/>
              </w:rPr>
              <w:t>）t/a</w:t>
            </w:r>
          </w:p>
        </w:tc>
      </w:tr>
    </w:tbl>
    <w:p>
      <w:pPr>
        <w:pStyle w:val="5"/>
        <w:ind w:firstLine="562"/>
        <w:rPr>
          <w:rFonts w:hint="default" w:ascii="Times New Roman" w:hAnsi="Times New Roman" w:eastAsia="宋体" w:cs="Times New Roman"/>
          <w:lang w:eastAsia="zh-CN"/>
        </w:rPr>
      </w:pPr>
      <w:r>
        <w:rPr>
          <w:rFonts w:hint="eastAsia"/>
          <w:lang w:eastAsia="zh-CN"/>
        </w:rPr>
        <w:t xml:space="preserve"> 营运期地表水环境影响分析</w:t>
      </w:r>
    </w:p>
    <w:p>
      <w:pPr>
        <w:pStyle w:val="6"/>
        <w:rPr>
          <w:rFonts w:hint="eastAsia"/>
        </w:rPr>
      </w:pPr>
      <w:r>
        <w:rPr>
          <w:rFonts w:hint="eastAsia"/>
          <w:lang w:eastAsia="zh-CN"/>
        </w:rPr>
        <w:t xml:space="preserve">地表水环境影响分析  </w:t>
      </w:r>
    </w:p>
    <w:p>
      <w:pPr>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0" w:firstLine="480" w:firstLineChars="200"/>
        <w:jc w:val="both"/>
        <w:textAlignment w:val="auto"/>
        <w:outlineLvl w:val="9"/>
        <w:rPr>
          <w:rFonts w:hint="default" w:ascii="Times New Roman" w:hAnsi="Times New Roman" w:eastAsia="宋体" w:cs="Times New Roman"/>
          <w:sz w:val="24"/>
          <w:szCs w:val="24"/>
          <w:lang w:eastAsia="zh-CN"/>
        </w:rPr>
      </w:pPr>
      <w:r>
        <w:rPr>
          <w:rFonts w:hint="eastAsia" w:cs="Times New Roman"/>
          <w:sz w:val="24"/>
          <w:szCs w:val="24"/>
          <w:lang w:eastAsia="zh-CN"/>
        </w:rPr>
        <w:t>项目营运期废水主要为生活污水、养殖废水。本项目无外排废水，根据</w:t>
      </w:r>
      <w:r>
        <w:rPr>
          <w:rFonts w:hint="default" w:ascii="Times New Roman" w:hAnsi="Times New Roman" w:eastAsia="宋体" w:cs="Times New Roman"/>
          <w:sz w:val="24"/>
          <w:szCs w:val="24"/>
          <w:lang w:eastAsia="zh-CN"/>
        </w:rPr>
        <w:t>《环境影响评价技术导则地</w:t>
      </w:r>
      <w:r>
        <w:rPr>
          <w:rFonts w:hint="default" w:ascii="Times New Roman" w:hAnsi="Times New Roman" w:eastAsia="宋体" w:cs="Times New Roman"/>
          <w:sz w:val="24"/>
          <w:szCs w:val="24"/>
          <w:lang w:val="en-US" w:eastAsia="zh-CN"/>
        </w:rPr>
        <w:t>表</w:t>
      </w:r>
      <w:r>
        <w:rPr>
          <w:rFonts w:hint="default" w:ascii="Times New Roman" w:hAnsi="Times New Roman" w:eastAsia="宋体" w:cs="Times New Roman"/>
          <w:sz w:val="24"/>
          <w:szCs w:val="24"/>
          <w:lang w:eastAsia="zh-CN"/>
        </w:rPr>
        <w:t>水环境》（HJ2.3-2018）的规定，</w:t>
      </w:r>
      <w:r>
        <w:rPr>
          <w:rFonts w:hint="eastAsia" w:cs="Times New Roman"/>
          <w:sz w:val="24"/>
          <w:szCs w:val="24"/>
          <w:lang w:eastAsia="zh-CN"/>
        </w:rPr>
        <w:t>项目</w:t>
      </w:r>
      <w:r>
        <w:rPr>
          <w:rFonts w:hint="default" w:ascii="Times New Roman" w:hAnsi="Times New Roman" w:eastAsia="宋体" w:cs="Times New Roman"/>
          <w:sz w:val="24"/>
          <w:szCs w:val="24"/>
          <w:lang w:eastAsia="zh-CN"/>
        </w:rPr>
        <w:t>地表水环境影响评价等级</w:t>
      </w:r>
      <w:r>
        <w:rPr>
          <w:rFonts w:hint="eastAsia" w:cs="Times New Roman"/>
          <w:sz w:val="24"/>
          <w:szCs w:val="24"/>
          <w:lang w:eastAsia="zh-CN"/>
        </w:rPr>
        <w:t>为</w:t>
      </w:r>
      <w:r>
        <w:rPr>
          <w:rFonts w:hint="default" w:ascii="Times New Roman" w:hAnsi="Times New Roman" w:eastAsia="宋体" w:cs="Times New Roman"/>
          <w:sz w:val="24"/>
          <w:szCs w:val="24"/>
          <w:lang w:eastAsia="zh-CN"/>
        </w:rPr>
        <w:t>三级</w:t>
      </w:r>
      <w:r>
        <w:rPr>
          <w:rFonts w:hint="default" w:ascii="Times New Roman" w:hAnsi="Times New Roman" w:eastAsia="宋体" w:cs="Times New Roman"/>
          <w:sz w:val="24"/>
          <w:szCs w:val="24"/>
          <w:lang w:val="en-US" w:eastAsia="zh-CN"/>
        </w:rPr>
        <w:t>B</w:t>
      </w:r>
      <w:r>
        <w:rPr>
          <w:rFonts w:hint="eastAsia" w:cs="Times New Roman"/>
          <w:sz w:val="24"/>
          <w:szCs w:val="24"/>
          <w:lang w:val="en-US" w:eastAsia="zh-CN"/>
        </w:rPr>
        <w:t>，可不进行水环境影响预测，只进行影响分析。</w:t>
      </w:r>
    </w:p>
    <w:p>
      <w:pPr>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0" w:firstLine="480" w:firstLineChars="200"/>
        <w:jc w:val="both"/>
        <w:textAlignment w:val="auto"/>
        <w:outlineLvl w:val="9"/>
        <w:rPr>
          <w:rFonts w:hint="eastAsia" w:cs="Times New Roman"/>
          <w:sz w:val="24"/>
          <w:szCs w:val="24"/>
          <w:lang w:eastAsia="zh-CN"/>
        </w:rPr>
      </w:pPr>
      <w:r>
        <w:rPr>
          <w:rFonts w:hint="default" w:ascii="Times New Roman" w:hAnsi="Times New Roman" w:eastAsia="宋体" w:cs="Times New Roman"/>
          <w:sz w:val="24"/>
          <w:szCs w:val="24"/>
          <w:lang w:eastAsia="zh-CN"/>
        </w:rPr>
        <w:t>本项目养殖废水（含猪尿液、猪舍冲洗废水</w:t>
      </w:r>
      <w:r>
        <w:rPr>
          <w:rFonts w:hint="eastAsia" w:cs="Times New Roman"/>
          <w:sz w:val="24"/>
          <w:szCs w:val="24"/>
          <w:lang w:eastAsia="zh-CN"/>
        </w:rPr>
        <w:t>等</w:t>
      </w:r>
      <w:r>
        <w:rPr>
          <w:rFonts w:hint="default" w:ascii="Times New Roman" w:hAnsi="Times New Roman" w:eastAsia="宋体" w:cs="Times New Roman"/>
          <w:sz w:val="24"/>
          <w:szCs w:val="24"/>
          <w:lang w:eastAsia="zh-CN"/>
        </w:rPr>
        <w:t>），经</w:t>
      </w:r>
      <w:r>
        <w:rPr>
          <w:rFonts w:hint="eastAsia" w:cs="Times New Roman"/>
          <w:sz w:val="24"/>
          <w:szCs w:val="24"/>
          <w:lang w:eastAsia="zh-CN"/>
        </w:rPr>
        <w:t>集液池进入异位发酵床</w:t>
      </w:r>
      <w:r>
        <w:rPr>
          <w:rFonts w:hint="default" w:ascii="Times New Roman" w:hAnsi="Times New Roman" w:eastAsia="宋体" w:cs="Times New Roman"/>
          <w:sz w:val="24"/>
          <w:szCs w:val="24"/>
          <w:lang w:eastAsia="zh-CN"/>
        </w:rPr>
        <w:t>处理后</w:t>
      </w:r>
      <w:r>
        <w:rPr>
          <w:rFonts w:hint="eastAsia" w:cs="Times New Roman"/>
          <w:sz w:val="24"/>
          <w:szCs w:val="24"/>
          <w:lang w:eastAsia="zh-CN"/>
        </w:rPr>
        <w:t>，制成有机肥外售；生活污水产生量为</w:t>
      </w:r>
      <w:r>
        <w:rPr>
          <w:rFonts w:hint="eastAsia" w:cs="Times New Roman"/>
          <w:sz w:val="24"/>
          <w:szCs w:val="24"/>
          <w:lang w:val="en-US" w:eastAsia="zh-CN"/>
        </w:rPr>
        <w:t>1752</w:t>
      </w:r>
      <w:r>
        <w:rPr>
          <w:rFonts w:hint="default" w:ascii="Times New Roman" w:hAnsi="Times New Roman" w:eastAsia="宋体" w:cs="Times New Roman"/>
          <w:sz w:val="24"/>
          <w:szCs w:val="24"/>
          <w:lang w:eastAsia="zh-CN"/>
        </w:rPr>
        <w:t>t/a</w:t>
      </w:r>
      <w:r>
        <w:rPr>
          <w:rFonts w:hint="eastAsia" w:cs="Times New Roman"/>
          <w:sz w:val="24"/>
          <w:szCs w:val="24"/>
          <w:lang w:eastAsia="zh-CN"/>
        </w:rPr>
        <w:t>经地埋式一体化污水处理设施后回用场区绿化</w:t>
      </w:r>
      <w:r>
        <w:rPr>
          <w:rFonts w:hint="eastAsia" w:cs="Times New Roman"/>
          <w:sz w:val="24"/>
          <w:szCs w:val="24"/>
          <w:lang w:val="en-US" w:eastAsia="zh-CN"/>
        </w:rPr>
        <w:t>和附近林地灌溉</w:t>
      </w:r>
      <w:r>
        <w:rPr>
          <w:rFonts w:hint="eastAsia" w:cs="Times New Roman"/>
          <w:sz w:val="24"/>
          <w:szCs w:val="24"/>
          <w:lang w:eastAsia="zh-CN"/>
        </w:rPr>
        <w:t>，</w:t>
      </w:r>
      <w:r>
        <w:rPr>
          <w:rFonts w:hint="default" w:ascii="Times New Roman" w:hAnsi="Times New Roman" w:eastAsia="宋体" w:cs="Times New Roman"/>
          <w:sz w:val="24"/>
          <w:szCs w:val="24"/>
          <w:lang w:eastAsia="zh-CN"/>
        </w:rPr>
        <w:t>实现污水综合利用</w:t>
      </w:r>
      <w:r>
        <w:rPr>
          <w:rFonts w:hint="eastAsia" w:cs="Times New Roman"/>
          <w:sz w:val="24"/>
          <w:szCs w:val="24"/>
          <w:lang w:eastAsia="zh-CN"/>
        </w:rPr>
        <w:t>。</w:t>
      </w:r>
    </w:p>
    <w:p>
      <w:pPr>
        <w:pStyle w:val="32"/>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sz w:val="24"/>
          <w:szCs w:val="24"/>
          <w:lang w:val="en-US" w:eastAsia="zh-CN"/>
        </w:rPr>
      </w:pPr>
      <w:r>
        <w:rPr>
          <w:rFonts w:hint="eastAsia" w:cs="Times New Roman"/>
          <w:sz w:val="24"/>
          <w:szCs w:val="24"/>
          <w:lang w:val="en-US" w:eastAsia="zh-CN"/>
        </w:rPr>
        <w:t>除却生活污水的各种生产废水（含猪粪）经集液池充分混合后喷淋至异位发酵床，利用垫料、菌种分解高浓度的混合废水，待发酵完成可得到有机肥，可实现生产废水和猪粪零排放，且该工艺已成熟适用于各猪场，是一种行之有效的生态养殖技术。</w:t>
      </w:r>
    </w:p>
    <w:p>
      <w:pPr>
        <w:pStyle w:val="32"/>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cs="Times New Roman"/>
          <w:sz w:val="24"/>
          <w:szCs w:val="24"/>
          <w:lang w:val="en-US" w:eastAsia="zh-CN"/>
        </w:rPr>
      </w:pPr>
      <w:r>
        <w:rPr>
          <w:rFonts w:hint="eastAsia" w:cs="Times New Roman"/>
          <w:sz w:val="24"/>
          <w:szCs w:val="24"/>
          <w:lang w:val="en-US" w:eastAsia="zh-CN"/>
        </w:rPr>
        <w:t>本项目产僧的生活污水为</w:t>
      </w:r>
      <w:r>
        <w:rPr>
          <w:rFonts w:hint="default" w:ascii="Times New Roman" w:hAnsi="Times New Roman" w:cs="Times New Roman"/>
          <w:sz w:val="24"/>
          <w:szCs w:val="24"/>
          <w:lang w:val="en-US" w:eastAsia="zh-CN"/>
        </w:rPr>
        <w:t>4.8m</w:t>
      </w:r>
      <w:r>
        <w:rPr>
          <w:rFonts w:hint="default" w:ascii="Times New Roman" w:hAnsi="Times New Roman" w:cs="Times New Roman"/>
          <w:sz w:val="24"/>
          <w:szCs w:val="24"/>
          <w:vertAlign w:val="superscript"/>
          <w:lang w:val="en-US" w:eastAsia="zh-CN"/>
        </w:rPr>
        <w:t>3</w:t>
      </w:r>
      <w:r>
        <w:rPr>
          <w:rFonts w:hint="default" w:ascii="Times New Roman" w:hAnsi="Times New Roman" w:cs="Times New Roman"/>
          <w:sz w:val="24"/>
          <w:szCs w:val="24"/>
          <w:lang w:val="en-US" w:eastAsia="zh-CN"/>
        </w:rPr>
        <w:t>/d，</w:t>
      </w:r>
      <w:r>
        <w:rPr>
          <w:rFonts w:hint="eastAsia" w:cs="Times New Roman"/>
          <w:sz w:val="24"/>
          <w:szCs w:val="24"/>
          <w:lang w:val="en-US" w:eastAsia="zh-CN"/>
        </w:rPr>
        <w:t>厂区拟设置地埋式一体化生化处理工艺，涉及处理能力为6</w:t>
      </w:r>
      <w:r>
        <w:rPr>
          <w:rFonts w:hint="default" w:ascii="Times New Roman" w:hAnsi="Times New Roman" w:cs="Times New Roman"/>
          <w:sz w:val="24"/>
          <w:szCs w:val="24"/>
          <w:lang w:val="en-US" w:eastAsia="zh-CN"/>
        </w:rPr>
        <w:t>m</w:t>
      </w:r>
      <w:r>
        <w:rPr>
          <w:rFonts w:hint="default" w:ascii="Times New Roman" w:hAnsi="Times New Roman" w:cs="Times New Roman"/>
          <w:sz w:val="24"/>
          <w:szCs w:val="24"/>
          <w:vertAlign w:val="superscript"/>
          <w:lang w:val="en-US" w:eastAsia="zh-CN"/>
        </w:rPr>
        <w:t>3</w:t>
      </w:r>
      <w:r>
        <w:rPr>
          <w:rFonts w:hint="default" w:ascii="Times New Roman" w:hAnsi="Times New Roman" w:cs="Times New Roman"/>
          <w:sz w:val="24"/>
          <w:szCs w:val="24"/>
          <w:lang w:val="en-US" w:eastAsia="zh-CN"/>
        </w:rPr>
        <w:t>/d</w:t>
      </w:r>
      <w:r>
        <w:rPr>
          <w:rFonts w:hint="eastAsia" w:ascii="Times New Roman" w:hAnsi="Times New Roman" w:cs="Times New Roman"/>
          <w:sz w:val="24"/>
          <w:szCs w:val="24"/>
          <w:lang w:val="en-US" w:eastAsia="zh-CN"/>
        </w:rPr>
        <w:t>，可完全处理本项目产生的生活污水，且生活污水的因子单一，浓度较低经生化处理后可达标事先厂区绿化回用，不外排。</w:t>
      </w:r>
    </w:p>
    <w:p>
      <w:pPr>
        <w:pStyle w:val="8"/>
        <w:rPr>
          <w:rFonts w:hint="eastAsia"/>
          <w:lang w:eastAsia="zh-CN"/>
        </w:rPr>
      </w:pPr>
      <w:r>
        <w:rPr>
          <w:rFonts w:hint="eastAsia"/>
          <w:lang w:eastAsia="zh-CN"/>
        </w:rPr>
        <w:t>因此不会改变评价区域水环境质量级别和功能，在采取上述措施后，本项目营运期基本不会对周围地表水环境造成影响。</w:t>
      </w:r>
    </w:p>
    <w:p>
      <w:pPr>
        <w:pStyle w:val="6"/>
        <w:rPr>
          <w:rFonts w:hint="eastAsia"/>
        </w:rPr>
      </w:pPr>
      <w:r>
        <w:rPr>
          <w:rFonts w:hint="eastAsia"/>
          <w:lang w:eastAsia="zh-CN"/>
        </w:rPr>
        <w:t xml:space="preserve">污染源排放量核算  </w:t>
      </w:r>
    </w:p>
    <w:p>
      <w:pPr>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0" w:firstLine="481" w:firstLineChars="200"/>
        <w:jc w:val="both"/>
        <w:textAlignment w:val="auto"/>
        <w:outlineLvl w:val="9"/>
        <w:rPr>
          <w:rFonts w:hint="default" w:ascii="Times New Roman" w:hAnsi="Times New Roman" w:eastAsia="宋体" w:cs="Times New Roman"/>
          <w:sz w:val="24"/>
          <w:szCs w:val="24"/>
          <w:lang w:eastAsia="zh-CN"/>
        </w:rPr>
      </w:pPr>
      <w:r>
        <w:rPr>
          <w:rFonts w:hint="eastAsia" w:cs="Times New Roman"/>
          <w:b/>
          <w:bCs/>
          <w:sz w:val="24"/>
          <w:szCs w:val="24"/>
          <w:lang w:eastAsia="zh-CN"/>
        </w:rPr>
        <w:t>（</w:t>
      </w:r>
      <w:r>
        <w:rPr>
          <w:rFonts w:hint="eastAsia" w:cs="Times New Roman"/>
          <w:b/>
          <w:bCs/>
          <w:sz w:val="24"/>
          <w:szCs w:val="24"/>
          <w:lang w:val="en-US" w:eastAsia="zh-CN"/>
        </w:rPr>
        <w:t>1</w:t>
      </w:r>
      <w:r>
        <w:rPr>
          <w:rFonts w:hint="eastAsia" w:cs="Times New Roman"/>
          <w:b/>
          <w:bCs/>
          <w:sz w:val="24"/>
          <w:szCs w:val="24"/>
          <w:lang w:eastAsia="zh-CN"/>
        </w:rPr>
        <w:t>）废水类别、污染物及污染治理设施信息表</w:t>
      </w:r>
    </w:p>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b/>
          <w:bCs/>
          <w:sz w:val="21"/>
          <w:szCs w:val="21"/>
          <w:lang w:val="en-US" w:eastAsia="zh-CN"/>
        </w:rPr>
      </w:pPr>
      <w:r>
        <w:rPr>
          <w:rFonts w:hint="eastAsia" w:cs="Times New Roman"/>
          <w:b/>
          <w:bCs/>
          <w:sz w:val="21"/>
          <w:szCs w:val="21"/>
          <w:lang w:eastAsia="zh-CN"/>
        </w:rPr>
        <w:t>表</w:t>
      </w:r>
      <w:r>
        <w:rPr>
          <w:rFonts w:hint="eastAsia" w:cs="Times New Roman"/>
          <w:b/>
          <w:bCs/>
          <w:sz w:val="21"/>
          <w:szCs w:val="21"/>
          <w:lang w:val="en-US" w:eastAsia="zh-CN"/>
        </w:rPr>
        <w:t>5.2-10   废水类别、污染物及治理搓射信息表</w:t>
      </w:r>
    </w:p>
    <w:tbl>
      <w:tblPr>
        <w:tblStyle w:val="64"/>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92"/>
        <w:gridCol w:w="1223"/>
        <w:gridCol w:w="972"/>
        <w:gridCol w:w="804"/>
        <w:gridCol w:w="836"/>
        <w:gridCol w:w="593"/>
        <w:gridCol w:w="1116"/>
        <w:gridCol w:w="854"/>
        <w:gridCol w:w="783"/>
        <w:gridCol w:w="1028"/>
        <w:gridCol w:w="120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c>
          <w:tcPr>
            <w:tcW w:w="248" w:type="pct"/>
            <w:vMerge w:val="restar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序号</w:t>
            </w:r>
          </w:p>
        </w:tc>
        <w:tc>
          <w:tcPr>
            <w:tcW w:w="617" w:type="pct"/>
            <w:vMerge w:val="restar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废水类别</w:t>
            </w:r>
          </w:p>
        </w:tc>
        <w:tc>
          <w:tcPr>
            <w:tcW w:w="490" w:type="pct"/>
            <w:vMerge w:val="restar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污染物种类</w:t>
            </w:r>
          </w:p>
        </w:tc>
        <w:tc>
          <w:tcPr>
            <w:tcW w:w="405" w:type="pct"/>
            <w:vMerge w:val="restar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排放去向</w:t>
            </w:r>
          </w:p>
        </w:tc>
        <w:tc>
          <w:tcPr>
            <w:tcW w:w="421" w:type="pct"/>
            <w:vMerge w:val="restar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排放规律</w:t>
            </w:r>
          </w:p>
        </w:tc>
        <w:tc>
          <w:tcPr>
            <w:tcW w:w="1293" w:type="pct"/>
            <w:gridSpan w:val="3"/>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污染治理设施</w:t>
            </w:r>
          </w:p>
        </w:tc>
        <w:tc>
          <w:tcPr>
            <w:tcW w:w="395" w:type="pct"/>
            <w:vMerge w:val="restar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排放口编号</w:t>
            </w:r>
          </w:p>
        </w:tc>
        <w:tc>
          <w:tcPr>
            <w:tcW w:w="518" w:type="pct"/>
            <w:vMerge w:val="restart"/>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cs="Times New Roman"/>
                <w:color w:val="000000"/>
                <w:kern w:val="2"/>
                <w:sz w:val="21"/>
                <w:szCs w:val="21"/>
                <w:vertAlign w:val="baseline"/>
                <w:lang w:val="en-US" w:eastAsia="zh-CN" w:bidi="ar-SA"/>
              </w:rPr>
              <w:t>排放口设置是否符合要求</w:t>
            </w:r>
          </w:p>
        </w:tc>
        <w:tc>
          <w:tcPr>
            <w:tcW w:w="608" w:type="pct"/>
            <w:vMerge w:val="restart"/>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eastAsia" w:ascii="Times New Roman" w:hAnsi="Times New Roman" w:cs="Times New Roman"/>
                <w:color w:val="000000"/>
                <w:kern w:val="2"/>
                <w:sz w:val="21"/>
                <w:szCs w:val="21"/>
                <w:vertAlign w:val="baseline"/>
                <w:lang w:val="en-US" w:eastAsia="zh-CN" w:bidi="ar-SA"/>
              </w:rPr>
              <w:t>排放口类型</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c>
          <w:tcPr>
            <w:tcW w:w="248" w:type="pct"/>
            <w:vMerge w:val="continue"/>
            <w:tcBorders>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p>
        </w:tc>
        <w:tc>
          <w:tcPr>
            <w:tcW w:w="617" w:type="pct"/>
            <w:vMerge w:val="continue"/>
            <w:tcBorders>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p>
        </w:tc>
        <w:tc>
          <w:tcPr>
            <w:tcW w:w="490" w:type="pct"/>
            <w:vMerge w:val="continue"/>
            <w:tcBorders>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p>
        </w:tc>
        <w:tc>
          <w:tcPr>
            <w:tcW w:w="405" w:type="pct"/>
            <w:vMerge w:val="continue"/>
            <w:tcBorders>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p>
        </w:tc>
        <w:tc>
          <w:tcPr>
            <w:tcW w:w="421" w:type="pct"/>
            <w:vMerge w:val="continue"/>
            <w:tcBorders>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p>
        </w:tc>
        <w:tc>
          <w:tcPr>
            <w:tcW w:w="299" w:type="pct"/>
            <w:tcBorders>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编号</w:t>
            </w:r>
          </w:p>
        </w:tc>
        <w:tc>
          <w:tcPr>
            <w:tcW w:w="563" w:type="pct"/>
            <w:tcBorders>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名称</w:t>
            </w:r>
          </w:p>
        </w:tc>
        <w:tc>
          <w:tcPr>
            <w:tcW w:w="431" w:type="pct"/>
            <w:tcBorders>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工艺</w:t>
            </w:r>
          </w:p>
        </w:tc>
        <w:tc>
          <w:tcPr>
            <w:tcW w:w="395" w:type="pct"/>
            <w:vMerge w:val="continue"/>
            <w:tcBorders>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p>
        </w:tc>
        <w:tc>
          <w:tcPr>
            <w:tcW w:w="518" w:type="pct"/>
            <w:vMerge w:val="continue"/>
            <w:tcBorders>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p>
        </w:tc>
        <w:tc>
          <w:tcPr>
            <w:tcW w:w="608" w:type="pct"/>
            <w:vMerge w:val="continue"/>
            <w:tcBorders>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c>
          <w:tcPr>
            <w:tcW w:w="248" w:type="pct"/>
            <w:tcBorders>
              <w:top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1</w:t>
            </w:r>
          </w:p>
        </w:tc>
        <w:tc>
          <w:tcPr>
            <w:tcW w:w="617" w:type="pct"/>
            <w:tcBorders>
              <w:top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猪尿、猪舍冲洗废水</w:t>
            </w:r>
          </w:p>
        </w:tc>
        <w:tc>
          <w:tcPr>
            <w:tcW w:w="490" w:type="pct"/>
            <w:vMerge w:val="restart"/>
            <w:tcBorders>
              <w:top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COD、BOD、NH</w:t>
            </w:r>
            <w:r>
              <w:rPr>
                <w:rFonts w:hint="eastAsia" w:cs="Times New Roman"/>
                <w:sz w:val="21"/>
                <w:szCs w:val="21"/>
                <w:vertAlign w:val="subscript"/>
                <w:lang w:val="en-US" w:eastAsia="zh-CN"/>
              </w:rPr>
              <w:t>3</w:t>
            </w:r>
            <w:r>
              <w:rPr>
                <w:rFonts w:hint="eastAsia" w:cs="Times New Roman"/>
                <w:sz w:val="21"/>
                <w:szCs w:val="21"/>
                <w:vertAlign w:val="baseline"/>
                <w:lang w:val="en-US" w:eastAsia="zh-CN"/>
              </w:rPr>
              <w:t>-N、TP</w:t>
            </w:r>
          </w:p>
        </w:tc>
        <w:tc>
          <w:tcPr>
            <w:tcW w:w="405" w:type="pct"/>
            <w:tcBorders>
              <w:top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制有机肥</w:t>
            </w:r>
          </w:p>
        </w:tc>
        <w:tc>
          <w:tcPr>
            <w:tcW w:w="421" w:type="pct"/>
            <w:tcBorders>
              <w:top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间接</w:t>
            </w:r>
          </w:p>
        </w:tc>
        <w:tc>
          <w:tcPr>
            <w:tcW w:w="299" w:type="pct"/>
            <w:tcBorders>
              <w:top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Q1</w:t>
            </w:r>
          </w:p>
        </w:tc>
        <w:tc>
          <w:tcPr>
            <w:tcW w:w="563" w:type="pct"/>
            <w:tcBorders>
              <w:top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异位发酵床</w:t>
            </w:r>
          </w:p>
        </w:tc>
        <w:tc>
          <w:tcPr>
            <w:tcW w:w="431" w:type="pct"/>
            <w:tcBorders>
              <w:top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ascii="Times New Roman" w:hAnsi="Times New Roman" w:cs="Times New Roman"/>
                <w:sz w:val="21"/>
                <w:szCs w:val="21"/>
                <w:vertAlign w:val="baseline"/>
                <w:lang w:eastAsia="zh-CN"/>
              </w:rPr>
              <w:t>分解发酵</w:t>
            </w:r>
          </w:p>
        </w:tc>
        <w:tc>
          <w:tcPr>
            <w:tcW w:w="395" w:type="pct"/>
            <w:tcBorders>
              <w:top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w:t>
            </w:r>
          </w:p>
        </w:tc>
        <w:tc>
          <w:tcPr>
            <w:tcW w:w="518" w:type="pct"/>
            <w:tcBorders>
              <w:top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ascii="Times New Roman" w:hAnsi="Times New Roman" w:cs="Times New Roman"/>
                <w:color w:val="000000"/>
                <w:kern w:val="2"/>
                <w:sz w:val="21"/>
                <w:szCs w:val="21"/>
                <w:vertAlign w:val="baseline"/>
                <w:lang w:val="en-US" w:eastAsia="zh-CN" w:bidi="ar-SA"/>
              </w:rPr>
              <w:t>不设置排放</w:t>
            </w:r>
            <w:r>
              <w:rPr>
                <w:rFonts w:hint="eastAsia" w:cs="Times New Roman"/>
                <w:color w:val="000000"/>
                <w:kern w:val="2"/>
                <w:sz w:val="21"/>
                <w:szCs w:val="21"/>
                <w:vertAlign w:val="baseline"/>
                <w:lang w:val="en-US" w:eastAsia="zh-CN" w:bidi="ar-SA"/>
              </w:rPr>
              <w:t>口</w:t>
            </w:r>
          </w:p>
        </w:tc>
        <w:tc>
          <w:tcPr>
            <w:tcW w:w="608" w:type="pct"/>
            <w:tcBorders>
              <w:top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c>
          <w:tcPr>
            <w:tcW w:w="248" w:type="pc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2</w:t>
            </w:r>
          </w:p>
        </w:tc>
        <w:tc>
          <w:tcPr>
            <w:tcW w:w="617" w:type="pc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生活污水</w:t>
            </w:r>
          </w:p>
        </w:tc>
        <w:tc>
          <w:tcPr>
            <w:tcW w:w="490" w:type="pct"/>
            <w:vMerge w:val="continue"/>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p>
        </w:tc>
        <w:tc>
          <w:tcPr>
            <w:tcW w:w="405" w:type="pc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厂区绿化和林地灌溉</w:t>
            </w:r>
          </w:p>
        </w:tc>
        <w:tc>
          <w:tcPr>
            <w:tcW w:w="421" w:type="pc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间接</w:t>
            </w:r>
          </w:p>
        </w:tc>
        <w:tc>
          <w:tcPr>
            <w:tcW w:w="299" w:type="pc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Q2</w:t>
            </w:r>
          </w:p>
        </w:tc>
        <w:tc>
          <w:tcPr>
            <w:tcW w:w="563" w:type="pc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cs="Times New Roman"/>
                <w:sz w:val="21"/>
                <w:szCs w:val="21"/>
                <w:vertAlign w:val="baseline"/>
                <w:lang w:eastAsia="zh-CN"/>
              </w:rPr>
              <w:t>地埋式一体化污水处理设施</w:t>
            </w:r>
          </w:p>
        </w:tc>
        <w:tc>
          <w:tcPr>
            <w:tcW w:w="431" w:type="pc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ascii="Times New Roman" w:hAnsi="Times New Roman" w:cs="Times New Roman"/>
                <w:sz w:val="21"/>
                <w:szCs w:val="21"/>
                <w:vertAlign w:val="baseline"/>
                <w:lang w:eastAsia="zh-CN"/>
              </w:rPr>
              <w:t>厌氧接触氧化</w:t>
            </w:r>
          </w:p>
        </w:tc>
        <w:tc>
          <w:tcPr>
            <w:tcW w:w="395" w:type="pc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W1</w:t>
            </w:r>
          </w:p>
        </w:tc>
        <w:tc>
          <w:tcPr>
            <w:tcW w:w="518" w:type="pct"/>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outlineLvl w:val="9"/>
              <w:rPr>
                <w:rFonts w:hint="eastAsia" w:ascii="Times New Roman" w:hAnsi="Times New Roman" w:cs="Times New Roman"/>
                <w:color w:val="000000"/>
                <w:kern w:val="2"/>
                <w:sz w:val="21"/>
                <w:szCs w:val="21"/>
                <w:vertAlign w:val="baseline"/>
                <w:lang w:val="en-US" w:eastAsia="zh-CN" w:bidi="ar-SA"/>
              </w:rPr>
            </w:pPr>
            <w:r>
              <w:rPr>
                <w:rFonts w:hint="eastAsia" w:ascii="宋体" w:hAnsi="宋体" w:eastAsia="宋体" w:cs="宋体"/>
                <w:color w:val="000000"/>
                <w:kern w:val="2"/>
                <w:sz w:val="21"/>
                <w:szCs w:val="21"/>
                <w:vertAlign w:val="baseline"/>
                <w:lang w:val="en-US" w:eastAsia="zh-CN" w:bidi="ar-SA"/>
              </w:rPr>
              <w:sym w:font="Wingdings 2" w:char="0052"/>
            </w:r>
            <w:r>
              <w:rPr>
                <w:rFonts w:hint="eastAsia" w:ascii="Times New Roman" w:hAnsi="Times New Roman" w:cs="Times New Roman"/>
                <w:color w:val="000000"/>
                <w:kern w:val="2"/>
                <w:sz w:val="21"/>
                <w:szCs w:val="21"/>
                <w:vertAlign w:val="baseline"/>
                <w:lang w:val="en-US" w:eastAsia="zh-CN" w:bidi="ar-SA"/>
              </w:rPr>
              <w:t>是</w:t>
            </w:r>
          </w:p>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eastAsia="zh-CN"/>
              </w:rPr>
            </w:pPr>
            <w:r>
              <w:rPr>
                <w:rFonts w:hint="eastAsia" w:ascii="宋体" w:hAnsi="宋体" w:eastAsia="宋体" w:cs="宋体"/>
                <w:color w:val="000000"/>
                <w:kern w:val="2"/>
                <w:sz w:val="21"/>
                <w:szCs w:val="21"/>
                <w:vertAlign w:val="baseline"/>
                <w:lang w:val="en-US" w:eastAsia="zh-CN" w:bidi="ar-SA"/>
              </w:rPr>
              <w:sym w:font="Wingdings 2" w:char="00A3"/>
            </w:r>
            <w:r>
              <w:rPr>
                <w:rFonts w:hint="eastAsia" w:ascii="Times New Roman" w:hAnsi="Times New Roman" w:cs="Times New Roman"/>
                <w:color w:val="000000"/>
                <w:kern w:val="2"/>
                <w:sz w:val="21"/>
                <w:szCs w:val="21"/>
                <w:vertAlign w:val="baseline"/>
                <w:lang w:val="en-US" w:eastAsia="zh-CN" w:bidi="ar-SA"/>
              </w:rPr>
              <w:t>否</w:t>
            </w:r>
          </w:p>
        </w:tc>
        <w:tc>
          <w:tcPr>
            <w:tcW w:w="608" w:type="pct"/>
            <w:vAlign w:val="center"/>
          </w:tcPr>
          <w:p>
            <w:pPr>
              <w:keepNext w:val="0"/>
              <w:keepLines w:val="0"/>
              <w:pageBreakBefore w:val="0"/>
              <w:widowControl w:val="0"/>
              <w:kinsoku/>
              <w:wordWrap/>
              <w:overflowPunct/>
              <w:topLinePunct w:val="0"/>
              <w:autoSpaceDE/>
              <w:autoSpaceDN/>
              <w:bidi w:val="0"/>
              <w:adjustRightInd/>
              <w:snapToGrid/>
              <w:jc w:val="left"/>
              <w:textAlignment w:val="auto"/>
              <w:outlineLvl w:val="9"/>
              <w:rPr>
                <w:rFonts w:hint="eastAsia" w:ascii="宋体" w:hAnsi="宋体" w:eastAsia="宋体"/>
                <w:sz w:val="21"/>
                <w:szCs w:val="21"/>
              </w:rPr>
            </w:pPr>
            <w:r>
              <w:rPr>
                <w:rFonts w:hint="eastAsia" w:ascii="宋体" w:hAnsi="宋体" w:eastAsia="宋体" w:cs="宋体"/>
                <w:color w:val="000000"/>
                <w:kern w:val="2"/>
                <w:sz w:val="21"/>
                <w:szCs w:val="21"/>
                <w:vertAlign w:val="baseline"/>
                <w:lang w:val="en-US" w:eastAsia="zh-CN" w:bidi="ar-SA"/>
              </w:rPr>
              <w:sym w:font="Wingdings 2" w:char="0052"/>
            </w:r>
            <w:r>
              <w:rPr>
                <w:rFonts w:hint="eastAsia" w:ascii="宋体" w:hAnsi="宋体" w:eastAsia="宋体"/>
                <w:sz w:val="21"/>
                <w:szCs w:val="21"/>
              </w:rPr>
              <w:t>企业总排</w:t>
            </w:r>
          </w:p>
          <w:p>
            <w:pPr>
              <w:keepNext w:val="0"/>
              <w:keepLines w:val="0"/>
              <w:pageBreakBefore w:val="0"/>
              <w:widowControl w:val="0"/>
              <w:kinsoku/>
              <w:wordWrap/>
              <w:overflowPunct/>
              <w:topLinePunct w:val="0"/>
              <w:autoSpaceDE/>
              <w:autoSpaceDN/>
              <w:bidi w:val="0"/>
              <w:adjustRightInd/>
              <w:snapToGrid/>
              <w:jc w:val="left"/>
              <w:textAlignment w:val="auto"/>
              <w:outlineLvl w:val="9"/>
              <w:rPr>
                <w:rFonts w:hint="eastAsia" w:ascii="宋体" w:hAnsi="宋体" w:eastAsia="宋体"/>
                <w:sz w:val="21"/>
                <w:szCs w:val="21"/>
              </w:rPr>
            </w:pPr>
            <w:r>
              <w:rPr>
                <w:rFonts w:hint="eastAsia" w:ascii="宋体" w:hAnsi="宋体" w:eastAsia="宋体" w:cs="宋体"/>
                <w:color w:val="000000"/>
                <w:kern w:val="2"/>
                <w:sz w:val="21"/>
                <w:szCs w:val="21"/>
                <w:vertAlign w:val="baseline"/>
                <w:lang w:val="en-US" w:eastAsia="zh-CN" w:bidi="ar-SA"/>
              </w:rPr>
              <w:sym w:font="Wingdings 2" w:char="00A3"/>
            </w:r>
            <w:r>
              <w:rPr>
                <w:rFonts w:hint="eastAsia" w:ascii="宋体" w:hAnsi="宋体" w:eastAsia="宋体"/>
                <w:sz w:val="21"/>
                <w:szCs w:val="21"/>
              </w:rPr>
              <w:t>雨水排放</w:t>
            </w:r>
          </w:p>
          <w:p>
            <w:pPr>
              <w:keepNext w:val="0"/>
              <w:keepLines w:val="0"/>
              <w:pageBreakBefore w:val="0"/>
              <w:widowControl w:val="0"/>
              <w:kinsoku/>
              <w:wordWrap/>
              <w:overflowPunct/>
              <w:topLinePunct w:val="0"/>
              <w:autoSpaceDE/>
              <w:autoSpaceDN/>
              <w:bidi w:val="0"/>
              <w:adjustRightInd/>
              <w:snapToGrid/>
              <w:jc w:val="left"/>
              <w:textAlignment w:val="auto"/>
              <w:outlineLvl w:val="9"/>
              <w:rPr>
                <w:rFonts w:hint="eastAsia" w:ascii="宋体" w:hAnsi="宋体" w:eastAsia="宋体"/>
                <w:sz w:val="21"/>
                <w:szCs w:val="21"/>
              </w:rPr>
            </w:pPr>
            <w:r>
              <w:rPr>
                <w:rFonts w:hint="eastAsia" w:ascii="宋体" w:hAnsi="宋体" w:eastAsia="宋体" w:cs="宋体"/>
                <w:color w:val="000000"/>
                <w:kern w:val="2"/>
                <w:sz w:val="21"/>
                <w:szCs w:val="21"/>
                <w:vertAlign w:val="baseline"/>
                <w:lang w:val="en-US" w:eastAsia="zh-CN" w:bidi="ar-SA"/>
              </w:rPr>
              <w:sym w:font="Wingdings 2" w:char="00A3"/>
            </w:r>
            <w:r>
              <w:rPr>
                <w:rFonts w:hint="eastAsia" w:ascii="宋体" w:hAnsi="宋体" w:eastAsia="宋体"/>
                <w:sz w:val="21"/>
                <w:szCs w:val="21"/>
              </w:rPr>
              <w:t>清净下水排放</w:t>
            </w:r>
          </w:p>
          <w:p>
            <w:pPr>
              <w:keepNext w:val="0"/>
              <w:keepLines w:val="0"/>
              <w:pageBreakBefore w:val="0"/>
              <w:widowControl w:val="0"/>
              <w:kinsoku/>
              <w:wordWrap/>
              <w:overflowPunct/>
              <w:topLinePunct w:val="0"/>
              <w:autoSpaceDE/>
              <w:autoSpaceDN/>
              <w:bidi w:val="0"/>
              <w:adjustRightInd/>
              <w:snapToGrid/>
              <w:jc w:val="left"/>
              <w:textAlignment w:val="auto"/>
              <w:outlineLvl w:val="9"/>
              <w:rPr>
                <w:rFonts w:hint="eastAsia" w:ascii="宋体" w:hAnsi="宋体" w:eastAsia="宋体"/>
                <w:sz w:val="21"/>
                <w:szCs w:val="21"/>
              </w:rPr>
            </w:pPr>
            <w:r>
              <w:rPr>
                <w:rFonts w:hint="eastAsia" w:ascii="宋体" w:hAnsi="宋体" w:eastAsia="宋体" w:cs="宋体"/>
                <w:color w:val="000000"/>
                <w:kern w:val="2"/>
                <w:sz w:val="21"/>
                <w:szCs w:val="21"/>
                <w:vertAlign w:val="baseline"/>
                <w:lang w:val="en-US" w:eastAsia="zh-CN" w:bidi="ar-SA"/>
              </w:rPr>
              <w:sym w:font="Wingdings 2" w:char="00A3"/>
            </w:r>
            <w:r>
              <w:rPr>
                <w:rFonts w:hint="eastAsia" w:ascii="宋体" w:hAnsi="宋体" w:eastAsia="宋体"/>
                <w:sz w:val="21"/>
                <w:szCs w:val="21"/>
              </w:rPr>
              <w:t>温排水排放</w:t>
            </w:r>
          </w:p>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sz w:val="21"/>
                <w:szCs w:val="21"/>
                <w:vertAlign w:val="baseline"/>
                <w:lang w:val="en-US" w:eastAsia="zh-CN"/>
              </w:rPr>
            </w:pPr>
            <w:r>
              <w:rPr>
                <w:rFonts w:hint="eastAsia" w:ascii="宋体" w:hAnsi="宋体" w:eastAsia="宋体" w:cs="宋体"/>
                <w:color w:val="000000"/>
                <w:kern w:val="2"/>
                <w:sz w:val="21"/>
                <w:szCs w:val="21"/>
                <w:vertAlign w:val="baseline"/>
                <w:lang w:val="en-US" w:eastAsia="zh-CN" w:bidi="ar-SA"/>
              </w:rPr>
              <w:sym w:font="Wingdings 2" w:char="00A3"/>
            </w:r>
            <w:r>
              <w:rPr>
                <w:rFonts w:hint="eastAsia" w:ascii="宋体" w:hAnsi="宋体" w:eastAsia="宋体"/>
                <w:sz w:val="21"/>
                <w:szCs w:val="21"/>
              </w:rPr>
              <w:t>车间或车间处理设施排放</w:t>
            </w:r>
          </w:p>
        </w:tc>
      </w:tr>
    </w:tbl>
    <w:p>
      <w:pPr>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0" w:firstLine="481" w:firstLineChars="200"/>
        <w:jc w:val="both"/>
        <w:textAlignment w:val="auto"/>
        <w:outlineLvl w:val="9"/>
        <w:rPr>
          <w:rFonts w:hint="eastAsia" w:cs="Times New Roman"/>
          <w:b/>
          <w:bCs/>
          <w:sz w:val="24"/>
          <w:szCs w:val="24"/>
          <w:lang w:val="en-US" w:eastAsia="zh-CN"/>
        </w:rPr>
      </w:pPr>
      <w:r>
        <w:rPr>
          <w:rFonts w:hint="eastAsia" w:cs="Times New Roman"/>
          <w:b/>
          <w:bCs/>
          <w:sz w:val="24"/>
          <w:szCs w:val="24"/>
          <w:lang w:val="en-US" w:eastAsia="zh-CN"/>
        </w:rPr>
        <w:t>（2）废水污染物执行标准表</w:t>
      </w:r>
    </w:p>
    <w:p>
      <w:pPr>
        <w:pStyle w:val="864"/>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color w:val="000000"/>
          <w:kern w:val="2"/>
          <w:sz w:val="21"/>
          <w:szCs w:val="21"/>
          <w:lang w:val="en-US" w:eastAsia="zh-CN" w:bidi="ar-SA"/>
        </w:rPr>
      </w:pPr>
      <w:r>
        <w:rPr>
          <w:rFonts w:hint="default" w:ascii="Times New Roman" w:hAnsi="Times New Roman" w:eastAsia="宋体" w:cs="Times New Roman"/>
          <w:b/>
          <w:bCs/>
          <w:color w:val="000000"/>
          <w:sz w:val="21"/>
          <w:szCs w:val="21"/>
        </w:rPr>
        <w:t>表</w:t>
      </w:r>
      <w:r>
        <w:rPr>
          <w:rFonts w:hint="eastAsia" w:ascii="Times New Roman" w:hAnsi="Times New Roman" w:eastAsia="宋体" w:cs="Times New Roman"/>
          <w:b/>
          <w:bCs/>
          <w:color w:val="000000"/>
          <w:sz w:val="21"/>
          <w:szCs w:val="21"/>
          <w:lang w:val="en-US" w:eastAsia="zh-CN"/>
        </w:rPr>
        <w:t>5.2-</w:t>
      </w:r>
      <w:r>
        <w:rPr>
          <w:rFonts w:hint="eastAsia" w:ascii="Times New Roman" w:hAnsi="Times New Roman" w:cs="Times New Roman"/>
          <w:b/>
          <w:bCs/>
          <w:color w:val="000000"/>
          <w:sz w:val="21"/>
          <w:szCs w:val="21"/>
          <w:lang w:val="en-US" w:eastAsia="zh-CN"/>
        </w:rPr>
        <w:t>11</w:t>
      </w:r>
      <w:r>
        <w:rPr>
          <w:rFonts w:hint="default" w:ascii="Times New Roman" w:hAnsi="Times New Roman" w:eastAsia="宋体" w:cs="Times New Roman"/>
          <w:b/>
          <w:bCs/>
          <w:color w:val="000000"/>
          <w:sz w:val="21"/>
          <w:szCs w:val="21"/>
        </w:rPr>
        <w:t xml:space="preserve"> </w:t>
      </w:r>
      <w:r>
        <w:rPr>
          <w:rFonts w:hint="eastAsia" w:ascii="Times New Roman" w:hAnsi="Times New Roman" w:eastAsia="宋体" w:cs="Times New Roman"/>
          <w:b/>
          <w:bCs/>
          <w:color w:val="000000"/>
          <w:sz w:val="21"/>
          <w:szCs w:val="21"/>
          <w:lang w:val="en-US" w:eastAsia="zh-CN"/>
        </w:rPr>
        <w:t xml:space="preserve"> </w:t>
      </w:r>
      <w:r>
        <w:rPr>
          <w:rFonts w:hint="default" w:ascii="Times New Roman" w:hAnsi="Times New Roman" w:eastAsia="宋体" w:cs="Times New Roman"/>
          <w:b/>
          <w:bCs/>
          <w:color w:val="000000"/>
          <w:sz w:val="21"/>
          <w:szCs w:val="21"/>
        </w:rPr>
        <w:t>废水污染物排放执行标准表</w:t>
      </w:r>
    </w:p>
    <w:tbl>
      <w:tblPr>
        <w:tblStyle w:val="64"/>
        <w:tblW w:w="0" w:type="auto"/>
        <w:tblInd w:w="1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
        <w:gridCol w:w="1503"/>
        <w:gridCol w:w="1020"/>
        <w:gridCol w:w="4395"/>
        <w:gridCol w:w="11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 w:type="dxa"/>
            <w:vMerge w:val="restart"/>
            <w:tcBorders>
              <w:top w:val="single" w:color="auto" w:sz="12" w:space="0"/>
              <w:lef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000000"/>
                <w:kern w:val="2"/>
                <w:sz w:val="21"/>
                <w:szCs w:val="21"/>
                <w:vertAlign w:val="baseline"/>
                <w:lang w:val="en-US" w:eastAsia="zh-CN" w:bidi="ar-SA"/>
              </w:rPr>
            </w:pPr>
            <w:r>
              <w:rPr>
                <w:rFonts w:hint="eastAsia" w:ascii="Times New Roman" w:hAnsi="宋体"/>
                <w:color w:val="000000"/>
                <w:kern w:val="2"/>
                <w:sz w:val="21"/>
                <w:szCs w:val="21"/>
                <w:vertAlign w:val="baseline"/>
                <w:lang w:val="en-US" w:eastAsia="zh-CN" w:bidi="ar-SA"/>
              </w:rPr>
              <w:t>序号</w:t>
            </w:r>
          </w:p>
        </w:tc>
        <w:tc>
          <w:tcPr>
            <w:tcW w:w="1503" w:type="dxa"/>
            <w:vMerge w:val="restart"/>
            <w:tcBorders>
              <w:top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r>
              <w:rPr>
                <w:rFonts w:hint="eastAsia" w:ascii="Times New Roman" w:hAnsi="宋体"/>
                <w:color w:val="auto"/>
                <w:kern w:val="2"/>
                <w:sz w:val="21"/>
                <w:szCs w:val="21"/>
                <w:vertAlign w:val="baseline"/>
                <w:lang w:val="en-US" w:eastAsia="zh-CN" w:bidi="ar-SA"/>
              </w:rPr>
              <w:t>污染治理设施编号</w:t>
            </w:r>
          </w:p>
        </w:tc>
        <w:tc>
          <w:tcPr>
            <w:tcW w:w="1020" w:type="dxa"/>
            <w:vMerge w:val="restart"/>
            <w:tcBorders>
              <w:top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r>
              <w:rPr>
                <w:rFonts w:hint="eastAsia" w:ascii="Times New Roman" w:hAnsi="宋体"/>
                <w:color w:val="auto"/>
                <w:kern w:val="2"/>
                <w:sz w:val="21"/>
                <w:szCs w:val="21"/>
                <w:vertAlign w:val="baseline"/>
                <w:lang w:val="en-US" w:eastAsia="zh-CN" w:bidi="ar-SA"/>
              </w:rPr>
              <w:t>污染物种类</w:t>
            </w:r>
          </w:p>
        </w:tc>
        <w:tc>
          <w:tcPr>
            <w:tcW w:w="5567" w:type="dxa"/>
            <w:gridSpan w:val="2"/>
            <w:tcBorders>
              <w:top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r>
              <w:rPr>
                <w:rFonts w:hint="eastAsia" w:ascii="Times New Roman" w:hAnsi="宋体"/>
                <w:color w:val="auto"/>
                <w:kern w:val="2"/>
                <w:sz w:val="21"/>
                <w:szCs w:val="21"/>
                <w:vertAlign w:val="baseline"/>
                <w:lang w:val="en-US" w:eastAsia="zh-CN" w:bidi="ar-SA"/>
              </w:rPr>
              <w:t>国家或地方污染物排放标准及其他规定商定的排放协议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 w:type="dxa"/>
            <w:vMerge w:val="continue"/>
            <w:tcBorders>
              <w:left w:val="nil"/>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000000"/>
                <w:kern w:val="2"/>
                <w:sz w:val="21"/>
                <w:szCs w:val="21"/>
                <w:vertAlign w:val="baseline"/>
                <w:lang w:val="en-US" w:eastAsia="zh-CN" w:bidi="ar-SA"/>
              </w:rPr>
            </w:pPr>
          </w:p>
        </w:tc>
        <w:tc>
          <w:tcPr>
            <w:tcW w:w="1503" w:type="dxa"/>
            <w:vMerge w:val="continue"/>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p>
        </w:tc>
        <w:tc>
          <w:tcPr>
            <w:tcW w:w="1020" w:type="dxa"/>
            <w:vMerge w:val="continue"/>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p>
        </w:tc>
        <w:tc>
          <w:tcPr>
            <w:tcW w:w="4395" w:type="dxa"/>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r>
              <w:rPr>
                <w:rFonts w:hint="eastAsia" w:ascii="Times New Roman" w:hAnsi="宋体"/>
                <w:color w:val="auto"/>
                <w:kern w:val="2"/>
                <w:sz w:val="21"/>
                <w:szCs w:val="21"/>
                <w:vertAlign w:val="baseline"/>
                <w:lang w:val="en-US" w:eastAsia="zh-CN" w:bidi="ar-SA"/>
              </w:rPr>
              <w:t>名称</w:t>
            </w:r>
          </w:p>
        </w:tc>
        <w:tc>
          <w:tcPr>
            <w:tcW w:w="1172" w:type="dxa"/>
            <w:tcBorders>
              <w:bottom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r>
              <w:rPr>
                <w:rFonts w:hint="eastAsia" w:ascii="Times New Roman" w:hAnsi="宋体"/>
                <w:color w:val="auto"/>
                <w:kern w:val="2"/>
                <w:sz w:val="21"/>
                <w:szCs w:val="21"/>
                <w:vertAlign w:val="baseline"/>
                <w:lang w:val="en-US" w:eastAsia="zh-CN" w:bidi="ar-SA"/>
              </w:rPr>
              <w:t>浓度限值（mg/L）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 w:hRule="atLeast"/>
        </w:trPr>
        <w:tc>
          <w:tcPr>
            <w:tcW w:w="426" w:type="dxa"/>
            <w:vMerge w:val="restart"/>
            <w:tcBorders>
              <w:top w:val="single" w:color="auto" w:sz="12" w:space="0"/>
              <w:lef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000000"/>
                <w:kern w:val="2"/>
                <w:sz w:val="21"/>
                <w:szCs w:val="21"/>
                <w:vertAlign w:val="baseline"/>
                <w:lang w:val="en-US" w:eastAsia="zh-CN" w:bidi="ar-SA"/>
              </w:rPr>
            </w:pPr>
            <w:r>
              <w:rPr>
                <w:rFonts w:hint="eastAsia" w:ascii="Times New Roman" w:hAnsi="宋体"/>
                <w:color w:val="000000"/>
                <w:kern w:val="2"/>
                <w:sz w:val="21"/>
                <w:szCs w:val="21"/>
                <w:vertAlign w:val="baseline"/>
                <w:lang w:val="en-US" w:eastAsia="zh-CN" w:bidi="ar-SA"/>
              </w:rPr>
              <w:t>1</w:t>
            </w:r>
          </w:p>
        </w:tc>
        <w:tc>
          <w:tcPr>
            <w:tcW w:w="1503" w:type="dxa"/>
            <w:vMerge w:val="restart"/>
            <w:tcBorders>
              <w:top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r>
              <w:rPr>
                <w:rFonts w:hint="eastAsia" w:ascii="Times New Roman" w:hAnsi="宋体"/>
                <w:color w:val="auto"/>
                <w:kern w:val="2"/>
                <w:sz w:val="21"/>
                <w:szCs w:val="21"/>
                <w:vertAlign w:val="baseline"/>
                <w:lang w:val="en-US" w:eastAsia="zh-CN" w:bidi="ar-SA"/>
              </w:rPr>
              <w:t>W1</w:t>
            </w:r>
          </w:p>
        </w:tc>
        <w:tc>
          <w:tcPr>
            <w:tcW w:w="1020" w:type="dxa"/>
            <w:tcBorders>
              <w:top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r>
              <w:rPr>
                <w:rFonts w:hint="eastAsia" w:ascii="Times New Roman" w:hAnsi="宋体"/>
                <w:color w:val="auto"/>
                <w:kern w:val="2"/>
                <w:sz w:val="21"/>
                <w:szCs w:val="21"/>
                <w:vertAlign w:val="baseline"/>
                <w:lang w:val="en-US" w:eastAsia="zh-CN" w:bidi="ar-SA"/>
              </w:rPr>
              <w:t>CODcr</w:t>
            </w:r>
          </w:p>
        </w:tc>
        <w:tc>
          <w:tcPr>
            <w:tcW w:w="4395" w:type="dxa"/>
            <w:vMerge w:val="restart"/>
            <w:tcBorders>
              <w:top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r>
              <w:rPr>
                <w:rFonts w:hint="default" w:ascii="Times New Roman" w:hAnsi="宋体"/>
                <w:color w:val="auto"/>
                <w:kern w:val="2"/>
                <w:sz w:val="21"/>
                <w:szCs w:val="21"/>
                <w:vertAlign w:val="baseline"/>
                <w:lang w:val="en-US" w:eastAsia="zh-CN" w:bidi="ar-SA"/>
              </w:rPr>
              <w:t>《畜禽养殖业污染物排放标准》（DB44/613-2009）中集约化畜禽养殖业水污染物最高允许日排放浓度和《农田灌溉水质标准》（GB5084-2005）旱作水质标准</w:t>
            </w:r>
            <w:r>
              <w:rPr>
                <w:rFonts w:hint="eastAsia" w:ascii="Times New Roman" w:hAnsi="宋体"/>
                <w:color w:val="auto"/>
                <w:kern w:val="2"/>
                <w:sz w:val="21"/>
                <w:szCs w:val="21"/>
                <w:vertAlign w:val="baseline"/>
                <w:lang w:val="en-US" w:eastAsia="zh-CN" w:bidi="ar-SA"/>
              </w:rPr>
              <w:t>较严值</w:t>
            </w:r>
          </w:p>
        </w:tc>
        <w:tc>
          <w:tcPr>
            <w:tcW w:w="1172" w:type="dxa"/>
            <w:tcBorders>
              <w:top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r>
              <w:rPr>
                <w:rFonts w:hint="default" w:ascii="Times New Roman" w:hAnsi="宋体"/>
                <w:color w:val="auto"/>
                <w:kern w:val="2"/>
                <w:sz w:val="21"/>
                <w:szCs w:val="21"/>
                <w:vertAlign w:val="baseline"/>
                <w:lang w:val="en-US" w:eastAsia="zh-CN" w:bidi="ar-SA"/>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 w:type="dxa"/>
            <w:vMerge w:val="continue"/>
            <w:tcBorders>
              <w:lef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000000"/>
                <w:kern w:val="2"/>
                <w:sz w:val="21"/>
                <w:szCs w:val="21"/>
                <w:vertAlign w:val="baseline"/>
                <w:lang w:val="en-US" w:eastAsia="zh-CN" w:bidi="ar-SA"/>
              </w:rPr>
            </w:pPr>
          </w:p>
        </w:tc>
        <w:tc>
          <w:tcPr>
            <w:tcW w:w="1503" w:type="dxa"/>
            <w:vMerge w:val="continue"/>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p>
        </w:tc>
        <w:tc>
          <w:tcPr>
            <w:tcW w:w="1020" w:type="dxa"/>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r>
              <w:rPr>
                <w:rFonts w:hint="default" w:ascii="Times New Roman" w:hAnsi="Times New Roman" w:eastAsia="宋体" w:cs="Times New Roman"/>
                <w:b w:val="0"/>
                <w:bCs/>
                <w:position w:val="2"/>
                <w:sz w:val="21"/>
                <w:szCs w:val="21"/>
              </w:rPr>
              <w:t>BOD</w:t>
            </w:r>
            <w:r>
              <w:rPr>
                <w:rFonts w:hint="eastAsia" w:ascii="Times New Roman" w:hAnsi="Times New Roman" w:cs="Times New Roman"/>
                <w:b w:val="0"/>
                <w:bCs/>
                <w:position w:val="2"/>
                <w:sz w:val="21"/>
                <w:szCs w:val="21"/>
                <w:vertAlign w:val="subscript"/>
                <w:lang w:val="en-US" w:eastAsia="zh-CN"/>
              </w:rPr>
              <w:t>5</w:t>
            </w:r>
          </w:p>
        </w:tc>
        <w:tc>
          <w:tcPr>
            <w:tcW w:w="4395" w:type="dxa"/>
            <w:vMerge w:val="continue"/>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p>
        </w:tc>
        <w:tc>
          <w:tcPr>
            <w:tcW w:w="1172" w:type="dxa"/>
            <w:tcBorders>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r>
              <w:rPr>
                <w:rFonts w:hint="eastAsia" w:ascii="Times New Roman" w:hAnsi="宋体"/>
                <w:color w:val="auto"/>
                <w:kern w:val="2"/>
                <w:sz w:val="21"/>
                <w:szCs w:val="21"/>
                <w:vertAlign w:val="baseline"/>
                <w:lang w:val="en-US" w:eastAsia="zh-CN" w:bidi="ar-SA"/>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 w:type="dxa"/>
            <w:vMerge w:val="continue"/>
            <w:tcBorders>
              <w:lef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000000"/>
                <w:kern w:val="2"/>
                <w:sz w:val="21"/>
                <w:szCs w:val="21"/>
                <w:vertAlign w:val="baseline"/>
                <w:lang w:val="en-US" w:eastAsia="zh-CN" w:bidi="ar-SA"/>
              </w:rPr>
            </w:pPr>
          </w:p>
        </w:tc>
        <w:tc>
          <w:tcPr>
            <w:tcW w:w="1503" w:type="dxa"/>
            <w:vMerge w:val="continue"/>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p>
        </w:tc>
        <w:tc>
          <w:tcPr>
            <w:tcW w:w="1020" w:type="dxa"/>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宋体"/>
                <w:color w:val="auto"/>
                <w:kern w:val="2"/>
                <w:sz w:val="21"/>
                <w:szCs w:val="21"/>
                <w:vertAlign w:val="baseline"/>
                <w:lang w:val="en-US" w:eastAsia="zh-CN" w:bidi="ar-SA"/>
              </w:rPr>
            </w:pPr>
            <w:r>
              <w:rPr>
                <w:rFonts w:hint="default" w:ascii="Times New Roman" w:hAnsi="Times New Roman" w:eastAsia="宋体" w:cs="Times New Roman"/>
                <w:b w:val="0"/>
                <w:bCs/>
                <w:sz w:val="21"/>
                <w:szCs w:val="21"/>
              </w:rPr>
              <w:t>SS</w:t>
            </w:r>
          </w:p>
        </w:tc>
        <w:tc>
          <w:tcPr>
            <w:tcW w:w="4395" w:type="dxa"/>
            <w:vMerge w:val="continue"/>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p>
        </w:tc>
        <w:tc>
          <w:tcPr>
            <w:tcW w:w="1172" w:type="dxa"/>
            <w:tcBorders>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r>
              <w:rPr>
                <w:rFonts w:hint="eastAsia" w:ascii="Times New Roman" w:hAnsi="宋体"/>
                <w:color w:val="auto"/>
                <w:kern w:val="2"/>
                <w:sz w:val="21"/>
                <w:szCs w:val="21"/>
                <w:vertAlign w:val="baseline"/>
                <w:lang w:val="en-US" w:eastAsia="zh-CN" w:bidi="ar-SA"/>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 w:type="dxa"/>
            <w:vMerge w:val="continue"/>
            <w:tcBorders>
              <w:lef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000000"/>
                <w:kern w:val="2"/>
                <w:sz w:val="21"/>
                <w:szCs w:val="21"/>
                <w:vertAlign w:val="baseline"/>
                <w:lang w:val="en-US" w:eastAsia="zh-CN" w:bidi="ar-SA"/>
              </w:rPr>
            </w:pPr>
          </w:p>
        </w:tc>
        <w:tc>
          <w:tcPr>
            <w:tcW w:w="1503" w:type="dxa"/>
            <w:vMerge w:val="continue"/>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p>
        </w:tc>
        <w:tc>
          <w:tcPr>
            <w:tcW w:w="1020" w:type="dxa"/>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宋体"/>
                <w:color w:val="auto"/>
                <w:kern w:val="2"/>
                <w:sz w:val="21"/>
                <w:szCs w:val="21"/>
                <w:vertAlign w:val="baseline"/>
                <w:lang w:val="en-US" w:eastAsia="zh-CN" w:bidi="ar-SA"/>
              </w:rPr>
            </w:pPr>
            <w:r>
              <w:rPr>
                <w:rFonts w:hint="eastAsia" w:ascii="Times New Roman" w:hAnsi="宋体"/>
                <w:color w:val="auto"/>
                <w:kern w:val="2"/>
                <w:sz w:val="21"/>
                <w:szCs w:val="21"/>
                <w:vertAlign w:val="baseline"/>
                <w:lang w:val="en-US" w:eastAsia="zh-CN" w:bidi="ar-SA"/>
              </w:rPr>
              <w:t>NH</w:t>
            </w:r>
            <w:r>
              <w:rPr>
                <w:rFonts w:hint="eastAsia" w:ascii="Times New Roman" w:hAnsi="宋体"/>
                <w:color w:val="auto"/>
                <w:kern w:val="2"/>
                <w:sz w:val="21"/>
                <w:szCs w:val="21"/>
                <w:vertAlign w:val="subscript"/>
                <w:lang w:val="en-US" w:eastAsia="zh-CN" w:bidi="ar-SA"/>
              </w:rPr>
              <w:t>3</w:t>
            </w:r>
            <w:r>
              <w:rPr>
                <w:rFonts w:hint="eastAsia" w:ascii="Times New Roman" w:hAnsi="宋体"/>
                <w:color w:val="auto"/>
                <w:kern w:val="2"/>
                <w:sz w:val="21"/>
                <w:szCs w:val="21"/>
                <w:vertAlign w:val="baseline"/>
                <w:lang w:val="en-US" w:eastAsia="zh-CN" w:bidi="ar-SA"/>
              </w:rPr>
              <w:t>-N</w:t>
            </w:r>
          </w:p>
        </w:tc>
        <w:tc>
          <w:tcPr>
            <w:tcW w:w="4395" w:type="dxa"/>
            <w:vMerge w:val="continue"/>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p>
        </w:tc>
        <w:tc>
          <w:tcPr>
            <w:tcW w:w="1172" w:type="dxa"/>
            <w:tcBorders>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r>
              <w:rPr>
                <w:rFonts w:hint="eastAsia" w:ascii="Times New Roman" w:hAnsi="宋体"/>
                <w:color w:val="auto"/>
                <w:kern w:val="2"/>
                <w:sz w:val="21"/>
                <w:szCs w:val="21"/>
                <w:vertAlign w:val="baseline"/>
                <w:lang w:val="en-US" w:eastAsia="zh-CN" w:bidi="ar-SA"/>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 w:type="dxa"/>
            <w:vMerge w:val="continue"/>
            <w:tcBorders>
              <w:left w:val="nil"/>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000000"/>
                <w:kern w:val="2"/>
                <w:sz w:val="21"/>
                <w:szCs w:val="21"/>
                <w:vertAlign w:val="baseline"/>
                <w:lang w:val="en-US" w:eastAsia="zh-CN" w:bidi="ar-SA"/>
              </w:rPr>
            </w:pPr>
          </w:p>
        </w:tc>
        <w:tc>
          <w:tcPr>
            <w:tcW w:w="1503" w:type="dxa"/>
            <w:vMerge w:val="continue"/>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p>
        </w:tc>
        <w:tc>
          <w:tcPr>
            <w:tcW w:w="1020" w:type="dxa"/>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宋体"/>
                <w:color w:val="auto"/>
                <w:kern w:val="2"/>
                <w:sz w:val="21"/>
                <w:szCs w:val="21"/>
                <w:vertAlign w:val="baseline"/>
                <w:lang w:val="en-US" w:eastAsia="zh-CN" w:bidi="ar-SA"/>
              </w:rPr>
            </w:pPr>
            <w:r>
              <w:rPr>
                <w:rFonts w:hint="default" w:ascii="Times New Roman" w:hAnsi="Times New Roman" w:eastAsia="宋体" w:cs="Times New Roman"/>
                <w:b w:val="0"/>
                <w:bCs/>
                <w:sz w:val="21"/>
                <w:szCs w:val="21"/>
              </w:rPr>
              <w:t>总磷</w:t>
            </w:r>
          </w:p>
        </w:tc>
        <w:tc>
          <w:tcPr>
            <w:tcW w:w="4395" w:type="dxa"/>
            <w:vMerge w:val="continue"/>
            <w:tcBorders>
              <w:bottom w:val="single" w:color="auto" w:sz="12" w:space="0"/>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p>
        </w:tc>
        <w:tc>
          <w:tcPr>
            <w:tcW w:w="1172" w:type="dxa"/>
            <w:tcBorders>
              <w:bottom w:val="single" w:color="auto" w:sz="12" w:space="0"/>
              <w:right w:val="nil"/>
            </w:tcBorders>
            <w:noWrap w:val="0"/>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宋体"/>
                <w:color w:val="auto"/>
                <w:kern w:val="2"/>
                <w:sz w:val="21"/>
                <w:szCs w:val="21"/>
                <w:vertAlign w:val="baseline"/>
                <w:lang w:val="en-US" w:eastAsia="zh-CN" w:bidi="ar-SA"/>
              </w:rPr>
            </w:pPr>
            <w:r>
              <w:rPr>
                <w:rFonts w:hint="eastAsia" w:ascii="Times New Roman" w:hAnsi="宋体"/>
                <w:color w:val="auto"/>
                <w:kern w:val="2"/>
                <w:sz w:val="21"/>
                <w:szCs w:val="21"/>
                <w:vertAlign w:val="baseline"/>
                <w:lang w:val="en-US" w:eastAsia="zh-CN" w:bidi="ar-SA"/>
              </w:rPr>
              <w:t>8</w:t>
            </w:r>
          </w:p>
        </w:tc>
      </w:tr>
    </w:tbl>
    <w:p>
      <w:pPr>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0" w:firstLine="481" w:firstLineChars="200"/>
        <w:jc w:val="both"/>
        <w:textAlignment w:val="auto"/>
        <w:outlineLvl w:val="9"/>
        <w:rPr>
          <w:rFonts w:hint="eastAsia" w:cs="Times New Roman"/>
          <w:b/>
          <w:bCs/>
          <w:sz w:val="24"/>
          <w:szCs w:val="24"/>
          <w:lang w:val="en-US" w:eastAsia="zh-CN"/>
        </w:rPr>
      </w:pPr>
      <w:r>
        <w:rPr>
          <w:rFonts w:hint="eastAsia" w:cs="Times New Roman"/>
          <w:b/>
          <w:bCs/>
          <w:sz w:val="24"/>
          <w:szCs w:val="24"/>
          <w:lang w:val="en-US" w:eastAsia="zh-CN"/>
        </w:rPr>
        <w:t>（3）废水污染物排放信息表</w:t>
      </w:r>
    </w:p>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eastAsia="zh-CN"/>
        </w:rPr>
        <w:t>表</w:t>
      </w:r>
      <w:r>
        <w:rPr>
          <w:rFonts w:hint="default" w:ascii="Times New Roman" w:hAnsi="Times New Roman" w:eastAsia="宋体" w:cs="Times New Roman"/>
          <w:b/>
          <w:bCs/>
          <w:sz w:val="21"/>
          <w:szCs w:val="21"/>
          <w:lang w:val="en-US" w:eastAsia="zh-CN"/>
        </w:rPr>
        <w:t>5.2-</w:t>
      </w:r>
      <w:r>
        <w:rPr>
          <w:rFonts w:hint="eastAsia" w:cs="Times New Roman"/>
          <w:b/>
          <w:bCs/>
          <w:sz w:val="21"/>
          <w:szCs w:val="21"/>
          <w:lang w:val="en-US" w:eastAsia="zh-CN"/>
        </w:rPr>
        <w:t>12</w:t>
      </w:r>
      <w:r>
        <w:rPr>
          <w:rFonts w:hint="default" w:ascii="Times New Roman" w:hAnsi="Times New Roman" w:eastAsia="宋体" w:cs="Times New Roman"/>
          <w:b/>
          <w:bCs/>
          <w:sz w:val="21"/>
          <w:szCs w:val="21"/>
          <w:lang w:val="en-US" w:eastAsia="zh-CN"/>
        </w:rPr>
        <w:t xml:space="preserve">  </w:t>
      </w:r>
      <w:r>
        <w:rPr>
          <w:rFonts w:hint="default" w:ascii="Times New Roman" w:hAnsi="Times New Roman" w:eastAsia="宋体" w:cs="Times New Roman"/>
          <w:b/>
          <w:bCs/>
          <w:color w:val="000000"/>
          <w:sz w:val="21"/>
          <w:szCs w:val="21"/>
        </w:rPr>
        <w:t>废水污染物排放</w:t>
      </w:r>
      <w:r>
        <w:rPr>
          <w:rFonts w:hint="default" w:ascii="Times New Roman" w:hAnsi="Times New Roman" w:eastAsia="宋体" w:cs="Times New Roman"/>
          <w:b/>
          <w:bCs/>
          <w:color w:val="000000"/>
          <w:sz w:val="21"/>
          <w:szCs w:val="21"/>
          <w:lang w:eastAsia="zh-CN"/>
        </w:rPr>
        <w:t>信息表</w:t>
      </w:r>
    </w:p>
    <w:tbl>
      <w:tblPr>
        <w:tblStyle w:val="6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69"/>
        <w:gridCol w:w="1510"/>
        <w:gridCol w:w="1567"/>
        <w:gridCol w:w="2316"/>
        <w:gridCol w:w="1833"/>
        <w:gridCol w:w="19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8" w:type="pct"/>
            <w:tcBorders>
              <w:top w:val="single" w:color="auto" w:sz="12" w:space="0"/>
              <w:left w:val="nil"/>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r>
              <w:rPr>
                <w:rFonts w:hint="eastAsia" w:cs="Times New Roman"/>
                <w:b w:val="0"/>
                <w:bCs w:val="0"/>
                <w:sz w:val="21"/>
                <w:szCs w:val="21"/>
                <w:vertAlign w:val="baseline"/>
                <w:lang w:eastAsia="zh-CN"/>
              </w:rPr>
              <w:t>序号</w:t>
            </w:r>
          </w:p>
        </w:tc>
        <w:tc>
          <w:tcPr>
            <w:tcW w:w="761" w:type="pct"/>
            <w:tcBorders>
              <w:top w:val="single" w:color="auto" w:sz="12" w:space="0"/>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r>
              <w:rPr>
                <w:rFonts w:hint="eastAsia" w:cs="Times New Roman"/>
                <w:b w:val="0"/>
                <w:bCs w:val="0"/>
                <w:sz w:val="21"/>
                <w:szCs w:val="21"/>
                <w:vertAlign w:val="baseline"/>
                <w:lang w:eastAsia="zh-CN"/>
              </w:rPr>
              <w:t>排放口编号</w:t>
            </w:r>
          </w:p>
        </w:tc>
        <w:tc>
          <w:tcPr>
            <w:tcW w:w="791" w:type="pct"/>
            <w:tcBorders>
              <w:top w:val="single" w:color="auto" w:sz="12" w:space="0"/>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r>
              <w:rPr>
                <w:rFonts w:hint="eastAsia" w:cs="Times New Roman"/>
                <w:b w:val="0"/>
                <w:bCs w:val="0"/>
                <w:sz w:val="21"/>
                <w:szCs w:val="21"/>
                <w:vertAlign w:val="baseline"/>
                <w:lang w:eastAsia="zh-CN"/>
              </w:rPr>
              <w:t>污染物种类</w:t>
            </w:r>
          </w:p>
        </w:tc>
        <w:tc>
          <w:tcPr>
            <w:tcW w:w="1169" w:type="pct"/>
            <w:tcBorders>
              <w:top w:val="single" w:color="auto" w:sz="12" w:space="0"/>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cs="Times New Roman"/>
                <w:b w:val="0"/>
                <w:bCs w:val="0"/>
                <w:sz w:val="21"/>
                <w:szCs w:val="21"/>
                <w:vertAlign w:val="baseline"/>
                <w:lang w:val="en-US" w:eastAsia="zh-CN"/>
              </w:rPr>
            </w:pPr>
            <w:r>
              <w:rPr>
                <w:rFonts w:hint="eastAsia" w:cs="Times New Roman"/>
                <w:b w:val="0"/>
                <w:bCs w:val="0"/>
                <w:sz w:val="21"/>
                <w:szCs w:val="21"/>
                <w:vertAlign w:val="baseline"/>
                <w:lang w:eastAsia="zh-CN"/>
              </w:rPr>
              <w:t>排放浓度（</w:t>
            </w:r>
            <w:r>
              <w:rPr>
                <w:rFonts w:hint="eastAsia" w:cs="Times New Roman"/>
                <w:b w:val="0"/>
                <w:bCs w:val="0"/>
                <w:sz w:val="21"/>
                <w:szCs w:val="21"/>
                <w:vertAlign w:val="baseline"/>
                <w:lang w:val="en-US" w:eastAsia="zh-CN"/>
              </w:rPr>
              <w:t>mg/L</w:t>
            </w:r>
            <w:r>
              <w:rPr>
                <w:rFonts w:hint="eastAsia" w:cs="Times New Roman"/>
                <w:b w:val="0"/>
                <w:bCs w:val="0"/>
                <w:sz w:val="21"/>
                <w:szCs w:val="21"/>
                <w:vertAlign w:val="baseline"/>
                <w:lang w:eastAsia="zh-CN"/>
              </w:rPr>
              <w:t>）</w:t>
            </w:r>
          </w:p>
        </w:tc>
        <w:tc>
          <w:tcPr>
            <w:tcW w:w="925" w:type="pct"/>
            <w:tcBorders>
              <w:top w:val="single" w:color="auto" w:sz="12" w:space="0"/>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cs="Times New Roman"/>
                <w:b w:val="0"/>
                <w:bCs w:val="0"/>
                <w:sz w:val="21"/>
                <w:szCs w:val="21"/>
                <w:vertAlign w:val="baseline"/>
                <w:lang w:val="en-US" w:eastAsia="zh-CN"/>
              </w:rPr>
            </w:pPr>
            <w:r>
              <w:rPr>
                <w:rFonts w:hint="eastAsia" w:cs="Times New Roman"/>
                <w:b w:val="0"/>
                <w:bCs w:val="0"/>
                <w:sz w:val="21"/>
                <w:szCs w:val="21"/>
                <w:vertAlign w:val="baseline"/>
                <w:lang w:val="en-US" w:eastAsia="zh-CN"/>
              </w:rPr>
              <w:t>日排放量（t/d）</w:t>
            </w:r>
          </w:p>
        </w:tc>
        <w:tc>
          <w:tcPr>
            <w:tcW w:w="964" w:type="pct"/>
            <w:tcBorders>
              <w:top w:val="single" w:color="auto" w:sz="12" w:space="0"/>
              <w:bottom w:val="single" w:color="auto" w:sz="12" w:space="0"/>
              <w:right w:val="nil"/>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r>
              <w:rPr>
                <w:rFonts w:hint="eastAsia" w:cs="Times New Roman"/>
                <w:b w:val="0"/>
                <w:bCs w:val="0"/>
                <w:sz w:val="21"/>
                <w:szCs w:val="21"/>
                <w:vertAlign w:val="baseline"/>
                <w:lang w:val="en-US" w:eastAsia="zh-CN"/>
              </w:rPr>
              <w:t>年排放量（t/a）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8" w:type="pct"/>
            <w:vMerge w:val="restart"/>
            <w:tcBorders>
              <w:top w:val="single" w:color="auto" w:sz="12" w:space="0"/>
              <w:left w:val="nil"/>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cs="Times New Roman"/>
                <w:b w:val="0"/>
                <w:bCs w:val="0"/>
                <w:sz w:val="21"/>
                <w:szCs w:val="21"/>
                <w:vertAlign w:val="baseline"/>
                <w:lang w:val="en-US" w:eastAsia="zh-CN"/>
              </w:rPr>
            </w:pPr>
            <w:r>
              <w:rPr>
                <w:rFonts w:hint="eastAsia" w:cs="Times New Roman"/>
                <w:b w:val="0"/>
                <w:bCs w:val="0"/>
                <w:sz w:val="21"/>
                <w:szCs w:val="21"/>
                <w:vertAlign w:val="baseline"/>
                <w:lang w:val="en-US" w:eastAsia="zh-CN"/>
              </w:rPr>
              <w:t>1</w:t>
            </w:r>
          </w:p>
        </w:tc>
        <w:tc>
          <w:tcPr>
            <w:tcW w:w="761" w:type="pct"/>
            <w:vMerge w:val="restart"/>
            <w:tcBorders>
              <w:top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cs="Times New Roman"/>
                <w:b w:val="0"/>
                <w:bCs w:val="0"/>
                <w:sz w:val="21"/>
                <w:szCs w:val="21"/>
                <w:vertAlign w:val="baseline"/>
                <w:lang w:val="en-US" w:eastAsia="zh-CN"/>
              </w:rPr>
            </w:pPr>
            <w:r>
              <w:rPr>
                <w:rFonts w:hint="eastAsia" w:cs="Times New Roman"/>
                <w:b w:val="0"/>
                <w:bCs w:val="0"/>
                <w:sz w:val="21"/>
                <w:szCs w:val="21"/>
                <w:vertAlign w:val="baseline"/>
                <w:lang w:val="en-US" w:eastAsia="zh-CN"/>
              </w:rPr>
              <w:t>W1</w:t>
            </w:r>
          </w:p>
        </w:tc>
        <w:tc>
          <w:tcPr>
            <w:tcW w:w="791" w:type="pct"/>
            <w:tcBorders>
              <w:top w:val="single" w:color="auto" w:sz="12" w:space="0"/>
            </w:tcBorders>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b w:val="0"/>
                <w:bCs w:val="0"/>
                <w:sz w:val="21"/>
                <w:szCs w:val="21"/>
                <w:vertAlign w:val="baseline"/>
                <w:lang w:eastAsia="zh-CN"/>
              </w:rPr>
            </w:pPr>
            <w:r>
              <w:rPr>
                <w:rFonts w:hint="eastAsia" w:ascii="Times New Roman" w:hAnsi="宋体"/>
                <w:color w:val="auto"/>
                <w:kern w:val="2"/>
                <w:sz w:val="21"/>
                <w:szCs w:val="21"/>
                <w:vertAlign w:val="baseline"/>
                <w:lang w:val="en-US" w:eastAsia="zh-CN" w:bidi="ar-SA"/>
              </w:rPr>
              <w:t>CODcr</w:t>
            </w:r>
          </w:p>
        </w:tc>
        <w:tc>
          <w:tcPr>
            <w:tcW w:w="1169" w:type="pct"/>
            <w:tcBorders>
              <w:top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90</w:t>
            </w:r>
          </w:p>
        </w:tc>
        <w:tc>
          <w:tcPr>
            <w:tcW w:w="1578" w:type="dxa"/>
            <w:tcBorders>
              <w:top w:val="single" w:color="auto" w:sz="12" w:space="0"/>
            </w:tcBorders>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0.00043</w:t>
            </w:r>
          </w:p>
        </w:tc>
        <w:tc>
          <w:tcPr>
            <w:tcW w:w="1911" w:type="dxa"/>
            <w:tcBorders>
              <w:top w:val="single" w:color="auto" w:sz="12" w:space="0"/>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0.158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8" w:type="pct"/>
            <w:vMerge w:val="continue"/>
            <w:tcBorders>
              <w:left w:val="nil"/>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p>
        </w:tc>
        <w:tc>
          <w:tcPr>
            <w:tcW w:w="761" w:type="pct"/>
            <w:vMerge w:val="continue"/>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p>
        </w:tc>
        <w:tc>
          <w:tcPr>
            <w:tcW w:w="791" w:type="pct"/>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b w:val="0"/>
                <w:bCs w:val="0"/>
                <w:sz w:val="21"/>
                <w:szCs w:val="21"/>
                <w:vertAlign w:val="baseline"/>
                <w:lang w:eastAsia="zh-CN"/>
              </w:rPr>
            </w:pPr>
            <w:r>
              <w:rPr>
                <w:rFonts w:hint="default" w:ascii="Times New Roman" w:hAnsi="Times New Roman" w:eastAsia="宋体" w:cs="Times New Roman"/>
                <w:b w:val="0"/>
                <w:bCs/>
                <w:position w:val="2"/>
                <w:sz w:val="21"/>
                <w:szCs w:val="21"/>
              </w:rPr>
              <w:t>BOD</w:t>
            </w:r>
            <w:r>
              <w:rPr>
                <w:rFonts w:hint="eastAsia" w:ascii="Times New Roman" w:hAnsi="Times New Roman" w:cs="Times New Roman"/>
                <w:b w:val="0"/>
                <w:bCs/>
                <w:position w:val="2"/>
                <w:sz w:val="21"/>
                <w:szCs w:val="21"/>
                <w:vertAlign w:val="subscript"/>
                <w:lang w:val="en-US" w:eastAsia="zh-CN"/>
              </w:rPr>
              <w:t>5</w:t>
            </w:r>
          </w:p>
        </w:tc>
        <w:tc>
          <w:tcPr>
            <w:tcW w:w="1169" w:type="pc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20</w:t>
            </w:r>
          </w:p>
        </w:tc>
        <w:tc>
          <w:tcPr>
            <w:tcW w:w="1578" w:type="dxa"/>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0.0001</w:t>
            </w:r>
          </w:p>
        </w:tc>
        <w:tc>
          <w:tcPr>
            <w:tcW w:w="1911" w:type="dxa"/>
            <w:tcBorders>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0.035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88" w:type="pct"/>
            <w:vMerge w:val="continue"/>
            <w:tcBorders>
              <w:left w:val="nil"/>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p>
        </w:tc>
        <w:tc>
          <w:tcPr>
            <w:tcW w:w="761" w:type="pct"/>
            <w:vMerge w:val="continue"/>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p>
        </w:tc>
        <w:tc>
          <w:tcPr>
            <w:tcW w:w="791" w:type="pct"/>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b w:val="0"/>
                <w:bCs w:val="0"/>
                <w:sz w:val="21"/>
                <w:szCs w:val="21"/>
                <w:vertAlign w:val="baseline"/>
                <w:lang w:eastAsia="zh-CN"/>
              </w:rPr>
            </w:pPr>
            <w:r>
              <w:rPr>
                <w:rFonts w:hint="default" w:ascii="Times New Roman" w:hAnsi="Times New Roman" w:eastAsia="宋体" w:cs="Times New Roman"/>
                <w:b w:val="0"/>
                <w:bCs/>
                <w:sz w:val="21"/>
                <w:szCs w:val="21"/>
              </w:rPr>
              <w:t>SS</w:t>
            </w:r>
          </w:p>
        </w:tc>
        <w:tc>
          <w:tcPr>
            <w:tcW w:w="1169" w:type="pc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60</w:t>
            </w:r>
          </w:p>
        </w:tc>
        <w:tc>
          <w:tcPr>
            <w:tcW w:w="1578" w:type="dxa"/>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0.00029</w:t>
            </w:r>
          </w:p>
        </w:tc>
        <w:tc>
          <w:tcPr>
            <w:tcW w:w="1911" w:type="dxa"/>
            <w:tcBorders>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0.105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8" w:type="pct"/>
            <w:vMerge w:val="continue"/>
            <w:tcBorders>
              <w:left w:val="nil"/>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p>
        </w:tc>
        <w:tc>
          <w:tcPr>
            <w:tcW w:w="761" w:type="pct"/>
            <w:vMerge w:val="continue"/>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p>
        </w:tc>
        <w:tc>
          <w:tcPr>
            <w:tcW w:w="791" w:type="pct"/>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b w:val="0"/>
                <w:bCs w:val="0"/>
                <w:sz w:val="21"/>
                <w:szCs w:val="21"/>
                <w:vertAlign w:val="baseline"/>
                <w:lang w:eastAsia="zh-CN"/>
              </w:rPr>
            </w:pPr>
            <w:r>
              <w:rPr>
                <w:rFonts w:hint="eastAsia" w:ascii="Times New Roman" w:hAnsi="宋体"/>
                <w:color w:val="auto"/>
                <w:kern w:val="2"/>
                <w:sz w:val="21"/>
                <w:szCs w:val="21"/>
                <w:vertAlign w:val="baseline"/>
                <w:lang w:val="en-US" w:eastAsia="zh-CN" w:bidi="ar-SA"/>
              </w:rPr>
              <w:t>NH</w:t>
            </w:r>
            <w:r>
              <w:rPr>
                <w:rFonts w:hint="eastAsia" w:ascii="Times New Roman" w:hAnsi="宋体"/>
                <w:color w:val="auto"/>
                <w:kern w:val="2"/>
                <w:sz w:val="21"/>
                <w:szCs w:val="21"/>
                <w:vertAlign w:val="subscript"/>
                <w:lang w:val="en-US" w:eastAsia="zh-CN" w:bidi="ar-SA"/>
              </w:rPr>
              <w:t>3</w:t>
            </w:r>
            <w:r>
              <w:rPr>
                <w:rFonts w:hint="eastAsia" w:ascii="Times New Roman" w:hAnsi="宋体"/>
                <w:color w:val="auto"/>
                <w:kern w:val="2"/>
                <w:sz w:val="21"/>
                <w:szCs w:val="21"/>
                <w:vertAlign w:val="baseline"/>
                <w:lang w:val="en-US" w:eastAsia="zh-CN" w:bidi="ar-SA"/>
              </w:rPr>
              <w:t>-N</w:t>
            </w:r>
          </w:p>
        </w:tc>
        <w:tc>
          <w:tcPr>
            <w:tcW w:w="1169" w:type="pc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10</w:t>
            </w:r>
          </w:p>
        </w:tc>
        <w:tc>
          <w:tcPr>
            <w:tcW w:w="1578" w:type="dxa"/>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0.00005</w:t>
            </w:r>
          </w:p>
        </w:tc>
        <w:tc>
          <w:tcPr>
            <w:tcW w:w="1911" w:type="dxa"/>
            <w:tcBorders>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8" w:type="pct"/>
            <w:vMerge w:val="continue"/>
            <w:tcBorders>
              <w:left w:val="nil"/>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p>
        </w:tc>
        <w:tc>
          <w:tcPr>
            <w:tcW w:w="761" w:type="pct"/>
            <w:vMerge w:val="continue"/>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p>
        </w:tc>
        <w:tc>
          <w:tcPr>
            <w:tcW w:w="791" w:type="pct"/>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eastAsia="宋体" w:cs="Times New Roman"/>
                <w:b w:val="0"/>
                <w:bCs w:val="0"/>
                <w:sz w:val="21"/>
                <w:szCs w:val="21"/>
                <w:vertAlign w:val="baseline"/>
                <w:lang w:val="en-US" w:eastAsia="zh-CN"/>
              </w:rPr>
            </w:pPr>
            <w:r>
              <w:rPr>
                <w:rFonts w:hint="eastAsia" w:ascii="Times New Roman" w:hAnsi="Times New Roman" w:cs="Times New Roman"/>
                <w:b w:val="0"/>
                <w:bCs/>
                <w:sz w:val="21"/>
                <w:szCs w:val="21"/>
                <w:lang w:val="en-US" w:eastAsia="zh-CN"/>
              </w:rPr>
              <w:t>TP</w:t>
            </w:r>
          </w:p>
        </w:tc>
        <w:tc>
          <w:tcPr>
            <w:tcW w:w="1169" w:type="pct"/>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cs="Times New Roman"/>
                <w:b w:val="0"/>
                <w:bCs w:val="0"/>
                <w:sz w:val="21"/>
                <w:szCs w:val="21"/>
                <w:vertAlign w:val="baseline"/>
                <w:lang w:val="en-US" w:eastAsia="zh-CN"/>
              </w:rPr>
            </w:pPr>
            <w:r>
              <w:rPr>
                <w:rFonts w:hint="eastAsia" w:cs="Times New Roman"/>
                <w:b w:val="0"/>
                <w:bCs w:val="0"/>
                <w:sz w:val="21"/>
                <w:szCs w:val="21"/>
                <w:vertAlign w:val="baseline"/>
                <w:lang w:val="en-US" w:eastAsia="zh-CN"/>
              </w:rPr>
              <w:t>4</w:t>
            </w:r>
          </w:p>
        </w:tc>
        <w:tc>
          <w:tcPr>
            <w:tcW w:w="1578" w:type="dxa"/>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0.00002</w:t>
            </w:r>
          </w:p>
        </w:tc>
        <w:tc>
          <w:tcPr>
            <w:tcW w:w="1911" w:type="dxa"/>
            <w:tcBorders>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0.007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pct"/>
            <w:gridSpan w:val="2"/>
            <w:vMerge w:val="restart"/>
            <w:tcBorders>
              <w:left w:val="nil"/>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default" w:cs="Times New Roman"/>
                <w:b w:val="0"/>
                <w:bCs w:val="0"/>
                <w:sz w:val="21"/>
                <w:szCs w:val="21"/>
                <w:vertAlign w:val="baseline"/>
                <w:lang w:val="en-US" w:eastAsia="zh-CN"/>
              </w:rPr>
            </w:pPr>
            <w:r>
              <w:rPr>
                <w:rFonts w:hint="eastAsia" w:cs="Times New Roman"/>
                <w:b w:val="0"/>
                <w:bCs w:val="0"/>
                <w:sz w:val="21"/>
                <w:szCs w:val="21"/>
                <w:vertAlign w:val="baseline"/>
                <w:lang w:val="en-US" w:eastAsia="zh-CN"/>
              </w:rPr>
              <w:t>全厂排放口合计（废水绿化，不外排）</w:t>
            </w:r>
          </w:p>
        </w:tc>
        <w:tc>
          <w:tcPr>
            <w:tcW w:w="4921" w:type="dxa"/>
            <w:gridSpan w:val="3"/>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color w:val="auto"/>
                <w:kern w:val="2"/>
                <w:sz w:val="21"/>
                <w:szCs w:val="21"/>
                <w:vertAlign w:val="baseline"/>
                <w:lang w:val="en-US" w:eastAsia="zh-CN" w:bidi="ar-SA"/>
              </w:rPr>
              <w:t>CODcr</w:t>
            </w:r>
          </w:p>
        </w:tc>
        <w:tc>
          <w:tcPr>
            <w:tcW w:w="1644" w:type="dxa"/>
            <w:tcBorders>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0.158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50" w:type="pct"/>
            <w:gridSpan w:val="2"/>
            <w:vMerge w:val="continue"/>
            <w:tcBorders>
              <w:left w:val="nil"/>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p>
        </w:tc>
        <w:tc>
          <w:tcPr>
            <w:tcW w:w="4921" w:type="dxa"/>
            <w:gridSpan w:val="3"/>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b w:val="0"/>
                <w:bCs/>
                <w:position w:val="2"/>
                <w:sz w:val="21"/>
                <w:szCs w:val="21"/>
              </w:rPr>
              <w:t>BOD</w:t>
            </w:r>
            <w:r>
              <w:rPr>
                <w:rFonts w:hint="default" w:ascii="Times New Roman" w:hAnsi="Times New Roman" w:eastAsia="宋体" w:cs="Times New Roman"/>
                <w:b w:val="0"/>
                <w:bCs/>
                <w:position w:val="2"/>
                <w:sz w:val="21"/>
                <w:szCs w:val="21"/>
                <w:vertAlign w:val="subscript"/>
                <w:lang w:val="en-US" w:eastAsia="zh-CN"/>
              </w:rPr>
              <w:t>5</w:t>
            </w:r>
          </w:p>
        </w:tc>
        <w:tc>
          <w:tcPr>
            <w:tcW w:w="1644" w:type="dxa"/>
            <w:tcBorders>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0.035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pct"/>
            <w:gridSpan w:val="2"/>
            <w:vMerge w:val="continue"/>
            <w:tcBorders>
              <w:left w:val="nil"/>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p>
        </w:tc>
        <w:tc>
          <w:tcPr>
            <w:tcW w:w="4921" w:type="dxa"/>
            <w:gridSpan w:val="3"/>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b w:val="0"/>
                <w:bCs/>
                <w:sz w:val="21"/>
                <w:szCs w:val="21"/>
              </w:rPr>
              <w:t>SS</w:t>
            </w:r>
          </w:p>
        </w:tc>
        <w:tc>
          <w:tcPr>
            <w:tcW w:w="1644" w:type="dxa"/>
            <w:tcBorders>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0.105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pct"/>
            <w:gridSpan w:val="2"/>
            <w:vMerge w:val="continue"/>
            <w:tcBorders>
              <w:left w:val="nil"/>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p>
        </w:tc>
        <w:tc>
          <w:tcPr>
            <w:tcW w:w="4921" w:type="dxa"/>
            <w:gridSpan w:val="3"/>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color w:val="auto"/>
                <w:kern w:val="2"/>
                <w:sz w:val="21"/>
                <w:szCs w:val="21"/>
                <w:vertAlign w:val="baseline"/>
                <w:lang w:val="en-US" w:eastAsia="zh-CN" w:bidi="ar-SA"/>
              </w:rPr>
              <w:t>NH</w:t>
            </w:r>
            <w:r>
              <w:rPr>
                <w:rFonts w:hint="default" w:ascii="Times New Roman" w:hAnsi="Times New Roman" w:eastAsia="宋体" w:cs="Times New Roman"/>
                <w:color w:val="auto"/>
                <w:kern w:val="2"/>
                <w:sz w:val="21"/>
                <w:szCs w:val="21"/>
                <w:vertAlign w:val="subscript"/>
                <w:lang w:val="en-US" w:eastAsia="zh-CN" w:bidi="ar-SA"/>
              </w:rPr>
              <w:t>3</w:t>
            </w:r>
            <w:r>
              <w:rPr>
                <w:rFonts w:hint="default" w:ascii="Times New Roman" w:hAnsi="Times New Roman" w:eastAsia="宋体" w:cs="Times New Roman"/>
                <w:color w:val="auto"/>
                <w:kern w:val="2"/>
                <w:sz w:val="21"/>
                <w:szCs w:val="21"/>
                <w:vertAlign w:val="baseline"/>
                <w:lang w:val="en-US" w:eastAsia="zh-CN" w:bidi="ar-SA"/>
              </w:rPr>
              <w:t>-N</w:t>
            </w:r>
          </w:p>
        </w:tc>
        <w:tc>
          <w:tcPr>
            <w:tcW w:w="1644" w:type="dxa"/>
            <w:tcBorders>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pct"/>
            <w:gridSpan w:val="2"/>
            <w:vMerge w:val="continue"/>
            <w:tcBorders>
              <w:left w:val="nil"/>
              <w:bottom w:val="single" w:color="auto" w:sz="12" w:space="0"/>
            </w:tcBorders>
            <w:vAlign w:val="center"/>
          </w:tcPr>
          <w:p>
            <w:pPr>
              <w:keepNext w:val="0"/>
              <w:keepLines w:val="0"/>
              <w:pageBreakBefore w:val="0"/>
              <w:widowControl w:val="0"/>
              <w:numPr>
                <w:ilvl w:val="0"/>
                <w:numId w:val="0"/>
              </w:numPr>
              <w:tabs>
                <w:tab w:val="left" w:pos="0"/>
              </w:tabs>
              <w:kinsoku/>
              <w:wordWrap/>
              <w:overflowPunct/>
              <w:topLinePunct w:val="0"/>
              <w:autoSpaceDE/>
              <w:autoSpaceDN/>
              <w:bidi w:val="0"/>
              <w:adjustRightInd/>
              <w:snapToGrid/>
              <w:spacing w:line="240" w:lineRule="auto"/>
              <w:jc w:val="center"/>
              <w:textAlignment w:val="auto"/>
              <w:outlineLvl w:val="9"/>
              <w:rPr>
                <w:rFonts w:hint="eastAsia" w:cs="Times New Roman"/>
                <w:b w:val="0"/>
                <w:bCs w:val="0"/>
                <w:sz w:val="21"/>
                <w:szCs w:val="21"/>
                <w:vertAlign w:val="baseline"/>
                <w:lang w:eastAsia="zh-CN"/>
              </w:rPr>
            </w:pPr>
          </w:p>
        </w:tc>
        <w:tc>
          <w:tcPr>
            <w:tcW w:w="4921" w:type="dxa"/>
            <w:gridSpan w:val="3"/>
            <w:tcBorders>
              <w:bottom w:val="single" w:color="auto" w:sz="12" w:space="0"/>
            </w:tcBorders>
            <w:vAlign w:val="center"/>
          </w:tcPr>
          <w:p>
            <w:pPr>
              <w:pStyle w:val="864"/>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sz w:val="21"/>
                <w:szCs w:val="21"/>
                <w:vertAlign w:val="baseline"/>
                <w:lang w:val="en-US" w:eastAsia="zh-CN"/>
              </w:rPr>
            </w:pPr>
            <w:r>
              <w:rPr>
                <w:rFonts w:hint="default" w:ascii="Times New Roman" w:hAnsi="Times New Roman" w:eastAsia="宋体" w:cs="Times New Roman"/>
                <w:b w:val="0"/>
                <w:bCs/>
                <w:sz w:val="21"/>
                <w:szCs w:val="21"/>
                <w:lang w:val="en-US" w:eastAsia="zh-CN"/>
              </w:rPr>
              <w:t>TP</w:t>
            </w:r>
          </w:p>
        </w:tc>
        <w:tc>
          <w:tcPr>
            <w:tcW w:w="1644" w:type="dxa"/>
            <w:tcBorders>
              <w:bottom w:val="single" w:color="auto" w:sz="12" w:space="0"/>
              <w:right w:val="nil"/>
            </w:tcBorders>
            <w:vAlign w:val="center"/>
          </w:tcPr>
          <w:p>
            <w:pPr>
              <w:keepNext w:val="0"/>
              <w:keepLines w:val="0"/>
              <w:widowControl/>
              <w:suppressLineNumbers w:val="0"/>
              <w:jc w:val="center"/>
              <w:textAlignment w:val="center"/>
              <w:rPr>
                <w:rFonts w:hint="default" w:ascii="Times New Roman" w:hAnsi="Times New Roman" w:eastAsia="宋体" w:cs="Times New Roman"/>
                <w:b w:val="0"/>
                <w:bCs w:val="0"/>
                <w:sz w:val="21"/>
                <w:szCs w:val="21"/>
                <w:vertAlign w:val="baseline"/>
                <w:lang w:eastAsia="zh-CN"/>
              </w:rPr>
            </w:pPr>
            <w:r>
              <w:rPr>
                <w:rFonts w:hint="default" w:ascii="Times New Roman" w:hAnsi="Times New Roman" w:eastAsia="宋体" w:cs="Times New Roman"/>
                <w:i w:val="0"/>
                <w:color w:val="000000"/>
                <w:kern w:val="0"/>
                <w:sz w:val="21"/>
                <w:szCs w:val="21"/>
                <w:u w:val="none"/>
                <w:lang w:val="en-US" w:eastAsia="zh-CN" w:bidi="ar"/>
              </w:rPr>
              <w:t>0.007</w:t>
            </w:r>
          </w:p>
        </w:tc>
      </w:tr>
    </w:tbl>
    <w:p>
      <w:pPr>
        <w:pStyle w:val="6"/>
        <w:rPr>
          <w:rFonts w:hint="eastAsia"/>
        </w:rPr>
      </w:pPr>
      <w:r>
        <w:rPr>
          <w:rFonts w:hint="eastAsia"/>
          <w:lang w:eastAsia="zh-CN"/>
        </w:rPr>
        <w:t xml:space="preserve">地表水环境影响评价自查表  </w:t>
      </w:r>
    </w:p>
    <w:p>
      <w:pPr>
        <w:pStyle w:val="864"/>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color w:val="000000"/>
          <w:kern w:val="2"/>
          <w:sz w:val="21"/>
          <w:szCs w:val="21"/>
          <w:lang w:val="en-US" w:eastAsia="zh-CN" w:bidi="ar-SA"/>
        </w:rPr>
      </w:pPr>
      <w:r>
        <w:rPr>
          <w:rFonts w:hint="default" w:ascii="Times New Roman" w:hAnsi="Times New Roman" w:eastAsia="宋体" w:cs="Times New Roman"/>
          <w:b/>
          <w:bCs/>
          <w:color w:val="000000"/>
          <w:sz w:val="21"/>
          <w:szCs w:val="21"/>
        </w:rPr>
        <w:t>表</w:t>
      </w:r>
      <w:r>
        <w:rPr>
          <w:rFonts w:hint="eastAsia" w:ascii="Times New Roman" w:hAnsi="Times New Roman" w:eastAsia="宋体" w:cs="Times New Roman"/>
          <w:b/>
          <w:bCs/>
          <w:color w:val="000000"/>
          <w:sz w:val="21"/>
          <w:szCs w:val="21"/>
          <w:lang w:val="en-US" w:eastAsia="zh-CN"/>
        </w:rPr>
        <w:t>5.2-</w:t>
      </w:r>
      <w:r>
        <w:rPr>
          <w:rFonts w:hint="eastAsia" w:ascii="Times New Roman" w:hAnsi="Times New Roman" w:cs="Times New Roman"/>
          <w:b/>
          <w:bCs/>
          <w:color w:val="000000"/>
          <w:sz w:val="21"/>
          <w:szCs w:val="21"/>
          <w:lang w:val="en-US" w:eastAsia="zh-CN"/>
        </w:rPr>
        <w:t>13</w:t>
      </w:r>
      <w:r>
        <w:rPr>
          <w:rFonts w:hint="eastAsia" w:ascii="Times New Roman" w:hAnsi="Times New Roman" w:eastAsia="宋体" w:cs="Times New Roman"/>
          <w:b/>
          <w:bCs/>
          <w:color w:val="000000"/>
          <w:sz w:val="21"/>
          <w:szCs w:val="21"/>
          <w:lang w:val="en-US" w:eastAsia="zh-CN"/>
        </w:rPr>
        <w:t xml:space="preserve">   </w:t>
      </w:r>
      <w:r>
        <w:rPr>
          <w:rFonts w:hint="eastAsia" w:ascii="Times New Roman" w:hAnsi="Times New Roman" w:eastAsia="宋体" w:cs="Times New Roman"/>
          <w:b/>
          <w:bCs/>
          <w:color w:val="000000"/>
          <w:sz w:val="21"/>
          <w:szCs w:val="21"/>
          <w:lang w:eastAsia="zh-CN"/>
        </w:rPr>
        <w:t>地表水影响评价自查</w:t>
      </w:r>
      <w:r>
        <w:rPr>
          <w:rFonts w:hint="default" w:ascii="Times New Roman" w:hAnsi="Times New Roman" w:eastAsia="宋体" w:cs="Times New Roman"/>
          <w:b/>
          <w:bCs/>
          <w:color w:val="000000"/>
          <w:sz w:val="21"/>
          <w:szCs w:val="21"/>
        </w:rPr>
        <w:t>表</w:t>
      </w:r>
    </w:p>
    <w:tbl>
      <w:tblPr>
        <w:tblStyle w:val="63"/>
        <w:tblW w:w="4999"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528"/>
        <w:gridCol w:w="669"/>
        <w:gridCol w:w="1157"/>
        <w:gridCol w:w="335"/>
        <w:gridCol w:w="562"/>
        <w:gridCol w:w="557"/>
        <w:gridCol w:w="836"/>
        <w:gridCol w:w="679"/>
        <w:gridCol w:w="297"/>
        <w:gridCol w:w="495"/>
        <w:gridCol w:w="1054"/>
        <w:gridCol w:w="469"/>
        <w:gridCol w:w="968"/>
        <w:gridCol w:w="1299"/>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76" w:hRule="atLeast"/>
          <w:tblHeader/>
          <w:jc w:val="center"/>
        </w:trPr>
        <w:tc>
          <w:tcPr>
            <w:tcW w:w="741" w:type="pct"/>
            <w:gridSpan w:val="2"/>
            <w:tcBorders>
              <w:top w:val="single" w:color="auto" w:sz="12" w:space="0"/>
              <w:left w:val="nil"/>
              <w:bottom w:val="single" w:color="auto" w:sz="12"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工作内容</w:t>
            </w:r>
          </w:p>
        </w:tc>
        <w:tc>
          <w:tcPr>
            <w:tcW w:w="4258" w:type="pct"/>
            <w:gridSpan w:val="12"/>
            <w:tcBorders>
              <w:top w:val="single" w:color="auto" w:sz="12" w:space="0"/>
              <w:bottom w:val="single" w:color="auto" w:sz="12"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自查项目</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restart"/>
            <w:tcBorders>
              <w:top w:val="single" w:color="auto" w:sz="12" w:space="0"/>
              <w:left w:val="nil"/>
              <w:bottom w:val="single" w:color="auto" w:sz="4" w:space="0"/>
            </w:tcBorders>
            <w:noWrap/>
            <w:textDirection w:val="tbRlV"/>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影响识别</w:t>
            </w:r>
          </w:p>
        </w:tc>
        <w:tc>
          <w:tcPr>
            <w:tcW w:w="510" w:type="pct"/>
            <w:tcBorders>
              <w:top w:val="single" w:color="auto" w:sz="12"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影响类型</w:t>
            </w:r>
          </w:p>
        </w:tc>
        <w:tc>
          <w:tcPr>
            <w:tcW w:w="4258" w:type="pct"/>
            <w:gridSpan w:val="12"/>
            <w:tcBorders>
              <w:top w:val="single" w:color="auto" w:sz="12"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水污染影响型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；水文要素影响型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水环境保护目标</w:t>
            </w:r>
          </w:p>
        </w:tc>
        <w:tc>
          <w:tcPr>
            <w:tcW w:w="4258" w:type="pct"/>
            <w:gridSpan w:val="12"/>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饮用水水源保护区 □；饮用水取水口 □；涉水的自然保护区 □；涉水的风景名胜区 □；重要湿地 □；重点保护与珍稀水生生物的栖息地 □；重要水生生物的自然产卵场及索饵场、越冬场和洄游通道□；天然渔场等渔业水体 □；水产种质资源保护区□；其他 </w:t>
            </w:r>
            <w:r>
              <w:rPr>
                <w:rFonts w:hint="default" w:ascii="Times New Roman" w:hAnsi="Times New Roman" w:eastAsia="宋体" w:cs="Times New Roman"/>
                <w:color w:val="000000"/>
                <w:kern w:val="0"/>
                <w:sz w:val="18"/>
                <w:szCs w:val="18"/>
              </w:rPr>
              <w:sym w:font="Wingdings 2" w:char="0052"/>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restar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影响途径</w:t>
            </w:r>
          </w:p>
        </w:tc>
        <w:tc>
          <w:tcPr>
            <w:tcW w:w="2080" w:type="pct"/>
            <w:gridSpan w:val="5"/>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水污染影响型</w:t>
            </w:r>
          </w:p>
        </w:tc>
        <w:tc>
          <w:tcPr>
            <w:tcW w:w="2178" w:type="pct"/>
            <w:gridSpan w:val="7"/>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水文要素影响型</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continue"/>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2080" w:type="pct"/>
            <w:gridSpan w:val="5"/>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直接排放 □；间接排放 □；其他 </w:t>
            </w:r>
            <w:r>
              <w:rPr>
                <w:rFonts w:hint="default" w:ascii="Times New Roman" w:hAnsi="Times New Roman" w:eastAsia="宋体" w:cs="Times New Roman"/>
                <w:color w:val="000000"/>
                <w:kern w:val="0"/>
                <w:sz w:val="18"/>
                <w:szCs w:val="18"/>
              </w:rPr>
              <w:sym w:font="Wingdings 2" w:char="0052"/>
            </w:r>
          </w:p>
        </w:tc>
        <w:tc>
          <w:tcPr>
            <w:tcW w:w="2178" w:type="pct"/>
            <w:gridSpan w:val="7"/>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水温 □；径流 □；水域面积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影响因子</w:t>
            </w:r>
          </w:p>
        </w:tc>
        <w:tc>
          <w:tcPr>
            <w:tcW w:w="2080" w:type="pct"/>
            <w:gridSpan w:val="5"/>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持久性污染物 □；有毒有害污染物 □；</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非持久性污染物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；pH值 □；热污染 □；富营养化 □；其他 □</w:t>
            </w:r>
          </w:p>
        </w:tc>
        <w:tc>
          <w:tcPr>
            <w:tcW w:w="2178" w:type="pct"/>
            <w:gridSpan w:val="7"/>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水温 □；水位（水深） □；流速 □；流量 □；其他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741" w:type="pct"/>
            <w:gridSpan w:val="2"/>
            <w:vMerge w:val="restart"/>
            <w:tcBorders>
              <w:top w:val="single" w:color="auto" w:sz="4" w:space="0"/>
              <w:left w:val="nil"/>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评价等级</w:t>
            </w:r>
          </w:p>
        </w:tc>
        <w:tc>
          <w:tcPr>
            <w:tcW w:w="2080" w:type="pct"/>
            <w:gridSpan w:val="5"/>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水污染影响型</w:t>
            </w:r>
          </w:p>
        </w:tc>
        <w:tc>
          <w:tcPr>
            <w:tcW w:w="2178" w:type="pct"/>
            <w:gridSpan w:val="7"/>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水文要素影响型</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267" w:hRule="atLeast"/>
          <w:jc w:val="center"/>
        </w:trPr>
        <w:tc>
          <w:tcPr>
            <w:tcW w:w="741" w:type="pct"/>
            <w:gridSpan w:val="2"/>
            <w:vMerge w:val="continue"/>
            <w:tcBorders>
              <w:top w:val="single" w:color="auto" w:sz="4" w:space="0"/>
              <w:left w:val="nil"/>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2080" w:type="pct"/>
            <w:gridSpan w:val="5"/>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一级 □；二级 □；三级A □；三级B </w:t>
            </w:r>
            <w:r>
              <w:rPr>
                <w:rFonts w:hint="default" w:ascii="Times New Roman" w:hAnsi="Times New Roman" w:eastAsia="宋体" w:cs="Times New Roman"/>
                <w:color w:val="000000"/>
                <w:kern w:val="0"/>
                <w:sz w:val="18"/>
                <w:szCs w:val="18"/>
              </w:rPr>
              <w:sym w:font="Wingdings 2" w:char="0052"/>
            </w:r>
          </w:p>
        </w:tc>
        <w:tc>
          <w:tcPr>
            <w:tcW w:w="2178" w:type="pct"/>
            <w:gridSpan w:val="7"/>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一级 □；二级 □；三级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restart"/>
            <w:tcBorders>
              <w:top w:val="single" w:color="auto" w:sz="4" w:space="0"/>
              <w:left w:val="nil"/>
              <w:bottom w:val="single" w:color="auto" w:sz="4" w:space="0"/>
            </w:tcBorders>
            <w:noWrap/>
            <w:textDirection w:val="tbRlV"/>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现状调查</w:t>
            </w:r>
          </w:p>
        </w:tc>
        <w:tc>
          <w:tcPr>
            <w:tcW w:w="510" w:type="pct"/>
            <w:vMerge w:val="restar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区域污染源</w:t>
            </w:r>
          </w:p>
        </w:tc>
        <w:tc>
          <w:tcPr>
            <w:tcW w:w="2080" w:type="pct"/>
            <w:gridSpan w:val="5"/>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调查项目</w:t>
            </w:r>
          </w:p>
        </w:tc>
        <w:tc>
          <w:tcPr>
            <w:tcW w:w="2178" w:type="pct"/>
            <w:gridSpan w:val="7"/>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数据来源</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34"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continue"/>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900" w:type="pct"/>
            <w:gridSpan w:val="2"/>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已建 □；在建 □；拟建 □；其他 □</w:t>
            </w:r>
          </w:p>
        </w:tc>
        <w:tc>
          <w:tcPr>
            <w:tcW w:w="1180" w:type="pct"/>
            <w:gridSpan w:val="3"/>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拟替代的污染源 □</w:t>
            </w:r>
          </w:p>
        </w:tc>
        <w:tc>
          <w:tcPr>
            <w:tcW w:w="2178" w:type="pct"/>
            <w:gridSpan w:val="7"/>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排污许可证 □；环评 □；环保验收 □；既有实测 □；现场监测 □；入河排放口数据 □；其他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restar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受影响水体水环境质量　</w:t>
            </w:r>
          </w:p>
        </w:tc>
        <w:tc>
          <w:tcPr>
            <w:tcW w:w="2080" w:type="pct"/>
            <w:gridSpan w:val="5"/>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调查时期</w:t>
            </w:r>
          </w:p>
        </w:tc>
        <w:tc>
          <w:tcPr>
            <w:tcW w:w="2178" w:type="pct"/>
            <w:gridSpan w:val="7"/>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数据来源</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59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continue"/>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2080" w:type="pct"/>
            <w:gridSpan w:val="5"/>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丰水期 </w:t>
            </w:r>
            <w:r>
              <w:rPr>
                <w:rFonts w:hint="default" w:ascii="Times New Roman" w:hAnsi="Times New Roman" w:eastAsia="宋体" w:cs="Times New Roman"/>
                <w:color w:val="000000"/>
                <w:kern w:val="0"/>
                <w:sz w:val="18"/>
                <w:szCs w:val="18"/>
              </w:rPr>
              <w:sym w:font="Wingdings 2" w:char="00A3"/>
            </w:r>
            <w:r>
              <w:rPr>
                <w:rFonts w:hint="default" w:ascii="Times New Roman" w:hAnsi="Times New Roman" w:eastAsia="宋体" w:cs="Times New Roman"/>
                <w:color w:val="000000"/>
                <w:kern w:val="0"/>
                <w:sz w:val="18"/>
                <w:szCs w:val="18"/>
              </w:rPr>
              <w:t xml:space="preserve">；平水期 □；枯水期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；冰</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封期 □春季 □；夏季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；秋季 □；冬季 □</w:t>
            </w:r>
          </w:p>
        </w:tc>
        <w:tc>
          <w:tcPr>
            <w:tcW w:w="2178" w:type="pct"/>
            <w:gridSpan w:val="7"/>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生态环境保护主管部门 □；补充监测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 xml:space="preserve">；其他 </w:t>
            </w:r>
            <w:r>
              <w:rPr>
                <w:rFonts w:hint="default" w:ascii="Times New Roman" w:hAnsi="Times New Roman" w:eastAsia="宋体" w:cs="Times New Roman"/>
                <w:color w:val="000000"/>
                <w:kern w:val="0"/>
                <w:sz w:val="18"/>
                <w:szCs w:val="18"/>
              </w:rPr>
              <w:sym w:font="Wingdings 2" w:char="00A3"/>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区域水资源开发利用状况</w:t>
            </w:r>
          </w:p>
        </w:tc>
        <w:tc>
          <w:tcPr>
            <w:tcW w:w="4258" w:type="pct"/>
            <w:gridSpan w:val="12"/>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未开发 □；开发量40%以下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；开发量40%以上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restar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水文情势调查　</w:t>
            </w:r>
          </w:p>
        </w:tc>
        <w:tc>
          <w:tcPr>
            <w:tcW w:w="2080" w:type="pct"/>
            <w:gridSpan w:val="5"/>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调查时期</w:t>
            </w:r>
          </w:p>
        </w:tc>
        <w:tc>
          <w:tcPr>
            <w:tcW w:w="2178" w:type="pct"/>
            <w:gridSpan w:val="7"/>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数据来源</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12"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continue"/>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2080" w:type="pct"/>
            <w:gridSpan w:val="5"/>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丰水期 □；平水期 □；枯水期 □；冰封期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春季 □；夏季 □；秋季 □；冬季 □</w:t>
            </w:r>
          </w:p>
        </w:tc>
        <w:tc>
          <w:tcPr>
            <w:tcW w:w="2178" w:type="pct"/>
            <w:gridSpan w:val="7"/>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水行政主管部门 □；补充监测 □；其他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restar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补充</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监测　</w:t>
            </w:r>
          </w:p>
        </w:tc>
        <w:tc>
          <w:tcPr>
            <w:tcW w:w="2080" w:type="pct"/>
            <w:gridSpan w:val="5"/>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监测时期</w:t>
            </w:r>
          </w:p>
        </w:tc>
        <w:tc>
          <w:tcPr>
            <w:tcW w:w="919" w:type="pct"/>
            <w:gridSpan w:val="4"/>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监测因子</w:t>
            </w:r>
          </w:p>
        </w:tc>
        <w:tc>
          <w:tcPr>
            <w:tcW w:w="1258" w:type="pct"/>
            <w:gridSpan w:val="3"/>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监测断面或点位</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802"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continue"/>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2080" w:type="pct"/>
            <w:gridSpan w:val="5"/>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丰水期 □；平水期 □；枯水期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冰封期 □春季 □；夏季 □；秋季 □；冬季 □</w:t>
            </w:r>
          </w:p>
        </w:tc>
        <w:tc>
          <w:tcPr>
            <w:tcW w:w="919" w:type="pct"/>
            <w:gridSpan w:val="4"/>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 </w:t>
            </w:r>
            <w:r>
              <w:rPr>
                <w:rFonts w:hint="eastAsia" w:ascii="Times New Roman" w:hAnsi="Times New Roman" w:eastAsia="宋体" w:cs="Times New Roman"/>
                <w:color w:val="000000"/>
                <w:kern w:val="0"/>
                <w:sz w:val="18"/>
                <w:szCs w:val="18"/>
                <w:lang w:val="en-US" w:eastAsia="zh-CN"/>
              </w:rPr>
              <w:t>COD、NH</w:t>
            </w:r>
            <w:r>
              <w:rPr>
                <w:rFonts w:hint="eastAsia" w:ascii="Times New Roman" w:hAnsi="Times New Roman" w:eastAsia="宋体" w:cs="Times New Roman"/>
                <w:color w:val="000000"/>
                <w:kern w:val="0"/>
                <w:sz w:val="18"/>
                <w:szCs w:val="18"/>
                <w:vertAlign w:val="subscript"/>
                <w:lang w:val="en-US" w:eastAsia="zh-CN"/>
              </w:rPr>
              <w:t>3</w:t>
            </w:r>
            <w:r>
              <w:rPr>
                <w:rFonts w:hint="eastAsia" w:ascii="Times New Roman" w:hAnsi="Times New Roman" w:eastAsia="宋体" w:cs="Times New Roman"/>
                <w:color w:val="000000"/>
                <w:kern w:val="0"/>
                <w:sz w:val="18"/>
                <w:szCs w:val="18"/>
                <w:lang w:val="en-US" w:eastAsia="zh-CN"/>
              </w:rPr>
              <w:t>-N</w:t>
            </w:r>
            <w:r>
              <w:rPr>
                <w:rFonts w:hint="default" w:ascii="Times New Roman" w:hAnsi="Times New Roman" w:eastAsia="宋体" w:cs="Times New Roman"/>
                <w:color w:val="000000"/>
                <w:kern w:val="0"/>
                <w:sz w:val="18"/>
                <w:szCs w:val="18"/>
              </w:rPr>
              <w:t xml:space="preserve"> </w:t>
            </w:r>
            <w:r>
              <w:rPr>
                <w:rFonts w:hint="eastAsia" w:ascii="Times New Roman" w:hAnsi="Times New Roman" w:eastAsia="宋体" w:cs="Times New Roman"/>
                <w:color w:val="000000"/>
                <w:kern w:val="0"/>
                <w:sz w:val="18"/>
                <w:szCs w:val="18"/>
                <w:lang w:eastAsia="zh-CN"/>
              </w:rPr>
              <w:t>、</w:t>
            </w:r>
            <w:r>
              <w:rPr>
                <w:rFonts w:hint="eastAsia" w:ascii="Times New Roman" w:hAnsi="Times New Roman" w:eastAsia="宋体" w:cs="Times New Roman"/>
                <w:color w:val="000000"/>
                <w:kern w:val="0"/>
                <w:sz w:val="18"/>
                <w:szCs w:val="18"/>
                <w:lang w:val="en-US" w:eastAsia="zh-CN"/>
              </w:rPr>
              <w:t xml:space="preserve">TP等 </w:t>
            </w:r>
            <w:r>
              <w:rPr>
                <w:rFonts w:hint="default" w:ascii="Times New Roman" w:hAnsi="Times New Roman" w:eastAsia="宋体" w:cs="Times New Roman"/>
                <w:color w:val="000000"/>
                <w:kern w:val="0"/>
                <w:sz w:val="18"/>
                <w:szCs w:val="18"/>
              </w:rPr>
              <w:t>）</w:t>
            </w:r>
          </w:p>
        </w:tc>
        <w:tc>
          <w:tcPr>
            <w:tcW w:w="1258" w:type="pct"/>
            <w:gridSpan w:val="3"/>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监测断面或点位个数（ </w:t>
            </w:r>
            <w:r>
              <w:rPr>
                <w:rFonts w:hint="eastAsia" w:ascii="Times New Roman" w:hAnsi="Times New Roman" w:eastAsia="宋体" w:cs="Times New Roman"/>
                <w:color w:val="000000"/>
                <w:kern w:val="0"/>
                <w:sz w:val="18"/>
                <w:szCs w:val="18"/>
                <w:lang w:val="en-US" w:eastAsia="zh-CN"/>
              </w:rPr>
              <w:t>2</w:t>
            </w:r>
            <w:r>
              <w:rPr>
                <w:rFonts w:hint="default" w:ascii="Times New Roman" w:hAnsi="Times New Roman" w:eastAsia="宋体" w:cs="Times New Roman"/>
                <w:color w:val="000000"/>
                <w:kern w:val="0"/>
                <w:sz w:val="18"/>
                <w:szCs w:val="18"/>
              </w:rPr>
              <w:t xml:space="preserve">  ）个</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restart"/>
            <w:tcBorders>
              <w:top w:val="single" w:color="auto" w:sz="4" w:space="0"/>
              <w:left w:val="nil"/>
              <w:bottom w:val="single" w:color="auto" w:sz="4" w:space="0"/>
            </w:tcBorders>
            <w:noWrap/>
            <w:textDirection w:val="tbRlV"/>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现状评价</w:t>
            </w: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评价</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范围</w:t>
            </w:r>
          </w:p>
        </w:tc>
        <w:tc>
          <w:tcPr>
            <w:tcW w:w="4258" w:type="pct"/>
            <w:gridSpan w:val="12"/>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河流：长度（ </w:t>
            </w:r>
            <w:r>
              <w:rPr>
                <w:rFonts w:hint="default" w:ascii="Times New Roman" w:hAnsi="Times New Roman" w:eastAsia="宋体" w:cs="Times New Roman"/>
                <w:color w:val="000000"/>
                <w:kern w:val="0"/>
                <w:sz w:val="18"/>
                <w:szCs w:val="18"/>
                <w:lang w:val="en-US" w:eastAsia="zh-CN"/>
              </w:rPr>
              <w:t>11.95</w:t>
            </w:r>
            <w:r>
              <w:rPr>
                <w:rFonts w:hint="default" w:ascii="Times New Roman" w:hAnsi="Times New Roman" w:eastAsia="宋体" w:cs="Times New Roman"/>
                <w:color w:val="000000"/>
                <w:kern w:val="0"/>
                <w:sz w:val="18"/>
                <w:szCs w:val="18"/>
              </w:rPr>
              <w:t xml:space="preserve"> ）km；湖库、河口及近岸海域：面积（   ）km</w:t>
            </w:r>
            <w:r>
              <w:rPr>
                <w:rFonts w:hint="default" w:ascii="Times New Roman" w:hAnsi="Times New Roman" w:eastAsia="宋体" w:cs="Times New Roman"/>
                <w:color w:val="000000"/>
                <w:kern w:val="0"/>
                <w:sz w:val="18"/>
                <w:szCs w:val="18"/>
                <w:vertAlign w:val="superscript"/>
              </w:rPr>
              <w:t>2</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评价</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因子</w:t>
            </w:r>
          </w:p>
        </w:tc>
        <w:tc>
          <w:tcPr>
            <w:tcW w:w="4258" w:type="pct"/>
            <w:gridSpan w:val="12"/>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 </w:t>
            </w:r>
            <w:r>
              <w:rPr>
                <w:rFonts w:hint="default" w:ascii="Times New Roman" w:hAnsi="Times New Roman" w:eastAsia="宋体" w:cs="Times New Roman"/>
                <w:color w:val="000000"/>
                <w:kern w:val="0"/>
                <w:sz w:val="18"/>
                <w:szCs w:val="18"/>
                <w:lang w:val="en-US" w:eastAsia="zh-CN"/>
              </w:rPr>
              <w:t>CODcr、NH</w:t>
            </w:r>
            <w:r>
              <w:rPr>
                <w:rFonts w:hint="default" w:ascii="Times New Roman" w:hAnsi="Times New Roman" w:eastAsia="宋体" w:cs="Times New Roman"/>
                <w:color w:val="000000"/>
                <w:kern w:val="0"/>
                <w:sz w:val="18"/>
                <w:szCs w:val="18"/>
                <w:vertAlign w:val="subscript"/>
                <w:lang w:val="en-US" w:eastAsia="zh-CN"/>
              </w:rPr>
              <w:t>3</w:t>
            </w:r>
            <w:r>
              <w:rPr>
                <w:rFonts w:hint="default" w:ascii="Times New Roman" w:hAnsi="Times New Roman" w:eastAsia="宋体" w:cs="Times New Roman"/>
                <w:color w:val="000000"/>
                <w:kern w:val="0"/>
                <w:sz w:val="18"/>
                <w:szCs w:val="18"/>
                <w:lang w:val="en-US" w:eastAsia="zh-CN"/>
              </w:rPr>
              <w:t>-N</w:t>
            </w:r>
            <w:r>
              <w:rPr>
                <w:rFonts w:hint="default" w:ascii="Times New Roman" w:hAnsi="Times New Roman" w:eastAsia="宋体" w:cs="Times New Roman"/>
                <w:color w:val="000000"/>
                <w:kern w:val="0"/>
                <w:sz w:val="18"/>
                <w:szCs w:val="18"/>
              </w:rPr>
              <w:t xml:space="preserve">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评价</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标准</w:t>
            </w:r>
          </w:p>
        </w:tc>
        <w:tc>
          <w:tcPr>
            <w:tcW w:w="4258" w:type="pct"/>
            <w:gridSpan w:val="12"/>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河流、湖库、河口：Ⅰ类 □；Ⅱ类 □；Ⅲ类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；Ⅳ类 □；Ⅴ类 □</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近岸海域：第一类 </w:t>
            </w:r>
            <w:r>
              <w:rPr>
                <w:rFonts w:hint="default" w:ascii="Times New Roman" w:hAnsi="Times New Roman" w:eastAsia="宋体" w:cs="Times New Roman"/>
                <w:color w:val="000000"/>
                <w:kern w:val="0"/>
                <w:sz w:val="18"/>
                <w:szCs w:val="18"/>
              </w:rPr>
              <w:sym w:font="Wingdings 2" w:char="00A3"/>
            </w:r>
            <w:r>
              <w:rPr>
                <w:rFonts w:hint="default" w:ascii="Times New Roman" w:hAnsi="Times New Roman" w:eastAsia="宋体" w:cs="Times New Roman"/>
                <w:color w:val="000000"/>
                <w:kern w:val="0"/>
                <w:sz w:val="18"/>
                <w:szCs w:val="18"/>
              </w:rPr>
              <w:t xml:space="preserve">；第二类 </w:t>
            </w:r>
            <w:r>
              <w:rPr>
                <w:rFonts w:hint="default" w:ascii="Times New Roman" w:hAnsi="Times New Roman" w:eastAsia="宋体" w:cs="Times New Roman"/>
                <w:color w:val="000000"/>
                <w:kern w:val="0"/>
                <w:sz w:val="18"/>
                <w:szCs w:val="18"/>
              </w:rPr>
              <w:sym w:font="Wingdings 2" w:char="00A3"/>
            </w:r>
            <w:r>
              <w:rPr>
                <w:rFonts w:hint="default" w:ascii="Times New Roman" w:hAnsi="Times New Roman" w:eastAsia="宋体" w:cs="Times New Roman"/>
                <w:color w:val="000000"/>
                <w:kern w:val="0"/>
                <w:sz w:val="18"/>
                <w:szCs w:val="18"/>
              </w:rPr>
              <w:t>；第三类 □；第四类 □</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规划年评价标准（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评价</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时期</w:t>
            </w:r>
          </w:p>
        </w:tc>
        <w:tc>
          <w:tcPr>
            <w:tcW w:w="4258" w:type="pct"/>
            <w:gridSpan w:val="12"/>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丰水期 □；平水期 □；枯水期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；冰封期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 xml:space="preserve">春季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；夏季 □；秋季 □；冬季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90"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评价</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结论</w:t>
            </w:r>
          </w:p>
        </w:tc>
        <w:tc>
          <w:tcPr>
            <w:tcW w:w="3661" w:type="pct"/>
            <w:gridSpan w:val="11"/>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水环境功能区或水功能区、近岸海域环境功能区水质达标状况 ：达标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；不达标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 xml:space="preserve">水环境控制单元或断面水质达标状况 ：达标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；不达标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 xml:space="preserve">水环境保护目标质量状况 ：达标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；不达标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对照断面、控制断面等代表性断面的水质状况 ：达标 □；不达标 □</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底泥污染评价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水资源与开发利用程度及其水文情势评价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水环境质量回顾评价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流域（区域）水资源（包括水能资源）与开发利用总体状况、生态流量管理要求与现状满足程度、建设项目占用水域空间的水流状况与河湖演变状况 □</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依托污水处理设施稳定达标排放评价 □</w:t>
            </w:r>
          </w:p>
        </w:tc>
        <w:tc>
          <w:tcPr>
            <w:tcW w:w="597" w:type="pct"/>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达标区</w:t>
            </w:r>
            <w:r>
              <w:rPr>
                <w:rFonts w:hint="default" w:ascii="Times New Roman" w:hAnsi="Times New Roman" w:eastAsia="宋体" w:cs="Times New Roman"/>
                <w:color w:val="000000"/>
                <w:kern w:val="0"/>
                <w:sz w:val="18"/>
                <w:szCs w:val="18"/>
              </w:rPr>
              <w:sym w:font="Wingdings 2" w:char="0052"/>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不达标区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restart"/>
            <w:tcBorders>
              <w:top w:val="single" w:color="auto" w:sz="4" w:space="0"/>
              <w:left w:val="nil"/>
              <w:bottom w:val="single" w:color="auto" w:sz="4" w:space="0"/>
            </w:tcBorders>
            <w:noWrap/>
            <w:textDirection w:val="tbRlV"/>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影响预测</w:t>
            </w: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预测</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范围</w:t>
            </w:r>
          </w:p>
        </w:tc>
        <w:tc>
          <w:tcPr>
            <w:tcW w:w="4258" w:type="pct"/>
            <w:gridSpan w:val="12"/>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河流：长度（）km；湖库、河口及近岸海域：面积（   ）km</w:t>
            </w:r>
            <w:r>
              <w:rPr>
                <w:rFonts w:hint="default" w:ascii="Times New Roman" w:hAnsi="Times New Roman" w:eastAsia="宋体" w:cs="Times New Roman"/>
                <w:color w:val="000000"/>
                <w:kern w:val="0"/>
                <w:sz w:val="18"/>
                <w:szCs w:val="18"/>
                <w:vertAlign w:val="superscript"/>
              </w:rPr>
              <w:t>2</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预测</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因子</w:t>
            </w:r>
          </w:p>
        </w:tc>
        <w:tc>
          <w:tcPr>
            <w:tcW w:w="4258" w:type="pct"/>
            <w:gridSpan w:val="12"/>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预测</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时期</w:t>
            </w:r>
          </w:p>
        </w:tc>
        <w:tc>
          <w:tcPr>
            <w:tcW w:w="4258" w:type="pct"/>
            <w:gridSpan w:val="12"/>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丰水期 □；平水期 □；枯水期 □；冰封期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春季 □；夏季 □；秋季 □；冬季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设计水文条件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预测</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情景</w:t>
            </w:r>
          </w:p>
        </w:tc>
        <w:tc>
          <w:tcPr>
            <w:tcW w:w="4258" w:type="pct"/>
            <w:gridSpan w:val="12"/>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建设期 □；生产运行期 □；服务期满后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正常工况 □；非正常工况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污染控制和减缓措施方案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区（流）域环境质量改善目标要求情景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预测</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方法</w:t>
            </w:r>
          </w:p>
        </w:tc>
        <w:tc>
          <w:tcPr>
            <w:tcW w:w="4258" w:type="pct"/>
            <w:gridSpan w:val="12"/>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数值解 □：解析解 □；其他 □</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导则推荐模式 □：其他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534" w:hRule="atLeast"/>
          <w:jc w:val="center"/>
        </w:trPr>
        <w:tc>
          <w:tcPr>
            <w:tcW w:w="230" w:type="pct"/>
            <w:vMerge w:val="restart"/>
            <w:tcBorders>
              <w:top w:val="single" w:color="auto" w:sz="4" w:space="0"/>
              <w:left w:val="nil"/>
              <w:bottom w:val="single" w:color="auto" w:sz="4" w:space="0"/>
            </w:tcBorders>
            <w:noWrap/>
            <w:textDirection w:val="tbRlV"/>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影响评价</w:t>
            </w: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水污染控制和水环境影响减缓措施有效性评价</w:t>
            </w:r>
          </w:p>
        </w:tc>
        <w:tc>
          <w:tcPr>
            <w:tcW w:w="4258" w:type="pct"/>
            <w:gridSpan w:val="12"/>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区（流）域水环境质量改善目标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；替代削减源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91"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水环境影响评价</w:t>
            </w:r>
          </w:p>
        </w:tc>
        <w:tc>
          <w:tcPr>
            <w:tcW w:w="4258" w:type="pct"/>
            <w:gridSpan w:val="12"/>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排放口混合区外满足水环境管理要求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 xml:space="preserve">水环境功能区或水功能区、近岸海域环境功能区水质达标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 xml:space="preserve">满足水环境保护目标水域水环境质量要求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水环境控制单元或断面水质达标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满足重点水污染物排放总量控制指标要求，重点行业建设项目， 主要污染物排放满足等量或减量替代要求 □</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满足区（流）域水环境质量改善目标要求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水文要素影响型建设项目同时应包括水文情势变化评价、主要水文特征值影响评价、生态流量符合性评价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对于新设或调整入河（湖库、近岸海域）排放口的建设项目，应包括排放口设置的环境合理性评价 □</w:t>
            </w:r>
            <w:r>
              <w:rPr>
                <w:rFonts w:hint="default" w:ascii="Times New Roman" w:hAnsi="Times New Roman" w:eastAsia="宋体" w:cs="Times New Roman"/>
                <w:color w:val="000000"/>
                <w:kern w:val="0"/>
                <w:sz w:val="18"/>
                <w:szCs w:val="18"/>
              </w:rPr>
              <w:br w:type="textWrapping"/>
            </w:r>
            <w:r>
              <w:rPr>
                <w:rFonts w:hint="default" w:ascii="Times New Roman" w:hAnsi="Times New Roman" w:eastAsia="宋体" w:cs="Times New Roman"/>
                <w:color w:val="000000"/>
                <w:kern w:val="0"/>
                <w:sz w:val="18"/>
                <w:szCs w:val="18"/>
              </w:rPr>
              <w:t xml:space="preserve">满足生态保护红线、水环境质量底线、资源利用上线和环境准入清单管理要求 </w:t>
            </w:r>
            <w:r>
              <w:rPr>
                <w:rFonts w:hint="default" w:ascii="Times New Roman" w:hAnsi="Times New Roman" w:eastAsia="宋体" w:cs="Times New Roman"/>
                <w:color w:val="000000"/>
                <w:kern w:val="0"/>
                <w:sz w:val="18"/>
                <w:szCs w:val="18"/>
              </w:rPr>
              <w:sym w:font="Wingdings 2" w:char="0052"/>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restar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污染源排放量核算</w:t>
            </w:r>
          </w:p>
        </w:tc>
        <w:tc>
          <w:tcPr>
            <w:tcW w:w="1239" w:type="pct"/>
            <w:gridSpan w:val="3"/>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污染物名称</w:t>
            </w:r>
          </w:p>
        </w:tc>
        <w:tc>
          <w:tcPr>
            <w:tcW w:w="1376" w:type="pct"/>
            <w:gridSpan w:val="5"/>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排放量/（</w:t>
            </w:r>
            <w:r>
              <w:rPr>
                <w:rFonts w:hint="default" w:ascii="Times New Roman" w:hAnsi="Times New Roman" w:eastAsia="宋体" w:cs="Times New Roman"/>
                <w:sz w:val="18"/>
                <w:szCs w:val="18"/>
              </w:rPr>
              <w:t>t/a</w:t>
            </w:r>
            <w:r>
              <w:rPr>
                <w:rFonts w:hint="default" w:ascii="Times New Roman" w:hAnsi="Times New Roman" w:eastAsia="宋体" w:cs="Times New Roman"/>
                <w:color w:val="000000"/>
                <w:kern w:val="0"/>
                <w:sz w:val="18"/>
                <w:szCs w:val="18"/>
              </w:rPr>
              <w:t>）</w:t>
            </w:r>
          </w:p>
        </w:tc>
        <w:tc>
          <w:tcPr>
            <w:tcW w:w="1643" w:type="pct"/>
            <w:gridSpan w:val="4"/>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排放浓度/（mg/L）</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continue"/>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1239" w:type="pct"/>
            <w:gridSpan w:val="3"/>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w:t>
            </w:r>
            <w:r>
              <w:rPr>
                <w:rFonts w:hint="eastAsia" w:ascii="Times New Roman" w:hAnsi="Times New Roman" w:eastAsia="宋体" w:cs="Times New Roman"/>
                <w:color w:val="000000"/>
                <w:kern w:val="0"/>
                <w:sz w:val="18"/>
                <w:szCs w:val="18"/>
                <w:lang w:val="en-US" w:eastAsia="zh-CN"/>
              </w:rPr>
              <w:t xml:space="preserve">  </w:t>
            </w:r>
            <w:r>
              <w:rPr>
                <w:rFonts w:hint="default" w:ascii="Times New Roman" w:hAnsi="Times New Roman" w:eastAsia="宋体" w:cs="Times New Roman"/>
                <w:color w:val="000000"/>
                <w:kern w:val="0"/>
                <w:sz w:val="18"/>
                <w:szCs w:val="18"/>
              </w:rPr>
              <w:t>）</w:t>
            </w:r>
          </w:p>
        </w:tc>
        <w:tc>
          <w:tcPr>
            <w:tcW w:w="1376" w:type="pct"/>
            <w:gridSpan w:val="5"/>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w:t>
            </w:r>
            <w:r>
              <w:rPr>
                <w:rFonts w:hint="default" w:ascii="Times New Roman" w:hAnsi="Times New Roman" w:eastAsia="宋体" w:cs="Times New Roman"/>
                <w:color w:val="000000"/>
                <w:kern w:val="0"/>
                <w:sz w:val="18"/>
                <w:szCs w:val="18"/>
                <w:lang w:val="en-US" w:eastAsia="zh-CN"/>
              </w:rPr>
              <w:t xml:space="preserve"> </w:t>
            </w:r>
            <w:r>
              <w:rPr>
                <w:rFonts w:hint="default" w:ascii="Times New Roman" w:hAnsi="Times New Roman" w:eastAsia="宋体" w:cs="Times New Roman"/>
                <w:color w:val="000000"/>
                <w:kern w:val="0"/>
                <w:sz w:val="18"/>
                <w:szCs w:val="18"/>
              </w:rPr>
              <w:t xml:space="preserve"> ）</w:t>
            </w:r>
          </w:p>
        </w:tc>
        <w:tc>
          <w:tcPr>
            <w:tcW w:w="1643" w:type="pct"/>
            <w:gridSpan w:val="4"/>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 </w:t>
            </w:r>
            <w:r>
              <w:rPr>
                <w:rFonts w:hint="default" w:ascii="Times New Roman" w:hAnsi="Times New Roman" w:eastAsia="宋体" w:cs="Times New Roman"/>
                <w:color w:val="000000"/>
                <w:kern w:val="0"/>
                <w:sz w:val="18"/>
                <w:szCs w:val="18"/>
                <w:lang w:val="en-US" w:eastAsia="zh-CN"/>
              </w:rPr>
              <w:t xml:space="preserve">  </w:t>
            </w:r>
            <w:r>
              <w:rPr>
                <w:rFonts w:hint="default" w:ascii="Times New Roman" w:hAnsi="Times New Roman" w:eastAsia="宋体" w:cs="Times New Roman"/>
                <w:color w:val="000000"/>
                <w:kern w:val="0"/>
                <w:sz w:val="18"/>
                <w:szCs w:val="18"/>
              </w:rPr>
              <w:t>）</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 </w:t>
            </w:r>
            <w:r>
              <w:rPr>
                <w:rFonts w:hint="default" w:ascii="Times New Roman" w:hAnsi="Times New Roman" w:eastAsia="宋体" w:cs="Times New Roman"/>
                <w:color w:val="000000"/>
                <w:kern w:val="0"/>
                <w:sz w:val="18"/>
                <w:szCs w:val="18"/>
                <w:lang w:val="en-US" w:eastAsia="zh-CN"/>
              </w:rPr>
              <w:t xml:space="preserve">   </w:t>
            </w:r>
            <w:r>
              <w:rPr>
                <w:rFonts w:hint="default" w:ascii="Times New Roman" w:hAnsi="Times New Roman" w:eastAsia="宋体" w:cs="Times New Roman"/>
                <w:color w:val="000000"/>
                <w:kern w:val="0"/>
                <w:sz w:val="18"/>
                <w:szCs w:val="18"/>
              </w:rPr>
              <w:t>）</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restar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替代源排放情况</w:t>
            </w:r>
          </w:p>
        </w:tc>
        <w:tc>
          <w:tcPr>
            <w:tcW w:w="698" w:type="pct"/>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污染源名称</w:t>
            </w:r>
          </w:p>
        </w:tc>
        <w:tc>
          <w:tcPr>
            <w:tcW w:w="877" w:type="pct"/>
            <w:gridSpan w:val="3"/>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排污许可证编号</w:t>
            </w:r>
          </w:p>
        </w:tc>
        <w:tc>
          <w:tcPr>
            <w:tcW w:w="752" w:type="pct"/>
            <w:gridSpan w:val="2"/>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污染物名称</w:t>
            </w:r>
          </w:p>
        </w:tc>
        <w:tc>
          <w:tcPr>
            <w:tcW w:w="888" w:type="pct"/>
            <w:gridSpan w:val="4"/>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排放量/（</w:t>
            </w:r>
            <w:r>
              <w:rPr>
                <w:rFonts w:hint="default" w:ascii="Times New Roman" w:hAnsi="Times New Roman" w:eastAsia="宋体" w:cs="Times New Roman"/>
                <w:sz w:val="18"/>
                <w:szCs w:val="18"/>
              </w:rPr>
              <w:t>t/a</w:t>
            </w:r>
            <w:r>
              <w:rPr>
                <w:rFonts w:hint="default" w:ascii="Times New Roman" w:hAnsi="Times New Roman" w:eastAsia="宋体" w:cs="Times New Roman"/>
                <w:color w:val="000000"/>
                <w:kern w:val="0"/>
                <w:sz w:val="18"/>
                <w:szCs w:val="18"/>
              </w:rPr>
              <w:t>）</w:t>
            </w:r>
          </w:p>
        </w:tc>
        <w:tc>
          <w:tcPr>
            <w:tcW w:w="1041" w:type="pct"/>
            <w:gridSpan w:val="2"/>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排放浓度/（mg/L）</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continue"/>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698" w:type="pct"/>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w:t>
            </w:r>
          </w:p>
        </w:tc>
        <w:tc>
          <w:tcPr>
            <w:tcW w:w="877" w:type="pct"/>
            <w:gridSpan w:val="3"/>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w:t>
            </w:r>
          </w:p>
        </w:tc>
        <w:tc>
          <w:tcPr>
            <w:tcW w:w="752" w:type="pct"/>
            <w:gridSpan w:val="2"/>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w:t>
            </w:r>
          </w:p>
        </w:tc>
        <w:tc>
          <w:tcPr>
            <w:tcW w:w="888" w:type="pct"/>
            <w:gridSpan w:val="4"/>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w:t>
            </w:r>
          </w:p>
        </w:tc>
        <w:tc>
          <w:tcPr>
            <w:tcW w:w="1041" w:type="pct"/>
            <w:gridSpan w:val="2"/>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生态流量确定</w:t>
            </w:r>
          </w:p>
        </w:tc>
        <w:tc>
          <w:tcPr>
            <w:tcW w:w="4258" w:type="pct"/>
            <w:gridSpan w:val="12"/>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生态流量：一般水期（   ）m</w:t>
            </w:r>
            <w:r>
              <w:rPr>
                <w:rFonts w:hint="default" w:ascii="Times New Roman" w:hAnsi="Times New Roman" w:eastAsia="宋体" w:cs="Times New Roman"/>
                <w:color w:val="000000"/>
                <w:kern w:val="0"/>
                <w:sz w:val="18"/>
                <w:szCs w:val="18"/>
                <w:vertAlign w:val="superscript"/>
              </w:rPr>
              <w:t>3</w:t>
            </w:r>
            <w:r>
              <w:rPr>
                <w:rFonts w:hint="default" w:ascii="Times New Roman" w:hAnsi="Times New Roman" w:eastAsia="宋体" w:cs="Times New Roman"/>
                <w:color w:val="000000"/>
                <w:kern w:val="0"/>
                <w:sz w:val="18"/>
                <w:szCs w:val="18"/>
              </w:rPr>
              <w:t>/s；鱼类繁殖期（   ）m</w:t>
            </w:r>
            <w:r>
              <w:rPr>
                <w:rFonts w:hint="default" w:ascii="Times New Roman" w:hAnsi="Times New Roman" w:eastAsia="宋体" w:cs="Times New Roman"/>
                <w:color w:val="000000"/>
                <w:kern w:val="0"/>
                <w:sz w:val="18"/>
                <w:szCs w:val="18"/>
                <w:vertAlign w:val="superscript"/>
              </w:rPr>
              <w:t>3</w:t>
            </w:r>
            <w:r>
              <w:rPr>
                <w:rFonts w:hint="default" w:ascii="Times New Roman" w:hAnsi="Times New Roman" w:eastAsia="宋体" w:cs="Times New Roman"/>
                <w:color w:val="000000"/>
                <w:kern w:val="0"/>
                <w:sz w:val="18"/>
                <w:szCs w:val="18"/>
              </w:rPr>
              <w:t>/s；其他（   ）m</w:t>
            </w:r>
            <w:r>
              <w:rPr>
                <w:rFonts w:hint="default" w:ascii="Times New Roman" w:hAnsi="Times New Roman" w:eastAsia="宋体" w:cs="Times New Roman"/>
                <w:color w:val="000000"/>
                <w:kern w:val="0"/>
                <w:sz w:val="18"/>
                <w:szCs w:val="18"/>
                <w:vertAlign w:val="superscript"/>
              </w:rPr>
              <w:t>3</w:t>
            </w:r>
            <w:r>
              <w:rPr>
                <w:rFonts w:hint="default" w:ascii="Times New Roman" w:hAnsi="Times New Roman" w:eastAsia="宋体" w:cs="Times New Roman"/>
                <w:color w:val="000000"/>
                <w:kern w:val="0"/>
                <w:sz w:val="18"/>
                <w:szCs w:val="18"/>
              </w:rPr>
              <w:t>/s</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生态水位：一般水期（   ）m；鱼类繁殖期（   ）m；其他（   ）m</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230" w:type="pct"/>
            <w:vMerge w:val="restart"/>
            <w:tcBorders>
              <w:top w:val="single" w:color="auto" w:sz="4" w:space="0"/>
              <w:left w:val="nil"/>
              <w:bottom w:val="single" w:color="auto" w:sz="4" w:space="0"/>
            </w:tcBorders>
            <w:noWrap/>
            <w:textDirection w:val="tbRlV"/>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防治措施</w:t>
            </w: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环保措施</w:t>
            </w:r>
          </w:p>
        </w:tc>
        <w:tc>
          <w:tcPr>
            <w:tcW w:w="4258" w:type="pct"/>
            <w:gridSpan w:val="12"/>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污水处理设施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 xml:space="preserve">；水文减缓设施 □；生态流量保障设施 □；区域削减 □；依托其他工程措施 □；其他 </w:t>
            </w:r>
            <w:r>
              <w:rPr>
                <w:rFonts w:hint="default" w:ascii="Times New Roman" w:hAnsi="Times New Roman" w:eastAsia="宋体" w:cs="Times New Roman"/>
                <w:color w:val="000000"/>
                <w:kern w:val="0"/>
                <w:sz w:val="18"/>
                <w:szCs w:val="18"/>
              </w:rPr>
              <w:sym w:font="Wingdings 2" w:char="0052"/>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121"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restar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监测计划</w:t>
            </w:r>
          </w:p>
        </w:tc>
        <w:tc>
          <w:tcPr>
            <w:tcW w:w="900" w:type="pct"/>
            <w:gridSpan w:val="2"/>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1535" w:type="pct"/>
            <w:gridSpan w:val="5"/>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环境质量</w:t>
            </w:r>
          </w:p>
        </w:tc>
        <w:tc>
          <w:tcPr>
            <w:tcW w:w="1823" w:type="pct"/>
            <w:gridSpan w:val="5"/>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污染源</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21"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continue"/>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900" w:type="pct"/>
            <w:gridSpan w:val="2"/>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监测方式</w:t>
            </w:r>
          </w:p>
        </w:tc>
        <w:tc>
          <w:tcPr>
            <w:tcW w:w="1535" w:type="pct"/>
            <w:gridSpan w:val="5"/>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color w:val="000000"/>
                <w:kern w:val="0"/>
                <w:sz w:val="18"/>
                <w:szCs w:val="18"/>
              </w:rPr>
            </w:pPr>
            <w:r>
              <w:rPr>
                <w:rFonts w:hint="default" w:ascii="Times New Roman" w:hAnsi="Times New Roman" w:eastAsia="宋体" w:cs="Times New Roman"/>
                <w:color w:val="000000"/>
                <w:kern w:val="0"/>
                <w:sz w:val="18"/>
                <w:szCs w:val="18"/>
              </w:rPr>
              <w:t xml:space="preserve">手动 □；自动 □；无监测 </w:t>
            </w:r>
            <w:r>
              <w:rPr>
                <w:rFonts w:hint="default" w:ascii="Times New Roman" w:hAnsi="Times New Roman" w:eastAsia="宋体" w:cs="Times New Roman"/>
                <w:color w:val="000000"/>
                <w:kern w:val="0"/>
                <w:sz w:val="18"/>
                <w:szCs w:val="18"/>
              </w:rPr>
              <w:sym w:font="Wingdings 2" w:char="0052"/>
            </w:r>
          </w:p>
        </w:tc>
        <w:tc>
          <w:tcPr>
            <w:tcW w:w="1823" w:type="pct"/>
            <w:gridSpan w:val="5"/>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手动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；自动 □；无监测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21"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continue"/>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900" w:type="pct"/>
            <w:gridSpan w:val="2"/>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监测点位</w:t>
            </w:r>
          </w:p>
        </w:tc>
        <w:tc>
          <w:tcPr>
            <w:tcW w:w="1535" w:type="pct"/>
            <w:gridSpan w:val="5"/>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w:t>
            </w:r>
          </w:p>
        </w:tc>
        <w:tc>
          <w:tcPr>
            <w:tcW w:w="1823" w:type="pct"/>
            <w:gridSpan w:val="5"/>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  </w:t>
            </w:r>
            <w:r>
              <w:rPr>
                <w:rFonts w:hint="default" w:ascii="Times New Roman" w:hAnsi="Times New Roman" w:eastAsia="宋体" w:cs="Times New Roman"/>
                <w:color w:val="000000"/>
                <w:kern w:val="0"/>
                <w:sz w:val="18"/>
                <w:szCs w:val="18"/>
                <w:lang w:eastAsia="zh-CN"/>
              </w:rPr>
              <w:t>污水处理设施排水口</w:t>
            </w:r>
            <w:r>
              <w:rPr>
                <w:rFonts w:hint="default" w:ascii="Times New Roman" w:hAnsi="Times New Roman" w:eastAsia="宋体" w:cs="Times New Roman"/>
                <w:color w:val="000000"/>
                <w:kern w:val="0"/>
                <w:sz w:val="18"/>
                <w:szCs w:val="18"/>
              </w:rPr>
              <w:t xml:space="preserve">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21"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vMerge w:val="continue"/>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900" w:type="pct"/>
            <w:gridSpan w:val="2"/>
            <w:tcBorders>
              <w:top w:val="single" w:color="auto" w:sz="4" w:space="0"/>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监测因子</w:t>
            </w:r>
          </w:p>
        </w:tc>
        <w:tc>
          <w:tcPr>
            <w:tcW w:w="1535" w:type="pct"/>
            <w:gridSpan w:val="5"/>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w:t>
            </w:r>
          </w:p>
        </w:tc>
        <w:tc>
          <w:tcPr>
            <w:tcW w:w="1823" w:type="pct"/>
            <w:gridSpan w:val="5"/>
            <w:tcBorders>
              <w:top w:val="single" w:color="auto" w:sz="4" w:space="0"/>
              <w:bottom w:val="single" w:color="auto" w:sz="4" w:space="0"/>
              <w:right w:val="nil"/>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（pH、CODCr、BOD</w:t>
            </w:r>
            <w:r>
              <w:rPr>
                <w:rFonts w:hint="default" w:ascii="Times New Roman" w:hAnsi="Times New Roman" w:eastAsia="宋体" w:cs="Times New Roman"/>
                <w:color w:val="000000"/>
                <w:kern w:val="0"/>
                <w:sz w:val="18"/>
                <w:szCs w:val="18"/>
                <w:vertAlign w:val="subscript"/>
              </w:rPr>
              <w:t>5</w:t>
            </w:r>
            <w:r>
              <w:rPr>
                <w:rFonts w:hint="default" w:ascii="Times New Roman" w:hAnsi="Times New Roman" w:eastAsia="宋体" w:cs="Times New Roman"/>
                <w:color w:val="000000"/>
                <w:kern w:val="0"/>
                <w:sz w:val="18"/>
                <w:szCs w:val="18"/>
              </w:rPr>
              <w:t>、SS、氨氮）</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267" w:hRule="atLeast"/>
          <w:jc w:val="center"/>
        </w:trPr>
        <w:tc>
          <w:tcPr>
            <w:tcW w:w="230" w:type="pct"/>
            <w:vMerge w:val="continue"/>
            <w:tcBorders>
              <w:top w:val="single" w:color="auto" w:sz="4" w:space="0"/>
              <w:left w:val="nil"/>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p>
        </w:tc>
        <w:tc>
          <w:tcPr>
            <w:tcW w:w="510" w:type="pct"/>
            <w:tcBorders>
              <w:top w:val="single" w:color="auto" w:sz="4" w:space="0"/>
              <w:bottom w:val="single" w:color="auto" w:sz="4" w:space="0"/>
            </w:tcBorders>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污染物排放清单</w:t>
            </w:r>
          </w:p>
        </w:tc>
        <w:tc>
          <w:tcPr>
            <w:tcW w:w="4258" w:type="pct"/>
            <w:gridSpan w:val="12"/>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lang w:eastAsia="zh-CN"/>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67" w:hRule="atLeast"/>
          <w:jc w:val="center"/>
        </w:trPr>
        <w:tc>
          <w:tcPr>
            <w:tcW w:w="741" w:type="pct"/>
            <w:gridSpan w:val="2"/>
            <w:tcBorders>
              <w:top w:val="single" w:color="auto" w:sz="4" w:space="0"/>
              <w:left w:val="nil"/>
              <w:bottom w:val="single" w:color="auto" w:sz="4" w:space="0"/>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评价结论</w:t>
            </w:r>
          </w:p>
        </w:tc>
        <w:tc>
          <w:tcPr>
            <w:tcW w:w="4258" w:type="pct"/>
            <w:gridSpan w:val="12"/>
            <w:tcBorders>
              <w:top w:val="single" w:color="auto" w:sz="4" w:space="0"/>
              <w:bottom w:val="single" w:color="auto" w:sz="4"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 xml:space="preserve">可以接受 </w:t>
            </w:r>
            <w:r>
              <w:rPr>
                <w:rFonts w:hint="default" w:ascii="Times New Roman" w:hAnsi="Times New Roman" w:eastAsia="宋体" w:cs="Times New Roman"/>
                <w:color w:val="000000"/>
                <w:kern w:val="0"/>
                <w:sz w:val="18"/>
                <w:szCs w:val="18"/>
              </w:rPr>
              <w:sym w:font="Wingdings 2" w:char="0052"/>
            </w:r>
            <w:r>
              <w:rPr>
                <w:rFonts w:hint="default" w:ascii="Times New Roman" w:hAnsi="Times New Roman" w:eastAsia="宋体" w:cs="Times New Roman"/>
                <w:color w:val="000000"/>
                <w:kern w:val="0"/>
                <w:sz w:val="18"/>
                <w:szCs w:val="18"/>
              </w:rPr>
              <w:t>；不可以接受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19" w:hRule="atLeast"/>
          <w:jc w:val="center"/>
        </w:trPr>
        <w:tc>
          <w:tcPr>
            <w:tcW w:w="5000" w:type="pct"/>
            <w:gridSpan w:val="14"/>
            <w:tcBorders>
              <w:top w:val="single" w:color="auto" w:sz="4" w:space="0"/>
              <w:left w:val="nil"/>
              <w:bottom w:val="single" w:color="auto" w:sz="12" w:space="0"/>
              <w:right w:val="nil"/>
            </w:tcBorders>
            <w:noWrap/>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000000"/>
                <w:kern w:val="0"/>
                <w:sz w:val="18"/>
                <w:szCs w:val="18"/>
              </w:rPr>
            </w:pPr>
            <w:r>
              <w:rPr>
                <w:rFonts w:hint="default" w:ascii="Times New Roman" w:hAnsi="Times New Roman" w:eastAsia="宋体" w:cs="Times New Roman"/>
                <w:color w:val="000000"/>
                <w:kern w:val="0"/>
                <w:sz w:val="18"/>
                <w:szCs w:val="18"/>
              </w:rPr>
              <w:t>注：“□”为勾选项，可打√；“（   ）”为内容填写项；“备注”为其他补充内容。</w:t>
            </w:r>
          </w:p>
        </w:tc>
      </w:tr>
    </w:tbl>
    <w:p>
      <w:pPr>
        <w:pStyle w:val="6"/>
        <w:rPr>
          <w:rFonts w:hint="eastAsia"/>
        </w:rPr>
      </w:pPr>
      <w:r>
        <w:rPr>
          <w:rFonts w:hint="eastAsia"/>
          <w:lang w:eastAsia="zh-CN"/>
        </w:rPr>
        <w:t xml:space="preserve">地表水环境影响分析结论  </w:t>
      </w:r>
    </w:p>
    <w:p>
      <w:pPr>
        <w:keepNext/>
        <w:keepLines/>
        <w:pageBreakBefore w:val="0"/>
        <w:widowControl w:val="0"/>
        <w:numPr>
          <w:ilvl w:val="0"/>
          <w:numId w:val="0"/>
        </w:numPr>
        <w:tabs>
          <w:tab w:val="left" w:pos="0"/>
        </w:tabs>
        <w:kinsoku/>
        <w:wordWrap/>
        <w:overflowPunct/>
        <w:topLinePunct w:val="0"/>
        <w:autoSpaceDE/>
        <w:autoSpaceDN/>
        <w:bidi w:val="0"/>
        <w:adjustRightInd/>
        <w:snapToGrid/>
        <w:spacing w:line="360" w:lineRule="auto"/>
        <w:ind w:leftChars="0" w:firstLine="480" w:firstLineChars="200"/>
        <w:textAlignment w:val="auto"/>
        <w:outlineLvl w:val="9"/>
        <w:rPr>
          <w:rFonts w:hint="eastAsia"/>
          <w:sz w:val="24"/>
          <w:szCs w:val="24"/>
          <w:lang w:eastAsia="zh-CN"/>
        </w:rPr>
      </w:pPr>
      <w:r>
        <w:rPr>
          <w:rFonts w:hint="eastAsia"/>
          <w:sz w:val="24"/>
          <w:szCs w:val="24"/>
        </w:rPr>
        <w:t>本项目运营期主要废水为猪粪尿污水、猪舍冲洗废水及员工生活污水，</w:t>
      </w:r>
      <w:r>
        <w:rPr>
          <w:rFonts w:hint="eastAsia"/>
          <w:sz w:val="24"/>
          <w:szCs w:val="24"/>
          <w:lang w:val="en-US" w:eastAsia="zh-CN"/>
        </w:rPr>
        <w:t>本项目产生的生产废水与猪舍粪便一起经异位发酵床工艺处理后制成有机肥料外售，不外排。本项目产生的生活污水经地埋式一体化污水处理设施处理达到《畜禽养殖业污染物排放标准》（DB44/613-2009）中集约化畜禽养殖业水污染物最高允许日排放浓度和《农田灌溉水质标准》（GB5084-2005）旱作水质标准严者后全部回用于场内绿化和附近林地灌溉，不外排</w:t>
      </w:r>
      <w:r>
        <w:rPr>
          <w:rFonts w:hint="eastAsia"/>
          <w:sz w:val="24"/>
          <w:szCs w:val="24"/>
        </w:rPr>
        <w:t>。</w:t>
      </w:r>
      <w:r>
        <w:rPr>
          <w:rFonts w:hint="eastAsia"/>
          <w:sz w:val="24"/>
          <w:szCs w:val="24"/>
          <w:lang w:eastAsia="zh-CN"/>
        </w:rPr>
        <w:t>经上述处理后，项目生活污水对周边水体的影响处于可接受水平。</w:t>
      </w:r>
    </w:p>
    <w:p>
      <w:pPr>
        <w:pStyle w:val="5"/>
        <w:ind w:firstLine="562"/>
      </w:pPr>
      <w:r>
        <w:rPr>
          <w:rFonts w:hint="eastAsia"/>
          <w:lang w:val="en-US" w:eastAsia="zh-CN"/>
        </w:rPr>
        <w:t xml:space="preserve"> </w:t>
      </w:r>
      <w:r>
        <w:rPr>
          <w:rFonts w:hint="eastAsia"/>
          <w:lang w:eastAsia="zh-CN"/>
        </w:rPr>
        <w:t>营运期地下水环境影响分析</w:t>
      </w:r>
    </w:p>
    <w:p>
      <w:pPr>
        <w:pStyle w:val="8"/>
        <w:rPr>
          <w:rFonts w:hint="eastAsia"/>
          <w:szCs w:val="21"/>
        </w:rPr>
      </w:pPr>
      <w:r>
        <w:rPr>
          <w:rFonts w:hint="eastAsia"/>
          <w:szCs w:val="21"/>
        </w:rPr>
        <w:t>根据《环境影响评价技术导则 地下水环境》(HJ 610-2016)附表 A，本项目为“14、畜禽养殖场、养殖小区-年出栏生猪5000头及以上”，属于Ⅲ类项目，项目所在地为“北江韶关</w:t>
      </w:r>
      <w:r>
        <w:rPr>
          <w:rFonts w:hint="eastAsia"/>
          <w:szCs w:val="21"/>
          <w:lang w:eastAsia="zh-CN"/>
        </w:rPr>
        <w:t>仁化地下水水源涵养</w:t>
      </w:r>
      <w:r>
        <w:rPr>
          <w:rFonts w:hint="eastAsia"/>
          <w:szCs w:val="21"/>
        </w:rPr>
        <w:t>区”，属于不敏感地区。</w:t>
      </w:r>
    </w:p>
    <w:p>
      <w:pPr>
        <w:pStyle w:val="865"/>
        <w:adjustRightInd w:val="0"/>
        <w:snapToGrid w:val="0"/>
        <w:rPr>
          <w:rFonts w:hint="eastAsia" w:ascii="Times New Roman" w:hAnsi="Times New Roman" w:cs="Times New Roman"/>
          <w:b/>
          <w:kern w:val="2"/>
          <w:sz w:val="21"/>
          <w:szCs w:val="21"/>
          <w:lang w:bidi="th-TH"/>
        </w:rPr>
      </w:pPr>
      <w:r>
        <w:rPr>
          <w:rFonts w:hint="eastAsia" w:ascii="Times New Roman" w:hAnsi="Times New Roman" w:cs="Times New Roman"/>
          <w:b/>
          <w:kern w:val="2"/>
          <w:sz w:val="21"/>
          <w:szCs w:val="21"/>
          <w:lang w:bidi="th-TH"/>
        </w:rPr>
        <w:t>表</w:t>
      </w:r>
      <w:r>
        <w:rPr>
          <w:rFonts w:hint="eastAsia" w:cs="Times New Roman"/>
          <w:b/>
          <w:kern w:val="2"/>
          <w:sz w:val="21"/>
          <w:szCs w:val="21"/>
          <w:lang w:val="en-US" w:eastAsia="zh-CN" w:bidi="th-TH"/>
        </w:rPr>
        <w:t xml:space="preserve">5.2-14 </w:t>
      </w:r>
      <w:r>
        <w:rPr>
          <w:rFonts w:ascii="Times New Roman" w:hAnsi="Times New Roman" w:cs="Times New Roman"/>
          <w:b/>
          <w:kern w:val="2"/>
          <w:sz w:val="21"/>
          <w:szCs w:val="21"/>
          <w:lang w:bidi="th-TH"/>
        </w:rPr>
        <w:t xml:space="preserve"> </w:t>
      </w:r>
      <w:r>
        <w:rPr>
          <w:rFonts w:hint="eastAsia" w:ascii="Times New Roman" w:hAnsi="Times New Roman" w:cs="Times New Roman"/>
          <w:b/>
          <w:kern w:val="2"/>
          <w:sz w:val="21"/>
          <w:szCs w:val="21"/>
          <w:lang w:bidi="th-TH"/>
        </w:rPr>
        <w:t>地下水</w:t>
      </w:r>
      <w:r>
        <w:rPr>
          <w:rFonts w:hint="eastAsia" w:ascii="Times New Roman" w:hAnsi="Times New Roman" w:cs="Times New Roman"/>
          <w:b/>
          <w:kern w:val="2"/>
          <w:sz w:val="21"/>
          <w:szCs w:val="21"/>
          <w:lang w:eastAsia="zh-CN" w:bidi="th-TH"/>
        </w:rPr>
        <w:t>敏感程度</w:t>
      </w:r>
      <w:r>
        <w:rPr>
          <w:rFonts w:hint="eastAsia" w:ascii="Times New Roman" w:hAnsi="Times New Roman" w:cs="Times New Roman"/>
          <w:b/>
          <w:kern w:val="2"/>
          <w:sz w:val="21"/>
          <w:szCs w:val="21"/>
          <w:lang w:bidi="th-TH"/>
        </w:rPr>
        <w:t>分级表</w:t>
      </w:r>
    </w:p>
    <w:tbl>
      <w:tblPr>
        <w:tblStyle w:val="63"/>
        <w:tblW w:w="4999"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74"/>
        <w:gridCol w:w="863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43" w:type="pct"/>
            <w:tcBorders>
              <w:bottom w:val="single" w:color="auto" w:sz="12" w:space="0"/>
            </w:tcBorders>
            <w:noWrap w:val="0"/>
            <w:vAlign w:val="center"/>
          </w:tcPr>
          <w:p>
            <w:pPr>
              <w:adjustRightInd w:val="0"/>
              <w:snapToGrid w:val="0"/>
              <w:spacing w:line="240" w:lineRule="auto"/>
              <w:ind w:firstLine="0" w:firstLineChars="0"/>
              <w:jc w:val="center"/>
              <w:rPr>
                <w:rFonts w:hint="eastAsia" w:eastAsia="宋体"/>
              </w:rPr>
            </w:pPr>
            <w:r>
              <w:rPr>
                <w:rFonts w:hint="eastAsia" w:ascii="宋体" w:hAnsi="Calibri" w:eastAsia="宋体" w:cs="宋体"/>
                <w:kern w:val="0"/>
                <w:sz w:val="21"/>
                <w:szCs w:val="21"/>
              </w:rPr>
              <w:t>敏感程度</w:t>
            </w:r>
          </w:p>
        </w:tc>
        <w:tc>
          <w:tcPr>
            <w:tcW w:w="4356" w:type="pct"/>
            <w:tcBorders>
              <w:bottom w:val="single" w:color="auto" w:sz="12" w:space="0"/>
            </w:tcBorders>
            <w:noWrap w:val="0"/>
            <w:vAlign w:val="center"/>
          </w:tcPr>
          <w:p>
            <w:pPr>
              <w:adjustRightInd w:val="0"/>
              <w:snapToGrid w:val="0"/>
              <w:spacing w:line="240" w:lineRule="auto"/>
              <w:ind w:firstLine="0" w:firstLineChars="0"/>
              <w:jc w:val="center"/>
              <w:rPr>
                <w:rFonts w:hint="eastAsia" w:eastAsia="宋体"/>
              </w:rPr>
            </w:pPr>
            <w:r>
              <w:rPr>
                <w:rFonts w:hint="eastAsia" w:ascii="宋体" w:hAnsi="Calibri" w:eastAsia="宋体" w:cs="宋体"/>
                <w:kern w:val="0"/>
                <w:sz w:val="21"/>
                <w:szCs w:val="21"/>
              </w:rPr>
              <w:t>地下水环境敏感特征</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71" w:hRule="atLeast"/>
        </w:trPr>
        <w:tc>
          <w:tcPr>
            <w:tcW w:w="643" w:type="pct"/>
            <w:tcBorders>
              <w:top w:val="single" w:color="auto" w:sz="12" w:space="0"/>
            </w:tcBorders>
            <w:noWrap w:val="0"/>
            <w:vAlign w:val="center"/>
          </w:tcPr>
          <w:p>
            <w:pPr>
              <w:keepNext w:val="0"/>
              <w:keepLines w:val="0"/>
              <w:pageBreakBefore w:val="0"/>
              <w:widowControl w:val="0"/>
              <w:kinsoku/>
              <w:wordWrap/>
              <w:overflowPunct/>
              <w:topLinePunct w:val="0"/>
              <w:bidi w:val="0"/>
              <w:adjustRightInd w:val="0"/>
              <w:snapToGrid w:val="0"/>
              <w:spacing w:line="240" w:lineRule="atLeast"/>
              <w:ind w:firstLine="0" w:firstLineChars="0"/>
              <w:jc w:val="center"/>
              <w:textAlignment w:val="auto"/>
              <w:rPr>
                <w:rFonts w:hint="eastAsia" w:eastAsia="宋体"/>
              </w:rPr>
            </w:pPr>
            <w:r>
              <w:rPr>
                <w:rFonts w:hint="eastAsia" w:ascii="宋体" w:hAnsi="Calibri" w:eastAsia="宋体" w:cs="宋体"/>
                <w:kern w:val="0"/>
                <w:sz w:val="21"/>
                <w:szCs w:val="21"/>
              </w:rPr>
              <w:t>敏感</w:t>
            </w:r>
          </w:p>
        </w:tc>
        <w:tc>
          <w:tcPr>
            <w:tcW w:w="4356" w:type="pct"/>
            <w:tcBorders>
              <w:top w:val="single" w:color="auto" w:sz="12" w:space="0"/>
            </w:tcBorders>
            <w:noWrap w:val="0"/>
            <w:vAlign w:val="center"/>
          </w:tcPr>
          <w:p>
            <w:pPr>
              <w:keepNext w:val="0"/>
              <w:keepLines w:val="0"/>
              <w:pageBreakBefore w:val="0"/>
              <w:widowControl w:val="0"/>
              <w:kinsoku/>
              <w:wordWrap/>
              <w:overflowPunct/>
              <w:topLinePunct w:val="0"/>
              <w:autoSpaceDE w:val="0"/>
              <w:autoSpaceDN w:val="0"/>
              <w:bidi w:val="0"/>
              <w:adjustRightInd w:val="0"/>
              <w:spacing w:line="240" w:lineRule="atLeast"/>
              <w:ind w:firstLine="0" w:firstLineChars="0"/>
              <w:jc w:val="center"/>
              <w:textAlignment w:val="auto"/>
              <w:rPr>
                <w:rFonts w:hint="eastAsia" w:eastAsia="宋体"/>
              </w:rPr>
            </w:pPr>
            <w:r>
              <w:rPr>
                <w:rFonts w:hint="eastAsia" w:ascii="宋体" w:hAnsi="Calibri" w:eastAsia="宋体" w:cs="宋体"/>
                <w:kern w:val="0"/>
                <w:sz w:val="21"/>
                <w:szCs w:val="21"/>
              </w:rPr>
              <w:t>集中式饮用水水源（包括已建成的在用、备用、应急水源，在建和规划的饮用水水源）准保护区；除集中式饮用水水源以外的国家或地方政府设定的与地下水环境相关的其它保护区，如热水、矿泉水、温泉等特殊地下水资源保护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83" w:hRule="atLeast"/>
        </w:trPr>
        <w:tc>
          <w:tcPr>
            <w:tcW w:w="643" w:type="pct"/>
            <w:noWrap w:val="0"/>
            <w:vAlign w:val="center"/>
          </w:tcPr>
          <w:p>
            <w:pPr>
              <w:keepNext w:val="0"/>
              <w:keepLines w:val="0"/>
              <w:pageBreakBefore w:val="0"/>
              <w:widowControl w:val="0"/>
              <w:kinsoku/>
              <w:wordWrap/>
              <w:overflowPunct/>
              <w:topLinePunct w:val="0"/>
              <w:bidi w:val="0"/>
              <w:adjustRightInd w:val="0"/>
              <w:snapToGrid w:val="0"/>
              <w:spacing w:line="240" w:lineRule="atLeast"/>
              <w:ind w:firstLine="0" w:firstLineChars="0"/>
              <w:jc w:val="center"/>
              <w:textAlignment w:val="auto"/>
              <w:rPr>
                <w:rFonts w:hint="eastAsia" w:eastAsia="宋体"/>
              </w:rPr>
            </w:pPr>
            <w:r>
              <w:rPr>
                <w:rFonts w:hint="eastAsia" w:ascii="宋体" w:hAnsi="Calibri" w:eastAsia="宋体" w:cs="宋体"/>
                <w:kern w:val="0"/>
                <w:sz w:val="21"/>
                <w:szCs w:val="21"/>
              </w:rPr>
              <w:t>较敏感</w:t>
            </w:r>
          </w:p>
        </w:tc>
        <w:tc>
          <w:tcPr>
            <w:tcW w:w="4356" w:type="pct"/>
            <w:noWrap w:val="0"/>
            <w:vAlign w:val="center"/>
          </w:tcPr>
          <w:p>
            <w:pPr>
              <w:keepNext w:val="0"/>
              <w:keepLines w:val="0"/>
              <w:pageBreakBefore w:val="0"/>
              <w:widowControl w:val="0"/>
              <w:kinsoku/>
              <w:wordWrap/>
              <w:overflowPunct/>
              <w:topLinePunct w:val="0"/>
              <w:autoSpaceDE w:val="0"/>
              <w:autoSpaceDN w:val="0"/>
              <w:bidi w:val="0"/>
              <w:adjustRightInd w:val="0"/>
              <w:spacing w:line="240" w:lineRule="atLeast"/>
              <w:ind w:firstLine="0" w:firstLineChars="0"/>
              <w:jc w:val="center"/>
              <w:textAlignment w:val="auto"/>
              <w:rPr>
                <w:rFonts w:hint="eastAsia" w:eastAsia="宋体"/>
              </w:rPr>
            </w:pPr>
            <w:r>
              <w:rPr>
                <w:rFonts w:hint="eastAsia" w:ascii="宋体" w:hAnsi="Calibri" w:eastAsia="宋体" w:cs="宋体"/>
                <w:kern w:val="0"/>
                <w:sz w:val="21"/>
                <w:szCs w:val="21"/>
              </w:rPr>
              <w:t>集中式饮用水水源（包括已建成的在用、备用、应急水源，在建和规划的饮用水水源）准保护区以外的补给径流区；未划定准保护区的集中水式饮用水水源，其保护区以外的补给径流区；分散式饮用水水源地；特殊地下水资源（如矿泉水、温泉等）保护区以外的分布区等其他未列入上述敏感分级的环境敏感区</w:t>
            </w:r>
            <w:r>
              <w:rPr>
                <w:rFonts w:eastAsia="宋体"/>
                <w:kern w:val="0"/>
                <w:sz w:val="21"/>
                <w:szCs w:val="21"/>
              </w:rPr>
              <w:t>a</w:t>
            </w:r>
            <w:r>
              <w:rPr>
                <w:rFonts w:hint="eastAsia" w:ascii="宋体" w:hAnsi="Calibri" w:eastAsia="宋体" w:cs="宋体"/>
                <w:kern w:val="0"/>
                <w:sz w:val="21"/>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43" w:type="pct"/>
            <w:noWrap w:val="0"/>
            <w:vAlign w:val="center"/>
          </w:tcPr>
          <w:p>
            <w:pPr>
              <w:adjustRightInd w:val="0"/>
              <w:snapToGrid w:val="0"/>
              <w:spacing w:line="240" w:lineRule="auto"/>
              <w:ind w:firstLine="0" w:firstLineChars="0"/>
              <w:jc w:val="center"/>
              <w:rPr>
                <w:rFonts w:hint="eastAsia" w:eastAsia="宋体"/>
              </w:rPr>
            </w:pPr>
            <w:r>
              <w:rPr>
                <w:rFonts w:hint="eastAsia" w:ascii="宋体" w:hAnsi="Calibri" w:eastAsia="宋体" w:cs="宋体"/>
                <w:kern w:val="0"/>
                <w:sz w:val="21"/>
                <w:szCs w:val="21"/>
              </w:rPr>
              <w:t>不敏感</w:t>
            </w:r>
          </w:p>
        </w:tc>
        <w:tc>
          <w:tcPr>
            <w:tcW w:w="4356" w:type="pct"/>
            <w:noWrap w:val="0"/>
            <w:vAlign w:val="center"/>
          </w:tcPr>
          <w:p>
            <w:pPr>
              <w:adjustRightInd w:val="0"/>
              <w:snapToGrid w:val="0"/>
              <w:spacing w:line="240" w:lineRule="auto"/>
              <w:ind w:firstLine="0" w:firstLineChars="0"/>
              <w:jc w:val="center"/>
              <w:rPr>
                <w:rFonts w:hint="eastAsia" w:eastAsia="宋体"/>
              </w:rPr>
            </w:pPr>
            <w:r>
              <w:rPr>
                <w:rFonts w:hint="eastAsia" w:ascii="宋体" w:hAnsi="Calibri" w:eastAsia="宋体" w:cs="宋体"/>
                <w:kern w:val="0"/>
                <w:sz w:val="21"/>
                <w:szCs w:val="21"/>
              </w:rPr>
              <w:t>上述地区之外的其它地区。</w:t>
            </w:r>
          </w:p>
        </w:tc>
      </w:tr>
    </w:tbl>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textAlignment w:val="auto"/>
        <w:rPr>
          <w:rFonts w:hint="eastAsia"/>
          <w:sz w:val="15"/>
          <w:szCs w:val="15"/>
        </w:rPr>
      </w:pPr>
      <w:r>
        <w:rPr>
          <w:rFonts w:hint="eastAsia" w:ascii="宋体" w:hAnsi="Calibri" w:eastAsia="宋体" w:cs="宋体"/>
          <w:b/>
          <w:bCs/>
          <w:kern w:val="0"/>
          <w:sz w:val="15"/>
          <w:szCs w:val="15"/>
        </w:rPr>
        <w:t>注：</w:t>
      </w:r>
      <w:r>
        <w:rPr>
          <w:rFonts w:eastAsia="宋体"/>
          <w:b/>
          <w:bCs/>
          <w:kern w:val="0"/>
          <w:sz w:val="15"/>
          <w:szCs w:val="15"/>
        </w:rPr>
        <w:t>a</w:t>
      </w:r>
      <w:r>
        <w:rPr>
          <w:rFonts w:hint="eastAsia" w:ascii="宋体" w:hAnsi="Calibri" w:eastAsia="宋体" w:cs="宋体"/>
          <w:b/>
          <w:bCs/>
          <w:kern w:val="0"/>
          <w:sz w:val="15"/>
          <w:szCs w:val="15"/>
        </w:rPr>
        <w:t>“环境敏感区”是指《建设项目环境影响评价分类管理名录》中所界定的涉及地下水的环境敏感区</w:t>
      </w:r>
      <w:r>
        <w:rPr>
          <w:rFonts w:hint="eastAsia" w:ascii="宋体" w:hAnsi="Calibri" w:eastAsia="宋体" w:cs="宋体"/>
          <w:kern w:val="0"/>
          <w:sz w:val="15"/>
          <w:szCs w:val="15"/>
        </w:rPr>
        <w:t>。</w:t>
      </w:r>
    </w:p>
    <w:p>
      <w:pPr>
        <w:pStyle w:val="865"/>
        <w:adjustRightInd w:val="0"/>
        <w:snapToGrid w:val="0"/>
        <w:rPr>
          <w:rFonts w:hint="eastAsia" w:ascii="Times New Roman" w:hAnsi="Times New Roman" w:cs="Times New Roman"/>
          <w:b/>
          <w:kern w:val="2"/>
          <w:sz w:val="21"/>
          <w:szCs w:val="21"/>
          <w:lang w:bidi="th-TH"/>
        </w:rPr>
      </w:pPr>
      <w:r>
        <w:rPr>
          <w:rFonts w:hint="eastAsia" w:ascii="Times New Roman" w:hAnsi="Times New Roman" w:cs="Times New Roman"/>
          <w:b/>
          <w:kern w:val="2"/>
          <w:sz w:val="21"/>
          <w:szCs w:val="21"/>
          <w:lang w:bidi="th-TH"/>
        </w:rPr>
        <w:t>表</w:t>
      </w:r>
      <w:r>
        <w:rPr>
          <w:rFonts w:hint="eastAsia" w:cs="Times New Roman"/>
          <w:b/>
          <w:kern w:val="2"/>
          <w:sz w:val="21"/>
          <w:szCs w:val="21"/>
          <w:lang w:val="en-US" w:eastAsia="zh-CN" w:bidi="th-TH"/>
        </w:rPr>
        <w:t>5.2-15</w:t>
      </w:r>
      <w:r>
        <w:rPr>
          <w:rFonts w:ascii="Times New Roman" w:hAnsi="Times New Roman" w:cs="Times New Roman"/>
          <w:b/>
          <w:kern w:val="2"/>
          <w:sz w:val="21"/>
          <w:szCs w:val="21"/>
          <w:lang w:bidi="th-TH"/>
        </w:rPr>
        <w:t xml:space="preserve"> </w:t>
      </w:r>
      <w:r>
        <w:rPr>
          <w:rFonts w:hint="eastAsia" w:ascii="Times New Roman" w:hAnsi="Times New Roman" w:cs="Times New Roman"/>
          <w:b/>
          <w:kern w:val="2"/>
          <w:sz w:val="21"/>
          <w:szCs w:val="21"/>
          <w:lang w:bidi="th-TH"/>
        </w:rPr>
        <w:t>地下水评价工作等级分级表</w:t>
      </w:r>
    </w:p>
    <w:tbl>
      <w:tblPr>
        <w:tblStyle w:val="64"/>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74"/>
        <w:gridCol w:w="2474"/>
        <w:gridCol w:w="2477"/>
        <w:gridCol w:w="24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pct"/>
            <w:tcBorders>
              <w:top w:val="single" w:color="auto" w:sz="12" w:space="0"/>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val="en-US" w:eastAsia="zh-CN"/>
              </w:rPr>
              <w:t xml:space="preserve">       </w:t>
            </w:r>
            <w:r>
              <w:rPr>
                <w:rFonts w:hint="eastAsia"/>
                <w:sz w:val="21"/>
                <w:szCs w:val="21"/>
                <w:vertAlign w:val="baseline"/>
                <w:lang w:eastAsia="zh-CN"/>
              </w:rPr>
              <w:t>项目类型</w:t>
            </w:r>
          </w:p>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both"/>
              <w:textAlignment w:val="auto"/>
              <w:rPr>
                <w:rFonts w:hint="eastAsia"/>
                <w:sz w:val="21"/>
                <w:szCs w:val="21"/>
                <w:vertAlign w:val="baseline"/>
              </w:rPr>
            </w:pPr>
            <w:r>
              <w:rPr>
                <w:sz w:val="21"/>
                <w:szCs w:val="21"/>
              </w:rPr>
              <mc:AlternateContent>
                <mc:Choice Requires="wps">
                  <w:drawing>
                    <wp:anchor distT="0" distB="0" distL="114300" distR="114300" simplePos="0" relativeHeight="255546368" behindDoc="0" locked="0" layoutInCell="1" allowOverlap="1">
                      <wp:simplePos x="0" y="0"/>
                      <wp:positionH relativeFrom="column">
                        <wp:posOffset>-39370</wp:posOffset>
                      </wp:positionH>
                      <wp:positionV relativeFrom="paragraph">
                        <wp:posOffset>-174625</wp:posOffset>
                      </wp:positionV>
                      <wp:extent cx="1352550" cy="350520"/>
                      <wp:effectExtent l="1270" t="4445" r="2540" b="10795"/>
                      <wp:wrapNone/>
                      <wp:docPr id="30" name="直接连接符 30"/>
                      <wp:cNvGraphicFramePr/>
                      <a:graphic xmlns:a="http://schemas.openxmlformats.org/drawingml/2006/main">
                        <a:graphicData uri="http://schemas.microsoft.com/office/word/2010/wordprocessingShape">
                          <wps:wsp>
                            <wps:cNvCnPr/>
                            <wps:spPr>
                              <a:xfrm>
                                <a:off x="1132205" y="3689985"/>
                                <a:ext cx="1352550" cy="35052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3.1pt;margin-top:-13.75pt;height:27.6pt;width:106.5pt;z-index:255546368;mso-width-relative:page;mso-height-relative:page;" filled="f" stroked="t" coordsize="21600,21600" o:gfxdata="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BYAAABkcnMvUEsBAhQAFAAAAAgAh07i&#10;QJEq/TLXAAAACQEAAA8AAAAAAAAAAQAgAAAAOAAAAGRycy9kb3ducmV2LnhtbFBLAQIUABQAAAAI&#10;AIdO4kCPbgCs2AEAAHYDAAAOAAAAAAAAAAEAIAAAADwBAABkcnMvZTJvRG9jLnhtbFBLBQYAAAAA&#10;BgAGAFkBAACGBQAAAAA=&#10;">
                      <v:fill on="f" focussize="0,0"/>
                      <v:stroke weight="0.5pt" color="#000000 [3213]" miterlimit="8" joinstyle="miter"/>
                      <v:imagedata o:title=""/>
                      <o:lock v:ext="edit" aspectratio="f"/>
                    </v:line>
                  </w:pict>
                </mc:Fallback>
              </mc:AlternateContent>
            </w:r>
            <w:r>
              <w:rPr>
                <w:rFonts w:hint="eastAsia"/>
                <w:sz w:val="21"/>
                <w:szCs w:val="21"/>
                <w:vertAlign w:val="baseline"/>
                <w:lang w:eastAsia="zh-CN"/>
              </w:rPr>
              <w:t>环境敏感程度</w:t>
            </w:r>
          </w:p>
        </w:tc>
        <w:tc>
          <w:tcPr>
            <w:tcW w:w="1249" w:type="pct"/>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Ⅰ类项目</w:t>
            </w:r>
          </w:p>
        </w:tc>
        <w:tc>
          <w:tcPr>
            <w:tcW w:w="1250" w:type="pct"/>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Ⅱ类项目</w:t>
            </w:r>
          </w:p>
        </w:tc>
        <w:tc>
          <w:tcPr>
            <w:tcW w:w="1250" w:type="pct"/>
            <w:tcBorders>
              <w:top w:val="single" w:color="auto" w:sz="12" w:space="0"/>
              <w:bottom w:val="single" w:color="auto" w:sz="12" w:space="0"/>
              <w:right w:val="nil"/>
            </w:tcBorders>
            <w:shd w:val="clear" w:color="auto" w:fill="BEBEBE" w:themeFill="background1" w:themeFillShade="BF"/>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Ⅲ类项目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pct"/>
            <w:tcBorders>
              <w:top w:val="single" w:color="auto" w:sz="12" w:space="0"/>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敏感</w:t>
            </w:r>
          </w:p>
        </w:tc>
        <w:tc>
          <w:tcPr>
            <w:tcW w:w="1249" w:type="pct"/>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一</w:t>
            </w:r>
          </w:p>
        </w:tc>
        <w:tc>
          <w:tcPr>
            <w:tcW w:w="1250" w:type="pct"/>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一</w:t>
            </w:r>
          </w:p>
        </w:tc>
        <w:tc>
          <w:tcPr>
            <w:tcW w:w="1250" w:type="pct"/>
            <w:tcBorders>
              <w:top w:val="single" w:color="auto" w:sz="12" w:space="0"/>
              <w:right w:val="nil"/>
            </w:tcBorders>
            <w:shd w:val="clear" w:color="auto" w:fill="BEBEBE" w:themeFill="background1" w:themeFillShade="BF"/>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pc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较敏感</w:t>
            </w:r>
          </w:p>
        </w:tc>
        <w:tc>
          <w:tcPr>
            <w:tcW w:w="1249"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一</w:t>
            </w:r>
          </w:p>
        </w:tc>
        <w:tc>
          <w:tcPr>
            <w:tcW w:w="1250" w:type="pct"/>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二</w:t>
            </w:r>
          </w:p>
        </w:tc>
        <w:tc>
          <w:tcPr>
            <w:tcW w:w="1250" w:type="pct"/>
            <w:tcBorders>
              <w:right w:val="nil"/>
            </w:tcBorders>
            <w:shd w:val="clear" w:color="auto" w:fill="BEBEBE" w:themeFill="background1" w:themeFillShade="BF"/>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49" w:type="pct"/>
            <w:tcBorders>
              <w:left w:val="nil"/>
              <w:bottom w:val="single" w:color="auto" w:sz="12" w:space="0"/>
            </w:tcBorders>
            <w:shd w:val="clear" w:color="auto" w:fill="BEBEBE" w:themeFill="background1" w:themeFillShade="BF"/>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不敏感</w:t>
            </w:r>
          </w:p>
        </w:tc>
        <w:tc>
          <w:tcPr>
            <w:tcW w:w="1249" w:type="pct"/>
            <w:tcBorders>
              <w:bottom w:val="single" w:color="auto" w:sz="12" w:space="0"/>
            </w:tcBorders>
            <w:shd w:val="clear" w:color="auto" w:fill="BEBEBE" w:themeFill="background1" w:themeFillShade="BF"/>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二</w:t>
            </w:r>
          </w:p>
        </w:tc>
        <w:tc>
          <w:tcPr>
            <w:tcW w:w="1250" w:type="pct"/>
            <w:tcBorders>
              <w:bottom w:val="single" w:color="auto" w:sz="12" w:space="0"/>
            </w:tcBorders>
            <w:shd w:val="clear" w:color="auto" w:fill="BEBEBE" w:themeFill="background1" w:themeFillShade="BF"/>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eastAsia="zh-CN"/>
              </w:rPr>
              <w:t>三</w:t>
            </w:r>
          </w:p>
        </w:tc>
        <w:tc>
          <w:tcPr>
            <w:tcW w:w="1250" w:type="pct"/>
            <w:tcBorders>
              <w:bottom w:val="single" w:color="auto" w:sz="12" w:space="0"/>
              <w:right w:val="nil"/>
            </w:tcBorders>
            <w:shd w:val="clear" w:color="auto" w:fill="BEBEBE" w:themeFill="background1" w:themeFillShade="BF"/>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三</w:t>
            </w:r>
          </w:p>
        </w:tc>
      </w:tr>
    </w:tbl>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eastAsia"/>
          <w:szCs w:val="21"/>
        </w:rPr>
      </w:pPr>
      <w:r>
        <w:rPr>
          <w:rFonts w:hint="eastAsia"/>
          <w:szCs w:val="21"/>
          <w:lang w:eastAsia="zh-CN"/>
        </w:rPr>
        <w:t>因此，</w:t>
      </w:r>
      <w:r>
        <w:rPr>
          <w:rFonts w:hint="eastAsia"/>
          <w:szCs w:val="21"/>
        </w:rPr>
        <w:t>对照表</w:t>
      </w:r>
      <w:r>
        <w:rPr>
          <w:rFonts w:hint="eastAsia"/>
          <w:szCs w:val="21"/>
          <w:lang w:val="en-US" w:eastAsia="zh-CN"/>
        </w:rPr>
        <w:t>5.2-15</w:t>
      </w:r>
      <w:r>
        <w:rPr>
          <w:rFonts w:hint="eastAsia"/>
          <w:szCs w:val="21"/>
        </w:rPr>
        <w:t>判别，项目的地下水环境敏感程度为不敏感，因此确定本项目地下水环境影响评价等级为三级。</w:t>
      </w:r>
    </w:p>
    <w:p>
      <w:pPr>
        <w:pStyle w:val="8"/>
        <w:keepNext w:val="0"/>
        <w:keepLines w:val="0"/>
        <w:pageBreakBefore w:val="0"/>
        <w:widowControl w:val="0"/>
        <w:kinsoku/>
        <w:wordWrap/>
        <w:overflowPunct/>
        <w:topLinePunct w:val="0"/>
        <w:autoSpaceDE w:val="0"/>
        <w:autoSpaceDN w:val="0"/>
        <w:bidi w:val="0"/>
        <w:adjustRightInd/>
        <w:snapToGrid/>
        <w:textAlignment w:val="auto"/>
        <w:rPr>
          <w:rFonts w:hint="eastAsia"/>
          <w:lang w:eastAsia="zh-CN"/>
        </w:rPr>
      </w:pPr>
    </w:p>
    <w:p>
      <w:pPr>
        <w:pStyle w:val="8"/>
        <w:keepNext w:val="0"/>
        <w:keepLines w:val="0"/>
        <w:pageBreakBefore w:val="0"/>
        <w:widowControl w:val="0"/>
        <w:kinsoku/>
        <w:wordWrap/>
        <w:overflowPunct/>
        <w:topLinePunct w:val="0"/>
        <w:autoSpaceDE w:val="0"/>
        <w:autoSpaceDN w:val="0"/>
        <w:bidi w:val="0"/>
        <w:adjustRightInd/>
        <w:snapToGrid/>
        <w:textAlignment w:val="auto"/>
        <w:rPr>
          <w:rFonts w:hint="eastAsia"/>
          <w:lang w:eastAsia="zh-CN"/>
        </w:rPr>
      </w:pPr>
    </w:p>
    <w:p>
      <w:pPr>
        <w:pStyle w:val="8"/>
        <w:keepNext w:val="0"/>
        <w:keepLines w:val="0"/>
        <w:pageBreakBefore w:val="0"/>
        <w:widowControl w:val="0"/>
        <w:kinsoku/>
        <w:wordWrap/>
        <w:overflowPunct/>
        <w:topLinePunct w:val="0"/>
        <w:autoSpaceDE w:val="0"/>
        <w:autoSpaceDN w:val="0"/>
        <w:bidi w:val="0"/>
        <w:adjustRightInd/>
        <w:snapToGrid/>
        <w:textAlignment w:val="auto"/>
        <w:rPr>
          <w:rFonts w:hint="eastAsia"/>
          <w:lang w:eastAsia="zh-CN"/>
        </w:rPr>
      </w:pPr>
    </w:p>
    <w:p>
      <w:pPr>
        <w:pStyle w:val="6"/>
        <w:rPr>
          <w:rFonts w:hint="eastAsia"/>
        </w:rPr>
      </w:pPr>
      <w:r>
        <w:rPr>
          <w:rFonts w:hint="eastAsia"/>
          <w:lang w:eastAsia="zh-CN"/>
        </w:rPr>
        <w:t>水文地质情况</w:t>
      </w:r>
    </w:p>
    <w:p>
      <w:pPr>
        <w:pStyle w:val="8"/>
        <w:keepNext w:val="0"/>
        <w:keepLines w:val="0"/>
        <w:pageBreakBefore w:val="0"/>
        <w:widowControl w:val="0"/>
        <w:kinsoku/>
        <w:wordWrap/>
        <w:overflowPunct/>
        <w:topLinePunct w:val="0"/>
        <w:autoSpaceDE w:val="0"/>
        <w:autoSpaceDN w:val="0"/>
        <w:bidi w:val="0"/>
        <w:adjustRightInd/>
        <w:snapToGrid/>
        <w:textAlignment w:val="auto"/>
        <w:rPr>
          <w:rFonts w:hint="default"/>
          <w:lang w:eastAsia="zh-CN"/>
        </w:rPr>
      </w:pPr>
      <w:r>
        <w:rPr>
          <w:rFonts w:hint="default"/>
          <w:lang w:eastAsia="zh-CN"/>
        </w:rPr>
        <w:t>项目场地属为浅海相砂泥质碎屑岩建造，与下伏桂头组为连续过渡沉积。其岩性：底部为灰绿色砂砾岩，向上渐变为中粒石英砂岩；中上部为灰、黄、灰绿色千枚状页岩、砂质页岩夹紫红色砂岩，厚度100米～150米。</w:t>
      </w:r>
    </w:p>
    <w:p>
      <w:pPr>
        <w:pStyle w:val="8"/>
        <w:keepNext w:val="0"/>
        <w:keepLines w:val="0"/>
        <w:pageBreakBefore w:val="0"/>
        <w:widowControl w:val="0"/>
        <w:kinsoku/>
        <w:wordWrap/>
        <w:overflowPunct/>
        <w:topLinePunct w:val="0"/>
        <w:autoSpaceDE w:val="0"/>
        <w:autoSpaceDN w:val="0"/>
        <w:bidi w:val="0"/>
        <w:adjustRightInd/>
        <w:snapToGrid/>
        <w:textAlignment w:val="auto"/>
        <w:rPr>
          <w:rFonts w:hint="default"/>
          <w:lang w:eastAsia="zh-CN"/>
        </w:rPr>
      </w:pPr>
      <w:r>
        <w:rPr>
          <w:rFonts w:hint="default"/>
          <w:lang w:eastAsia="zh-CN"/>
        </w:rPr>
        <w:t>项目所在区域属于北江韶关仁化地下水水源涵养区，地下水类型为裂隙水、，地下水水质类别为Ⅲ类，</w:t>
      </w:r>
      <w:r>
        <w:rPr>
          <w:rFonts w:hint="eastAsia"/>
          <w:lang w:eastAsia="zh-CN"/>
        </w:rPr>
        <w:t>水量贫乏：地下径流模</w:t>
      </w:r>
      <w:r>
        <w:rPr>
          <w:rFonts w:hint="default" w:ascii="Times New Roman" w:hAnsi="Times New Roman" w:cs="Times New Roman"/>
          <w:lang w:eastAsia="zh-CN"/>
        </w:rPr>
        <w:t>数</w:t>
      </w:r>
      <w:r>
        <w:rPr>
          <w:rFonts w:hint="default" w:ascii="Times New Roman" w:hAnsi="Times New Roman" w:cs="Times New Roman"/>
          <w:lang w:val="en-US" w:eastAsia="zh-CN"/>
        </w:rPr>
        <w:t>3~6L/S·km</w:t>
      </w:r>
      <w:r>
        <w:rPr>
          <w:rFonts w:hint="default" w:ascii="Times New Roman" w:hAnsi="Times New Roman" w:cs="Times New Roman"/>
          <w:vertAlign w:val="superscript"/>
          <w:lang w:val="en-US" w:eastAsia="zh-CN"/>
        </w:rPr>
        <w:t>2</w:t>
      </w:r>
      <w:r>
        <w:rPr>
          <w:rFonts w:hint="eastAsia"/>
          <w:lang w:val="en-US" w:eastAsia="zh-CN"/>
        </w:rPr>
        <w:t>，泉水流量小于0.1L/S</w:t>
      </w:r>
      <w:r>
        <w:rPr>
          <w:rFonts w:hint="default"/>
          <w:lang w:eastAsia="zh-CN"/>
        </w:rPr>
        <w:t>。</w:t>
      </w:r>
    </w:p>
    <w:p>
      <w:pPr>
        <w:pStyle w:val="6"/>
        <w:rPr>
          <w:rFonts w:hint="eastAsia"/>
        </w:rPr>
      </w:pPr>
      <w:r>
        <w:rPr>
          <w:rFonts w:hint="eastAsia"/>
          <w:lang w:eastAsia="zh-CN"/>
        </w:rPr>
        <w:t>地下水资源开发利用现状</w:t>
      </w:r>
    </w:p>
    <w:p>
      <w:pPr>
        <w:pStyle w:val="8"/>
        <w:keepNext w:val="0"/>
        <w:keepLines w:val="0"/>
        <w:pageBreakBefore w:val="0"/>
        <w:widowControl w:val="0"/>
        <w:kinsoku/>
        <w:wordWrap/>
        <w:overflowPunct/>
        <w:topLinePunct w:val="0"/>
        <w:autoSpaceDE w:val="0"/>
        <w:autoSpaceDN w:val="0"/>
        <w:bidi w:val="0"/>
        <w:adjustRightInd/>
        <w:snapToGrid/>
        <w:textAlignment w:val="auto"/>
        <w:rPr>
          <w:rFonts w:hint="default"/>
          <w:lang w:eastAsia="zh-CN"/>
        </w:rPr>
      </w:pPr>
      <w:r>
        <w:rPr>
          <w:rFonts w:hint="eastAsia"/>
          <w:lang w:eastAsia="zh-CN"/>
        </w:rPr>
        <w:t>本项目附近区域目前无集中地下水取供水设施，未大规模开采地下水资源，仅有少量分散式的农村居民自备水井。项目选址附近的居民点生活用水以山溪水为主，少量取自自备水井水。根据调查，目前项目附近部分自然村已经铺设了自来水管道，随着当地城镇化的推进以及本项目的建设，项目周边的农村居民点逐步实现市政供自来水。</w:t>
      </w:r>
    </w:p>
    <w:p>
      <w:pPr>
        <w:pStyle w:val="8"/>
        <w:keepNext w:val="0"/>
        <w:keepLines w:val="0"/>
        <w:pageBreakBefore w:val="0"/>
        <w:widowControl w:val="0"/>
        <w:kinsoku/>
        <w:wordWrap/>
        <w:overflowPunct/>
        <w:topLinePunct w:val="0"/>
        <w:autoSpaceDE w:val="0"/>
        <w:autoSpaceDN w:val="0"/>
        <w:bidi w:val="0"/>
        <w:adjustRightInd/>
        <w:snapToGrid/>
        <w:textAlignment w:val="auto"/>
        <w:rPr>
          <w:rFonts w:hint="default" w:eastAsia="宋体"/>
          <w:lang w:val="en-US" w:eastAsia="zh-CN"/>
        </w:rPr>
      </w:pPr>
      <w:r>
        <w:rPr>
          <w:rFonts w:hint="eastAsia"/>
          <w:lang w:eastAsia="zh-CN"/>
        </w:rPr>
        <w:t>根据《广东省地下水功能区划》（</w:t>
      </w:r>
      <w:r>
        <w:rPr>
          <w:rFonts w:hint="eastAsia"/>
          <w:lang w:val="en-US" w:eastAsia="zh-CN"/>
        </w:rPr>
        <w:t>2009年</w:t>
      </w:r>
      <w:r>
        <w:rPr>
          <w:rFonts w:hint="eastAsia"/>
          <w:lang w:eastAsia="zh-CN"/>
        </w:rPr>
        <w:t>），该区域地下水保护目前控制水质类别为</w:t>
      </w:r>
      <w:r>
        <w:rPr>
          <w:rFonts w:hint="eastAsia"/>
          <w:highlight w:val="none"/>
        </w:rPr>
        <w:t>Ⅲ类</w:t>
      </w:r>
      <w:r>
        <w:rPr>
          <w:rFonts w:hint="eastAsia"/>
          <w:highlight w:val="none"/>
          <w:lang w:eastAsia="zh-CN"/>
        </w:rPr>
        <w:t>，开采水位降控制在</w:t>
      </w:r>
      <w:r>
        <w:rPr>
          <w:rFonts w:hint="eastAsia"/>
          <w:highlight w:val="none"/>
          <w:lang w:val="en-US" w:eastAsia="zh-CN"/>
        </w:rPr>
        <w:t>5-8米。</w:t>
      </w:r>
    </w:p>
    <w:p>
      <w:pPr>
        <w:pStyle w:val="6"/>
        <w:rPr>
          <w:rFonts w:hint="eastAsia"/>
        </w:rPr>
      </w:pPr>
      <w:r>
        <w:rPr>
          <w:rFonts w:hint="eastAsia"/>
          <w:lang w:eastAsia="zh-CN"/>
        </w:rPr>
        <w:t>污染源调查</w:t>
      </w:r>
    </w:p>
    <w:p>
      <w:pPr>
        <w:pStyle w:val="8"/>
        <w:rPr>
          <w:rFonts w:hint="eastAsia"/>
          <w:lang w:eastAsia="zh-CN"/>
        </w:rPr>
      </w:pPr>
      <w:r>
        <w:rPr>
          <w:rFonts w:hint="eastAsia"/>
          <w:lang w:eastAsia="zh-CN"/>
        </w:rPr>
        <w:t>本项目地处农村，区域没有工业污染源存在，区域污染源主要为农村面源污染，主要为农田中使用化肥和农药，生活污水无组织排放。</w:t>
      </w:r>
    </w:p>
    <w:p>
      <w:pPr>
        <w:pStyle w:val="6"/>
        <w:rPr>
          <w:rFonts w:hint="eastAsia"/>
        </w:rPr>
      </w:pPr>
      <w:r>
        <w:rPr>
          <w:rFonts w:hint="eastAsia"/>
          <w:lang w:eastAsia="zh-CN"/>
        </w:rPr>
        <w:t>本项目对地下水环境影响</w:t>
      </w:r>
    </w:p>
    <w:p>
      <w:pPr>
        <w:pStyle w:val="8"/>
        <w:rPr>
          <w:rFonts w:hint="eastAsia"/>
          <w:b/>
          <w:bCs/>
          <w:lang w:eastAsia="zh-CN"/>
        </w:rPr>
      </w:pPr>
      <w:r>
        <w:rPr>
          <w:rFonts w:hint="eastAsia"/>
          <w:b/>
          <w:bCs/>
          <w:lang w:eastAsia="zh-CN"/>
        </w:rPr>
        <w:t>（</w:t>
      </w:r>
      <w:r>
        <w:rPr>
          <w:rFonts w:hint="eastAsia"/>
          <w:b/>
          <w:bCs/>
          <w:lang w:val="en-US" w:eastAsia="zh-CN"/>
        </w:rPr>
        <w:t>1</w:t>
      </w:r>
      <w:r>
        <w:rPr>
          <w:rFonts w:hint="eastAsia"/>
          <w:b/>
          <w:bCs/>
          <w:lang w:eastAsia="zh-CN"/>
        </w:rPr>
        <w:t>）污染途径分析</w:t>
      </w:r>
    </w:p>
    <w:p>
      <w:pPr>
        <w:pStyle w:val="8"/>
        <w:rPr>
          <w:rFonts w:hint="eastAsia"/>
          <w:lang w:eastAsia="zh-CN"/>
        </w:rPr>
      </w:pPr>
      <w:r>
        <w:rPr>
          <w:rFonts w:hint="eastAsia"/>
          <w:lang w:eastAsia="zh-CN"/>
        </w:rPr>
        <w:t>最常见的潜水污染是污染物通过包气带渗入而形成的。浅层地下水和承压水的污染是通过各种井孔、坑洞和断层等发生的，他们作为一种通道把其揭露的含水层桶地面污染源或已被污染的含水层联系起来，造成深层地下水的污染，随着地下水的运动，形成地下水污染扩散带。结合本项目特点，可能造成的地下水污染途径有以下几种途径：</w:t>
      </w:r>
    </w:p>
    <w:p>
      <w:pPr>
        <w:pStyle w:val="8"/>
        <w:rPr>
          <w:rFonts w:hint="eastAsia"/>
          <w:lang w:val="en-US" w:eastAsia="zh-CN"/>
        </w:rPr>
      </w:pPr>
      <w:r>
        <w:rPr>
          <w:rFonts w:hint="eastAsia"/>
          <w:lang w:val="en-US" w:eastAsia="zh-CN"/>
        </w:rPr>
        <w:t>生产区猪舍防渗措施不足，导致粪便、猪尿、冲洗水通过裂隙渗入地下造成污染；</w:t>
      </w:r>
    </w:p>
    <w:p>
      <w:pPr>
        <w:pStyle w:val="8"/>
        <w:rPr>
          <w:rFonts w:hint="eastAsia"/>
          <w:lang w:val="en-US" w:eastAsia="zh-CN"/>
        </w:rPr>
      </w:pPr>
      <w:r>
        <w:rPr>
          <w:rFonts w:hint="eastAsia"/>
          <w:lang w:val="en-US" w:eastAsia="zh-CN"/>
        </w:rPr>
        <w:t>异位发酵床防渗措施不足，导致粪便发酵过程中可能通过裂隙渗入地下造成污染；</w:t>
      </w:r>
    </w:p>
    <w:p>
      <w:pPr>
        <w:pStyle w:val="8"/>
        <w:rPr>
          <w:rFonts w:hint="eastAsia"/>
          <w:lang w:val="en-US" w:eastAsia="zh-CN"/>
        </w:rPr>
      </w:pPr>
      <w:r>
        <w:rPr>
          <w:rFonts w:hint="eastAsia"/>
          <w:lang w:val="en-US" w:eastAsia="zh-CN"/>
        </w:rPr>
        <w:t>污水处理系统中的废水池，污水管道防渗措施不足，而造成废水渗漏污染地下水。</w:t>
      </w:r>
    </w:p>
    <w:p>
      <w:pPr>
        <w:pStyle w:val="8"/>
        <w:keepNext w:val="0"/>
        <w:keepLines w:val="0"/>
        <w:pageBreakBefore w:val="0"/>
        <w:widowControl w:val="0"/>
        <w:kinsoku/>
        <w:wordWrap/>
        <w:overflowPunct/>
        <w:topLinePunct w:val="0"/>
        <w:autoSpaceDE w:val="0"/>
        <w:autoSpaceDN w:val="0"/>
        <w:bidi w:val="0"/>
        <w:adjustRightInd/>
        <w:snapToGrid/>
        <w:textAlignment w:val="auto"/>
        <w:rPr>
          <w:rFonts w:hint="default"/>
          <w:lang w:eastAsia="zh-CN"/>
        </w:rPr>
      </w:pPr>
      <w:r>
        <w:rPr>
          <w:rFonts w:hint="eastAsia"/>
          <w:b/>
          <w:bCs/>
          <w:lang w:eastAsia="zh-CN"/>
        </w:rPr>
        <w:t>（</w:t>
      </w:r>
      <w:r>
        <w:rPr>
          <w:rFonts w:hint="eastAsia"/>
          <w:b/>
          <w:bCs/>
          <w:lang w:val="en-US" w:eastAsia="zh-CN"/>
        </w:rPr>
        <w:t>2</w:t>
      </w:r>
      <w:r>
        <w:rPr>
          <w:rFonts w:hint="eastAsia"/>
          <w:b/>
          <w:bCs/>
          <w:lang w:eastAsia="zh-CN"/>
        </w:rPr>
        <w:t>）防渗措施</w:t>
      </w:r>
    </w:p>
    <w:p>
      <w:pPr>
        <w:pStyle w:val="9"/>
        <w:rPr>
          <w:rFonts w:hint="eastAsia" w:eastAsia="宋体"/>
          <w:lang w:eastAsia="zh-CN"/>
        </w:rPr>
      </w:pPr>
      <w:r>
        <w:rPr>
          <w:rFonts w:hint="eastAsia"/>
          <w:lang w:eastAsia="zh-CN"/>
        </w:rPr>
        <w:t>为防止场区污水、固废对地下水造成污染，拟采取的具体措施如下：</w:t>
      </w:r>
    </w:p>
    <w:p>
      <w:pPr>
        <w:pStyle w:val="9"/>
        <w:rPr>
          <w:rFonts w:hint="eastAsia" w:eastAsia="宋体"/>
          <w:lang w:val="en-US" w:eastAsia="zh-CN"/>
        </w:rPr>
      </w:pPr>
      <w:r>
        <w:rPr>
          <w:rFonts w:hint="eastAsia"/>
          <w:lang w:val="en-US" w:eastAsia="zh-CN"/>
        </w:rPr>
        <w:t>1）重点防渗区</w:t>
      </w:r>
    </w:p>
    <w:p>
      <w:pPr>
        <w:pStyle w:val="9"/>
        <w:rPr>
          <w:rFonts w:hint="default" w:eastAsia="宋体"/>
          <w:lang w:val="en-US" w:eastAsia="zh-CN"/>
        </w:rPr>
      </w:pPr>
      <w:r>
        <w:rPr>
          <w:rFonts w:hint="eastAsia"/>
        </w:rPr>
        <w:sym w:font="Wingdings" w:char="F081"/>
      </w:r>
      <w:r>
        <w:rPr>
          <w:rFonts w:hint="eastAsia"/>
          <w:lang w:eastAsia="zh-CN"/>
        </w:rPr>
        <w:t>猪舍、异位发酵床以及固废贮存场所等需采取防渗措施，铺设防渗地坪，主要是三层从下面起第一层为土石混合料，厚度在</w:t>
      </w:r>
      <w:r>
        <w:rPr>
          <w:rFonts w:hint="eastAsia"/>
          <w:lang w:val="en-US" w:eastAsia="zh-CN"/>
        </w:rPr>
        <w:t>300~600cm，第二层为灰土结石，厚度在16~18cm，第三层就是最上面混凝土，厚度在20~25cm。</w:t>
      </w:r>
    </w:p>
    <w:p>
      <w:pPr>
        <w:pStyle w:val="9"/>
        <w:rPr>
          <w:rFonts w:hint="eastAsia" w:eastAsia="宋体"/>
          <w:lang w:eastAsia="zh-CN"/>
        </w:rPr>
      </w:pPr>
      <w:r>
        <w:rPr>
          <w:rFonts w:hint="eastAsia"/>
          <w:lang w:eastAsia="zh-CN"/>
        </w:rPr>
        <w:t>项目固体废物应设专门的收集容器内，容器采用密闭式，并采取安全措施，做到无关人员不可移动，外部应按照要求设置警示标示。用以存放装载液体、半固体危险废物容器的地方，必须有耐腐蚀硬化且表面无裂隙。</w:t>
      </w:r>
    </w:p>
    <w:p>
      <w:pPr>
        <w:pStyle w:val="9"/>
        <w:rPr>
          <w:rFonts w:hint="eastAsia" w:eastAsia="宋体"/>
          <w:lang w:eastAsia="zh-CN"/>
        </w:rPr>
      </w:pPr>
      <w:r>
        <w:rPr>
          <w:rFonts w:hint="eastAsia"/>
        </w:rPr>
        <w:sym w:font="Wingdings" w:char="F082"/>
      </w:r>
      <w:r>
        <w:rPr>
          <w:rFonts w:hint="eastAsia"/>
          <w:lang w:eastAsia="zh-CN"/>
        </w:rPr>
        <w:t>污水处理设施</w:t>
      </w:r>
    </w:p>
    <w:p>
      <w:pPr>
        <w:pStyle w:val="9"/>
        <w:rPr>
          <w:rFonts w:hint="default"/>
          <w:lang w:val="en-US"/>
        </w:rPr>
      </w:pPr>
      <w:r>
        <w:rPr>
          <w:rFonts w:hint="eastAsia"/>
          <w:lang w:eastAsia="zh-CN"/>
        </w:rPr>
        <w:t>污水处理设施的建设应参照《混凝土结构设计规范》（</w:t>
      </w:r>
      <w:r>
        <w:rPr>
          <w:rFonts w:hint="eastAsia"/>
          <w:lang w:val="en-US" w:eastAsia="zh-CN"/>
        </w:rPr>
        <w:t>GB50010</w:t>
      </w:r>
      <w:r>
        <w:rPr>
          <w:rFonts w:hint="eastAsia"/>
          <w:lang w:eastAsia="zh-CN"/>
        </w:rPr>
        <w:t>）的要求，严格做好防渗措施，水泥应优先选用硅酸盐水泥，也可以用矿渣硅酸盐水泥、火山灰硅酸盐水泥或粉煤灰硅酸盐水泥。水泥的性能指标应符合</w:t>
      </w:r>
      <w:r>
        <w:rPr>
          <w:rFonts w:hint="eastAsia"/>
          <w:lang w:val="en-US" w:eastAsia="zh-CN"/>
        </w:rPr>
        <w:t>GB175和GB1344的规定，宜选用水泥强度标号为325号或425号的水泥。砂子采用中砂，不应含有有机物，水洗后含泥量不大于3%；云母含量小于0.5%。石子采用粒径0.5cm-4.0cm的碎石或卵石，级配合理，孔隙率不大于45%；针状、片状小于15%；压碎指标小于10%；泥土杂质含量用水冲洗后小于2%；石子强度大于混凝土标号1.5倍。如因废水处理设施故障（如污水池地裂、壁损等事故），则导致废水事故排放，同时会污染地下水，建设单位应在每个污水池设水位计，并安装专人日常监管，如出现污水水位不正常情况应立即排查，如因污水池地裂、壁损等导致水位下降，须立即关闭阀门，停止污水处理系统运行，同时采用水泵将已在污水池中处理的废水用水泵抽至事故应急池，待废水处理设施抢修完毕后，再将事故应急池内废水纳入污水处理设施。</w:t>
      </w:r>
    </w:p>
    <w:p>
      <w:pPr>
        <w:pStyle w:val="9"/>
        <w:rPr>
          <w:rFonts w:hint="eastAsia" w:eastAsia="宋体"/>
          <w:lang w:eastAsia="zh-CN"/>
        </w:rPr>
      </w:pPr>
      <w:r>
        <w:rPr>
          <w:rFonts w:hint="eastAsia"/>
        </w:rPr>
        <w:sym w:font="Wingdings" w:char="F083"/>
      </w:r>
      <w:r>
        <w:rPr>
          <w:rFonts w:hint="eastAsia"/>
          <w:lang w:eastAsia="zh-CN"/>
        </w:rPr>
        <w:t>管道、阀门防渗漏措施</w:t>
      </w:r>
    </w:p>
    <w:p>
      <w:pPr>
        <w:pStyle w:val="9"/>
        <w:rPr>
          <w:rFonts w:hint="eastAsia" w:eastAsia="宋体"/>
          <w:lang w:eastAsia="zh-CN"/>
        </w:rPr>
      </w:pPr>
      <w:r>
        <w:rPr>
          <w:rFonts w:hint="eastAsia"/>
          <w:lang w:eastAsia="zh-CN"/>
        </w:rPr>
        <w:t>阀门采用知名厂家优质产品，对于生活区及生产区地上管道、阀门派专人负责随时观察，如出现渗漏问题及时解决。对工艺要求必须地下走管的管道、阀门设专用防渗管沟，管沟上设活动观察顶盖，以便出现渗漏问题及时观察。解决，管沟与污水集水井相连，并设计合理的排水坡度，便于废水排至集水井，然后由污水处理设施统一处理。</w:t>
      </w:r>
    </w:p>
    <w:p>
      <w:pPr>
        <w:pStyle w:val="9"/>
        <w:rPr>
          <w:rFonts w:hint="eastAsia" w:eastAsia="宋体"/>
          <w:lang w:eastAsia="zh-CN"/>
        </w:rPr>
      </w:pPr>
      <w:r>
        <w:rPr>
          <w:rFonts w:hint="eastAsia"/>
        </w:rPr>
        <w:fldChar w:fldCharType="begin"/>
      </w:r>
      <w:r>
        <w:rPr>
          <w:rFonts w:hint="eastAsia"/>
        </w:rPr>
        <w:instrText xml:space="preserve"> = 4 \* GB3 \* MERGEFORMAT </w:instrText>
      </w:r>
      <w:r>
        <w:rPr>
          <w:rFonts w:hint="eastAsia"/>
        </w:rPr>
        <w:fldChar w:fldCharType="separate"/>
      </w:r>
      <w:r>
        <w:t>④</w:t>
      </w:r>
      <w:r>
        <w:rPr>
          <w:rFonts w:hint="eastAsia"/>
        </w:rPr>
        <w:fldChar w:fldCharType="end"/>
      </w:r>
      <w:r>
        <w:rPr>
          <w:rFonts w:hint="eastAsia"/>
          <w:lang w:eastAsia="zh-CN"/>
        </w:rPr>
        <w:t>废水收集管网防渗漏措施</w:t>
      </w:r>
    </w:p>
    <w:p>
      <w:pPr>
        <w:pStyle w:val="9"/>
        <w:rPr>
          <w:rFonts w:hint="eastAsia" w:eastAsia="宋体"/>
          <w:lang w:eastAsia="zh-CN"/>
        </w:rPr>
      </w:pPr>
      <w:r>
        <w:rPr>
          <w:rFonts w:hint="eastAsia"/>
          <w:lang w:eastAsia="zh-CN"/>
        </w:rPr>
        <w:t>在防渗漏区内废水收集管网是设计的关键内容，设计合理的排水坡度，使水在集水井汇集。鉴于本项目地势中部为最高地势，因此本项目污水的总体走向均汇入厂区的集污池，将粪污处理设施设置的场区用地的西部和东部，及生产区的西侧、生活区的南侧。</w:t>
      </w:r>
    </w:p>
    <w:p>
      <w:pPr>
        <w:pStyle w:val="9"/>
        <w:rPr>
          <w:rFonts w:hint="eastAsia" w:eastAsia="宋体"/>
          <w:lang w:val="en-US" w:eastAsia="zh-CN"/>
        </w:rPr>
      </w:pPr>
      <w:r>
        <w:rPr>
          <w:rFonts w:hint="eastAsia"/>
          <w:lang w:val="en-US" w:eastAsia="zh-CN"/>
        </w:rPr>
        <w:t>2）一般防渗区</w:t>
      </w:r>
    </w:p>
    <w:p>
      <w:pPr>
        <w:pStyle w:val="9"/>
        <w:rPr>
          <w:rFonts w:hint="default" w:eastAsia="宋体"/>
          <w:lang w:val="en-US" w:eastAsia="zh-CN"/>
        </w:rPr>
      </w:pPr>
      <w:r>
        <w:rPr>
          <w:rFonts w:hint="eastAsia"/>
          <w:lang w:eastAsia="zh-CN"/>
        </w:rPr>
        <w:t>场区内生活区、垃圾集中放置地采取黏土铺底，再在上层铺</w:t>
      </w:r>
      <w:r>
        <w:rPr>
          <w:rFonts w:hint="eastAsia"/>
          <w:lang w:val="en-US" w:eastAsia="zh-CN"/>
        </w:rPr>
        <w:t>10~15cm的水泥进行硬化。通过上述措施可使一般污染区各单元防渗层渗透系数≤10</w:t>
      </w:r>
      <w:r>
        <w:rPr>
          <w:rFonts w:hint="eastAsia"/>
          <w:vertAlign w:val="superscript"/>
          <w:lang w:val="en-US" w:eastAsia="zh-CN"/>
        </w:rPr>
        <w:t>-7</w:t>
      </w:r>
      <w:r>
        <w:rPr>
          <w:rFonts w:hint="eastAsia"/>
          <w:lang w:val="en-US" w:eastAsia="zh-CN"/>
        </w:rPr>
        <w:t>cm/s。</w:t>
      </w:r>
    </w:p>
    <w:p>
      <w:pPr>
        <w:pStyle w:val="9"/>
        <w:rPr>
          <w:rFonts w:hint="eastAsia" w:eastAsia="宋体"/>
          <w:lang w:val="en-US" w:eastAsia="zh-CN"/>
        </w:rPr>
      </w:pPr>
      <w:r>
        <w:rPr>
          <w:rFonts w:hint="eastAsia"/>
          <w:lang w:val="en-US" w:eastAsia="zh-CN"/>
        </w:rPr>
        <w:t>2）简单防渗区</w:t>
      </w:r>
    </w:p>
    <w:p>
      <w:pPr>
        <w:pStyle w:val="9"/>
        <w:rPr>
          <w:rFonts w:hint="eastAsia" w:eastAsia="宋体"/>
          <w:lang w:eastAsia="zh-CN"/>
        </w:rPr>
      </w:pPr>
      <w:r>
        <w:rPr>
          <w:rFonts w:hint="eastAsia"/>
          <w:lang w:eastAsia="zh-CN"/>
        </w:rPr>
        <w:t>生产区、生活区其他区域（除绿化用地之外）应全部进行硬化处理，实现场内不裸露土层。</w:t>
      </w:r>
    </w:p>
    <w:p>
      <w:pPr>
        <w:pStyle w:val="9"/>
        <w:rPr>
          <w:rFonts w:hint="eastAsia"/>
          <w:lang w:eastAsia="zh-CN"/>
        </w:rPr>
      </w:pPr>
      <w:r>
        <w:rPr>
          <w:rFonts w:hint="eastAsia"/>
          <w:lang w:eastAsia="zh-CN"/>
        </w:rPr>
        <w:t>因此，在建设单位严格按照本次评价提出的防渗措施对各单元进行治理后，各功能区及各单元的渗透系数均较低。本项目废水、固废向地下水发生渗透的概率较低。因此，对区域内地下水污染产生的不利影响较小。</w:t>
      </w:r>
    </w:p>
    <w:p>
      <w:pPr>
        <w:pStyle w:val="6"/>
        <w:rPr>
          <w:rFonts w:hint="eastAsia"/>
        </w:rPr>
      </w:pPr>
      <w:r>
        <w:rPr>
          <w:rFonts w:hint="eastAsia"/>
          <w:lang w:eastAsia="zh-CN"/>
        </w:rPr>
        <w:t>影响结论</w:t>
      </w:r>
    </w:p>
    <w:p>
      <w:pPr>
        <w:pStyle w:val="8"/>
        <w:rPr>
          <w:rFonts w:hint="eastAsia"/>
        </w:rPr>
      </w:pPr>
      <w:r>
        <w:rPr>
          <w:rFonts w:hint="eastAsia"/>
          <w:lang w:eastAsia="zh-CN"/>
        </w:rPr>
        <w:t>综合所述，本项目所在区域为不敏感区，影响范围主要为项目场界内。由污染途径及应对措施分析可知，项目生活区及生产区对可能产生地下水影响的各项途径均进行有效预防，在确保各项防渗措施得以落实，并加强维护和场区环境管理的前提下，可有效控制项目产生的污染物下渗现象，故本项目不存在无组织排放面源，不会产生地表径流，对地下水环境影响较小。</w:t>
      </w:r>
    </w:p>
    <w:p>
      <w:pPr>
        <w:pStyle w:val="5"/>
        <w:ind w:firstLine="562"/>
      </w:pPr>
      <w:r>
        <w:rPr>
          <w:rFonts w:hint="eastAsia"/>
          <w:lang w:val="en-US" w:eastAsia="zh-CN"/>
        </w:rPr>
        <w:t xml:space="preserve"> </w:t>
      </w:r>
      <w:r>
        <w:rPr>
          <w:rFonts w:hint="eastAsia"/>
          <w:lang w:eastAsia="zh-CN"/>
        </w:rPr>
        <w:t>营运期声环境影响预测</w:t>
      </w:r>
    </w:p>
    <w:p>
      <w:pPr>
        <w:pStyle w:val="6"/>
        <w:rPr>
          <w:rFonts w:hint="eastAsia"/>
        </w:rPr>
      </w:pPr>
      <w:r>
        <w:rPr>
          <w:rFonts w:hint="eastAsia"/>
          <w:lang w:eastAsia="zh-CN"/>
        </w:rPr>
        <w:t xml:space="preserve">主要噪声源分析  </w:t>
      </w:r>
    </w:p>
    <w:p>
      <w:pPr>
        <w:pStyle w:val="19"/>
        <w:rPr>
          <w:rFonts w:hint="default" w:ascii="Times New Roman" w:hAnsi="Times New Roman" w:eastAsia="宋体" w:cs="Times New Roman"/>
          <w:kern w:val="0"/>
          <w:sz w:val="24"/>
          <w:szCs w:val="24"/>
          <w:lang w:val="en-US" w:eastAsia="zh-CN" w:bidi="ar-SA"/>
        </w:rPr>
      </w:pPr>
      <w:r>
        <w:rPr>
          <w:rFonts w:hint="eastAsia" w:cs="Times New Roman"/>
          <w:b w:val="0"/>
          <w:bCs w:val="0"/>
          <w:sz w:val="24"/>
          <w:szCs w:val="24"/>
          <w:lang w:eastAsia="zh-CN"/>
        </w:rPr>
        <w:t>根据工程分析，</w:t>
      </w:r>
      <w:r>
        <w:rPr>
          <w:rFonts w:hint="default" w:ascii="Times New Roman" w:hAnsi="Times New Roman" w:eastAsia="宋体" w:cs="Times New Roman"/>
          <w:kern w:val="0"/>
          <w:sz w:val="24"/>
          <w:szCs w:val="24"/>
          <w:lang w:val="en-US" w:eastAsia="zh-CN" w:bidi="ar-SA"/>
        </w:rPr>
        <w:t>本项目噪声源主要为猪叫声、污水泵类、风机、发电机等的机械噪声等，群居猪特别是猪仔经常发出较尖锐的叫声，但随机性较大，一般噪声在70~80dB(A)左右。畜禽养殖企业本身的生产环境对噪声源有一定的控制要求，主要产噪设备为污水泵类、各类鼓风机等，设备噪声源强及拟采取的减缓措施见表</w:t>
      </w:r>
      <w:r>
        <w:rPr>
          <w:rFonts w:hint="eastAsia" w:cs="Times New Roman"/>
          <w:kern w:val="0"/>
          <w:sz w:val="24"/>
          <w:szCs w:val="24"/>
          <w:lang w:val="en-US" w:eastAsia="zh-CN" w:bidi="ar-SA"/>
        </w:rPr>
        <w:t>5.2-16</w:t>
      </w:r>
      <w:r>
        <w:rPr>
          <w:rFonts w:hint="default" w:ascii="Times New Roman" w:hAnsi="Times New Roman" w:eastAsia="宋体" w:cs="Times New Roman"/>
          <w:kern w:val="0"/>
          <w:sz w:val="24"/>
          <w:szCs w:val="24"/>
          <w:lang w:val="en-US" w:eastAsia="zh-CN" w:bidi="ar-SA"/>
        </w:rPr>
        <w:t xml:space="preserve">。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bCs/>
          <w:kern w:val="0"/>
          <w:sz w:val="21"/>
          <w:szCs w:val="21"/>
          <w:lang w:val="en-US" w:eastAsia="zh-CN" w:bidi="ar-SA"/>
        </w:rPr>
      </w:pPr>
      <w:r>
        <w:rPr>
          <w:rFonts w:hint="eastAsia" w:cs="Times New Roman"/>
          <w:b/>
          <w:bCs/>
          <w:kern w:val="0"/>
          <w:sz w:val="21"/>
          <w:szCs w:val="21"/>
          <w:lang w:val="en-US" w:eastAsia="zh-CN" w:bidi="ar-SA"/>
        </w:rPr>
        <w:t>表5.2-16  主要噪声设备源强及治理效果一览表</w:t>
      </w:r>
    </w:p>
    <w:tbl>
      <w:tblPr>
        <w:tblStyle w:val="64"/>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5"/>
        <w:gridCol w:w="1864"/>
        <w:gridCol w:w="1743"/>
        <w:gridCol w:w="1516"/>
        <w:gridCol w:w="1900"/>
        <w:gridCol w:w="19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7" w:type="pct"/>
            <w:tcBorders>
              <w:top w:val="single" w:color="auto" w:sz="12" w:space="0"/>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序号</w:t>
            </w:r>
          </w:p>
        </w:tc>
        <w:tc>
          <w:tcPr>
            <w:tcW w:w="941" w:type="pct"/>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噪声源</w:t>
            </w:r>
          </w:p>
        </w:tc>
        <w:tc>
          <w:tcPr>
            <w:tcW w:w="880" w:type="pct"/>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源强dB(A)</w:t>
            </w:r>
          </w:p>
        </w:tc>
        <w:tc>
          <w:tcPr>
            <w:tcW w:w="765" w:type="pct"/>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产生方式</w:t>
            </w:r>
          </w:p>
        </w:tc>
        <w:tc>
          <w:tcPr>
            <w:tcW w:w="959" w:type="pct"/>
            <w:tcBorders>
              <w:top w:val="single" w:color="auto" w:sz="12" w:space="0"/>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污染源位置</w:t>
            </w:r>
          </w:p>
        </w:tc>
        <w:tc>
          <w:tcPr>
            <w:tcW w:w="995" w:type="pct"/>
            <w:tcBorders>
              <w:top w:val="single" w:color="auto" w:sz="12" w:space="0"/>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拟采取的措施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7" w:type="pct"/>
            <w:tcBorders>
              <w:top w:val="single" w:color="auto" w:sz="12" w:space="0"/>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1</w:t>
            </w:r>
          </w:p>
        </w:tc>
        <w:tc>
          <w:tcPr>
            <w:tcW w:w="941" w:type="pct"/>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猪叫声</w:t>
            </w:r>
          </w:p>
        </w:tc>
        <w:tc>
          <w:tcPr>
            <w:tcW w:w="880" w:type="pct"/>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70-80</w:t>
            </w:r>
          </w:p>
        </w:tc>
        <w:tc>
          <w:tcPr>
            <w:tcW w:w="765" w:type="pct"/>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间断</w:t>
            </w:r>
          </w:p>
        </w:tc>
        <w:tc>
          <w:tcPr>
            <w:tcW w:w="959" w:type="pct"/>
            <w:tcBorders>
              <w:top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全部猪舍</w:t>
            </w:r>
          </w:p>
        </w:tc>
        <w:tc>
          <w:tcPr>
            <w:tcW w:w="995" w:type="pct"/>
            <w:tcBorders>
              <w:top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7" w:type="pc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2</w:t>
            </w:r>
          </w:p>
        </w:tc>
        <w:tc>
          <w:tcPr>
            <w:tcW w:w="941"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风机</w:t>
            </w:r>
          </w:p>
        </w:tc>
        <w:tc>
          <w:tcPr>
            <w:tcW w:w="880"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85-90</w:t>
            </w:r>
          </w:p>
        </w:tc>
        <w:tc>
          <w:tcPr>
            <w:tcW w:w="765"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连续</w:t>
            </w:r>
          </w:p>
        </w:tc>
        <w:tc>
          <w:tcPr>
            <w:tcW w:w="959"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全部猪舍</w:t>
            </w:r>
          </w:p>
        </w:tc>
        <w:tc>
          <w:tcPr>
            <w:tcW w:w="995" w:type="pct"/>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减震垫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57" w:type="pc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3</w:t>
            </w:r>
          </w:p>
        </w:tc>
        <w:tc>
          <w:tcPr>
            <w:tcW w:w="941"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清粪机</w:t>
            </w:r>
          </w:p>
        </w:tc>
        <w:tc>
          <w:tcPr>
            <w:tcW w:w="880"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75-85</w:t>
            </w:r>
          </w:p>
        </w:tc>
        <w:tc>
          <w:tcPr>
            <w:tcW w:w="765"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间断</w:t>
            </w:r>
          </w:p>
        </w:tc>
        <w:tc>
          <w:tcPr>
            <w:tcW w:w="959"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全部猪舍</w:t>
            </w:r>
          </w:p>
        </w:tc>
        <w:tc>
          <w:tcPr>
            <w:tcW w:w="995" w:type="pct"/>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减震垫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7" w:type="pc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4</w:t>
            </w:r>
          </w:p>
        </w:tc>
        <w:tc>
          <w:tcPr>
            <w:tcW w:w="941"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水泵</w:t>
            </w:r>
          </w:p>
        </w:tc>
        <w:tc>
          <w:tcPr>
            <w:tcW w:w="880"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80-90</w:t>
            </w:r>
          </w:p>
        </w:tc>
        <w:tc>
          <w:tcPr>
            <w:tcW w:w="765"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连续</w:t>
            </w:r>
          </w:p>
        </w:tc>
        <w:tc>
          <w:tcPr>
            <w:tcW w:w="959"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污水处理设施</w:t>
            </w:r>
          </w:p>
        </w:tc>
        <w:tc>
          <w:tcPr>
            <w:tcW w:w="995" w:type="pct"/>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7" w:type="pc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5</w:t>
            </w:r>
          </w:p>
        </w:tc>
        <w:tc>
          <w:tcPr>
            <w:tcW w:w="941"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搅拌站</w:t>
            </w:r>
          </w:p>
        </w:tc>
        <w:tc>
          <w:tcPr>
            <w:tcW w:w="880"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75-80</w:t>
            </w:r>
          </w:p>
        </w:tc>
        <w:tc>
          <w:tcPr>
            <w:tcW w:w="765" w:type="pct"/>
            <w:vAlign w:val="center"/>
          </w:tcPr>
          <w:p>
            <w:pPr>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连续</w:t>
            </w:r>
          </w:p>
        </w:tc>
        <w:tc>
          <w:tcPr>
            <w:tcW w:w="959" w:type="pct"/>
            <w:vAlign w:val="center"/>
          </w:tcPr>
          <w:p>
            <w:pPr>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污水处理设施</w:t>
            </w:r>
          </w:p>
        </w:tc>
        <w:tc>
          <w:tcPr>
            <w:tcW w:w="995" w:type="pct"/>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减震垫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7" w:type="pct"/>
            <w:tcBorders>
              <w:lef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6</w:t>
            </w:r>
          </w:p>
        </w:tc>
        <w:tc>
          <w:tcPr>
            <w:tcW w:w="941"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污泵</w:t>
            </w:r>
          </w:p>
        </w:tc>
        <w:tc>
          <w:tcPr>
            <w:tcW w:w="880" w:type="pct"/>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80-90</w:t>
            </w:r>
          </w:p>
        </w:tc>
        <w:tc>
          <w:tcPr>
            <w:tcW w:w="765" w:type="pct"/>
            <w:vAlign w:val="center"/>
          </w:tcPr>
          <w:p>
            <w:pPr>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连续</w:t>
            </w:r>
          </w:p>
        </w:tc>
        <w:tc>
          <w:tcPr>
            <w:tcW w:w="959" w:type="pct"/>
            <w:vAlign w:val="center"/>
          </w:tcPr>
          <w:p>
            <w:pPr>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污水处理设施</w:t>
            </w:r>
          </w:p>
        </w:tc>
        <w:tc>
          <w:tcPr>
            <w:tcW w:w="995" w:type="pct"/>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减震垫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57" w:type="pct"/>
            <w:tcBorders>
              <w:left w:val="nil"/>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7</w:t>
            </w:r>
          </w:p>
        </w:tc>
        <w:tc>
          <w:tcPr>
            <w:tcW w:w="941" w:type="pct"/>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柴油发电机</w:t>
            </w:r>
          </w:p>
        </w:tc>
        <w:tc>
          <w:tcPr>
            <w:tcW w:w="880" w:type="pct"/>
            <w:tcBorders>
              <w:bottom w:val="single" w:color="auto" w:sz="12" w:space="0"/>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80-90</w:t>
            </w:r>
          </w:p>
        </w:tc>
        <w:tc>
          <w:tcPr>
            <w:tcW w:w="765" w:type="pct"/>
            <w:tcBorders>
              <w:bottom w:val="single" w:color="auto" w:sz="12" w:space="0"/>
            </w:tcBorders>
            <w:vAlign w:val="center"/>
          </w:tcPr>
          <w:p>
            <w:pPr>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连续</w:t>
            </w:r>
          </w:p>
        </w:tc>
        <w:tc>
          <w:tcPr>
            <w:tcW w:w="959" w:type="pct"/>
            <w:tcBorders>
              <w:bottom w:val="single" w:color="auto" w:sz="12" w:space="0"/>
            </w:tcBorders>
            <w:vAlign w:val="center"/>
          </w:tcPr>
          <w:p>
            <w:pPr>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配电房</w:t>
            </w:r>
          </w:p>
        </w:tc>
        <w:tc>
          <w:tcPr>
            <w:tcW w:w="995" w:type="pct"/>
            <w:tcBorders>
              <w:bottom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eastAsia" w:cs="Times New Roman"/>
                <w:kern w:val="0"/>
                <w:sz w:val="21"/>
                <w:szCs w:val="21"/>
                <w:vertAlign w:val="baseline"/>
                <w:lang w:val="en-US" w:eastAsia="zh-CN" w:bidi="ar-SA"/>
              </w:rPr>
            </w:pPr>
            <w:r>
              <w:rPr>
                <w:rFonts w:hint="eastAsia" w:cs="Times New Roman"/>
                <w:kern w:val="0"/>
                <w:sz w:val="21"/>
                <w:szCs w:val="21"/>
                <w:vertAlign w:val="baseline"/>
                <w:lang w:val="en-US" w:eastAsia="zh-CN" w:bidi="ar-SA"/>
              </w:rPr>
              <w:t>减震垫</w:t>
            </w:r>
          </w:p>
        </w:tc>
      </w:tr>
    </w:tbl>
    <w:p>
      <w:pPr>
        <w:pStyle w:val="6"/>
        <w:rPr>
          <w:rFonts w:hint="eastAsia"/>
        </w:rPr>
      </w:pPr>
      <w:r>
        <w:rPr>
          <w:rFonts w:hint="eastAsia"/>
          <w:lang w:eastAsia="zh-CN"/>
        </w:rPr>
        <w:t>预测模式</w:t>
      </w:r>
    </w:p>
    <w:p>
      <w:pPr>
        <w:pStyle w:val="19"/>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项目建成后，噪声源主要来自场内各种机械设备运行时产生的噪声以及猪的争斗、哼叫声，这些声源是点声源。按照《环境影响评价技术导则</w:t>
      </w:r>
      <w:r>
        <w:rPr>
          <w:rFonts w:hint="eastAsia" w:cs="Times New Roman"/>
          <w:b w:val="0"/>
          <w:bCs w:val="0"/>
          <w:sz w:val="24"/>
          <w:szCs w:val="24"/>
          <w:lang w:val="en-US" w:eastAsia="zh-CN"/>
        </w:rPr>
        <w:t xml:space="preserve">  </w:t>
      </w:r>
      <w:r>
        <w:rPr>
          <w:rFonts w:hint="eastAsia" w:cs="Times New Roman"/>
          <w:b w:val="0"/>
          <w:bCs w:val="0"/>
          <w:sz w:val="24"/>
          <w:szCs w:val="24"/>
          <w:lang w:eastAsia="zh-CN"/>
        </w:rPr>
        <w:t xml:space="preserve"> 声环境（HJ2.4-2009）》的要求，选择点声源预测模式来预测本项目主要声源排放噪声随距离的衰减变化规律。采用以下噪声影响计算模式：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1、单个室外的点声源在预测点产生的声级计算基本公式</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如已知声源的倍频带声功率级（从63Hz到8KHz标称频带中心频率的8个倍频带），预测点位置的倍频带声压级可按以下公式计算：</w:t>
      </w:r>
    </w:p>
    <w:p>
      <w:pPr>
        <w:pStyle w:val="79"/>
        <w:jc w:val="center"/>
        <w:rPr>
          <w:rFonts w:hint="eastAsia"/>
        </w:rPr>
      </w:pPr>
      <w:r>
        <w:rPr>
          <w:rFonts w:hint="eastAsia"/>
        </w:rPr>
        <w:fldChar w:fldCharType="begin"/>
      </w:r>
      <w:r>
        <w:rPr>
          <w:rFonts w:hint="eastAsia"/>
        </w:rPr>
        <w:instrText xml:space="preserve"> INCLUDEPICTURE "C:\\Users\\liuw\\AppData\\Roaming\\Microsoft\\Application Data\\Microsoft\\Application Data\\Application Data\\Microsoft\\Application Data\\Microsoft\\Local Settings\\Temp\\4_)47U7OBLFXSWD)67UW`QH.jpg" \* MERGEFORMAT </w:instrText>
      </w:r>
      <w:r>
        <w:rPr>
          <w:rFonts w:hint="eastAsia"/>
        </w:rPr>
        <w:fldChar w:fldCharType="separate"/>
      </w:r>
      <w:r>
        <w:rPr>
          <w:rFonts w:hint="eastAsia"/>
        </w:rPr>
        <w:drawing>
          <wp:inline distT="0" distB="0" distL="114300" distR="114300">
            <wp:extent cx="1485265" cy="269875"/>
            <wp:effectExtent l="0" t="0" r="8255" b="4445"/>
            <wp:docPr id="13" name="图片 47" descr="4_)47U7OBLFXSWD)67UW`Q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7" descr="4_)47U7OBLFXSWD)67UW`QH"/>
                    <pic:cNvPicPr>
                      <a:picLocks noChangeAspect="1"/>
                    </pic:cNvPicPr>
                  </pic:nvPicPr>
                  <pic:blipFill>
                    <a:blip r:embed="rId89"/>
                    <a:stretch>
                      <a:fillRect/>
                    </a:stretch>
                  </pic:blipFill>
                  <pic:spPr>
                    <a:xfrm>
                      <a:off x="0" y="0"/>
                      <a:ext cx="1485265" cy="269875"/>
                    </a:xfrm>
                    <a:prstGeom prst="rect">
                      <a:avLst/>
                    </a:prstGeom>
                    <a:noFill/>
                    <a:ln>
                      <a:noFill/>
                    </a:ln>
                  </pic:spPr>
                </pic:pic>
              </a:graphicData>
            </a:graphic>
          </wp:inline>
        </w:drawing>
      </w:r>
      <w:r>
        <w:rPr>
          <w:rFonts w:hint="eastAsia"/>
        </w:rPr>
        <w:fldChar w:fldCharType="end"/>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center"/>
        <w:textAlignment w:val="auto"/>
        <w:rPr>
          <w:rFonts w:hint="eastAsia" w:cs="Times New Roman"/>
          <w:b w:val="0"/>
          <w:bCs w:val="0"/>
          <w:sz w:val="24"/>
          <w:szCs w:val="24"/>
          <w:lang w:eastAsia="zh-CN"/>
        </w:rPr>
      </w:pPr>
      <w:r>
        <w:rPr>
          <w:rFonts w:hint="eastAsia"/>
        </w:rPr>
        <w:fldChar w:fldCharType="begin"/>
      </w:r>
      <w:r>
        <w:rPr>
          <w:rFonts w:hint="eastAsia"/>
        </w:rPr>
        <w:instrText xml:space="preserve"> INCLUDEPICTURE "C:\\Users\\liuw\\AppData\\Roaming\\Microsoft\\Application Data\\Microsoft\\Application Data\\Application Data\\Microsoft\\Application Data\\Microsoft\\Local Settings\\Temp\\RB@224TJ1J60Y{D(301UX2O.jpg" \* MERGEFORMAT </w:instrText>
      </w:r>
      <w:r>
        <w:rPr>
          <w:rFonts w:hint="eastAsia"/>
        </w:rPr>
        <w:fldChar w:fldCharType="separate"/>
      </w:r>
      <w:r>
        <w:rPr>
          <w:rFonts w:hint="eastAsia"/>
        </w:rPr>
        <w:drawing>
          <wp:inline distT="0" distB="0" distL="114300" distR="114300">
            <wp:extent cx="2718435" cy="351790"/>
            <wp:effectExtent l="0" t="0" r="9525" b="13970"/>
            <wp:docPr id="15" name="图片 48" descr="RB@224TJ1J60Y{D(301UX2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8" descr="RB@224TJ1J60Y{D(301UX2O"/>
                    <pic:cNvPicPr>
                      <a:picLocks noChangeAspect="1"/>
                    </pic:cNvPicPr>
                  </pic:nvPicPr>
                  <pic:blipFill>
                    <a:blip r:embed="rId90"/>
                    <a:stretch>
                      <a:fillRect/>
                    </a:stretch>
                  </pic:blipFill>
                  <pic:spPr>
                    <a:xfrm>
                      <a:off x="0" y="0"/>
                      <a:ext cx="2718435" cy="351790"/>
                    </a:xfrm>
                    <a:prstGeom prst="rect">
                      <a:avLst/>
                    </a:prstGeom>
                    <a:noFill/>
                    <a:ln>
                      <a:noFill/>
                    </a:ln>
                  </pic:spPr>
                </pic:pic>
              </a:graphicData>
            </a:graphic>
          </wp:inline>
        </w:drawing>
      </w:r>
      <w:r>
        <w:rPr>
          <w:rFonts w:hint="eastAsia"/>
        </w:rPr>
        <w:fldChar w:fldCharType="end"/>
      </w:r>
    </w:p>
    <w:p>
      <w:pPr>
        <w:pStyle w:val="8"/>
        <w:rPr>
          <w:rFonts w:hint="eastAsia"/>
        </w:rPr>
      </w:pPr>
      <w:r>
        <w:rPr>
          <w:rFonts w:hint="default" w:ascii="Times New Roman" w:hAnsi="Times New Roman" w:cs="Times New Roman"/>
          <w:b w:val="0"/>
          <w:bCs w:val="0"/>
          <w:sz w:val="24"/>
          <w:szCs w:val="24"/>
          <w:lang w:eastAsia="zh-CN"/>
        </w:rPr>
        <w:t>式中：</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b w:val="0"/>
          <w:bCs w:val="0"/>
          <w:sz w:val="24"/>
          <w:szCs w:val="24"/>
          <w:lang w:eastAsia="zh-CN"/>
        </w:rPr>
      </w:pPr>
      <w:r>
        <w:rPr>
          <w:rFonts w:hint="default" w:ascii="Times New Roman" w:hAnsi="Times New Roman" w:cs="Times New Roman"/>
          <w:b w:val="0"/>
          <w:bCs w:val="0"/>
          <w:sz w:val="24"/>
          <w:szCs w:val="24"/>
          <w:lang w:eastAsia="zh-CN"/>
        </w:rPr>
        <w:t>L—倍频带声功率级，dB；</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b w:val="0"/>
          <w:bCs w:val="0"/>
          <w:sz w:val="24"/>
          <w:szCs w:val="24"/>
          <w:lang w:eastAsia="zh-CN"/>
        </w:rPr>
      </w:pPr>
      <w:r>
        <w:rPr>
          <w:rFonts w:hint="default" w:ascii="Times New Roman" w:hAnsi="Times New Roman" w:cs="Times New Roman"/>
          <w:b w:val="0"/>
          <w:bCs w:val="0"/>
          <w:sz w:val="24"/>
          <w:szCs w:val="24"/>
          <w:lang w:eastAsia="zh-CN"/>
        </w:rPr>
        <w:t>D—指向性校正，dB；它描述点声源的等效连续声压级与产生声功率级的全向点声源在规定方向的级的偏差程度。指向性校正等于点声源的指向性指数DI加上计到小于4π球面度（sr）立体角内的声传播指数DΩ。对辐射到自由空间的全向点声源，Dc=0dB。</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A — 倍频带衰减，dB；</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A</w:t>
      </w:r>
      <w:r>
        <w:rPr>
          <w:rFonts w:hint="eastAsia" w:cs="Times New Roman"/>
          <w:b w:val="0"/>
          <w:bCs w:val="0"/>
          <w:sz w:val="24"/>
          <w:szCs w:val="24"/>
          <w:vertAlign w:val="subscript"/>
          <w:lang w:eastAsia="zh-CN"/>
        </w:rPr>
        <w:t>div</w:t>
      </w:r>
      <w:r>
        <w:rPr>
          <w:rFonts w:hint="eastAsia" w:cs="Times New Roman"/>
          <w:b w:val="0"/>
          <w:bCs w:val="0"/>
          <w:sz w:val="24"/>
          <w:szCs w:val="24"/>
          <w:lang w:eastAsia="zh-CN"/>
        </w:rPr>
        <w:t>—几何发散引起的倍频带衰减，dB；</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A</w:t>
      </w:r>
      <w:r>
        <w:rPr>
          <w:rFonts w:hint="eastAsia" w:cs="Times New Roman"/>
          <w:b w:val="0"/>
          <w:bCs w:val="0"/>
          <w:sz w:val="24"/>
          <w:szCs w:val="24"/>
          <w:vertAlign w:val="subscript"/>
          <w:lang w:eastAsia="zh-CN"/>
        </w:rPr>
        <w:t>atm</w:t>
      </w:r>
      <w:r>
        <w:rPr>
          <w:rFonts w:hint="eastAsia" w:cs="Times New Roman"/>
          <w:b w:val="0"/>
          <w:bCs w:val="0"/>
          <w:sz w:val="24"/>
          <w:szCs w:val="24"/>
          <w:lang w:eastAsia="zh-CN"/>
        </w:rPr>
        <w:t>—大气吸收引起的倍频带衰减，dB；</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A</w:t>
      </w:r>
      <w:r>
        <w:rPr>
          <w:rFonts w:hint="eastAsia" w:cs="Times New Roman"/>
          <w:b w:val="0"/>
          <w:bCs w:val="0"/>
          <w:sz w:val="24"/>
          <w:szCs w:val="24"/>
          <w:vertAlign w:val="subscript"/>
          <w:lang w:eastAsia="zh-CN"/>
        </w:rPr>
        <w:t>gr</w:t>
      </w:r>
      <w:r>
        <w:rPr>
          <w:rFonts w:hint="eastAsia" w:cs="Times New Roman"/>
          <w:b w:val="0"/>
          <w:bCs w:val="0"/>
          <w:sz w:val="24"/>
          <w:szCs w:val="24"/>
          <w:lang w:eastAsia="zh-CN"/>
        </w:rPr>
        <w:t>—地面效应引起的倍频带衰减，dB；</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A</w:t>
      </w:r>
      <w:r>
        <w:rPr>
          <w:rFonts w:hint="eastAsia" w:cs="Times New Roman"/>
          <w:b w:val="0"/>
          <w:bCs w:val="0"/>
          <w:sz w:val="24"/>
          <w:szCs w:val="24"/>
          <w:vertAlign w:val="subscript"/>
          <w:lang w:eastAsia="zh-CN"/>
        </w:rPr>
        <w:t>bar</w:t>
      </w:r>
      <w:r>
        <w:rPr>
          <w:rFonts w:hint="eastAsia" w:cs="Times New Roman"/>
          <w:b w:val="0"/>
          <w:bCs w:val="0"/>
          <w:sz w:val="24"/>
          <w:szCs w:val="24"/>
          <w:lang w:eastAsia="zh-CN"/>
        </w:rPr>
        <w:t xml:space="preserve">— 声屏障引起的倍频带衰减，dB；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A</w:t>
      </w:r>
      <w:r>
        <w:rPr>
          <w:rFonts w:hint="eastAsia" w:cs="Times New Roman"/>
          <w:b w:val="0"/>
          <w:bCs w:val="0"/>
          <w:sz w:val="24"/>
          <w:szCs w:val="24"/>
          <w:vertAlign w:val="subscript"/>
          <w:lang w:eastAsia="zh-CN"/>
        </w:rPr>
        <w:t>misc</w:t>
      </w:r>
      <w:r>
        <w:rPr>
          <w:rFonts w:hint="eastAsia" w:cs="Times New Roman"/>
          <w:b w:val="0"/>
          <w:bCs w:val="0"/>
          <w:sz w:val="24"/>
          <w:szCs w:val="24"/>
          <w:lang w:eastAsia="zh-CN"/>
        </w:rPr>
        <w:t>—其他多方面效应引起的倍频带衰减，dB。</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如已知靠近声源处某点的倍频带声压级LP</w:t>
      </w:r>
      <w:r>
        <w:rPr>
          <w:rFonts w:hint="eastAsia" w:cs="Times New Roman"/>
          <w:b w:val="0"/>
          <w:bCs w:val="0"/>
          <w:sz w:val="24"/>
          <w:szCs w:val="24"/>
          <w:vertAlign w:val="subscript"/>
          <w:lang w:eastAsia="zh-CN"/>
        </w:rPr>
        <w:t>(r0)</w:t>
      </w:r>
      <w:r>
        <w:rPr>
          <w:rFonts w:hint="eastAsia" w:cs="Times New Roman"/>
          <w:b w:val="0"/>
          <w:bCs w:val="0"/>
          <w:sz w:val="24"/>
          <w:szCs w:val="24"/>
          <w:lang w:eastAsia="zh-CN"/>
        </w:rPr>
        <w:t>时，相同方向预测点位置的倍频带声压级LP</w:t>
      </w:r>
      <w:r>
        <w:rPr>
          <w:rFonts w:hint="eastAsia" w:cs="Times New Roman"/>
          <w:b w:val="0"/>
          <w:bCs w:val="0"/>
          <w:sz w:val="24"/>
          <w:szCs w:val="24"/>
          <w:vertAlign w:val="subscript"/>
          <w:lang w:eastAsia="zh-CN"/>
        </w:rPr>
        <w:t>(r)</w:t>
      </w:r>
      <w:r>
        <w:rPr>
          <w:rFonts w:hint="eastAsia" w:cs="Times New Roman"/>
          <w:b w:val="0"/>
          <w:bCs w:val="0"/>
          <w:sz w:val="24"/>
          <w:szCs w:val="24"/>
          <w:lang w:eastAsia="zh-CN"/>
        </w:rPr>
        <w:t>可按以下公式计算：</w:t>
      </w:r>
    </w:p>
    <w:p>
      <w:pPr>
        <w:pStyle w:val="79"/>
        <w:jc w:val="center"/>
        <w:rPr>
          <w:rFonts w:hint="eastAsia"/>
        </w:rPr>
      </w:pPr>
      <w:r>
        <w:rPr>
          <w:rFonts w:hint="eastAsia"/>
        </w:rPr>
        <w:fldChar w:fldCharType="begin"/>
      </w:r>
      <w:r>
        <w:rPr>
          <w:rFonts w:hint="eastAsia"/>
        </w:rPr>
        <w:instrText xml:space="preserve"> INCLUDEPICTURE "C:\\Users\\liuw\\AppData\\Roaming\\Microsoft\\Application Data\\Microsoft\\Application Data\\Application Data\\Microsoft\\Application Data\\Microsoft\\Local Settings\\Temp\\LF_4[L)7QAI$K7$X8PO`OQP.jpg" \* MERGEFORMAT </w:instrText>
      </w:r>
      <w:r>
        <w:rPr>
          <w:rFonts w:hint="eastAsia"/>
        </w:rPr>
        <w:fldChar w:fldCharType="separate"/>
      </w:r>
      <w:r>
        <w:rPr>
          <w:rFonts w:hint="eastAsia"/>
        </w:rPr>
        <w:drawing>
          <wp:inline distT="0" distB="0" distL="114300" distR="114300">
            <wp:extent cx="1346835" cy="288290"/>
            <wp:effectExtent l="0" t="0" r="9525" b="1270"/>
            <wp:docPr id="22" name="图片 49" descr="LF_4[L)7QAI$K7$X8PO`OQ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9" descr="LF_4[L)7QAI$K7$X8PO`OQP"/>
                    <pic:cNvPicPr>
                      <a:picLocks noChangeAspect="1"/>
                    </pic:cNvPicPr>
                  </pic:nvPicPr>
                  <pic:blipFill>
                    <a:blip r:embed="rId91"/>
                    <a:stretch>
                      <a:fillRect/>
                    </a:stretch>
                  </pic:blipFill>
                  <pic:spPr>
                    <a:xfrm>
                      <a:off x="0" y="0"/>
                      <a:ext cx="1346835" cy="288290"/>
                    </a:xfrm>
                    <a:prstGeom prst="rect">
                      <a:avLst/>
                    </a:prstGeom>
                    <a:noFill/>
                    <a:ln>
                      <a:noFill/>
                    </a:ln>
                  </pic:spPr>
                </pic:pic>
              </a:graphicData>
            </a:graphic>
          </wp:inline>
        </w:drawing>
      </w:r>
      <w:r>
        <w:rPr>
          <w:rFonts w:hint="eastAsia"/>
        </w:rPr>
        <w:fldChar w:fldCharType="end"/>
      </w:r>
    </w:p>
    <w:p>
      <w:pPr>
        <w:pStyle w:val="79"/>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eastAsia"/>
          <w:sz w:val="24"/>
          <w:szCs w:val="24"/>
        </w:rPr>
      </w:pPr>
      <w:r>
        <w:rPr>
          <w:rFonts w:hint="eastAsia"/>
          <w:sz w:val="24"/>
          <w:szCs w:val="24"/>
        </w:rPr>
        <w:t>预测点的A声级，可利用8个倍频带的声压级LA</w:t>
      </w:r>
      <w:r>
        <w:rPr>
          <w:sz w:val="24"/>
          <w:szCs w:val="24"/>
          <w:vertAlign w:val="subscript"/>
        </w:rPr>
        <w:t>（</w:t>
      </w:r>
      <w:r>
        <w:rPr>
          <w:rFonts w:hint="eastAsia"/>
          <w:sz w:val="24"/>
          <w:szCs w:val="24"/>
          <w:vertAlign w:val="subscript"/>
        </w:rPr>
        <w:t>r）</w:t>
      </w:r>
      <w:r>
        <w:rPr>
          <w:rFonts w:hint="eastAsia"/>
          <w:sz w:val="24"/>
          <w:szCs w:val="24"/>
        </w:rPr>
        <w:t>按公式计算：</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center"/>
        <w:textAlignment w:val="auto"/>
        <w:rPr>
          <w:rFonts w:hint="eastAsia" w:cs="Times New Roman"/>
          <w:b w:val="0"/>
          <w:bCs w:val="0"/>
          <w:sz w:val="24"/>
          <w:szCs w:val="24"/>
          <w:lang w:eastAsia="zh-CN"/>
        </w:rPr>
      </w:pPr>
      <w:r>
        <w:rPr>
          <w:rFonts w:hint="eastAsia"/>
        </w:rPr>
        <w:fldChar w:fldCharType="begin"/>
      </w:r>
      <w:r>
        <w:rPr>
          <w:rFonts w:hint="eastAsia"/>
        </w:rPr>
        <w:instrText xml:space="preserve"> INCLUDEPICTURE "C:\\Users\\liuw\\AppData\\Roaming\\Microsoft\\Application Data\\Microsoft\\Application Data\\Application Data\\Microsoft\\Application Data\\Microsoft\\Local Settings\\Temp\\]L8XMQ8M9AP7]55T(0K(}C0.jpg" \* MERGEFORMAT </w:instrText>
      </w:r>
      <w:r>
        <w:rPr>
          <w:rFonts w:hint="eastAsia"/>
        </w:rPr>
        <w:fldChar w:fldCharType="separate"/>
      </w:r>
      <w:r>
        <w:rPr>
          <w:rFonts w:hint="eastAsia"/>
        </w:rPr>
        <w:drawing>
          <wp:inline distT="0" distB="0" distL="114300" distR="114300">
            <wp:extent cx="1914525" cy="484505"/>
            <wp:effectExtent l="0" t="0" r="5715" b="3175"/>
            <wp:docPr id="23" name="图片 50" descr="]L8XMQ8M9AP7]55T(0K(}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0" descr="]L8XMQ8M9AP7]55T(0K(}C0"/>
                    <pic:cNvPicPr>
                      <a:picLocks noChangeAspect="1"/>
                    </pic:cNvPicPr>
                  </pic:nvPicPr>
                  <pic:blipFill>
                    <a:blip r:embed="rId92"/>
                    <a:stretch>
                      <a:fillRect/>
                    </a:stretch>
                  </pic:blipFill>
                  <pic:spPr>
                    <a:xfrm>
                      <a:off x="0" y="0"/>
                      <a:ext cx="1914525" cy="484505"/>
                    </a:xfrm>
                    <a:prstGeom prst="rect">
                      <a:avLst/>
                    </a:prstGeom>
                    <a:noFill/>
                    <a:ln>
                      <a:noFill/>
                    </a:ln>
                  </pic:spPr>
                </pic:pic>
              </a:graphicData>
            </a:graphic>
          </wp:inline>
        </w:drawing>
      </w:r>
      <w:r>
        <w:rPr>
          <w:rFonts w:hint="eastAsia"/>
        </w:rPr>
        <w:fldChar w:fldCharType="end"/>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式中： L</w:t>
      </w:r>
      <w:r>
        <w:rPr>
          <w:rFonts w:hint="eastAsia" w:cs="Times New Roman"/>
          <w:b w:val="0"/>
          <w:bCs w:val="0"/>
          <w:sz w:val="24"/>
          <w:szCs w:val="24"/>
          <w:vertAlign w:val="subscript"/>
          <w:lang w:eastAsia="zh-CN"/>
        </w:rPr>
        <w:t>Pi (r)</w:t>
      </w:r>
      <w:r>
        <w:rPr>
          <w:rFonts w:hint="eastAsia" w:cs="Times New Roman"/>
          <w:b w:val="0"/>
          <w:bCs w:val="0"/>
          <w:sz w:val="24"/>
          <w:szCs w:val="24"/>
          <w:lang w:eastAsia="zh-CN"/>
        </w:rPr>
        <w:t xml:space="preserve">—预测点（r）处，第i倍频带声压级，dB；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val="en-US" w:eastAsia="zh-CN"/>
        </w:rPr>
        <w:t xml:space="preserve">       </w:t>
      </w:r>
      <w:r>
        <w:rPr>
          <w:rFonts w:hint="eastAsia" w:cs="Times New Roman"/>
          <w:b w:val="0"/>
          <w:bCs w:val="0"/>
          <w:sz w:val="24"/>
          <w:szCs w:val="24"/>
          <w:lang w:eastAsia="zh-CN"/>
        </w:rPr>
        <w:t>Δ</w:t>
      </w:r>
      <w:r>
        <w:rPr>
          <w:rFonts w:hint="eastAsia" w:cs="Times New Roman"/>
          <w:b w:val="0"/>
          <w:bCs w:val="0"/>
          <w:sz w:val="24"/>
          <w:szCs w:val="24"/>
          <w:vertAlign w:val="subscript"/>
          <w:lang w:eastAsia="zh-CN"/>
        </w:rPr>
        <w:t>Li</w:t>
      </w:r>
      <w:r>
        <w:rPr>
          <w:rFonts w:hint="eastAsia" w:cs="Times New Roman"/>
          <w:b w:val="0"/>
          <w:bCs w:val="0"/>
          <w:sz w:val="24"/>
          <w:szCs w:val="24"/>
          <w:lang w:eastAsia="zh-CN"/>
        </w:rPr>
        <w:t xml:space="preserve"> —i倍频带A计权网络修正值，dB。</w:t>
      </w:r>
    </w:p>
    <w:p>
      <w:pPr>
        <w:pStyle w:val="8"/>
        <w:rPr>
          <w:rFonts w:hint="eastAsia"/>
        </w:rPr>
      </w:pPr>
      <w:r>
        <w:rPr>
          <w:rFonts w:hint="eastAsia" w:cs="Times New Roman"/>
          <w:b w:val="0"/>
          <w:bCs w:val="0"/>
          <w:sz w:val="24"/>
          <w:szCs w:val="24"/>
          <w:lang w:val="en-US" w:eastAsia="zh-CN"/>
        </w:rPr>
        <w:t xml:space="preserve">       </w:t>
      </w:r>
      <w:r>
        <w:rPr>
          <w:rFonts w:hint="eastAsia" w:cs="Times New Roman"/>
          <w:b w:val="0"/>
          <w:bCs w:val="0"/>
          <w:sz w:val="24"/>
          <w:szCs w:val="24"/>
          <w:lang w:eastAsia="zh-CN"/>
        </w:rPr>
        <w:t>63Hz～16000Hz范围内的A计权网络修正值如下表。</w:t>
      </w:r>
    </w:p>
    <w:p>
      <w:pPr>
        <w:pStyle w:val="79"/>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rPr>
      </w:pPr>
      <w:r>
        <w:rPr>
          <w:rFonts w:hint="default" w:ascii="Times New Roman" w:hAnsi="Times New Roman" w:eastAsia="宋体" w:cs="Times New Roman"/>
          <w:b/>
          <w:bCs/>
          <w:sz w:val="21"/>
          <w:szCs w:val="21"/>
        </w:rPr>
        <w:t>表</w:t>
      </w:r>
      <w:r>
        <w:rPr>
          <w:rFonts w:hint="default" w:ascii="Times New Roman" w:hAnsi="Times New Roman" w:eastAsia="宋体" w:cs="Times New Roman"/>
          <w:b/>
          <w:bCs/>
          <w:sz w:val="21"/>
          <w:szCs w:val="21"/>
          <w:lang w:val="en-US" w:eastAsia="zh-CN"/>
        </w:rPr>
        <w:t>5.2-</w:t>
      </w:r>
      <w:r>
        <w:rPr>
          <w:rFonts w:hint="eastAsia" w:ascii="Times New Roman" w:hAnsi="Times New Roman" w:eastAsia="宋体" w:cs="Times New Roman"/>
          <w:b/>
          <w:bCs/>
          <w:sz w:val="21"/>
          <w:szCs w:val="21"/>
          <w:lang w:val="en-US" w:eastAsia="zh-CN"/>
        </w:rPr>
        <w:t>17</w:t>
      </w:r>
      <w:r>
        <w:rPr>
          <w:rFonts w:hint="default" w:ascii="Times New Roman" w:hAnsi="Times New Roman" w:eastAsia="宋体" w:cs="Times New Roman"/>
          <w:b/>
          <w:bCs/>
          <w:sz w:val="21"/>
          <w:szCs w:val="21"/>
        </w:rPr>
        <w:t xml:space="preserve">  A计权网络修正值</w:t>
      </w:r>
    </w:p>
    <w:tbl>
      <w:tblPr>
        <w:tblStyle w:val="63"/>
        <w:tblW w:w="4998" w:type="pct"/>
        <w:tblInd w:w="0" w:type="dxa"/>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autofit"/>
        <w:tblCellMar>
          <w:top w:w="0" w:type="dxa"/>
          <w:left w:w="108" w:type="dxa"/>
          <w:bottom w:w="0" w:type="dxa"/>
          <w:right w:w="108" w:type="dxa"/>
        </w:tblCellMar>
      </w:tblPr>
      <w:tblGrid>
        <w:gridCol w:w="2258"/>
        <w:gridCol w:w="848"/>
        <w:gridCol w:w="848"/>
        <w:gridCol w:w="846"/>
        <w:gridCol w:w="848"/>
        <w:gridCol w:w="848"/>
        <w:gridCol w:w="847"/>
        <w:gridCol w:w="849"/>
        <w:gridCol w:w="849"/>
        <w:gridCol w:w="861"/>
      </w:tblGrid>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277" w:hRule="atLeast"/>
        </w:trPr>
        <w:tc>
          <w:tcPr>
            <w:tcW w:w="1139" w:type="pct"/>
            <w:tcBorders>
              <w:bottom w:val="single" w:color="000000" w:sz="12" w:space="0"/>
            </w:tcBorders>
            <w:noWrap w:val="0"/>
            <w:vAlign w:val="center"/>
          </w:tcPr>
          <w:p>
            <w:pPr>
              <w:jc w:val="center"/>
              <w:rPr>
                <w:rFonts w:hint="eastAsia"/>
                <w:color w:val="auto"/>
              </w:rPr>
            </w:pPr>
            <w:r>
              <w:rPr>
                <w:rFonts w:hint="eastAsia"/>
                <w:color w:val="auto"/>
              </w:rPr>
              <w:t>频率（Hz）</w:t>
            </w:r>
          </w:p>
        </w:tc>
        <w:tc>
          <w:tcPr>
            <w:tcW w:w="428" w:type="pct"/>
            <w:tcBorders>
              <w:bottom w:val="single" w:color="000000" w:sz="12" w:space="0"/>
            </w:tcBorders>
            <w:noWrap w:val="0"/>
            <w:vAlign w:val="center"/>
          </w:tcPr>
          <w:p>
            <w:pPr>
              <w:jc w:val="center"/>
              <w:rPr>
                <w:rFonts w:hint="eastAsia"/>
                <w:color w:val="auto"/>
              </w:rPr>
            </w:pPr>
            <w:r>
              <w:rPr>
                <w:rFonts w:hint="eastAsia"/>
                <w:color w:val="auto"/>
              </w:rPr>
              <w:t>63</w:t>
            </w:r>
          </w:p>
        </w:tc>
        <w:tc>
          <w:tcPr>
            <w:tcW w:w="428" w:type="pct"/>
            <w:tcBorders>
              <w:bottom w:val="single" w:color="000000" w:sz="12" w:space="0"/>
            </w:tcBorders>
            <w:noWrap w:val="0"/>
            <w:vAlign w:val="center"/>
          </w:tcPr>
          <w:p>
            <w:pPr>
              <w:jc w:val="center"/>
              <w:rPr>
                <w:rFonts w:hint="eastAsia"/>
                <w:color w:val="auto"/>
              </w:rPr>
            </w:pPr>
            <w:r>
              <w:rPr>
                <w:rFonts w:hint="eastAsia"/>
                <w:color w:val="auto"/>
              </w:rPr>
              <w:t>125</w:t>
            </w:r>
          </w:p>
        </w:tc>
        <w:tc>
          <w:tcPr>
            <w:tcW w:w="427" w:type="pct"/>
            <w:tcBorders>
              <w:bottom w:val="single" w:color="000000" w:sz="12" w:space="0"/>
            </w:tcBorders>
            <w:noWrap w:val="0"/>
            <w:vAlign w:val="center"/>
          </w:tcPr>
          <w:p>
            <w:pPr>
              <w:jc w:val="center"/>
              <w:rPr>
                <w:rFonts w:hint="eastAsia"/>
                <w:color w:val="auto"/>
              </w:rPr>
            </w:pPr>
            <w:r>
              <w:rPr>
                <w:rFonts w:hint="eastAsia"/>
                <w:color w:val="auto"/>
              </w:rPr>
              <w:t>250</w:t>
            </w:r>
          </w:p>
        </w:tc>
        <w:tc>
          <w:tcPr>
            <w:tcW w:w="428" w:type="pct"/>
            <w:tcBorders>
              <w:bottom w:val="single" w:color="000000" w:sz="12" w:space="0"/>
            </w:tcBorders>
            <w:noWrap w:val="0"/>
            <w:vAlign w:val="center"/>
          </w:tcPr>
          <w:p>
            <w:pPr>
              <w:jc w:val="center"/>
              <w:rPr>
                <w:rFonts w:hint="eastAsia"/>
                <w:color w:val="auto"/>
              </w:rPr>
            </w:pPr>
            <w:r>
              <w:rPr>
                <w:rFonts w:hint="eastAsia"/>
                <w:color w:val="auto"/>
              </w:rPr>
              <w:t>500</w:t>
            </w:r>
          </w:p>
        </w:tc>
        <w:tc>
          <w:tcPr>
            <w:tcW w:w="428" w:type="pct"/>
            <w:tcBorders>
              <w:bottom w:val="single" w:color="000000" w:sz="12" w:space="0"/>
            </w:tcBorders>
            <w:noWrap w:val="0"/>
            <w:vAlign w:val="center"/>
          </w:tcPr>
          <w:p>
            <w:pPr>
              <w:jc w:val="center"/>
              <w:rPr>
                <w:rFonts w:hint="eastAsia"/>
                <w:color w:val="auto"/>
              </w:rPr>
            </w:pPr>
            <w:r>
              <w:rPr>
                <w:rFonts w:hint="eastAsia"/>
                <w:color w:val="auto"/>
              </w:rPr>
              <w:t>1000</w:t>
            </w:r>
          </w:p>
        </w:tc>
        <w:tc>
          <w:tcPr>
            <w:tcW w:w="427" w:type="pct"/>
            <w:tcBorders>
              <w:bottom w:val="single" w:color="000000" w:sz="12" w:space="0"/>
            </w:tcBorders>
            <w:noWrap w:val="0"/>
            <w:vAlign w:val="center"/>
          </w:tcPr>
          <w:p>
            <w:pPr>
              <w:jc w:val="center"/>
              <w:rPr>
                <w:rFonts w:hint="eastAsia"/>
                <w:color w:val="auto"/>
              </w:rPr>
            </w:pPr>
            <w:r>
              <w:rPr>
                <w:rFonts w:hint="eastAsia"/>
                <w:color w:val="auto"/>
              </w:rPr>
              <w:t>2000</w:t>
            </w:r>
          </w:p>
        </w:tc>
        <w:tc>
          <w:tcPr>
            <w:tcW w:w="428" w:type="pct"/>
            <w:tcBorders>
              <w:bottom w:val="single" w:color="000000" w:sz="12" w:space="0"/>
            </w:tcBorders>
            <w:noWrap w:val="0"/>
            <w:vAlign w:val="center"/>
          </w:tcPr>
          <w:p>
            <w:pPr>
              <w:jc w:val="center"/>
              <w:rPr>
                <w:rFonts w:hint="eastAsia"/>
                <w:color w:val="auto"/>
              </w:rPr>
            </w:pPr>
            <w:r>
              <w:rPr>
                <w:rFonts w:hint="eastAsia"/>
                <w:color w:val="auto"/>
              </w:rPr>
              <w:t>4000</w:t>
            </w:r>
          </w:p>
        </w:tc>
        <w:tc>
          <w:tcPr>
            <w:tcW w:w="428" w:type="pct"/>
            <w:tcBorders>
              <w:bottom w:val="single" w:color="000000" w:sz="12" w:space="0"/>
            </w:tcBorders>
            <w:noWrap w:val="0"/>
            <w:vAlign w:val="center"/>
          </w:tcPr>
          <w:p>
            <w:pPr>
              <w:jc w:val="center"/>
              <w:rPr>
                <w:rFonts w:hint="eastAsia"/>
                <w:color w:val="auto"/>
              </w:rPr>
            </w:pPr>
            <w:r>
              <w:rPr>
                <w:rFonts w:hint="eastAsia"/>
                <w:color w:val="auto"/>
              </w:rPr>
              <w:t>8000</w:t>
            </w:r>
          </w:p>
        </w:tc>
        <w:tc>
          <w:tcPr>
            <w:tcW w:w="434" w:type="pct"/>
            <w:tcBorders>
              <w:bottom w:val="single" w:color="000000" w:sz="12" w:space="0"/>
            </w:tcBorders>
            <w:noWrap w:val="0"/>
            <w:vAlign w:val="center"/>
          </w:tcPr>
          <w:p>
            <w:pPr>
              <w:jc w:val="center"/>
              <w:rPr>
                <w:rFonts w:hint="eastAsia"/>
                <w:color w:val="auto"/>
              </w:rPr>
            </w:pPr>
            <w:r>
              <w:rPr>
                <w:rFonts w:hint="eastAsia"/>
                <w:color w:val="auto"/>
              </w:rPr>
              <w:t>16000</w:t>
            </w:r>
          </w:p>
        </w:tc>
      </w:tr>
      <w:tr>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370" w:hRule="atLeast"/>
        </w:trPr>
        <w:tc>
          <w:tcPr>
            <w:tcW w:w="1139" w:type="pct"/>
            <w:tcBorders>
              <w:top w:val="single" w:color="000000" w:sz="12" w:space="0"/>
            </w:tcBorders>
            <w:noWrap w:val="0"/>
            <w:vAlign w:val="center"/>
          </w:tcPr>
          <w:p>
            <w:pPr>
              <w:jc w:val="center"/>
              <w:rPr>
                <w:rFonts w:hint="eastAsia"/>
                <w:color w:val="auto"/>
              </w:rPr>
            </w:pPr>
            <w:r>
              <w:rPr>
                <w:rFonts w:hint="eastAsia"/>
                <w:color w:val="auto"/>
              </w:rPr>
              <w:t>ΔLi（dB）</w:t>
            </w:r>
          </w:p>
        </w:tc>
        <w:tc>
          <w:tcPr>
            <w:tcW w:w="428" w:type="pct"/>
            <w:tcBorders>
              <w:top w:val="single" w:color="000000" w:sz="12" w:space="0"/>
            </w:tcBorders>
            <w:noWrap w:val="0"/>
            <w:vAlign w:val="center"/>
          </w:tcPr>
          <w:p>
            <w:pPr>
              <w:jc w:val="center"/>
              <w:rPr>
                <w:rFonts w:hint="eastAsia"/>
                <w:color w:val="auto"/>
              </w:rPr>
            </w:pPr>
            <w:r>
              <w:rPr>
                <w:rFonts w:hint="eastAsia"/>
                <w:color w:val="auto"/>
              </w:rPr>
              <w:t>-26.2</w:t>
            </w:r>
          </w:p>
        </w:tc>
        <w:tc>
          <w:tcPr>
            <w:tcW w:w="428" w:type="pct"/>
            <w:tcBorders>
              <w:top w:val="single" w:color="000000" w:sz="12" w:space="0"/>
            </w:tcBorders>
            <w:noWrap w:val="0"/>
            <w:vAlign w:val="center"/>
          </w:tcPr>
          <w:p>
            <w:pPr>
              <w:jc w:val="center"/>
              <w:rPr>
                <w:rFonts w:hint="eastAsia"/>
                <w:color w:val="auto"/>
              </w:rPr>
            </w:pPr>
            <w:r>
              <w:rPr>
                <w:rFonts w:hint="eastAsia"/>
                <w:color w:val="auto"/>
              </w:rPr>
              <w:t>-16.1</w:t>
            </w:r>
          </w:p>
        </w:tc>
        <w:tc>
          <w:tcPr>
            <w:tcW w:w="427" w:type="pct"/>
            <w:tcBorders>
              <w:top w:val="single" w:color="000000" w:sz="12" w:space="0"/>
            </w:tcBorders>
            <w:noWrap w:val="0"/>
            <w:vAlign w:val="center"/>
          </w:tcPr>
          <w:p>
            <w:pPr>
              <w:jc w:val="center"/>
              <w:rPr>
                <w:rFonts w:hint="eastAsia"/>
                <w:color w:val="auto"/>
              </w:rPr>
            </w:pPr>
            <w:r>
              <w:rPr>
                <w:rFonts w:hint="eastAsia"/>
                <w:color w:val="auto"/>
              </w:rPr>
              <w:t>-8.6</w:t>
            </w:r>
          </w:p>
        </w:tc>
        <w:tc>
          <w:tcPr>
            <w:tcW w:w="428" w:type="pct"/>
            <w:tcBorders>
              <w:top w:val="single" w:color="000000" w:sz="12" w:space="0"/>
            </w:tcBorders>
            <w:noWrap w:val="0"/>
            <w:vAlign w:val="center"/>
          </w:tcPr>
          <w:p>
            <w:pPr>
              <w:jc w:val="center"/>
              <w:rPr>
                <w:rFonts w:hint="eastAsia"/>
                <w:color w:val="auto"/>
              </w:rPr>
            </w:pPr>
            <w:r>
              <w:rPr>
                <w:rFonts w:hint="eastAsia"/>
                <w:color w:val="auto"/>
              </w:rPr>
              <w:t>-3.2</w:t>
            </w:r>
          </w:p>
        </w:tc>
        <w:tc>
          <w:tcPr>
            <w:tcW w:w="428" w:type="pct"/>
            <w:tcBorders>
              <w:top w:val="single" w:color="000000" w:sz="12" w:space="0"/>
            </w:tcBorders>
            <w:noWrap w:val="0"/>
            <w:vAlign w:val="center"/>
          </w:tcPr>
          <w:p>
            <w:pPr>
              <w:jc w:val="center"/>
              <w:rPr>
                <w:rFonts w:hint="eastAsia"/>
                <w:color w:val="auto"/>
              </w:rPr>
            </w:pPr>
            <w:r>
              <w:rPr>
                <w:rFonts w:hint="eastAsia"/>
                <w:color w:val="auto"/>
              </w:rPr>
              <w:t>0</w:t>
            </w:r>
          </w:p>
        </w:tc>
        <w:tc>
          <w:tcPr>
            <w:tcW w:w="427" w:type="pct"/>
            <w:tcBorders>
              <w:top w:val="single" w:color="000000" w:sz="12" w:space="0"/>
            </w:tcBorders>
            <w:noWrap w:val="0"/>
            <w:vAlign w:val="center"/>
          </w:tcPr>
          <w:p>
            <w:pPr>
              <w:jc w:val="center"/>
              <w:rPr>
                <w:rFonts w:hint="eastAsia"/>
                <w:color w:val="auto"/>
              </w:rPr>
            </w:pPr>
            <w:r>
              <w:rPr>
                <w:rFonts w:hint="eastAsia"/>
                <w:color w:val="auto"/>
              </w:rPr>
              <w:t>1.2</w:t>
            </w:r>
          </w:p>
        </w:tc>
        <w:tc>
          <w:tcPr>
            <w:tcW w:w="428" w:type="pct"/>
            <w:tcBorders>
              <w:top w:val="single" w:color="000000" w:sz="12" w:space="0"/>
            </w:tcBorders>
            <w:noWrap w:val="0"/>
            <w:vAlign w:val="center"/>
          </w:tcPr>
          <w:p>
            <w:pPr>
              <w:jc w:val="center"/>
              <w:rPr>
                <w:rFonts w:hint="eastAsia"/>
                <w:color w:val="auto"/>
              </w:rPr>
            </w:pPr>
            <w:r>
              <w:rPr>
                <w:rFonts w:hint="eastAsia"/>
                <w:color w:val="auto"/>
              </w:rPr>
              <w:t>1.0</w:t>
            </w:r>
          </w:p>
        </w:tc>
        <w:tc>
          <w:tcPr>
            <w:tcW w:w="428" w:type="pct"/>
            <w:tcBorders>
              <w:top w:val="single" w:color="000000" w:sz="12" w:space="0"/>
            </w:tcBorders>
            <w:noWrap w:val="0"/>
            <w:vAlign w:val="center"/>
          </w:tcPr>
          <w:p>
            <w:pPr>
              <w:jc w:val="center"/>
              <w:rPr>
                <w:rFonts w:hint="eastAsia"/>
                <w:color w:val="auto"/>
              </w:rPr>
            </w:pPr>
            <w:r>
              <w:rPr>
                <w:rFonts w:hint="eastAsia"/>
                <w:color w:val="auto"/>
              </w:rPr>
              <w:t>-1.1</w:t>
            </w:r>
          </w:p>
        </w:tc>
        <w:tc>
          <w:tcPr>
            <w:tcW w:w="434" w:type="pct"/>
            <w:tcBorders>
              <w:top w:val="single" w:color="000000" w:sz="12" w:space="0"/>
            </w:tcBorders>
            <w:noWrap w:val="0"/>
            <w:vAlign w:val="center"/>
          </w:tcPr>
          <w:p>
            <w:pPr>
              <w:jc w:val="center"/>
              <w:rPr>
                <w:rFonts w:hint="eastAsia"/>
                <w:color w:val="auto"/>
              </w:rPr>
            </w:pPr>
            <w:r>
              <w:rPr>
                <w:rFonts w:hint="eastAsia"/>
                <w:color w:val="auto"/>
              </w:rPr>
              <w:t>-6.6</w:t>
            </w:r>
          </w:p>
        </w:tc>
      </w:tr>
    </w:tbl>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 xml:space="preserve">在不能取得声源倍频带声功率级或倍频带声压级，只能获得A声功率级或某点的A声级时，可按以下公式作近似计算： </w:t>
      </w: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b w:val="0"/>
          <w:bCs w:val="0"/>
          <w:sz w:val="24"/>
          <w:szCs w:val="24"/>
          <w:lang w:eastAsia="zh-CN"/>
        </w:rPr>
      </w:pPr>
      <w:r>
        <w:rPr>
          <w:rFonts w:hint="eastAsia" w:cs="Times New Roman"/>
          <w:b w:val="0"/>
          <w:bCs w:val="0"/>
          <w:sz w:val="21"/>
          <w:szCs w:val="21"/>
          <w:lang w:eastAsia="zh-CN"/>
        </w:rPr>
        <w:fldChar w:fldCharType="begin"/>
      </w:r>
      <w:r>
        <w:rPr>
          <w:rFonts w:hint="eastAsia" w:cs="Times New Roman"/>
          <w:b w:val="0"/>
          <w:bCs w:val="0"/>
          <w:sz w:val="21"/>
          <w:szCs w:val="21"/>
          <w:lang w:eastAsia="zh-CN"/>
        </w:rPr>
        <w:instrText xml:space="preserve"> INCLUDEPICTURE "C:\\Users\\liuw\\AppData\\Roaming\\Microsoft\\Application Data\\Microsoft\\Application Data\\Application Data\\Microsoft\\Application Data\\Microsoft\\Local Settings\\Temp\\)D(VORGFO~_}@DKQ}[@_B$L.jpg" \* MERGEFORMAT </w:instrText>
      </w:r>
      <w:r>
        <w:rPr>
          <w:rFonts w:hint="eastAsia" w:cs="Times New Roman"/>
          <w:b w:val="0"/>
          <w:bCs w:val="0"/>
          <w:sz w:val="21"/>
          <w:szCs w:val="21"/>
          <w:lang w:eastAsia="zh-CN"/>
        </w:rPr>
        <w:fldChar w:fldCharType="separate"/>
      </w:r>
      <w:r>
        <w:rPr>
          <w:rFonts w:hint="eastAsia" w:cs="Times New Roman"/>
          <w:b w:val="0"/>
          <w:bCs w:val="0"/>
          <w:sz w:val="21"/>
          <w:szCs w:val="21"/>
          <w:lang w:eastAsia="zh-CN"/>
        </w:rPr>
        <w:drawing>
          <wp:inline distT="0" distB="0" distL="114300" distR="114300">
            <wp:extent cx="1422400" cy="233045"/>
            <wp:effectExtent l="0" t="0" r="10160" b="10795"/>
            <wp:docPr id="32" name="图片 53" descr=")D(VORGFO~_}@DKQ}[@_B$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53" descr=")D(VORGFO~_}@DKQ}[@_B$L"/>
                    <pic:cNvPicPr>
                      <a:picLocks noChangeAspect="1"/>
                    </pic:cNvPicPr>
                  </pic:nvPicPr>
                  <pic:blipFill>
                    <a:blip r:embed="rId93"/>
                    <a:stretch>
                      <a:fillRect/>
                    </a:stretch>
                  </pic:blipFill>
                  <pic:spPr>
                    <a:xfrm>
                      <a:off x="0" y="0"/>
                      <a:ext cx="1422400" cy="233045"/>
                    </a:xfrm>
                    <a:prstGeom prst="rect">
                      <a:avLst/>
                    </a:prstGeom>
                    <a:noFill/>
                    <a:ln>
                      <a:noFill/>
                    </a:ln>
                  </pic:spPr>
                </pic:pic>
              </a:graphicData>
            </a:graphic>
          </wp:inline>
        </w:drawing>
      </w:r>
      <w:r>
        <w:rPr>
          <w:rFonts w:hint="eastAsia" w:cs="Times New Roman"/>
          <w:b w:val="0"/>
          <w:bCs w:val="0"/>
          <w:sz w:val="21"/>
          <w:szCs w:val="21"/>
          <w:lang w:eastAsia="zh-CN"/>
        </w:rPr>
        <w:fldChar w:fldCharType="end"/>
      </w:r>
      <w:r>
        <w:rPr>
          <w:rFonts w:hint="eastAsia" w:cs="Times New Roman"/>
          <w:b w:val="0"/>
          <w:bCs w:val="0"/>
          <w:sz w:val="24"/>
          <w:szCs w:val="24"/>
          <w:lang w:eastAsia="zh-CN"/>
        </w:rPr>
        <w:t>或</w:t>
      </w:r>
      <w:r>
        <w:rPr>
          <w:rFonts w:hint="eastAsia" w:cs="Times New Roman"/>
          <w:b w:val="0"/>
          <w:bCs w:val="0"/>
          <w:sz w:val="24"/>
          <w:szCs w:val="24"/>
          <w:lang w:eastAsia="zh-CN"/>
        </w:rPr>
        <w:fldChar w:fldCharType="begin"/>
      </w:r>
      <w:r>
        <w:rPr>
          <w:rFonts w:hint="eastAsia" w:cs="Times New Roman"/>
          <w:b w:val="0"/>
          <w:bCs w:val="0"/>
          <w:sz w:val="24"/>
          <w:szCs w:val="24"/>
          <w:lang w:eastAsia="zh-CN"/>
        </w:rPr>
        <w:instrText xml:space="preserve"> INCLUDEPICTURE "C:\\Users\\liuw\\AppData\\Roaming\\Microsoft\\Application Data\\Microsoft\\Application Data\\Application Data\\Microsoft\\Application Data\\Microsoft\\Local Settings\\Temp\\I3EF75F)94LZ8_MV9JA]B1B.jpg" \* MERGEFORMAT </w:instrText>
      </w:r>
      <w:r>
        <w:rPr>
          <w:rFonts w:hint="eastAsia" w:cs="Times New Roman"/>
          <w:b w:val="0"/>
          <w:bCs w:val="0"/>
          <w:sz w:val="24"/>
          <w:szCs w:val="24"/>
          <w:lang w:eastAsia="zh-CN"/>
        </w:rPr>
        <w:fldChar w:fldCharType="separate"/>
      </w:r>
      <w:r>
        <w:rPr>
          <w:rFonts w:hint="eastAsia" w:cs="Times New Roman"/>
          <w:b w:val="0"/>
          <w:bCs w:val="0"/>
          <w:sz w:val="24"/>
          <w:szCs w:val="24"/>
          <w:lang w:eastAsia="zh-CN"/>
        </w:rPr>
        <w:drawing>
          <wp:inline distT="0" distB="0" distL="114300" distR="114300">
            <wp:extent cx="1277620" cy="248920"/>
            <wp:effectExtent l="0" t="0" r="2540" b="10160"/>
            <wp:docPr id="29" name="图片 54" descr="I3EF75F)94LZ8_MV9JA]B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54" descr="I3EF75F)94LZ8_MV9JA]B1B"/>
                    <pic:cNvPicPr>
                      <a:picLocks noChangeAspect="1"/>
                    </pic:cNvPicPr>
                  </pic:nvPicPr>
                  <pic:blipFill>
                    <a:blip r:embed="rId94"/>
                    <a:stretch>
                      <a:fillRect/>
                    </a:stretch>
                  </pic:blipFill>
                  <pic:spPr>
                    <a:xfrm>
                      <a:off x="0" y="0"/>
                      <a:ext cx="1277620" cy="248920"/>
                    </a:xfrm>
                    <a:prstGeom prst="rect">
                      <a:avLst/>
                    </a:prstGeom>
                    <a:noFill/>
                    <a:ln>
                      <a:noFill/>
                    </a:ln>
                  </pic:spPr>
                </pic:pic>
              </a:graphicData>
            </a:graphic>
          </wp:inline>
        </w:drawing>
      </w:r>
      <w:r>
        <w:rPr>
          <w:rFonts w:hint="eastAsia" w:cs="Times New Roman"/>
          <w:b w:val="0"/>
          <w:bCs w:val="0"/>
          <w:sz w:val="24"/>
          <w:szCs w:val="24"/>
          <w:lang w:eastAsia="zh-CN"/>
        </w:rPr>
        <w:fldChar w:fldCharType="end"/>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A可选择对A声级影响最大的倍频带计算，一般可选中心频率为500Hz的倍频带作估算。</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室内声源等效室外声源功率级计算。</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如</w:t>
      </w:r>
      <w:r>
        <w:rPr>
          <w:rFonts w:hint="eastAsia" w:cs="Times New Roman"/>
          <w:b w:val="0"/>
          <w:bCs w:val="0"/>
          <w:sz w:val="24"/>
          <w:szCs w:val="24"/>
          <w:lang w:eastAsia="zh-CN"/>
        </w:rPr>
        <w:fldChar w:fldCharType="begin"/>
      </w:r>
      <w:r>
        <w:rPr>
          <w:rFonts w:hint="eastAsia" w:cs="Times New Roman"/>
          <w:b w:val="0"/>
          <w:bCs w:val="0"/>
          <w:sz w:val="24"/>
          <w:szCs w:val="24"/>
          <w:lang w:eastAsia="zh-CN"/>
        </w:rPr>
        <w:instrText xml:space="preserve"> REF _Ref291356076 \h  \* MERGEFORMAT </w:instrText>
      </w:r>
      <w:r>
        <w:rPr>
          <w:rFonts w:hint="eastAsia" w:cs="Times New Roman"/>
          <w:b w:val="0"/>
          <w:bCs w:val="0"/>
          <w:sz w:val="24"/>
          <w:szCs w:val="24"/>
          <w:lang w:eastAsia="zh-CN"/>
        </w:rPr>
        <w:fldChar w:fldCharType="separate"/>
      </w:r>
      <w:r>
        <w:rPr>
          <w:rFonts w:hint="eastAsia" w:cs="Times New Roman"/>
          <w:b w:val="0"/>
          <w:bCs w:val="0"/>
          <w:sz w:val="24"/>
          <w:szCs w:val="24"/>
          <w:lang w:eastAsia="zh-CN"/>
        </w:rPr>
        <w:t>图</w:t>
      </w:r>
      <w:r>
        <w:rPr>
          <w:rFonts w:hint="eastAsia" w:cs="Times New Roman"/>
          <w:b w:val="0"/>
          <w:bCs w:val="0"/>
          <w:sz w:val="24"/>
          <w:szCs w:val="24"/>
          <w:lang w:val="en-US" w:eastAsia="zh-CN"/>
        </w:rPr>
        <w:t>5.2</w:t>
      </w:r>
      <w:r>
        <w:rPr>
          <w:rFonts w:hint="eastAsia" w:cs="Times New Roman"/>
          <w:b w:val="0"/>
          <w:bCs w:val="0"/>
          <w:sz w:val="24"/>
          <w:szCs w:val="24"/>
          <w:lang w:eastAsia="zh-CN"/>
        </w:rPr>
        <w:noBreakHyphen/>
      </w:r>
      <w:r>
        <w:rPr>
          <w:rFonts w:hint="eastAsia" w:cs="Times New Roman"/>
          <w:b w:val="0"/>
          <w:bCs w:val="0"/>
          <w:sz w:val="24"/>
          <w:szCs w:val="24"/>
          <w:lang w:val="en-US" w:eastAsia="zh-CN"/>
        </w:rPr>
        <w:t>4</w:t>
      </w:r>
      <w:r>
        <w:rPr>
          <w:rFonts w:hint="eastAsia" w:cs="Times New Roman"/>
          <w:b w:val="0"/>
          <w:bCs w:val="0"/>
          <w:sz w:val="24"/>
          <w:szCs w:val="24"/>
          <w:lang w:eastAsia="zh-CN"/>
        </w:rPr>
        <w:fldChar w:fldCharType="end"/>
      </w:r>
      <w:r>
        <w:rPr>
          <w:rFonts w:hint="eastAsia" w:cs="Times New Roman"/>
          <w:b w:val="0"/>
          <w:bCs w:val="0"/>
          <w:sz w:val="24"/>
          <w:szCs w:val="24"/>
          <w:lang w:eastAsia="zh-CN"/>
        </w:rPr>
        <w:t>所示，声源位于室内，室内声源可采用等效室外声源声功率级法进行计算。设靠近开口处（或窗户）室内、室外某倍频带的声压级分别为Lp1和Lp2。若声源所在室内声场为近似扩散声场，则室外的倍频带声压级可按以下公式似求出：</w:t>
      </w:r>
    </w:p>
    <w:p>
      <w:pPr>
        <w:pStyle w:val="669"/>
        <w:ind w:left="0" w:leftChars="0" w:firstLine="0" w:firstLineChars="0"/>
        <w:jc w:val="center"/>
      </w:pPr>
      <w:r>
        <w:fldChar w:fldCharType="begin"/>
      </w:r>
      <w:r>
        <w:instrText xml:space="preserve"> INCLUDEPICTURE "C:\\Users\\liuw\\AppData\\Roaming\\Microsoft\\Application Data\\Microsoft\\Application Data\\Application Data\\Microsoft\\Application Data\\Microsoft\\Local Settings\\Temp\\1$)ZN_66L2J~23G@5YOTER2.jpg" \* MERGEFORMAT </w:instrText>
      </w:r>
      <w:r>
        <w:fldChar w:fldCharType="separate"/>
      </w:r>
      <w:r>
        <w:drawing>
          <wp:inline distT="0" distB="0" distL="114300" distR="114300">
            <wp:extent cx="1421130" cy="276225"/>
            <wp:effectExtent l="0" t="0" r="11430" b="13335"/>
            <wp:docPr id="34" name="图片 55" descr="1$)ZN_66L2J~23G@5YOTE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55" descr="1$)ZN_66L2J~23G@5YOTER2"/>
                    <pic:cNvPicPr>
                      <a:picLocks noChangeAspect="1"/>
                    </pic:cNvPicPr>
                  </pic:nvPicPr>
                  <pic:blipFill>
                    <a:blip r:embed="rId95"/>
                    <a:stretch>
                      <a:fillRect/>
                    </a:stretch>
                  </pic:blipFill>
                  <pic:spPr>
                    <a:xfrm>
                      <a:off x="0" y="0"/>
                      <a:ext cx="1421130" cy="276225"/>
                    </a:xfrm>
                    <a:prstGeom prst="rect">
                      <a:avLst/>
                    </a:prstGeom>
                    <a:noFill/>
                    <a:ln>
                      <a:noFill/>
                    </a:ln>
                  </pic:spPr>
                </pic:pic>
              </a:graphicData>
            </a:graphic>
          </wp:inline>
        </w:drawing>
      </w:r>
      <w:r>
        <w:fldChar w:fldCharType="end"/>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sz w:val="24"/>
          <w:szCs w:val="24"/>
        </w:rPr>
        <w:t>式中：TL—隔墙（或窗户）倍频带的隔声量，dB。</w:t>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cs="Times New Roman"/>
          <w:b w:val="0"/>
          <w:bCs w:val="0"/>
          <w:sz w:val="24"/>
          <w:szCs w:val="24"/>
          <w:lang w:eastAsia="zh-CN"/>
        </w:rPr>
      </w:pPr>
      <w:r>
        <w:fldChar w:fldCharType="begin"/>
      </w:r>
      <w:r>
        <w:instrText xml:space="preserve"> INCLUDEPICTURE "C:\\Users\\liuw\\AppData\\Roaming\\Microsoft\\Application Data\\Microsoft\\Application Data\\Application Data\\Microsoft\\Application Data\\Microsoft\\Local Settings\\Temp\\LJBS_MAO52PI]%QU1566RQB.jpg" \* MERGEFORMAT </w:instrText>
      </w:r>
      <w:r>
        <w:fldChar w:fldCharType="separate"/>
      </w:r>
      <w:r>
        <w:drawing>
          <wp:inline distT="0" distB="0" distL="114300" distR="114300">
            <wp:extent cx="2712720" cy="1395730"/>
            <wp:effectExtent l="0" t="0" r="0" b="6350"/>
            <wp:docPr id="36" name="图片 56" descr="LJBS_MAO52PI]%QU1566RQ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56" descr="LJBS_MAO52PI]%QU1566RQB"/>
                    <pic:cNvPicPr>
                      <a:picLocks noChangeAspect="1"/>
                    </pic:cNvPicPr>
                  </pic:nvPicPr>
                  <pic:blipFill>
                    <a:blip r:embed="rId96"/>
                    <a:stretch>
                      <a:fillRect/>
                    </a:stretch>
                  </pic:blipFill>
                  <pic:spPr>
                    <a:xfrm>
                      <a:off x="0" y="0"/>
                      <a:ext cx="2712720" cy="1395730"/>
                    </a:xfrm>
                    <a:prstGeom prst="rect">
                      <a:avLst/>
                    </a:prstGeom>
                    <a:noFill/>
                    <a:ln>
                      <a:noFill/>
                    </a:ln>
                  </pic:spPr>
                </pic:pic>
              </a:graphicData>
            </a:graphic>
          </wp:inline>
        </w:drawing>
      </w:r>
      <w:r>
        <w:fldChar w:fldCharType="end"/>
      </w:r>
    </w:p>
    <w:p>
      <w:pPr>
        <w:pStyle w:val="868"/>
        <w:rPr>
          <w:sz w:val="21"/>
          <w:szCs w:val="21"/>
        </w:rPr>
      </w:pPr>
      <w:bookmarkStart w:id="60" w:name="_Ref291356076"/>
      <w:r>
        <w:rPr>
          <w:sz w:val="21"/>
          <w:szCs w:val="21"/>
        </w:rPr>
        <w:t>图</w:t>
      </w:r>
      <w:bookmarkEnd w:id="60"/>
      <w:r>
        <w:rPr>
          <w:rFonts w:hint="eastAsia" w:ascii="Times New Roman" w:hAnsi="Times New Roman" w:cs="Times New Roman"/>
          <w:sz w:val="21"/>
          <w:szCs w:val="21"/>
          <w:lang w:val="en-US" w:eastAsia="zh-CN"/>
        </w:rPr>
        <w:t>5.2</w:t>
      </w:r>
      <w:r>
        <w:rPr>
          <w:rFonts w:hint="default" w:ascii="Times New Roman" w:hAnsi="Times New Roman" w:cs="Times New Roman"/>
          <w:sz w:val="21"/>
          <w:szCs w:val="21"/>
          <w:lang w:val="en-US" w:eastAsia="zh-CN"/>
        </w:rPr>
        <w:t>-</w:t>
      </w:r>
      <w:r>
        <w:rPr>
          <w:rFonts w:hint="eastAsia" w:ascii="Times New Roman" w:hAnsi="Times New Roman" w:cs="Times New Roman"/>
          <w:sz w:val="21"/>
          <w:szCs w:val="21"/>
          <w:lang w:val="en-US" w:eastAsia="zh-CN"/>
        </w:rPr>
        <w:t>4</w:t>
      </w:r>
      <w:r>
        <w:rPr>
          <w:sz w:val="21"/>
          <w:szCs w:val="21"/>
        </w:rPr>
        <w:t xml:space="preserve">  室内声源等效为室外声源图例</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也可按下式计算某一室内声源靠近围护结构处产生的倍频声压级：</w:t>
      </w: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b w:val="0"/>
          <w:bCs w:val="0"/>
          <w:sz w:val="24"/>
          <w:szCs w:val="24"/>
          <w:lang w:eastAsia="zh-CN"/>
        </w:rPr>
      </w:pPr>
      <w:r>
        <w:rPr>
          <w:rFonts w:hint="eastAsia" w:cs="Times New Roman"/>
          <w:b w:val="0"/>
          <w:bCs w:val="0"/>
          <w:sz w:val="21"/>
          <w:szCs w:val="21"/>
          <w:lang w:eastAsia="zh-CN"/>
        </w:rPr>
        <w:fldChar w:fldCharType="begin"/>
      </w:r>
      <w:r>
        <w:rPr>
          <w:rFonts w:hint="eastAsia" w:cs="Times New Roman"/>
          <w:b w:val="0"/>
          <w:bCs w:val="0"/>
          <w:sz w:val="21"/>
          <w:szCs w:val="21"/>
          <w:lang w:eastAsia="zh-CN"/>
        </w:rPr>
        <w:instrText xml:space="preserve"> INCLUDEPICTURE "C:\\Users\\liuw\\AppData\\Roaming\\Microsoft\\Application Data\\Microsoft\\Application Data\\Application Data\\Microsoft\\Application Data\\Microsoft\\Local Settings\\Temp\\I7SNPSUBB`5()UAH[99]I8J.jpg" \* MERGEFORMAT </w:instrText>
      </w:r>
      <w:r>
        <w:rPr>
          <w:rFonts w:hint="eastAsia" w:cs="Times New Roman"/>
          <w:b w:val="0"/>
          <w:bCs w:val="0"/>
          <w:sz w:val="21"/>
          <w:szCs w:val="21"/>
          <w:lang w:eastAsia="zh-CN"/>
        </w:rPr>
        <w:fldChar w:fldCharType="separate"/>
      </w:r>
      <w:r>
        <w:rPr>
          <w:rFonts w:hint="eastAsia" w:cs="Times New Roman"/>
          <w:b w:val="0"/>
          <w:bCs w:val="0"/>
          <w:sz w:val="21"/>
          <w:szCs w:val="21"/>
          <w:lang w:eastAsia="zh-CN"/>
        </w:rPr>
        <w:drawing>
          <wp:inline distT="0" distB="0" distL="114300" distR="114300">
            <wp:extent cx="1931035" cy="521335"/>
            <wp:effectExtent l="0" t="0" r="4445" b="12065"/>
            <wp:docPr id="39" name="图片 58" descr="I7SNPSUBB`5()UAH[99]I8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58" descr="I7SNPSUBB`5()UAH[99]I8J"/>
                    <pic:cNvPicPr>
                      <a:picLocks noChangeAspect="1"/>
                    </pic:cNvPicPr>
                  </pic:nvPicPr>
                  <pic:blipFill>
                    <a:blip r:embed="rId97"/>
                    <a:stretch>
                      <a:fillRect/>
                    </a:stretch>
                  </pic:blipFill>
                  <pic:spPr>
                    <a:xfrm>
                      <a:off x="0" y="0"/>
                      <a:ext cx="1931035" cy="521335"/>
                    </a:xfrm>
                    <a:prstGeom prst="rect">
                      <a:avLst/>
                    </a:prstGeom>
                    <a:noFill/>
                    <a:ln>
                      <a:noFill/>
                    </a:ln>
                  </pic:spPr>
                </pic:pic>
              </a:graphicData>
            </a:graphic>
          </wp:inline>
        </w:drawing>
      </w:r>
      <w:r>
        <w:rPr>
          <w:rFonts w:hint="eastAsia" w:cs="Times New Roman"/>
          <w:b w:val="0"/>
          <w:bCs w:val="0"/>
          <w:sz w:val="21"/>
          <w:szCs w:val="21"/>
          <w:lang w:eastAsia="zh-CN"/>
        </w:rPr>
        <w:fldChar w:fldCharType="end"/>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 xml:space="preserve">式中：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b w:val="0"/>
          <w:bCs w:val="0"/>
          <w:sz w:val="24"/>
          <w:szCs w:val="24"/>
          <w:lang w:eastAsia="zh-CN"/>
        </w:rPr>
      </w:pPr>
      <w:r>
        <w:rPr>
          <w:rFonts w:hint="default" w:ascii="Times New Roman" w:hAnsi="Times New Roman" w:eastAsia="宋体" w:cs="Times New Roman"/>
          <w:b w:val="0"/>
          <w:bCs w:val="0"/>
          <w:sz w:val="24"/>
          <w:szCs w:val="24"/>
          <w:lang w:eastAsia="zh-CN"/>
        </w:rPr>
        <w:t xml:space="preserve">Q—指向性因数；通常对无指向性声源，当声源放在房间中心时，Q=1；当放在一面墙的中心时，Q=2；当放在两面墙夹角处时，Q=4；当放在三面墙夹角处时，Q=8。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b w:val="0"/>
          <w:bCs w:val="0"/>
          <w:sz w:val="24"/>
          <w:szCs w:val="24"/>
          <w:lang w:eastAsia="zh-CN"/>
        </w:rPr>
      </w:pPr>
      <w:r>
        <w:rPr>
          <w:rFonts w:hint="default" w:ascii="Times New Roman" w:hAnsi="Times New Roman" w:eastAsia="宋体" w:cs="Times New Roman"/>
          <w:b w:val="0"/>
          <w:bCs w:val="0"/>
          <w:sz w:val="24"/>
          <w:szCs w:val="24"/>
          <w:lang w:eastAsia="zh-CN"/>
        </w:rPr>
        <w:t>R—房间常数；R= Sα/(1−α)，S为房间内表面面积，m</w:t>
      </w:r>
      <w:r>
        <w:rPr>
          <w:rFonts w:hint="default" w:ascii="Times New Roman" w:hAnsi="Times New Roman" w:eastAsia="宋体" w:cs="Times New Roman"/>
          <w:b w:val="0"/>
          <w:bCs w:val="0"/>
          <w:sz w:val="24"/>
          <w:szCs w:val="24"/>
          <w:vertAlign w:val="superscript"/>
          <w:lang w:eastAsia="zh-CN"/>
        </w:rPr>
        <w:t>2</w:t>
      </w:r>
      <w:r>
        <w:rPr>
          <w:rFonts w:hint="default" w:ascii="Times New Roman" w:hAnsi="Times New Roman" w:eastAsia="宋体" w:cs="Times New Roman"/>
          <w:b w:val="0"/>
          <w:bCs w:val="0"/>
          <w:sz w:val="24"/>
          <w:szCs w:val="24"/>
          <w:lang w:eastAsia="zh-CN"/>
        </w:rPr>
        <w:t xml:space="preserve">；α为平均吸声系数。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b w:val="0"/>
          <w:bCs w:val="0"/>
          <w:sz w:val="24"/>
          <w:szCs w:val="24"/>
          <w:lang w:eastAsia="zh-CN"/>
        </w:rPr>
      </w:pPr>
      <w:r>
        <w:rPr>
          <w:rFonts w:hint="default" w:ascii="Times New Roman" w:hAnsi="Times New Roman" w:eastAsia="宋体" w:cs="Times New Roman"/>
          <w:b w:val="0"/>
          <w:bCs w:val="0"/>
          <w:sz w:val="24"/>
          <w:szCs w:val="24"/>
          <w:lang w:eastAsia="zh-CN"/>
        </w:rPr>
        <w:t xml:space="preserve">r—声源到靠近围护结构某点处的距离，m。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eastAsia="宋体" w:cs="Times New Roman"/>
          <w:b w:val="0"/>
          <w:bCs w:val="0"/>
          <w:sz w:val="24"/>
          <w:szCs w:val="24"/>
          <w:lang w:eastAsia="zh-CN"/>
        </w:rPr>
      </w:pPr>
      <w:r>
        <w:rPr>
          <w:rFonts w:hint="default" w:ascii="Times New Roman" w:hAnsi="Times New Roman" w:eastAsia="宋体" w:cs="Times New Roman"/>
          <w:b w:val="0"/>
          <w:bCs w:val="0"/>
          <w:sz w:val="24"/>
          <w:szCs w:val="24"/>
          <w:lang w:eastAsia="zh-CN"/>
        </w:rPr>
        <w:t>然后按以下公式计算出所有室内声源在围护结构处产生的i倍频带叠加声压级：</w:t>
      </w: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b w:val="0"/>
          <w:bCs w:val="0"/>
          <w:sz w:val="24"/>
          <w:szCs w:val="24"/>
          <w:lang w:eastAsia="zh-CN"/>
        </w:rPr>
      </w:pPr>
      <w:r>
        <w:rPr>
          <w:rFonts w:hint="eastAsia"/>
        </w:rPr>
        <w:fldChar w:fldCharType="begin"/>
      </w:r>
      <w:r>
        <w:rPr>
          <w:rFonts w:hint="eastAsia"/>
        </w:rPr>
        <w:instrText xml:space="preserve"> INCLUDEPICTURE "C:\\Users\\liuw\\AppData\\Roaming\\Microsoft\\Application Data\\Microsoft\\Application Data\\Application Data\\Microsoft\\Application Data\\Microsoft\\Local Settings\\Temp\\[A7}ROMWH(6}10%KXDAL2~E.jpg" \* MERGEFORMAT </w:instrText>
      </w:r>
      <w:r>
        <w:rPr>
          <w:rFonts w:hint="eastAsia"/>
        </w:rPr>
        <w:fldChar w:fldCharType="separate"/>
      </w:r>
      <w:r>
        <w:rPr>
          <w:rFonts w:hint="eastAsia"/>
        </w:rPr>
        <w:drawing>
          <wp:inline distT="0" distB="0" distL="114300" distR="114300">
            <wp:extent cx="2095500" cy="502920"/>
            <wp:effectExtent l="0" t="0" r="7620" b="0"/>
            <wp:docPr id="40" name="图片 59" descr="[A7}ROMWH(6}10%KXDAL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9" descr="[A7}ROMWH(6}10%KXDAL2~E"/>
                    <pic:cNvPicPr>
                      <a:picLocks noChangeAspect="1"/>
                    </pic:cNvPicPr>
                  </pic:nvPicPr>
                  <pic:blipFill>
                    <a:blip r:embed="rId98"/>
                    <a:stretch>
                      <a:fillRect/>
                    </a:stretch>
                  </pic:blipFill>
                  <pic:spPr>
                    <a:xfrm>
                      <a:off x="0" y="0"/>
                      <a:ext cx="2095500" cy="502920"/>
                    </a:xfrm>
                    <a:prstGeom prst="rect">
                      <a:avLst/>
                    </a:prstGeom>
                    <a:noFill/>
                    <a:ln>
                      <a:noFill/>
                    </a:ln>
                  </pic:spPr>
                </pic:pic>
              </a:graphicData>
            </a:graphic>
          </wp:inline>
        </w:drawing>
      </w:r>
      <w:r>
        <w:rPr>
          <w:rFonts w:hint="eastAsia"/>
        </w:rPr>
        <w:fldChar w:fldCharType="end"/>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 xml:space="preserve">式中：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L</w:t>
      </w:r>
      <w:r>
        <w:rPr>
          <w:rFonts w:hint="eastAsia" w:cs="Times New Roman"/>
          <w:b w:val="0"/>
          <w:bCs w:val="0"/>
          <w:sz w:val="24"/>
          <w:szCs w:val="24"/>
          <w:vertAlign w:val="subscript"/>
          <w:lang w:eastAsia="zh-CN"/>
        </w:rPr>
        <w:t>P1i (T)</w:t>
      </w:r>
      <w:r>
        <w:rPr>
          <w:rFonts w:hint="eastAsia" w:cs="Times New Roman"/>
          <w:b w:val="0"/>
          <w:bCs w:val="0"/>
          <w:sz w:val="24"/>
          <w:szCs w:val="24"/>
          <w:lang w:eastAsia="zh-CN"/>
        </w:rPr>
        <w:t xml:space="preserve">—靠近围护结构处室内N个声源i倍频带的叠加声压级，dB；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L</w:t>
      </w:r>
      <w:r>
        <w:rPr>
          <w:rFonts w:hint="eastAsia" w:cs="Times New Roman"/>
          <w:b w:val="0"/>
          <w:bCs w:val="0"/>
          <w:sz w:val="24"/>
          <w:szCs w:val="24"/>
          <w:vertAlign w:val="subscript"/>
          <w:lang w:eastAsia="zh-CN"/>
        </w:rPr>
        <w:t>P1ij</w:t>
      </w:r>
      <w:r>
        <w:rPr>
          <w:rFonts w:hint="eastAsia" w:cs="Times New Roman"/>
          <w:b w:val="0"/>
          <w:bCs w:val="0"/>
          <w:sz w:val="24"/>
          <w:szCs w:val="24"/>
          <w:lang w:eastAsia="zh-CN"/>
        </w:rPr>
        <w:t xml:space="preserve">—室内j声源i倍频带的声压级，dB；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 xml:space="preserve">N—室内声源总数。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在室内近似为扩散声场时，按以下公式计算出靠近室外围护结构处的声压级：</w:t>
      </w: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b w:val="0"/>
          <w:bCs w:val="0"/>
          <w:sz w:val="24"/>
          <w:szCs w:val="24"/>
          <w:lang w:eastAsia="zh-CN"/>
        </w:rPr>
      </w:pPr>
      <w:r>
        <w:rPr>
          <w:rFonts w:hint="eastAsia" w:cs="Times New Roman"/>
          <w:b w:val="0"/>
          <w:bCs w:val="0"/>
          <w:sz w:val="21"/>
          <w:szCs w:val="21"/>
          <w:lang w:eastAsia="zh-CN"/>
        </w:rPr>
        <w:fldChar w:fldCharType="begin"/>
      </w:r>
      <w:r>
        <w:rPr>
          <w:rFonts w:hint="eastAsia" w:cs="Times New Roman"/>
          <w:b w:val="0"/>
          <w:bCs w:val="0"/>
          <w:sz w:val="21"/>
          <w:szCs w:val="21"/>
          <w:lang w:eastAsia="zh-CN"/>
        </w:rPr>
        <w:instrText xml:space="preserve"> INCLUDEPICTURE "C:\\Users\\liuw\\AppData\\Roaming\\Microsoft\\Application Data\\Microsoft\\Application Data\\Application Data\\Microsoft\\Application Data\\Microsoft\\Local Settings\\Temp\\[Q_4(CVF~(EAQLFVGV$[GTF.jpg" \* MERGEFORMAT </w:instrText>
      </w:r>
      <w:r>
        <w:rPr>
          <w:rFonts w:hint="eastAsia" w:cs="Times New Roman"/>
          <w:b w:val="0"/>
          <w:bCs w:val="0"/>
          <w:sz w:val="21"/>
          <w:szCs w:val="21"/>
          <w:lang w:eastAsia="zh-CN"/>
        </w:rPr>
        <w:fldChar w:fldCharType="separate"/>
      </w:r>
      <w:r>
        <w:rPr>
          <w:rFonts w:hint="eastAsia" w:cs="Times New Roman"/>
          <w:b w:val="0"/>
          <w:bCs w:val="0"/>
          <w:sz w:val="21"/>
          <w:szCs w:val="21"/>
          <w:lang w:eastAsia="zh-CN"/>
        </w:rPr>
        <w:drawing>
          <wp:inline distT="0" distB="0" distL="114300" distR="114300">
            <wp:extent cx="2080260" cy="361315"/>
            <wp:effectExtent l="0" t="0" r="7620" b="4445"/>
            <wp:docPr id="44" name="图片 61" descr="[Q_4(CVF~(EAQLFVGV$[GT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61" descr="[Q_4(CVF~(EAQLFVGV$[GTF"/>
                    <pic:cNvPicPr>
                      <a:picLocks noChangeAspect="1"/>
                    </pic:cNvPicPr>
                  </pic:nvPicPr>
                  <pic:blipFill>
                    <a:blip r:embed="rId99"/>
                    <a:stretch>
                      <a:fillRect/>
                    </a:stretch>
                  </pic:blipFill>
                  <pic:spPr>
                    <a:xfrm>
                      <a:off x="0" y="0"/>
                      <a:ext cx="2080260" cy="361315"/>
                    </a:xfrm>
                    <a:prstGeom prst="rect">
                      <a:avLst/>
                    </a:prstGeom>
                    <a:noFill/>
                    <a:ln>
                      <a:noFill/>
                    </a:ln>
                  </pic:spPr>
                </pic:pic>
              </a:graphicData>
            </a:graphic>
          </wp:inline>
        </w:drawing>
      </w:r>
      <w:r>
        <w:rPr>
          <w:rFonts w:hint="eastAsia" w:cs="Times New Roman"/>
          <w:b w:val="0"/>
          <w:bCs w:val="0"/>
          <w:sz w:val="21"/>
          <w:szCs w:val="21"/>
          <w:lang w:eastAsia="zh-CN"/>
        </w:rPr>
        <w:fldChar w:fldCharType="end"/>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 xml:space="preserve">式中：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L</w:t>
      </w:r>
      <w:r>
        <w:rPr>
          <w:rFonts w:hint="eastAsia" w:cs="Times New Roman"/>
          <w:b w:val="0"/>
          <w:bCs w:val="0"/>
          <w:sz w:val="24"/>
          <w:szCs w:val="24"/>
          <w:vertAlign w:val="subscript"/>
          <w:lang w:eastAsia="zh-CN"/>
        </w:rPr>
        <w:t>P2i（T</w:t>
      </w:r>
      <w:r>
        <w:rPr>
          <w:rFonts w:hint="eastAsia" w:cs="Times New Roman"/>
          <w:b w:val="0"/>
          <w:bCs w:val="0"/>
          <w:sz w:val="24"/>
          <w:szCs w:val="24"/>
          <w:lang w:eastAsia="zh-CN"/>
        </w:rPr>
        <w:t xml:space="preserve">）—靠近围护结构处室外N个声源i倍频带的叠加声压级，dB；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TL</w:t>
      </w:r>
      <w:r>
        <w:rPr>
          <w:rFonts w:hint="eastAsia" w:cs="Times New Roman"/>
          <w:b w:val="0"/>
          <w:bCs w:val="0"/>
          <w:sz w:val="24"/>
          <w:szCs w:val="24"/>
          <w:vertAlign w:val="subscript"/>
          <w:lang w:eastAsia="zh-CN"/>
        </w:rPr>
        <w:t>i</w:t>
      </w:r>
      <w:r>
        <w:rPr>
          <w:rFonts w:hint="eastAsia" w:cs="Times New Roman"/>
          <w:b w:val="0"/>
          <w:bCs w:val="0"/>
          <w:sz w:val="24"/>
          <w:szCs w:val="24"/>
          <w:lang w:eastAsia="zh-CN"/>
        </w:rPr>
        <w:t xml:space="preserve">—围护结构i倍频带的隔声量，dB。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然后按下列公式将室外声源的声压级和透过面积换算成等效的室外声源，计算出中心位置位于透声面积（S）处的等效声源的倍频带声功率级。</w:t>
      </w:r>
    </w:p>
    <w:p>
      <w:pPr>
        <w:pStyle w:val="79"/>
        <w:rPr>
          <w:rFonts w:hint="eastAsia"/>
        </w:rPr>
      </w:pPr>
      <w:r>
        <w:rPr>
          <w:rFonts w:hint="eastAsia"/>
        </w:rPr>
        <w:fldChar w:fldCharType="begin"/>
      </w:r>
      <w:r>
        <w:rPr>
          <w:rFonts w:hint="eastAsia"/>
        </w:rPr>
        <w:instrText xml:space="preserve"> INCLUDEPICTURE "C:\\Users\\liuw\\AppData\\Roaming\\Microsoft\\Application Data\\Microsoft\\Application Data\\Application Data\\Microsoft\\Application Data\\Microsoft\\Local Settings\\Temp\\AJ}4~N(2`LIKR9G}HU]S%VM.jpg" \* MERGEFORMAT </w:instrText>
      </w:r>
      <w:r>
        <w:rPr>
          <w:rFonts w:hint="eastAsia"/>
        </w:rPr>
        <w:fldChar w:fldCharType="separate"/>
      </w:r>
      <w:r>
        <w:rPr>
          <w:rFonts w:hint="eastAsia"/>
        </w:rPr>
        <w:drawing>
          <wp:inline distT="0" distB="0" distL="114300" distR="114300">
            <wp:extent cx="1809115" cy="322580"/>
            <wp:effectExtent l="0" t="0" r="4445" b="12700"/>
            <wp:docPr id="45" name="图片 62" descr="AJ}4~N(2`LIKR9G}HU]S%V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62" descr="AJ}4~N(2`LIKR9G}HU]S%VM"/>
                    <pic:cNvPicPr>
                      <a:picLocks noChangeAspect="1"/>
                    </pic:cNvPicPr>
                  </pic:nvPicPr>
                  <pic:blipFill>
                    <a:blip r:embed="rId100"/>
                    <a:stretch>
                      <a:fillRect/>
                    </a:stretch>
                  </pic:blipFill>
                  <pic:spPr>
                    <a:xfrm>
                      <a:off x="0" y="0"/>
                      <a:ext cx="1809115" cy="322580"/>
                    </a:xfrm>
                    <a:prstGeom prst="rect">
                      <a:avLst/>
                    </a:prstGeom>
                    <a:noFill/>
                    <a:ln>
                      <a:noFill/>
                    </a:ln>
                  </pic:spPr>
                </pic:pic>
              </a:graphicData>
            </a:graphic>
          </wp:inline>
        </w:drawing>
      </w:r>
      <w:r>
        <w:rPr>
          <w:rFonts w:hint="eastAsia"/>
        </w:rPr>
        <w:fldChar w:fldCharType="end"/>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然后按室外声源预测方法计算预测点处的A声级。</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2、计算总声压级</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设第i个室外声源在预测点产生的A声级为LA</w:t>
      </w:r>
      <w:r>
        <w:rPr>
          <w:rFonts w:hint="eastAsia" w:cs="Times New Roman"/>
          <w:b w:val="0"/>
          <w:bCs w:val="0"/>
          <w:sz w:val="24"/>
          <w:szCs w:val="24"/>
          <w:vertAlign w:val="subscript"/>
          <w:lang w:eastAsia="zh-CN"/>
        </w:rPr>
        <w:t>i</w:t>
      </w:r>
      <w:r>
        <w:rPr>
          <w:rFonts w:hint="eastAsia" w:cs="Times New Roman"/>
          <w:b w:val="0"/>
          <w:bCs w:val="0"/>
          <w:sz w:val="24"/>
          <w:szCs w:val="24"/>
          <w:lang w:eastAsia="zh-CN"/>
        </w:rPr>
        <w:t>，在T时间内该声源工作时间为t</w:t>
      </w:r>
      <w:r>
        <w:rPr>
          <w:rFonts w:hint="eastAsia" w:cs="Times New Roman"/>
          <w:b w:val="0"/>
          <w:bCs w:val="0"/>
          <w:sz w:val="24"/>
          <w:szCs w:val="24"/>
          <w:vertAlign w:val="subscript"/>
          <w:lang w:eastAsia="zh-CN"/>
        </w:rPr>
        <w:t>i</w:t>
      </w:r>
      <w:r>
        <w:rPr>
          <w:rFonts w:hint="eastAsia" w:cs="Times New Roman"/>
          <w:b w:val="0"/>
          <w:bCs w:val="0"/>
          <w:sz w:val="24"/>
          <w:szCs w:val="24"/>
          <w:lang w:eastAsia="zh-CN"/>
        </w:rPr>
        <w:t>，第j个等效室外声源在预测点产生的A声级为LA</w:t>
      </w:r>
      <w:r>
        <w:rPr>
          <w:rFonts w:hint="eastAsia" w:cs="Times New Roman"/>
          <w:b w:val="0"/>
          <w:bCs w:val="0"/>
          <w:sz w:val="24"/>
          <w:szCs w:val="24"/>
          <w:vertAlign w:val="subscript"/>
          <w:lang w:eastAsia="zh-CN"/>
        </w:rPr>
        <w:t>j</w:t>
      </w:r>
      <w:r>
        <w:rPr>
          <w:rFonts w:hint="eastAsia" w:cs="Times New Roman"/>
          <w:b w:val="0"/>
          <w:bCs w:val="0"/>
          <w:sz w:val="24"/>
          <w:szCs w:val="24"/>
          <w:lang w:eastAsia="zh-CN"/>
        </w:rPr>
        <w:t>，在T时间内该声源工作时间为t</w:t>
      </w:r>
      <w:r>
        <w:rPr>
          <w:rFonts w:hint="eastAsia" w:cs="Times New Roman"/>
          <w:b w:val="0"/>
          <w:bCs w:val="0"/>
          <w:sz w:val="24"/>
          <w:szCs w:val="24"/>
          <w:vertAlign w:val="subscript"/>
          <w:lang w:eastAsia="zh-CN"/>
        </w:rPr>
        <w:t>j</w:t>
      </w:r>
      <w:r>
        <w:rPr>
          <w:rFonts w:hint="eastAsia" w:cs="Times New Roman"/>
          <w:b w:val="0"/>
          <w:bCs w:val="0"/>
          <w:sz w:val="24"/>
          <w:szCs w:val="24"/>
          <w:lang w:eastAsia="zh-CN"/>
        </w:rPr>
        <w:t>，则预测点的总等效声级为：</w:t>
      </w: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b w:val="0"/>
          <w:bCs w:val="0"/>
          <w:sz w:val="24"/>
          <w:szCs w:val="24"/>
          <w:lang w:eastAsia="zh-CN"/>
        </w:rPr>
      </w:pPr>
      <w:r>
        <w:rPr>
          <w:rFonts w:hint="eastAsia" w:cs="Times New Roman"/>
          <w:b w:val="0"/>
          <w:bCs w:val="0"/>
          <w:sz w:val="21"/>
          <w:szCs w:val="21"/>
          <w:lang w:eastAsia="zh-CN"/>
        </w:rPr>
        <w:fldChar w:fldCharType="begin"/>
      </w:r>
      <w:r>
        <w:rPr>
          <w:rFonts w:hint="eastAsia" w:cs="Times New Roman"/>
          <w:b w:val="0"/>
          <w:bCs w:val="0"/>
          <w:sz w:val="21"/>
          <w:szCs w:val="21"/>
          <w:lang w:eastAsia="zh-CN"/>
        </w:rPr>
        <w:instrText xml:space="preserve"> INCLUDEPICTURE "C:\\Users\\liuw\\AppData\\Roaming\\Microsoft\\Application Data\\Microsoft\\Application Data\\Application Data\\Microsoft\\Application Data\\Microsoft\\Application Data\\Application Data\\Local Settings\\Temp\\43C1ZG6]RU56YB2I0)J2{WY.jpg" \* MERGEFORMAT </w:instrText>
      </w:r>
      <w:r>
        <w:rPr>
          <w:rFonts w:hint="eastAsia" w:cs="Times New Roman"/>
          <w:b w:val="0"/>
          <w:bCs w:val="0"/>
          <w:sz w:val="21"/>
          <w:szCs w:val="21"/>
          <w:lang w:eastAsia="zh-CN"/>
        </w:rPr>
        <w:fldChar w:fldCharType="separate"/>
      </w:r>
      <w:r>
        <w:rPr>
          <w:rFonts w:hint="eastAsia" w:cs="Times New Roman"/>
          <w:b w:val="0"/>
          <w:bCs w:val="0"/>
          <w:sz w:val="21"/>
          <w:szCs w:val="21"/>
          <w:lang w:eastAsia="zh-CN"/>
        </w:rPr>
        <w:drawing>
          <wp:inline distT="0" distB="0" distL="114300" distR="114300">
            <wp:extent cx="3581400" cy="581025"/>
            <wp:effectExtent l="0" t="0" r="0" b="13335"/>
            <wp:docPr id="47" name="图片 64" descr="43C1ZG6]RU56YB2I0)J2{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64" descr="43C1ZG6]RU56YB2I0)J2{WY"/>
                    <pic:cNvPicPr>
                      <a:picLocks noChangeAspect="1"/>
                    </pic:cNvPicPr>
                  </pic:nvPicPr>
                  <pic:blipFill>
                    <a:blip r:embed="rId101"/>
                    <a:stretch>
                      <a:fillRect/>
                    </a:stretch>
                  </pic:blipFill>
                  <pic:spPr>
                    <a:xfrm>
                      <a:off x="0" y="0"/>
                      <a:ext cx="3581400" cy="581025"/>
                    </a:xfrm>
                    <a:prstGeom prst="rect">
                      <a:avLst/>
                    </a:prstGeom>
                    <a:noFill/>
                    <a:ln>
                      <a:noFill/>
                    </a:ln>
                  </pic:spPr>
                </pic:pic>
              </a:graphicData>
            </a:graphic>
          </wp:inline>
        </w:drawing>
      </w:r>
      <w:r>
        <w:rPr>
          <w:rFonts w:hint="eastAsia" w:cs="Times New Roman"/>
          <w:b w:val="0"/>
          <w:bCs w:val="0"/>
          <w:sz w:val="21"/>
          <w:szCs w:val="21"/>
          <w:lang w:eastAsia="zh-CN"/>
        </w:rPr>
        <w:fldChar w:fldCharType="end"/>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式中：</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t</w:t>
      </w:r>
      <w:r>
        <w:rPr>
          <w:rFonts w:hint="eastAsia" w:cs="Times New Roman"/>
          <w:b w:val="0"/>
          <w:bCs w:val="0"/>
          <w:sz w:val="24"/>
          <w:szCs w:val="24"/>
          <w:vertAlign w:val="subscript"/>
          <w:lang w:eastAsia="zh-CN"/>
        </w:rPr>
        <w:t>j</w:t>
      </w:r>
      <w:r>
        <w:rPr>
          <w:rFonts w:hint="eastAsia" w:cs="Times New Roman"/>
          <w:b w:val="0"/>
          <w:bCs w:val="0"/>
          <w:sz w:val="24"/>
          <w:szCs w:val="24"/>
          <w:lang w:eastAsia="zh-CN"/>
        </w:rPr>
        <w:t>—在T时间内声源j工作时间，s；</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t</w:t>
      </w:r>
      <w:r>
        <w:rPr>
          <w:rFonts w:hint="eastAsia" w:cs="Times New Roman"/>
          <w:b w:val="0"/>
          <w:bCs w:val="0"/>
          <w:sz w:val="24"/>
          <w:szCs w:val="24"/>
          <w:vertAlign w:val="subscript"/>
          <w:lang w:eastAsia="zh-CN"/>
        </w:rPr>
        <w:t>i</w:t>
      </w:r>
      <w:r>
        <w:rPr>
          <w:rFonts w:hint="eastAsia" w:cs="Times New Roman"/>
          <w:b w:val="0"/>
          <w:bCs w:val="0"/>
          <w:sz w:val="24"/>
          <w:szCs w:val="24"/>
          <w:lang w:eastAsia="zh-CN"/>
        </w:rPr>
        <w:t>—在T时间内声源i工作时间，s；</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T—计算等效声级的时间；</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N—室外声源个数；</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M—等效室外声源个数。</w:t>
      </w:r>
    </w:p>
    <w:p>
      <w:pPr>
        <w:pStyle w:val="6"/>
        <w:rPr>
          <w:rFonts w:hint="eastAsia"/>
        </w:rPr>
      </w:pPr>
      <w:r>
        <w:rPr>
          <w:rFonts w:hint="eastAsia"/>
          <w:lang w:eastAsia="zh-CN"/>
        </w:rPr>
        <w:t>预测结果及评价</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噪声在室外空间的传播，由于受到遮挡物的隔断，各种介质的吸收与反射，以及空气介质的吸收等物理作用而逐渐减弱。为了简化计算条件并能考虑到最不利因素，计算时只考虑噪声随距离的衰减。</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项目营运期间，噪声对厂界贡献值叠加值情况见表</w:t>
      </w:r>
      <w:r>
        <w:rPr>
          <w:rFonts w:hint="eastAsia" w:cs="Times New Roman"/>
          <w:b w:val="0"/>
          <w:bCs w:val="0"/>
          <w:sz w:val="24"/>
          <w:szCs w:val="24"/>
          <w:lang w:val="en-US" w:eastAsia="zh-CN"/>
        </w:rPr>
        <w:t>5.2-18。</w:t>
      </w:r>
    </w:p>
    <w:p>
      <w:pPr>
        <w:pStyle w:val="869"/>
        <w:keepNext w:val="0"/>
        <w:keepLines w:val="0"/>
        <w:pageBreakBefore w:val="0"/>
        <w:widowControl w:val="0"/>
        <w:kinsoku/>
        <w:wordWrap/>
        <w:overflowPunct/>
        <w:topLinePunct w:val="0"/>
        <w:autoSpaceDE/>
        <w:autoSpaceDN/>
        <w:bidi w:val="0"/>
        <w:adjustRightInd/>
        <w:snapToGrid/>
        <w:spacing w:before="0" w:beforeLines="0" w:line="240" w:lineRule="auto"/>
        <w:ind w:left="0" w:leftChars="0" w:right="0" w:rightChars="0" w:firstLine="0" w:firstLineChars="0"/>
        <w:jc w:val="center"/>
        <w:textAlignment w:val="auto"/>
        <w:outlineLvl w:val="9"/>
        <w:rPr>
          <w:rFonts w:hint="eastAsia"/>
          <w:b/>
          <w:bCs/>
          <w:color w:val="auto"/>
          <w:sz w:val="21"/>
          <w:szCs w:val="21"/>
          <w:lang w:val="en-US" w:eastAsia="zh-CN"/>
        </w:rPr>
      </w:pPr>
      <w:r>
        <w:rPr>
          <w:rFonts w:hint="eastAsia"/>
          <w:b/>
          <w:bCs/>
          <w:color w:val="auto"/>
          <w:sz w:val="21"/>
          <w:szCs w:val="21"/>
          <w:lang w:eastAsia="zh-CN"/>
        </w:rPr>
        <w:t>表</w:t>
      </w:r>
      <w:r>
        <w:rPr>
          <w:rFonts w:hint="eastAsia"/>
          <w:b/>
          <w:bCs/>
          <w:color w:val="auto"/>
          <w:sz w:val="21"/>
          <w:szCs w:val="21"/>
          <w:lang w:val="en-US" w:eastAsia="zh-CN"/>
        </w:rPr>
        <w:t xml:space="preserve">5.2-18  声环境预测情况一览表  </w:t>
      </w:r>
      <w:r>
        <w:rPr>
          <w:color w:val="auto"/>
          <w:sz w:val="21"/>
          <w:szCs w:val="21"/>
        </w:rPr>
        <w:t>单位：dB(A)</w:t>
      </w:r>
    </w:p>
    <w:tbl>
      <w:tblPr>
        <w:tblStyle w:val="63"/>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6"/>
        <w:gridCol w:w="1238"/>
        <w:gridCol w:w="1236"/>
        <w:gridCol w:w="1236"/>
        <w:gridCol w:w="1238"/>
        <w:gridCol w:w="1238"/>
        <w:gridCol w:w="1239"/>
        <w:gridCol w:w="12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pct"/>
            <w:gridSpan w:val="2"/>
            <w:tcBorders>
              <w:top w:val="single" w:color="auto" w:sz="12" w:space="0"/>
              <w:left w:val="nil"/>
              <w:bottom w:val="single" w:color="auto" w:sz="12" w:space="0"/>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点位</w:t>
            </w:r>
          </w:p>
        </w:tc>
        <w:tc>
          <w:tcPr>
            <w:tcW w:w="624" w:type="pct"/>
            <w:tcBorders>
              <w:top w:val="single" w:color="auto" w:sz="12" w:space="0"/>
              <w:bottom w:val="single" w:color="auto" w:sz="12" w:space="0"/>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时间段</w:t>
            </w:r>
          </w:p>
        </w:tc>
        <w:tc>
          <w:tcPr>
            <w:tcW w:w="624" w:type="pct"/>
            <w:tcBorders>
              <w:top w:val="single" w:color="auto" w:sz="12" w:space="0"/>
              <w:bottom w:val="single" w:color="auto" w:sz="12" w:space="0"/>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背景值</w:t>
            </w:r>
          </w:p>
        </w:tc>
        <w:tc>
          <w:tcPr>
            <w:tcW w:w="625" w:type="pct"/>
            <w:tcBorders>
              <w:top w:val="single" w:color="auto" w:sz="12" w:space="0"/>
              <w:bottom w:val="single" w:color="auto" w:sz="12" w:space="0"/>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贡献值</w:t>
            </w:r>
          </w:p>
        </w:tc>
        <w:tc>
          <w:tcPr>
            <w:tcW w:w="625" w:type="pct"/>
            <w:tcBorders>
              <w:top w:val="single" w:color="auto" w:sz="12" w:space="0"/>
              <w:bottom w:val="single" w:color="auto" w:sz="12" w:space="0"/>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叠加值</w:t>
            </w:r>
          </w:p>
        </w:tc>
        <w:tc>
          <w:tcPr>
            <w:tcW w:w="625" w:type="pct"/>
            <w:tcBorders>
              <w:top w:val="single" w:color="auto" w:sz="12" w:space="0"/>
              <w:bottom w:val="single" w:color="auto" w:sz="12" w:space="0"/>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标准值</w:t>
            </w:r>
          </w:p>
        </w:tc>
        <w:tc>
          <w:tcPr>
            <w:tcW w:w="625" w:type="pct"/>
            <w:tcBorders>
              <w:top w:val="single" w:color="auto" w:sz="12" w:space="0"/>
              <w:bottom w:val="single" w:color="auto" w:sz="12" w:space="0"/>
              <w:right w:val="nil"/>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达标情况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4" w:type="pct"/>
            <w:vMerge w:val="restart"/>
            <w:tcBorders>
              <w:top w:val="single" w:color="auto" w:sz="12" w:space="0"/>
              <w:left w:val="nil"/>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厂界</w:t>
            </w:r>
          </w:p>
        </w:tc>
        <w:tc>
          <w:tcPr>
            <w:tcW w:w="625" w:type="pct"/>
            <w:vMerge w:val="restart"/>
            <w:tcBorders>
              <w:top w:val="single" w:color="auto" w:sz="12" w:space="0"/>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东侧</w:t>
            </w:r>
          </w:p>
        </w:tc>
        <w:tc>
          <w:tcPr>
            <w:tcW w:w="624" w:type="pct"/>
            <w:tcBorders>
              <w:top w:val="single" w:color="auto" w:sz="12" w:space="0"/>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昼间</w:t>
            </w:r>
          </w:p>
        </w:tc>
        <w:tc>
          <w:tcPr>
            <w:tcW w:w="624" w:type="pct"/>
            <w:tcBorders>
              <w:top w:val="single" w:color="auto" w:sz="12" w:space="0"/>
            </w:tcBorders>
            <w:noWrap w:val="0"/>
            <w:vAlign w:val="center"/>
          </w:tcPr>
          <w:p>
            <w:pPr>
              <w:jc w:val="center"/>
              <w:rPr>
                <w:rFonts w:hint="default"/>
                <w:color w:val="auto"/>
                <w:sz w:val="21"/>
                <w:szCs w:val="21"/>
                <w:lang w:val="en-US" w:eastAsia="zh-CN"/>
              </w:rPr>
            </w:pPr>
            <w:r>
              <w:rPr>
                <w:rFonts w:hint="eastAsia"/>
                <w:color w:val="auto"/>
                <w:sz w:val="21"/>
                <w:szCs w:val="21"/>
                <w:lang w:val="en-US" w:eastAsia="zh-CN"/>
              </w:rPr>
              <w:t>52.0</w:t>
            </w:r>
          </w:p>
        </w:tc>
        <w:tc>
          <w:tcPr>
            <w:tcW w:w="625" w:type="pct"/>
            <w:tcBorders>
              <w:top w:val="single" w:color="auto" w:sz="12" w:space="0"/>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36.5</w:t>
            </w:r>
          </w:p>
        </w:tc>
        <w:tc>
          <w:tcPr>
            <w:tcW w:w="625" w:type="pct"/>
            <w:tcBorders>
              <w:top w:val="single" w:color="auto" w:sz="12" w:space="0"/>
            </w:tcBorders>
            <w:noWrap w:val="0"/>
            <w:vAlign w:val="center"/>
          </w:tcPr>
          <w:p>
            <w:pPr>
              <w:snapToGrid w:val="0"/>
              <w:spacing w:line="320" w:lineRule="exact"/>
              <w:jc w:val="center"/>
              <w:rPr>
                <w:rFonts w:hint="default"/>
                <w:color w:val="auto"/>
                <w:sz w:val="21"/>
                <w:szCs w:val="21"/>
                <w:lang w:val="en-US" w:eastAsia="zh-CN"/>
              </w:rPr>
            </w:pPr>
            <w:r>
              <w:rPr>
                <w:rFonts w:hint="eastAsia"/>
                <w:color w:val="auto"/>
                <w:sz w:val="21"/>
                <w:szCs w:val="21"/>
                <w:lang w:val="en-US" w:eastAsia="zh-CN"/>
              </w:rPr>
              <w:t>52.1</w:t>
            </w:r>
          </w:p>
        </w:tc>
        <w:tc>
          <w:tcPr>
            <w:tcW w:w="625" w:type="pct"/>
            <w:tcBorders>
              <w:top w:val="single" w:color="auto" w:sz="12" w:space="0"/>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55</w:t>
            </w:r>
          </w:p>
        </w:tc>
        <w:tc>
          <w:tcPr>
            <w:tcW w:w="625" w:type="pct"/>
            <w:tcBorders>
              <w:top w:val="single" w:color="auto" w:sz="12" w:space="0"/>
              <w:right w:val="nil"/>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4" w:type="pct"/>
            <w:vMerge w:val="continue"/>
            <w:tcBorders>
              <w:left w:val="nil"/>
            </w:tcBorders>
            <w:noWrap w:val="0"/>
            <w:vAlign w:val="center"/>
          </w:tcPr>
          <w:p>
            <w:pPr>
              <w:snapToGrid w:val="0"/>
              <w:spacing w:line="320" w:lineRule="exact"/>
              <w:jc w:val="center"/>
              <w:rPr>
                <w:rFonts w:hint="eastAsia"/>
                <w:color w:val="auto"/>
                <w:sz w:val="21"/>
                <w:szCs w:val="21"/>
                <w:lang w:val="en-US" w:eastAsia="zh-CN"/>
              </w:rPr>
            </w:pPr>
          </w:p>
        </w:tc>
        <w:tc>
          <w:tcPr>
            <w:tcW w:w="625" w:type="pct"/>
            <w:vMerge w:val="continue"/>
            <w:noWrap w:val="0"/>
            <w:vAlign w:val="center"/>
          </w:tcPr>
          <w:p>
            <w:pPr>
              <w:snapToGrid w:val="0"/>
              <w:spacing w:line="320" w:lineRule="exact"/>
              <w:jc w:val="center"/>
              <w:rPr>
                <w:rFonts w:hint="eastAsia"/>
                <w:color w:val="auto"/>
                <w:sz w:val="21"/>
                <w:szCs w:val="21"/>
                <w:lang w:val="en-US" w:eastAsia="zh-CN"/>
              </w:rPr>
            </w:pPr>
          </w:p>
        </w:tc>
        <w:tc>
          <w:tcPr>
            <w:tcW w:w="624"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夜间</w:t>
            </w:r>
          </w:p>
        </w:tc>
        <w:tc>
          <w:tcPr>
            <w:tcW w:w="624" w:type="pct"/>
            <w:noWrap w:val="0"/>
            <w:vAlign w:val="center"/>
          </w:tcPr>
          <w:p>
            <w:pPr>
              <w:jc w:val="center"/>
              <w:rPr>
                <w:rFonts w:hint="default"/>
                <w:color w:val="auto"/>
                <w:sz w:val="21"/>
                <w:szCs w:val="21"/>
                <w:lang w:val="en-US" w:eastAsia="zh-CN"/>
              </w:rPr>
            </w:pPr>
            <w:r>
              <w:rPr>
                <w:rFonts w:hint="eastAsia"/>
                <w:color w:val="auto"/>
                <w:sz w:val="21"/>
                <w:szCs w:val="21"/>
                <w:lang w:val="en-US" w:eastAsia="zh-CN"/>
              </w:rPr>
              <w:t>43.6</w:t>
            </w:r>
          </w:p>
        </w:tc>
        <w:tc>
          <w:tcPr>
            <w:tcW w:w="625"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36.5</w:t>
            </w:r>
          </w:p>
        </w:tc>
        <w:tc>
          <w:tcPr>
            <w:tcW w:w="625" w:type="pct"/>
            <w:noWrap w:val="0"/>
            <w:vAlign w:val="center"/>
          </w:tcPr>
          <w:p>
            <w:pPr>
              <w:snapToGrid w:val="0"/>
              <w:spacing w:line="320" w:lineRule="exact"/>
              <w:jc w:val="center"/>
              <w:rPr>
                <w:rFonts w:hint="default"/>
                <w:color w:val="auto"/>
                <w:sz w:val="21"/>
                <w:szCs w:val="21"/>
                <w:lang w:val="en-US" w:eastAsia="zh-CN"/>
              </w:rPr>
            </w:pPr>
            <w:r>
              <w:rPr>
                <w:rFonts w:hint="eastAsia"/>
                <w:color w:val="auto"/>
                <w:sz w:val="21"/>
                <w:szCs w:val="21"/>
                <w:lang w:val="en-US" w:eastAsia="zh-CN"/>
              </w:rPr>
              <w:t>44.4</w:t>
            </w:r>
          </w:p>
        </w:tc>
        <w:tc>
          <w:tcPr>
            <w:tcW w:w="625"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45</w:t>
            </w:r>
          </w:p>
        </w:tc>
        <w:tc>
          <w:tcPr>
            <w:tcW w:w="625" w:type="pct"/>
            <w:tcBorders>
              <w:right w:val="nil"/>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24" w:type="pct"/>
            <w:vMerge w:val="continue"/>
            <w:tcBorders>
              <w:left w:val="nil"/>
            </w:tcBorders>
            <w:noWrap w:val="0"/>
            <w:vAlign w:val="center"/>
          </w:tcPr>
          <w:p>
            <w:pPr>
              <w:snapToGrid w:val="0"/>
              <w:spacing w:line="320" w:lineRule="exact"/>
              <w:jc w:val="center"/>
              <w:rPr>
                <w:rFonts w:hint="eastAsia"/>
                <w:color w:val="auto"/>
                <w:sz w:val="21"/>
                <w:szCs w:val="21"/>
                <w:lang w:val="en-US" w:eastAsia="zh-CN"/>
              </w:rPr>
            </w:pPr>
          </w:p>
        </w:tc>
        <w:tc>
          <w:tcPr>
            <w:tcW w:w="625" w:type="pct"/>
            <w:vMerge w:val="restar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南侧</w:t>
            </w:r>
          </w:p>
        </w:tc>
        <w:tc>
          <w:tcPr>
            <w:tcW w:w="624"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昼间</w:t>
            </w:r>
          </w:p>
        </w:tc>
        <w:tc>
          <w:tcPr>
            <w:tcW w:w="624" w:type="pct"/>
            <w:noWrap w:val="0"/>
            <w:vAlign w:val="center"/>
          </w:tcPr>
          <w:p>
            <w:pPr>
              <w:jc w:val="center"/>
              <w:rPr>
                <w:rFonts w:hint="default"/>
                <w:color w:val="auto"/>
                <w:sz w:val="21"/>
                <w:szCs w:val="21"/>
                <w:lang w:val="en-US" w:eastAsia="zh-CN"/>
              </w:rPr>
            </w:pPr>
            <w:r>
              <w:rPr>
                <w:rFonts w:hint="eastAsia"/>
                <w:color w:val="auto"/>
                <w:sz w:val="21"/>
                <w:szCs w:val="21"/>
                <w:lang w:val="en-US" w:eastAsia="zh-CN"/>
              </w:rPr>
              <w:t>52.1</w:t>
            </w:r>
          </w:p>
        </w:tc>
        <w:tc>
          <w:tcPr>
            <w:tcW w:w="625"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31.8</w:t>
            </w:r>
          </w:p>
        </w:tc>
        <w:tc>
          <w:tcPr>
            <w:tcW w:w="625" w:type="pct"/>
            <w:noWrap w:val="0"/>
            <w:vAlign w:val="center"/>
          </w:tcPr>
          <w:p>
            <w:pPr>
              <w:snapToGrid w:val="0"/>
              <w:spacing w:line="320" w:lineRule="exact"/>
              <w:jc w:val="center"/>
              <w:rPr>
                <w:rFonts w:hint="default"/>
                <w:color w:val="auto"/>
                <w:sz w:val="21"/>
                <w:szCs w:val="21"/>
                <w:lang w:val="en-US" w:eastAsia="zh-CN"/>
              </w:rPr>
            </w:pPr>
            <w:r>
              <w:rPr>
                <w:rFonts w:hint="eastAsia"/>
                <w:color w:val="auto"/>
                <w:sz w:val="21"/>
                <w:szCs w:val="21"/>
                <w:lang w:val="en-US" w:eastAsia="zh-CN"/>
              </w:rPr>
              <w:t>52.1</w:t>
            </w:r>
          </w:p>
        </w:tc>
        <w:tc>
          <w:tcPr>
            <w:tcW w:w="625"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55</w:t>
            </w:r>
          </w:p>
        </w:tc>
        <w:tc>
          <w:tcPr>
            <w:tcW w:w="625" w:type="pct"/>
            <w:tcBorders>
              <w:right w:val="nil"/>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4" w:type="pct"/>
            <w:vMerge w:val="continue"/>
            <w:tcBorders>
              <w:left w:val="nil"/>
            </w:tcBorders>
            <w:noWrap w:val="0"/>
            <w:vAlign w:val="center"/>
          </w:tcPr>
          <w:p>
            <w:pPr>
              <w:snapToGrid w:val="0"/>
              <w:spacing w:line="320" w:lineRule="exact"/>
              <w:jc w:val="center"/>
              <w:rPr>
                <w:rFonts w:hint="eastAsia"/>
                <w:color w:val="auto"/>
                <w:sz w:val="21"/>
                <w:szCs w:val="21"/>
                <w:lang w:val="en-US" w:eastAsia="zh-CN"/>
              </w:rPr>
            </w:pPr>
          </w:p>
        </w:tc>
        <w:tc>
          <w:tcPr>
            <w:tcW w:w="625" w:type="pct"/>
            <w:vMerge w:val="continue"/>
            <w:noWrap w:val="0"/>
            <w:vAlign w:val="center"/>
          </w:tcPr>
          <w:p>
            <w:pPr>
              <w:snapToGrid w:val="0"/>
              <w:spacing w:line="320" w:lineRule="exact"/>
              <w:jc w:val="center"/>
              <w:rPr>
                <w:rFonts w:hint="eastAsia"/>
                <w:color w:val="auto"/>
                <w:sz w:val="21"/>
                <w:szCs w:val="21"/>
                <w:lang w:val="en-US" w:eastAsia="zh-CN"/>
              </w:rPr>
            </w:pPr>
          </w:p>
        </w:tc>
        <w:tc>
          <w:tcPr>
            <w:tcW w:w="624"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夜间</w:t>
            </w:r>
          </w:p>
        </w:tc>
        <w:tc>
          <w:tcPr>
            <w:tcW w:w="624" w:type="pct"/>
            <w:noWrap w:val="0"/>
            <w:vAlign w:val="center"/>
          </w:tcPr>
          <w:p>
            <w:pPr>
              <w:jc w:val="center"/>
              <w:rPr>
                <w:rFonts w:hint="default"/>
                <w:color w:val="auto"/>
                <w:sz w:val="21"/>
                <w:szCs w:val="21"/>
                <w:lang w:val="en-US" w:eastAsia="zh-CN"/>
              </w:rPr>
            </w:pPr>
            <w:r>
              <w:rPr>
                <w:rFonts w:hint="eastAsia"/>
                <w:color w:val="auto"/>
                <w:sz w:val="21"/>
                <w:szCs w:val="21"/>
                <w:lang w:val="en-US" w:eastAsia="zh-CN"/>
              </w:rPr>
              <w:t>43.8</w:t>
            </w:r>
          </w:p>
        </w:tc>
        <w:tc>
          <w:tcPr>
            <w:tcW w:w="625"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31.2</w:t>
            </w:r>
          </w:p>
        </w:tc>
        <w:tc>
          <w:tcPr>
            <w:tcW w:w="625" w:type="pct"/>
            <w:noWrap w:val="0"/>
            <w:vAlign w:val="center"/>
          </w:tcPr>
          <w:p>
            <w:pPr>
              <w:snapToGrid w:val="0"/>
              <w:spacing w:line="320" w:lineRule="exact"/>
              <w:jc w:val="center"/>
              <w:rPr>
                <w:rFonts w:hint="default"/>
                <w:color w:val="auto"/>
                <w:sz w:val="21"/>
                <w:szCs w:val="21"/>
                <w:lang w:val="en-US" w:eastAsia="zh-CN"/>
              </w:rPr>
            </w:pPr>
            <w:r>
              <w:rPr>
                <w:rFonts w:hint="eastAsia"/>
                <w:color w:val="auto"/>
                <w:sz w:val="21"/>
                <w:szCs w:val="21"/>
                <w:lang w:val="en-US" w:eastAsia="zh-CN"/>
              </w:rPr>
              <w:t>44.0</w:t>
            </w:r>
          </w:p>
        </w:tc>
        <w:tc>
          <w:tcPr>
            <w:tcW w:w="625"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45</w:t>
            </w:r>
          </w:p>
        </w:tc>
        <w:tc>
          <w:tcPr>
            <w:tcW w:w="625" w:type="pct"/>
            <w:tcBorders>
              <w:right w:val="nil"/>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4" w:type="pct"/>
            <w:vMerge w:val="continue"/>
            <w:tcBorders>
              <w:left w:val="nil"/>
            </w:tcBorders>
            <w:noWrap w:val="0"/>
            <w:vAlign w:val="center"/>
          </w:tcPr>
          <w:p>
            <w:pPr>
              <w:snapToGrid w:val="0"/>
              <w:spacing w:line="320" w:lineRule="exact"/>
              <w:jc w:val="center"/>
              <w:rPr>
                <w:rFonts w:hint="eastAsia"/>
                <w:color w:val="auto"/>
                <w:sz w:val="21"/>
                <w:szCs w:val="21"/>
                <w:lang w:val="en-US" w:eastAsia="zh-CN"/>
              </w:rPr>
            </w:pPr>
          </w:p>
        </w:tc>
        <w:tc>
          <w:tcPr>
            <w:tcW w:w="625" w:type="pct"/>
            <w:vMerge w:val="restar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西侧</w:t>
            </w:r>
          </w:p>
        </w:tc>
        <w:tc>
          <w:tcPr>
            <w:tcW w:w="624"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昼间</w:t>
            </w:r>
          </w:p>
        </w:tc>
        <w:tc>
          <w:tcPr>
            <w:tcW w:w="624" w:type="pct"/>
            <w:noWrap w:val="0"/>
            <w:vAlign w:val="center"/>
          </w:tcPr>
          <w:p>
            <w:pPr>
              <w:jc w:val="center"/>
              <w:rPr>
                <w:rFonts w:hint="default"/>
                <w:color w:val="auto"/>
                <w:sz w:val="21"/>
                <w:szCs w:val="21"/>
                <w:lang w:val="en-US" w:eastAsia="zh-CN"/>
              </w:rPr>
            </w:pPr>
            <w:r>
              <w:rPr>
                <w:rFonts w:hint="eastAsia"/>
                <w:color w:val="auto"/>
                <w:sz w:val="21"/>
                <w:szCs w:val="21"/>
                <w:lang w:val="en-US" w:eastAsia="zh-CN"/>
              </w:rPr>
              <w:t>50.1</w:t>
            </w:r>
          </w:p>
        </w:tc>
        <w:tc>
          <w:tcPr>
            <w:tcW w:w="625"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42.3</w:t>
            </w:r>
          </w:p>
        </w:tc>
        <w:tc>
          <w:tcPr>
            <w:tcW w:w="625" w:type="pct"/>
            <w:noWrap w:val="0"/>
            <w:vAlign w:val="center"/>
          </w:tcPr>
          <w:p>
            <w:pPr>
              <w:snapToGrid w:val="0"/>
              <w:spacing w:line="320" w:lineRule="exact"/>
              <w:jc w:val="center"/>
              <w:rPr>
                <w:rFonts w:hint="default"/>
                <w:color w:val="auto"/>
                <w:sz w:val="21"/>
                <w:szCs w:val="21"/>
                <w:lang w:val="en-US" w:eastAsia="zh-CN"/>
              </w:rPr>
            </w:pPr>
            <w:r>
              <w:rPr>
                <w:rFonts w:hint="eastAsia"/>
                <w:color w:val="auto"/>
                <w:sz w:val="21"/>
                <w:szCs w:val="21"/>
                <w:lang w:val="en-US" w:eastAsia="zh-CN"/>
              </w:rPr>
              <w:t>50.8</w:t>
            </w:r>
          </w:p>
        </w:tc>
        <w:tc>
          <w:tcPr>
            <w:tcW w:w="625"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55</w:t>
            </w:r>
          </w:p>
        </w:tc>
        <w:tc>
          <w:tcPr>
            <w:tcW w:w="625" w:type="pct"/>
            <w:tcBorders>
              <w:right w:val="nil"/>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4" w:type="pct"/>
            <w:vMerge w:val="continue"/>
            <w:tcBorders>
              <w:left w:val="nil"/>
            </w:tcBorders>
            <w:noWrap w:val="0"/>
            <w:vAlign w:val="center"/>
          </w:tcPr>
          <w:p>
            <w:pPr>
              <w:snapToGrid w:val="0"/>
              <w:spacing w:line="320" w:lineRule="exact"/>
              <w:jc w:val="center"/>
              <w:rPr>
                <w:rFonts w:hint="eastAsia"/>
                <w:color w:val="auto"/>
                <w:sz w:val="21"/>
                <w:szCs w:val="21"/>
                <w:lang w:val="en-US" w:eastAsia="zh-CN"/>
              </w:rPr>
            </w:pPr>
          </w:p>
        </w:tc>
        <w:tc>
          <w:tcPr>
            <w:tcW w:w="625" w:type="pct"/>
            <w:vMerge w:val="continue"/>
            <w:noWrap w:val="0"/>
            <w:vAlign w:val="center"/>
          </w:tcPr>
          <w:p>
            <w:pPr>
              <w:snapToGrid w:val="0"/>
              <w:spacing w:line="320" w:lineRule="exact"/>
              <w:jc w:val="center"/>
              <w:rPr>
                <w:rFonts w:hint="eastAsia"/>
                <w:color w:val="auto"/>
                <w:sz w:val="21"/>
                <w:szCs w:val="21"/>
                <w:lang w:val="en-US" w:eastAsia="zh-CN"/>
              </w:rPr>
            </w:pPr>
          </w:p>
        </w:tc>
        <w:tc>
          <w:tcPr>
            <w:tcW w:w="624"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夜间</w:t>
            </w:r>
          </w:p>
        </w:tc>
        <w:tc>
          <w:tcPr>
            <w:tcW w:w="624" w:type="pct"/>
            <w:noWrap w:val="0"/>
            <w:vAlign w:val="center"/>
          </w:tcPr>
          <w:p>
            <w:pPr>
              <w:jc w:val="center"/>
              <w:rPr>
                <w:rFonts w:hint="default"/>
                <w:color w:val="auto"/>
                <w:sz w:val="21"/>
                <w:szCs w:val="21"/>
                <w:lang w:val="en-US" w:eastAsia="zh-CN"/>
              </w:rPr>
            </w:pPr>
            <w:r>
              <w:rPr>
                <w:rFonts w:hint="eastAsia"/>
                <w:color w:val="auto"/>
                <w:sz w:val="21"/>
                <w:szCs w:val="21"/>
                <w:lang w:val="en-US" w:eastAsia="zh-CN"/>
              </w:rPr>
              <w:t>42.8</w:t>
            </w:r>
          </w:p>
        </w:tc>
        <w:tc>
          <w:tcPr>
            <w:tcW w:w="625"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39.3</w:t>
            </w:r>
          </w:p>
        </w:tc>
        <w:tc>
          <w:tcPr>
            <w:tcW w:w="625" w:type="pct"/>
            <w:noWrap w:val="0"/>
            <w:vAlign w:val="center"/>
          </w:tcPr>
          <w:p>
            <w:pPr>
              <w:snapToGrid w:val="0"/>
              <w:spacing w:line="320" w:lineRule="exact"/>
              <w:jc w:val="center"/>
              <w:rPr>
                <w:rFonts w:hint="default"/>
                <w:color w:val="auto"/>
                <w:sz w:val="21"/>
                <w:szCs w:val="21"/>
                <w:lang w:val="en-US" w:eastAsia="zh-CN"/>
              </w:rPr>
            </w:pPr>
            <w:r>
              <w:rPr>
                <w:rFonts w:hint="eastAsia"/>
                <w:color w:val="auto"/>
                <w:sz w:val="21"/>
                <w:szCs w:val="21"/>
                <w:lang w:val="en-US" w:eastAsia="zh-CN"/>
              </w:rPr>
              <w:t>44.4</w:t>
            </w:r>
          </w:p>
        </w:tc>
        <w:tc>
          <w:tcPr>
            <w:tcW w:w="625"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45</w:t>
            </w:r>
          </w:p>
        </w:tc>
        <w:tc>
          <w:tcPr>
            <w:tcW w:w="625" w:type="pct"/>
            <w:tcBorders>
              <w:right w:val="nil"/>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24" w:type="pct"/>
            <w:vMerge w:val="continue"/>
            <w:tcBorders>
              <w:left w:val="nil"/>
            </w:tcBorders>
            <w:noWrap w:val="0"/>
            <w:vAlign w:val="center"/>
          </w:tcPr>
          <w:p>
            <w:pPr>
              <w:snapToGrid w:val="0"/>
              <w:spacing w:line="320" w:lineRule="exact"/>
              <w:jc w:val="center"/>
              <w:rPr>
                <w:rFonts w:hint="eastAsia"/>
                <w:color w:val="auto"/>
                <w:sz w:val="21"/>
                <w:szCs w:val="21"/>
                <w:lang w:val="en-US" w:eastAsia="zh-CN"/>
              </w:rPr>
            </w:pPr>
          </w:p>
        </w:tc>
        <w:tc>
          <w:tcPr>
            <w:tcW w:w="625" w:type="pct"/>
            <w:vMerge w:val="restar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北侧</w:t>
            </w:r>
          </w:p>
        </w:tc>
        <w:tc>
          <w:tcPr>
            <w:tcW w:w="624"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昼间</w:t>
            </w:r>
          </w:p>
        </w:tc>
        <w:tc>
          <w:tcPr>
            <w:tcW w:w="624" w:type="pct"/>
            <w:noWrap w:val="0"/>
            <w:vAlign w:val="center"/>
          </w:tcPr>
          <w:p>
            <w:pPr>
              <w:jc w:val="center"/>
              <w:rPr>
                <w:rFonts w:hint="default"/>
                <w:color w:val="auto"/>
                <w:sz w:val="21"/>
                <w:szCs w:val="21"/>
                <w:lang w:val="en-US" w:eastAsia="zh-CN"/>
              </w:rPr>
            </w:pPr>
            <w:r>
              <w:rPr>
                <w:rFonts w:hint="eastAsia"/>
                <w:color w:val="auto"/>
                <w:sz w:val="21"/>
                <w:szCs w:val="21"/>
                <w:lang w:val="en-US" w:eastAsia="zh-CN"/>
              </w:rPr>
              <w:t>50.9</w:t>
            </w:r>
          </w:p>
        </w:tc>
        <w:tc>
          <w:tcPr>
            <w:tcW w:w="625"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43.4</w:t>
            </w:r>
          </w:p>
        </w:tc>
        <w:tc>
          <w:tcPr>
            <w:tcW w:w="625" w:type="pct"/>
            <w:noWrap w:val="0"/>
            <w:vAlign w:val="center"/>
          </w:tcPr>
          <w:p>
            <w:pPr>
              <w:snapToGrid w:val="0"/>
              <w:spacing w:line="320" w:lineRule="exact"/>
              <w:jc w:val="center"/>
              <w:rPr>
                <w:rFonts w:hint="default"/>
                <w:color w:val="auto"/>
                <w:sz w:val="21"/>
                <w:szCs w:val="21"/>
                <w:lang w:val="en-US" w:eastAsia="zh-CN"/>
              </w:rPr>
            </w:pPr>
            <w:r>
              <w:rPr>
                <w:rFonts w:hint="eastAsia"/>
                <w:color w:val="auto"/>
                <w:sz w:val="21"/>
                <w:szCs w:val="21"/>
                <w:lang w:val="en-US" w:eastAsia="zh-CN"/>
              </w:rPr>
              <w:t>51.6</w:t>
            </w:r>
          </w:p>
        </w:tc>
        <w:tc>
          <w:tcPr>
            <w:tcW w:w="625" w:type="pct"/>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55</w:t>
            </w:r>
          </w:p>
        </w:tc>
        <w:tc>
          <w:tcPr>
            <w:tcW w:w="625" w:type="pct"/>
            <w:tcBorders>
              <w:right w:val="nil"/>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4" w:type="pct"/>
            <w:vMerge w:val="continue"/>
            <w:tcBorders>
              <w:left w:val="nil"/>
              <w:bottom w:val="single" w:color="auto" w:sz="12" w:space="0"/>
            </w:tcBorders>
            <w:noWrap w:val="0"/>
            <w:vAlign w:val="center"/>
          </w:tcPr>
          <w:p>
            <w:pPr>
              <w:snapToGrid w:val="0"/>
              <w:spacing w:line="320" w:lineRule="exact"/>
              <w:jc w:val="center"/>
              <w:rPr>
                <w:rFonts w:hint="eastAsia"/>
                <w:color w:val="auto"/>
                <w:sz w:val="21"/>
                <w:szCs w:val="21"/>
                <w:lang w:val="en-US" w:eastAsia="zh-CN"/>
              </w:rPr>
            </w:pPr>
          </w:p>
        </w:tc>
        <w:tc>
          <w:tcPr>
            <w:tcW w:w="625" w:type="pct"/>
            <w:vMerge w:val="continue"/>
            <w:tcBorders>
              <w:bottom w:val="single" w:color="auto" w:sz="12" w:space="0"/>
            </w:tcBorders>
            <w:noWrap w:val="0"/>
            <w:vAlign w:val="center"/>
          </w:tcPr>
          <w:p>
            <w:pPr>
              <w:snapToGrid w:val="0"/>
              <w:spacing w:line="320" w:lineRule="exact"/>
              <w:jc w:val="center"/>
              <w:rPr>
                <w:rFonts w:hint="eastAsia"/>
                <w:color w:val="auto"/>
                <w:sz w:val="21"/>
                <w:szCs w:val="21"/>
                <w:lang w:val="en-US" w:eastAsia="zh-CN"/>
              </w:rPr>
            </w:pPr>
          </w:p>
        </w:tc>
        <w:tc>
          <w:tcPr>
            <w:tcW w:w="624" w:type="pct"/>
            <w:tcBorders>
              <w:bottom w:val="single" w:color="auto" w:sz="12" w:space="0"/>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夜间</w:t>
            </w:r>
          </w:p>
        </w:tc>
        <w:tc>
          <w:tcPr>
            <w:tcW w:w="624" w:type="pct"/>
            <w:tcBorders>
              <w:bottom w:val="single" w:color="auto" w:sz="12" w:space="0"/>
            </w:tcBorders>
            <w:noWrap w:val="0"/>
            <w:vAlign w:val="center"/>
          </w:tcPr>
          <w:p>
            <w:pPr>
              <w:jc w:val="center"/>
              <w:rPr>
                <w:rFonts w:hint="default"/>
                <w:color w:val="auto"/>
                <w:sz w:val="21"/>
                <w:szCs w:val="21"/>
                <w:lang w:val="en-US" w:eastAsia="zh-CN"/>
              </w:rPr>
            </w:pPr>
            <w:r>
              <w:rPr>
                <w:rFonts w:hint="eastAsia"/>
                <w:color w:val="auto"/>
                <w:sz w:val="21"/>
                <w:szCs w:val="21"/>
                <w:lang w:val="en-US" w:eastAsia="zh-CN"/>
              </w:rPr>
              <w:t>43.8</w:t>
            </w:r>
          </w:p>
        </w:tc>
        <w:tc>
          <w:tcPr>
            <w:tcW w:w="625" w:type="pct"/>
            <w:tcBorders>
              <w:bottom w:val="single" w:color="auto" w:sz="12" w:space="0"/>
            </w:tcBorders>
            <w:noWrap w:val="0"/>
            <w:vAlign w:val="center"/>
          </w:tcPr>
          <w:p>
            <w:pPr>
              <w:snapToGrid w:val="0"/>
              <w:spacing w:line="320" w:lineRule="exact"/>
              <w:jc w:val="center"/>
              <w:rPr>
                <w:rFonts w:hint="default"/>
                <w:color w:val="auto"/>
                <w:sz w:val="21"/>
                <w:szCs w:val="21"/>
                <w:lang w:val="en-US" w:eastAsia="zh-CN"/>
              </w:rPr>
            </w:pPr>
            <w:r>
              <w:rPr>
                <w:rFonts w:hint="eastAsia"/>
                <w:color w:val="auto"/>
                <w:sz w:val="21"/>
                <w:szCs w:val="21"/>
                <w:lang w:val="en-US" w:eastAsia="zh-CN"/>
              </w:rPr>
              <w:t>37.3</w:t>
            </w:r>
          </w:p>
        </w:tc>
        <w:tc>
          <w:tcPr>
            <w:tcW w:w="625" w:type="pct"/>
            <w:tcBorders>
              <w:bottom w:val="single" w:color="auto" w:sz="12" w:space="0"/>
            </w:tcBorders>
            <w:noWrap w:val="0"/>
            <w:vAlign w:val="center"/>
          </w:tcPr>
          <w:p>
            <w:pPr>
              <w:snapToGrid w:val="0"/>
              <w:spacing w:line="320" w:lineRule="exact"/>
              <w:jc w:val="center"/>
              <w:rPr>
                <w:rFonts w:hint="default"/>
                <w:color w:val="auto"/>
                <w:sz w:val="21"/>
                <w:szCs w:val="21"/>
                <w:lang w:val="en-US" w:eastAsia="zh-CN"/>
              </w:rPr>
            </w:pPr>
            <w:r>
              <w:rPr>
                <w:rFonts w:hint="eastAsia"/>
                <w:color w:val="auto"/>
                <w:sz w:val="21"/>
                <w:szCs w:val="21"/>
                <w:lang w:val="en-US" w:eastAsia="zh-CN"/>
              </w:rPr>
              <w:t>44.7</w:t>
            </w:r>
          </w:p>
        </w:tc>
        <w:tc>
          <w:tcPr>
            <w:tcW w:w="625" w:type="pct"/>
            <w:tcBorders>
              <w:bottom w:val="single" w:color="auto" w:sz="12" w:space="0"/>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45</w:t>
            </w:r>
          </w:p>
        </w:tc>
        <w:tc>
          <w:tcPr>
            <w:tcW w:w="625" w:type="pct"/>
            <w:tcBorders>
              <w:bottom w:val="single" w:color="auto" w:sz="12" w:space="0"/>
              <w:right w:val="nil"/>
            </w:tcBorders>
            <w:noWrap w:val="0"/>
            <w:vAlign w:val="center"/>
          </w:tcPr>
          <w:p>
            <w:pPr>
              <w:snapToGrid w:val="0"/>
              <w:spacing w:line="320" w:lineRule="exact"/>
              <w:jc w:val="center"/>
              <w:rPr>
                <w:rFonts w:hint="eastAsia"/>
                <w:color w:val="auto"/>
                <w:sz w:val="21"/>
                <w:szCs w:val="21"/>
                <w:lang w:val="en-US" w:eastAsia="zh-CN"/>
              </w:rPr>
            </w:pPr>
            <w:r>
              <w:rPr>
                <w:rFonts w:hint="eastAsia"/>
                <w:color w:val="auto"/>
                <w:sz w:val="21"/>
                <w:szCs w:val="21"/>
                <w:lang w:val="en-US" w:eastAsia="zh-CN"/>
              </w:rPr>
              <w:t>达标</w:t>
            </w:r>
          </w:p>
        </w:tc>
      </w:tr>
    </w:tbl>
    <w:p>
      <w:pPr>
        <w:pStyle w:val="8"/>
        <w:keepNext w:val="0"/>
        <w:keepLines w:val="0"/>
        <w:pageBreakBefore w:val="0"/>
        <w:widowControl w:val="0"/>
        <w:kinsoku/>
        <w:wordWrap/>
        <w:overflowPunct/>
        <w:topLinePunct w:val="0"/>
        <w:autoSpaceDE w:val="0"/>
        <w:autoSpaceDN w:val="0"/>
        <w:bidi w:val="0"/>
        <w:adjustRightInd/>
        <w:snapToGrid/>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sz w:val="24"/>
          <w:szCs w:val="24"/>
        </w:rPr>
        <w:t>由表</w:t>
      </w:r>
      <w:r>
        <w:rPr>
          <w:rFonts w:hint="default" w:ascii="Times New Roman" w:hAnsi="Times New Roman" w:eastAsia="宋体" w:cs="Times New Roman"/>
          <w:color w:val="auto"/>
          <w:sz w:val="24"/>
          <w:szCs w:val="24"/>
          <w:lang w:val="en-US" w:eastAsia="zh-CN"/>
        </w:rPr>
        <w:t>5.2-1</w:t>
      </w:r>
      <w:r>
        <w:rPr>
          <w:rFonts w:hint="eastAsia" w:cs="Times New Roman"/>
          <w:color w:val="auto"/>
          <w:sz w:val="24"/>
          <w:szCs w:val="24"/>
          <w:lang w:val="en-US" w:eastAsia="zh-CN"/>
        </w:rPr>
        <w:t>8</w:t>
      </w:r>
      <w:r>
        <w:rPr>
          <w:rFonts w:hint="default" w:ascii="Times New Roman" w:hAnsi="Times New Roman" w:eastAsia="宋体" w:cs="Times New Roman"/>
          <w:color w:val="auto"/>
          <w:sz w:val="24"/>
          <w:szCs w:val="24"/>
          <w:lang w:val="en-US" w:eastAsia="zh-CN"/>
        </w:rPr>
        <w:t>中的预测结果</w:t>
      </w:r>
      <w:r>
        <w:rPr>
          <w:rFonts w:hint="default" w:ascii="Times New Roman" w:hAnsi="Times New Roman" w:eastAsia="宋体" w:cs="Times New Roman"/>
          <w:color w:val="auto"/>
          <w:sz w:val="24"/>
          <w:szCs w:val="24"/>
        </w:rPr>
        <w:t>可知，</w:t>
      </w:r>
      <w:r>
        <w:rPr>
          <w:rFonts w:hint="default" w:ascii="Times New Roman" w:hAnsi="Times New Roman" w:eastAsia="宋体" w:cs="Times New Roman"/>
          <w:color w:val="auto"/>
          <w:sz w:val="24"/>
          <w:szCs w:val="24"/>
          <w:lang w:eastAsia="zh-CN"/>
        </w:rPr>
        <w:t>经采取有效措施后，项目的贡献噪声值及与项目所在地的背景噪声值叠加后，项目厂界噪声均</w:t>
      </w:r>
      <w:r>
        <w:rPr>
          <w:rFonts w:hint="default" w:ascii="Times New Roman" w:hAnsi="Times New Roman" w:eastAsia="宋体" w:cs="Times New Roman"/>
          <w:color w:val="auto"/>
          <w:sz w:val="24"/>
          <w:szCs w:val="24"/>
        </w:rPr>
        <w:t>能满足 GB12348-2008《工业企业厂界环境噪声排放标准》</w:t>
      </w:r>
      <w:r>
        <w:rPr>
          <w:rFonts w:hint="default" w:ascii="Times New Roman" w:hAnsi="Times New Roman" w:eastAsia="宋体" w:cs="Times New Roman"/>
          <w:color w:val="auto"/>
          <w:sz w:val="24"/>
          <w:szCs w:val="24"/>
          <w:lang w:val="en-US" w:eastAsia="zh-CN"/>
        </w:rPr>
        <w:t>1</w:t>
      </w:r>
      <w:r>
        <w:rPr>
          <w:rFonts w:hint="default" w:ascii="Times New Roman" w:hAnsi="Times New Roman" w:eastAsia="宋体" w:cs="Times New Roman"/>
          <w:color w:val="auto"/>
          <w:sz w:val="24"/>
          <w:szCs w:val="24"/>
        </w:rPr>
        <w:t>类标准要求。</w:t>
      </w:r>
    </w:p>
    <w:p>
      <w:pPr>
        <w:pStyle w:val="5"/>
        <w:ind w:firstLine="562"/>
      </w:pPr>
      <w:r>
        <w:rPr>
          <w:rFonts w:hint="eastAsia"/>
          <w:lang w:val="en-US" w:eastAsia="zh-CN"/>
        </w:rPr>
        <w:t xml:space="preserve"> </w:t>
      </w:r>
      <w:r>
        <w:rPr>
          <w:rFonts w:hint="eastAsia"/>
          <w:lang w:eastAsia="zh-CN"/>
        </w:rPr>
        <w:t>营运期固废环境影响分析</w:t>
      </w:r>
    </w:p>
    <w:p>
      <w:pPr>
        <w:pStyle w:val="6"/>
        <w:rPr>
          <w:rFonts w:hint="eastAsia"/>
        </w:rPr>
      </w:pPr>
      <w:r>
        <w:rPr>
          <w:rFonts w:hint="eastAsia"/>
          <w:lang w:eastAsia="zh-CN"/>
        </w:rPr>
        <w:t>固废管理的途径</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各类固废如收集、贮放、运输、处置等环节的不严格或不妥善，会造成土壤、地下水污染，其主要可能途径有：</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（1）废物产生后，不能完全收集而流失于环境中；</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（2）贮放容器使用材质不当，耐蚀性能差，容器受蚀后造成废液渗漏；</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（3）废物临时堆放地无防雨、防风、防渗设施，雨水洗淋后污染物随渗滤液进入土壤和地表、地下水环境，大风时也可造成风蚀流失；</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（4）因管理不善而造成人为流失继而污染环境；</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（5）废物得不到及时处置，在处置场所因各种因素造成流失；</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拟建项目污染物排放如不受控制，在上述所列污染途径情况下，可能对环境的污染危害影响主要有：</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（1）污染水体，破坏水生环境，并进而污染地下水体；</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（2）由于土壤污染，而对地面树木、花草的生长发育造成不良影响；</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（3）土壤受污染后，由于污染物在雨水淋滤下转移至地下水层，致使地下水（特别是潜层水）污染；</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（4）生活垃圾的杂乱堆积影响人们居住环境的卫生状况，对人们的健康构成威胁。</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因此，必须确保固体废物的处置和管理。</w:t>
      </w:r>
    </w:p>
    <w:p>
      <w:pPr>
        <w:pStyle w:val="6"/>
        <w:rPr>
          <w:rFonts w:hint="eastAsia"/>
        </w:rPr>
      </w:pPr>
      <w:r>
        <w:rPr>
          <w:rFonts w:hint="eastAsia"/>
          <w:lang w:eastAsia="zh-CN"/>
        </w:rPr>
        <w:t>固废废物的处理处置</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根据上文，本项目产生的固废主要有猪粪、病死猪尸体、医疗垃圾、生活垃圾等。分别属于一般工业固废、危险废物。建设单位重视对固废的综合利用和处置。</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（1）一般工业固废贮存和处置方式</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default" w:ascii="Times New Roman" w:hAnsi="Times New Roman" w:eastAsia="宋体" w:cs="Times New Roman"/>
          <w:kern w:val="0"/>
          <w:sz w:val="24"/>
          <w:szCs w:val="24"/>
          <w:lang w:val="en-US" w:eastAsia="zh-CN"/>
        </w:rPr>
      </w:pPr>
      <w:r>
        <w:rPr>
          <w:rFonts w:hint="eastAsia" w:cs="Times New Roman"/>
          <w:b w:val="0"/>
          <w:bCs w:val="0"/>
          <w:sz w:val="24"/>
          <w:szCs w:val="24"/>
          <w:lang w:eastAsia="zh-CN"/>
        </w:rPr>
        <w:t>本项目生产性工业固废为猪粪、病死猪尸体，猪粪每天清粪后经异位发酵床集中处理制成有机肥；病死猪尸体经</w:t>
      </w:r>
      <w:r>
        <w:rPr>
          <w:rFonts w:hint="default" w:ascii="Times New Roman" w:hAnsi="Times New Roman" w:eastAsia="宋体" w:cs="Times New Roman"/>
          <w:kern w:val="0"/>
          <w:sz w:val="24"/>
          <w:szCs w:val="24"/>
          <w:lang w:val="en-US" w:eastAsia="zh-CN"/>
        </w:rPr>
        <w:t xml:space="preserve">经病死猪降解变成无病菌的有机肥包装外售。 </w:t>
      </w:r>
      <w:r>
        <w:rPr>
          <w:rFonts w:hint="eastAsia" w:ascii="Times New Roman" w:hAnsi="Times New Roman" w:cs="Times New Roman"/>
          <w:kern w:val="0"/>
          <w:sz w:val="24"/>
          <w:szCs w:val="24"/>
          <w:lang w:val="en-US" w:eastAsia="zh-CN"/>
        </w:rPr>
        <w:t>生活垃圾由环卫部门统一收集处理。</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本项目一般工业固废暂存区位于固废间，堆场设有防渗漏、防雨、防火设施，并远离敏感点。固废堆放期不应过长，并做好运输途中防泄漏、洒落措施。</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w:t>
      </w:r>
      <w:r>
        <w:rPr>
          <w:rFonts w:hint="eastAsia" w:cs="Times New Roman"/>
          <w:b w:val="0"/>
          <w:bCs w:val="0"/>
          <w:sz w:val="24"/>
          <w:szCs w:val="24"/>
          <w:lang w:val="en-US" w:eastAsia="zh-CN"/>
        </w:rPr>
        <w:t>2</w:t>
      </w:r>
      <w:r>
        <w:rPr>
          <w:rFonts w:hint="eastAsia" w:cs="Times New Roman"/>
          <w:b w:val="0"/>
          <w:bCs w:val="0"/>
          <w:sz w:val="24"/>
          <w:szCs w:val="24"/>
          <w:lang w:eastAsia="zh-CN"/>
        </w:rPr>
        <w:t>）危险性固废暂存措施</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本项目设置危险废物暂存点，生产过程中产生的危险废物临时暂存于项目危险废物暂存点中，统一收集后交由有资质的单位作无害化处理，要求签订危险废物处置合同，严格执行危险废物转移联单管理制度。</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危险废物暂存场所按照《危险废物贮存污染控制标准》的要求建设，危险废物的贮存必须按《危险废物贮存污染控制标准》GB18579-2001及2013修改单的要求进行，具体要求如下：</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（1）禁止将相互反应的危险废物在同一容器内混装；装载液体、半固体危险废物的容器内需留有足够的空间，容器顶部距液面之间的距离不得小于100 mm；</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（2）使用符合标准的容器盛装危险废物，其材质强度应满足贮存要求，同时，选用的材质必须不能与危险废物产生化学反应。</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（3）危险废物贮存场所的地面与群脚采用坚固、防渗材料建造，同时材料不能与废物产生化学反应。贮存厂房（仓库）上方应设有排气系统，以保证贮存间内的空气质量。</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（4）应加强危险废物贮存设施的运行管理，作好危险废物的出入库管理记录和标识，定期检查危险废物包装容器的完好性，发现破损，应及时采取措施。</w:t>
      </w:r>
    </w:p>
    <w:p>
      <w:pPr>
        <w:pStyle w:val="6"/>
        <w:rPr>
          <w:rFonts w:hint="eastAsia"/>
        </w:rPr>
      </w:pPr>
      <w:r>
        <w:rPr>
          <w:rFonts w:hint="eastAsia"/>
          <w:lang w:eastAsia="zh-CN"/>
        </w:rPr>
        <w:t>危险废物收集运输过程中的环境影响</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s="Times New Roman"/>
          <w:b w:val="0"/>
          <w:bCs w:val="0"/>
          <w:sz w:val="24"/>
          <w:szCs w:val="24"/>
          <w:lang w:eastAsia="zh-CN"/>
        </w:rPr>
      </w:pPr>
      <w:r>
        <w:rPr>
          <w:rFonts w:hint="eastAsia" w:cs="Times New Roman"/>
          <w:b w:val="0"/>
          <w:bCs w:val="0"/>
          <w:sz w:val="24"/>
          <w:szCs w:val="24"/>
          <w:lang w:eastAsia="zh-CN"/>
        </w:rPr>
        <w:t>项目产生的危险废物经过收集包装后，建设单位应委托有资质的运输单位进行运输。运输者需要认真核对运输清单、标记、选择合适的装载方式和适宜的运输工具，确定合理的运输路线及对泄漏或临时事故的应急措施。采用车辆运输方式收运危险废物时，应考虑对收运人员的培训、许可证的审核以及收运过程中的安全防护等。最经常采用的运输方式是公路运输，为保证安全，危险废物不能在车辆上进行压缩。为防止运输过程中危险废物泄漏对环境造成污染，运输车辆必须具有必要的安全的、密闭的装卸条件，对司机也应进行专业培训，执行系列的特殊规定。危险废物运载车辆应标有醒目的危险符号，危险废物承运者必须掌握所运危险废物的必要资料，并制定在出现危险废物泄漏事故时的应急措施等。</w:t>
      </w:r>
    </w:p>
    <w:p>
      <w:pPr>
        <w:pStyle w:val="6"/>
        <w:rPr>
          <w:rFonts w:hint="eastAsia"/>
        </w:rPr>
      </w:pPr>
      <w:r>
        <w:rPr>
          <w:rFonts w:hint="eastAsia"/>
          <w:lang w:eastAsia="zh-CN"/>
        </w:rPr>
        <w:t>固体废物影响分析评价</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b w:val="0"/>
          <w:bCs w:val="0"/>
          <w:lang w:eastAsia="zh-CN"/>
        </w:rPr>
      </w:pPr>
      <w:r>
        <w:rPr>
          <w:rFonts w:hint="eastAsia" w:cs="Times New Roman"/>
          <w:b w:val="0"/>
          <w:bCs w:val="0"/>
          <w:sz w:val="24"/>
          <w:szCs w:val="24"/>
          <w:lang w:eastAsia="zh-CN"/>
        </w:rPr>
        <w:t>本项目最大可能的回收各种固废，符合固体废物资源化要求。建设单位对各种固体废物进行分类处置。生产过程中产生的危险废物临时暂存于危险废物暂存点中，统一收集后交由有资质的单位作无害化处理，要求签订危险废物处置合同，严格执行危险废物转移联单管理制度。生产过程中产生的一般工业固废临时暂存于固体废物堆放区中，猪粪每天清粪后经异位发酵床集中处理制成有机肥；病死猪尸体经</w:t>
      </w:r>
      <w:r>
        <w:rPr>
          <w:rFonts w:hint="eastAsia" w:cs="Times New Roman"/>
          <w:b w:val="0"/>
          <w:bCs w:val="0"/>
          <w:sz w:val="24"/>
          <w:szCs w:val="24"/>
          <w:lang w:val="en-US" w:eastAsia="zh-CN"/>
        </w:rPr>
        <w:t>经病死猪降解变成无病菌的有机肥包装外售；医疗废物交有资质的单位处置。生活垃圾由环卫部门统一收集处理</w:t>
      </w:r>
      <w:r>
        <w:rPr>
          <w:rFonts w:hint="eastAsia" w:cs="Times New Roman"/>
          <w:b w:val="0"/>
          <w:bCs w:val="0"/>
          <w:sz w:val="24"/>
          <w:szCs w:val="24"/>
          <w:lang w:eastAsia="zh-CN"/>
        </w:rPr>
        <w:t>。各类固体废物都得以有效处置。由于项目所产生的固体废物不在厂区内长期储存、处理和处置，因此不会对项目内及周边环境产生不良影响。</w:t>
      </w:r>
    </w:p>
    <w:p>
      <w:pPr>
        <w:pStyle w:val="5"/>
        <w:ind w:firstLine="562"/>
      </w:pPr>
      <w:r>
        <w:rPr>
          <w:rFonts w:hint="eastAsia"/>
          <w:lang w:val="en-US" w:eastAsia="zh-CN"/>
        </w:rPr>
        <w:t xml:space="preserve"> </w:t>
      </w:r>
      <w:r>
        <w:rPr>
          <w:rFonts w:hint="eastAsia"/>
          <w:lang w:eastAsia="zh-CN"/>
        </w:rPr>
        <w:t>营运期土壤环境影响分析</w:t>
      </w:r>
    </w:p>
    <w:p>
      <w:pPr>
        <w:pStyle w:val="6"/>
        <w:rPr>
          <w:rFonts w:hint="eastAsia"/>
        </w:rPr>
      </w:pPr>
      <w:r>
        <w:rPr>
          <w:rFonts w:hint="eastAsia"/>
          <w:lang w:eastAsia="zh-CN"/>
        </w:rPr>
        <w:t>土壤环境影响评价等级</w:t>
      </w:r>
    </w:p>
    <w:p>
      <w:pPr>
        <w:pStyle w:val="26"/>
        <w:keepNext w:val="0"/>
        <w:keepLines w:val="0"/>
        <w:pageBreakBefore w:val="0"/>
        <w:widowControl w:val="0"/>
        <w:kinsoku/>
        <w:wordWrap/>
        <w:overflowPunct/>
        <w:topLinePunct w:val="0"/>
        <w:autoSpaceDE/>
        <w:autoSpaceDN/>
        <w:bidi w:val="0"/>
        <w:adjustRightInd/>
        <w:snapToGrid/>
        <w:spacing w:after="0" w:afterLines="0" w:line="360" w:lineRule="auto"/>
        <w:ind w:left="0" w:right="0" w:firstLine="480" w:firstLineChars="200"/>
        <w:jc w:val="both"/>
        <w:textAlignment w:val="auto"/>
        <w:rPr>
          <w:rFonts w:hint="default" w:ascii="Times New Roman" w:hAnsi="Times New Roman" w:eastAsia="宋体" w:cs="Times New Roman"/>
          <w:color w:val="231F20"/>
          <w:sz w:val="24"/>
          <w:szCs w:val="24"/>
        </w:rPr>
      </w:pPr>
      <w:r>
        <w:rPr>
          <w:rFonts w:hint="default" w:ascii="Times New Roman" w:hAnsi="Times New Roman" w:eastAsia="宋体" w:cs="Times New Roman"/>
          <w:color w:val="231F20"/>
          <w:sz w:val="24"/>
          <w:szCs w:val="24"/>
        </w:rPr>
        <w:t>根据《环境影响评价技术导则-</w:t>
      </w:r>
      <w:r>
        <w:rPr>
          <w:rFonts w:hint="default" w:ascii="Times New Roman" w:hAnsi="Times New Roman" w:eastAsia="宋体" w:cs="Times New Roman"/>
          <w:color w:val="231F20"/>
          <w:sz w:val="24"/>
          <w:szCs w:val="24"/>
          <w:lang w:eastAsia="zh-CN"/>
        </w:rPr>
        <w:t>土壤</w:t>
      </w:r>
      <w:r>
        <w:rPr>
          <w:rFonts w:hint="default" w:ascii="Times New Roman" w:hAnsi="Times New Roman" w:eastAsia="宋体" w:cs="Times New Roman"/>
          <w:color w:val="231F20"/>
          <w:sz w:val="24"/>
          <w:szCs w:val="24"/>
        </w:rPr>
        <w:t>环境</w:t>
      </w:r>
      <w:r>
        <w:rPr>
          <w:rFonts w:hint="default" w:ascii="Times New Roman" w:hAnsi="Times New Roman" w:eastAsia="宋体" w:cs="Times New Roman"/>
          <w:color w:val="231F20"/>
          <w:sz w:val="24"/>
          <w:szCs w:val="24"/>
          <w:lang w:eastAsia="zh-CN"/>
        </w:rPr>
        <w:t>（试行）</w:t>
      </w:r>
      <w:r>
        <w:rPr>
          <w:rFonts w:hint="default" w:ascii="Times New Roman" w:hAnsi="Times New Roman" w:eastAsia="宋体" w:cs="Times New Roman"/>
          <w:color w:val="231F20"/>
          <w:sz w:val="24"/>
          <w:szCs w:val="24"/>
        </w:rPr>
        <w:t>》（HJ</w:t>
      </w:r>
      <w:r>
        <w:rPr>
          <w:rFonts w:hint="default" w:ascii="Times New Roman" w:hAnsi="Times New Roman" w:eastAsia="宋体" w:cs="Times New Roman"/>
          <w:color w:val="231F20"/>
          <w:sz w:val="24"/>
          <w:szCs w:val="24"/>
          <w:lang w:val="en-US" w:eastAsia="zh-CN"/>
        </w:rPr>
        <w:t>964</w:t>
      </w:r>
      <w:r>
        <w:rPr>
          <w:rFonts w:hint="default" w:ascii="Times New Roman" w:hAnsi="Times New Roman" w:eastAsia="宋体" w:cs="Times New Roman"/>
          <w:color w:val="231F20"/>
          <w:sz w:val="24"/>
          <w:szCs w:val="24"/>
        </w:rPr>
        <w:t>-201</w:t>
      </w:r>
      <w:r>
        <w:rPr>
          <w:rFonts w:hint="default" w:ascii="Times New Roman" w:hAnsi="Times New Roman" w:eastAsia="宋体" w:cs="Times New Roman"/>
          <w:color w:val="231F20"/>
          <w:sz w:val="24"/>
          <w:szCs w:val="24"/>
          <w:lang w:val="en-US" w:eastAsia="zh-CN"/>
        </w:rPr>
        <w:t>8</w:t>
      </w:r>
      <w:r>
        <w:rPr>
          <w:rFonts w:hint="default" w:ascii="Times New Roman" w:hAnsi="Times New Roman" w:eastAsia="宋体" w:cs="Times New Roman"/>
          <w:color w:val="231F20"/>
          <w:sz w:val="24"/>
          <w:szCs w:val="24"/>
        </w:rPr>
        <w:t>）表</w:t>
      </w:r>
      <w:r>
        <w:rPr>
          <w:rFonts w:hint="eastAsia" w:ascii="Times New Roman" w:hAnsi="Times New Roman" w:cs="Times New Roman"/>
          <w:color w:val="231F20"/>
          <w:sz w:val="24"/>
          <w:szCs w:val="24"/>
          <w:lang w:val="en-US" w:eastAsia="zh-CN"/>
        </w:rPr>
        <w:t>4</w:t>
      </w:r>
      <w:r>
        <w:rPr>
          <w:rFonts w:hint="default" w:ascii="Times New Roman" w:hAnsi="Times New Roman" w:eastAsia="宋体" w:cs="Times New Roman"/>
          <w:color w:val="231F20"/>
          <w:sz w:val="24"/>
          <w:szCs w:val="24"/>
        </w:rPr>
        <w:t>中评价工作等级分级表</w:t>
      </w:r>
      <w:r>
        <w:rPr>
          <w:rFonts w:hint="eastAsia" w:ascii="Times New Roman" w:hAnsi="Times New Roman" w:eastAsia="宋体" w:cs="Times New Roman"/>
          <w:color w:val="231F20"/>
          <w:sz w:val="24"/>
          <w:szCs w:val="24"/>
          <w:lang w:eastAsia="zh-CN"/>
        </w:rPr>
        <w:t>及表</w:t>
      </w:r>
      <w:r>
        <w:rPr>
          <w:rFonts w:hint="eastAsia" w:ascii="Times New Roman" w:hAnsi="Times New Roman" w:eastAsia="宋体" w:cs="Times New Roman"/>
          <w:color w:val="231F20"/>
          <w:sz w:val="24"/>
          <w:szCs w:val="24"/>
          <w:lang w:val="en-US" w:eastAsia="zh-CN"/>
        </w:rPr>
        <w:t>2.5-10、表2.5-11可知，</w:t>
      </w:r>
      <w:r>
        <w:rPr>
          <w:rFonts w:hint="default" w:ascii="Times New Roman" w:hAnsi="Times New Roman" w:eastAsia="宋体" w:cs="Times New Roman"/>
          <w:color w:val="231F20"/>
          <w:sz w:val="24"/>
          <w:szCs w:val="24"/>
        </w:rPr>
        <w:t>项目</w:t>
      </w:r>
      <w:r>
        <w:rPr>
          <w:rFonts w:hint="eastAsia" w:ascii="Times New Roman" w:hAnsi="Times New Roman" w:cs="Times New Roman"/>
          <w:color w:val="231F20"/>
          <w:sz w:val="24"/>
          <w:szCs w:val="24"/>
          <w:lang w:eastAsia="zh-CN"/>
        </w:rPr>
        <w:t>土壤</w:t>
      </w:r>
      <w:r>
        <w:rPr>
          <w:rFonts w:hint="default" w:ascii="Times New Roman" w:hAnsi="Times New Roman" w:eastAsia="宋体" w:cs="Times New Roman"/>
          <w:color w:val="231F20"/>
          <w:sz w:val="24"/>
          <w:szCs w:val="24"/>
        </w:rPr>
        <w:t>环境影响评价工作等级为</w:t>
      </w:r>
      <w:r>
        <w:rPr>
          <w:rFonts w:hint="eastAsia" w:ascii="Times New Roman" w:hAnsi="Times New Roman" w:cs="Times New Roman"/>
          <w:color w:val="231F20"/>
          <w:sz w:val="24"/>
          <w:szCs w:val="24"/>
          <w:lang w:eastAsia="zh-CN"/>
        </w:rPr>
        <w:t>“</w:t>
      </w:r>
      <w:r>
        <w:rPr>
          <w:rFonts w:hint="eastAsia" w:ascii="Times New Roman" w:hAnsi="Times New Roman" w:cs="Times New Roman"/>
          <w:color w:val="231F20"/>
          <w:sz w:val="24"/>
          <w:szCs w:val="24"/>
          <w:lang w:val="en-US" w:eastAsia="zh-CN"/>
        </w:rPr>
        <w:t>三</w:t>
      </w:r>
      <w:r>
        <w:rPr>
          <w:rFonts w:hint="eastAsia" w:ascii="Times New Roman" w:hAnsi="Times New Roman" w:cs="Times New Roman"/>
          <w:color w:val="231F20"/>
          <w:sz w:val="24"/>
          <w:szCs w:val="24"/>
          <w:lang w:eastAsia="zh-CN"/>
        </w:rPr>
        <w:t>”级</w:t>
      </w:r>
      <w:r>
        <w:rPr>
          <w:rFonts w:hint="default" w:ascii="Times New Roman" w:hAnsi="Times New Roman" w:eastAsia="宋体" w:cs="Times New Roman"/>
          <w:color w:val="231F20"/>
          <w:sz w:val="24"/>
          <w:szCs w:val="24"/>
        </w:rPr>
        <w:t>。</w:t>
      </w:r>
    </w:p>
    <w:p>
      <w:pPr>
        <w:pStyle w:val="26"/>
        <w:keepNext w:val="0"/>
        <w:keepLines w:val="0"/>
        <w:pageBreakBefore w:val="0"/>
        <w:widowControl w:val="0"/>
        <w:kinsoku/>
        <w:wordWrap/>
        <w:overflowPunct/>
        <w:topLinePunct w:val="0"/>
        <w:autoSpaceDE/>
        <w:autoSpaceDN/>
        <w:bidi w:val="0"/>
        <w:adjustRightInd/>
        <w:snapToGrid/>
        <w:spacing w:after="0" w:afterLines="0" w:line="360" w:lineRule="auto"/>
        <w:ind w:left="0" w:right="0" w:firstLine="480" w:firstLineChars="200"/>
        <w:jc w:val="both"/>
        <w:textAlignment w:val="auto"/>
        <w:rPr>
          <w:rFonts w:hint="default" w:ascii="Times New Roman" w:hAnsi="Times New Roman" w:eastAsia="宋体" w:cs="Times New Roman"/>
          <w:color w:val="231F20"/>
          <w:sz w:val="24"/>
          <w:szCs w:val="24"/>
        </w:rPr>
      </w:pPr>
      <w:r>
        <w:rPr>
          <w:rFonts w:hint="default" w:ascii="Times New Roman" w:hAnsi="Times New Roman" w:eastAsia="宋体" w:cs="Times New Roman"/>
          <w:color w:val="231F20"/>
          <w:sz w:val="24"/>
          <w:szCs w:val="24"/>
        </w:rPr>
        <w:t>根据《环境影响评价技术导则-</w:t>
      </w:r>
      <w:r>
        <w:rPr>
          <w:rFonts w:hint="default" w:ascii="Times New Roman" w:hAnsi="Times New Roman" w:eastAsia="宋体" w:cs="Times New Roman"/>
          <w:color w:val="231F20"/>
          <w:sz w:val="24"/>
          <w:szCs w:val="24"/>
          <w:lang w:eastAsia="zh-CN"/>
        </w:rPr>
        <w:t>土壤</w:t>
      </w:r>
      <w:r>
        <w:rPr>
          <w:rFonts w:hint="default" w:ascii="Times New Roman" w:hAnsi="Times New Roman" w:eastAsia="宋体" w:cs="Times New Roman"/>
          <w:color w:val="231F20"/>
          <w:sz w:val="24"/>
          <w:szCs w:val="24"/>
        </w:rPr>
        <w:t>环境</w:t>
      </w:r>
      <w:r>
        <w:rPr>
          <w:rFonts w:hint="default" w:ascii="Times New Roman" w:hAnsi="Times New Roman" w:eastAsia="宋体" w:cs="Times New Roman"/>
          <w:color w:val="231F20"/>
          <w:sz w:val="24"/>
          <w:szCs w:val="24"/>
          <w:lang w:eastAsia="zh-CN"/>
        </w:rPr>
        <w:t>（试行）</w:t>
      </w:r>
      <w:r>
        <w:rPr>
          <w:rFonts w:hint="default" w:ascii="Times New Roman" w:hAnsi="Times New Roman" w:eastAsia="宋体" w:cs="Times New Roman"/>
          <w:color w:val="231F20"/>
          <w:sz w:val="24"/>
          <w:szCs w:val="24"/>
        </w:rPr>
        <w:t>》（HJ</w:t>
      </w:r>
      <w:r>
        <w:rPr>
          <w:rFonts w:hint="default" w:ascii="Times New Roman" w:hAnsi="Times New Roman" w:eastAsia="宋体" w:cs="Times New Roman"/>
          <w:color w:val="231F20"/>
          <w:sz w:val="24"/>
          <w:szCs w:val="24"/>
          <w:lang w:val="en-US" w:eastAsia="zh-CN"/>
        </w:rPr>
        <w:t>964</w:t>
      </w:r>
      <w:r>
        <w:rPr>
          <w:rFonts w:hint="default" w:ascii="Times New Roman" w:hAnsi="Times New Roman" w:eastAsia="宋体" w:cs="Times New Roman"/>
          <w:color w:val="231F20"/>
          <w:sz w:val="24"/>
          <w:szCs w:val="24"/>
        </w:rPr>
        <w:t>-201</w:t>
      </w:r>
      <w:r>
        <w:rPr>
          <w:rFonts w:hint="default" w:ascii="Times New Roman" w:hAnsi="Times New Roman" w:eastAsia="宋体" w:cs="Times New Roman"/>
          <w:color w:val="231F20"/>
          <w:sz w:val="24"/>
          <w:szCs w:val="24"/>
          <w:lang w:val="en-US" w:eastAsia="zh-CN"/>
        </w:rPr>
        <w:t>8</w:t>
      </w:r>
      <w:r>
        <w:rPr>
          <w:rFonts w:hint="default" w:ascii="Times New Roman" w:hAnsi="Times New Roman" w:eastAsia="宋体" w:cs="Times New Roman"/>
          <w:color w:val="231F20"/>
          <w:sz w:val="24"/>
          <w:szCs w:val="24"/>
        </w:rPr>
        <w:t>）</w:t>
      </w:r>
      <w:r>
        <w:rPr>
          <w:rFonts w:hint="default" w:ascii="Times New Roman" w:hAnsi="Times New Roman" w:eastAsia="宋体" w:cs="Times New Roman"/>
          <w:color w:val="231F20"/>
          <w:sz w:val="24"/>
          <w:szCs w:val="24"/>
          <w:lang w:eastAsia="zh-CN"/>
        </w:rPr>
        <w:t>本项目可开展简单的土壤环境影响分析工作</w:t>
      </w:r>
      <w:r>
        <w:rPr>
          <w:rFonts w:hint="default" w:ascii="Times New Roman" w:hAnsi="Times New Roman" w:eastAsia="宋体" w:cs="Times New Roman"/>
          <w:color w:val="231F20"/>
          <w:sz w:val="24"/>
          <w:szCs w:val="24"/>
          <w:lang w:val="en-US" w:eastAsia="zh-CN"/>
        </w:rPr>
        <w:t>。</w:t>
      </w:r>
    </w:p>
    <w:p>
      <w:pPr>
        <w:pStyle w:val="6"/>
        <w:rPr>
          <w:rFonts w:hint="eastAsia"/>
        </w:rPr>
      </w:pPr>
      <w:r>
        <w:rPr>
          <w:rFonts w:hint="eastAsia"/>
          <w:lang w:eastAsia="zh-CN"/>
        </w:rPr>
        <w:t>土地利用基本情况</w:t>
      </w:r>
    </w:p>
    <w:p>
      <w:pPr>
        <w:pStyle w:val="26"/>
        <w:keepNext w:val="0"/>
        <w:keepLines w:val="0"/>
        <w:pageBreakBefore w:val="0"/>
        <w:widowControl w:val="0"/>
        <w:kinsoku/>
        <w:wordWrap/>
        <w:overflowPunct/>
        <w:topLinePunct w:val="0"/>
        <w:autoSpaceDE/>
        <w:autoSpaceDN/>
        <w:bidi w:val="0"/>
        <w:adjustRightInd/>
        <w:snapToGrid/>
        <w:spacing w:after="0" w:afterLines="0" w:line="360" w:lineRule="auto"/>
        <w:ind w:left="0" w:right="0" w:firstLine="480" w:firstLineChars="200"/>
        <w:jc w:val="both"/>
        <w:textAlignment w:val="auto"/>
        <w:rPr>
          <w:rFonts w:hint="default" w:ascii="Times New Roman" w:hAnsi="Times New Roman" w:eastAsia="宋体" w:cs="Times New Roman"/>
          <w:color w:val="231F20"/>
          <w:sz w:val="24"/>
          <w:szCs w:val="24"/>
        </w:rPr>
      </w:pPr>
      <w:r>
        <w:rPr>
          <w:rFonts w:hint="default" w:ascii="Times New Roman" w:hAnsi="Times New Roman" w:eastAsia="宋体" w:cs="Times New Roman"/>
          <w:color w:val="231F20"/>
          <w:sz w:val="24"/>
          <w:szCs w:val="24"/>
        </w:rPr>
        <w:t xml:space="preserve">本项目土地类型为设施农用地、林地； </w:t>
      </w:r>
    </w:p>
    <w:p>
      <w:pPr>
        <w:pStyle w:val="8"/>
        <w:rPr>
          <w:rFonts w:hint="eastAsia"/>
        </w:rPr>
      </w:pPr>
      <w:r>
        <w:rPr>
          <w:rFonts w:hint="default" w:ascii="Times New Roman" w:hAnsi="Times New Roman" w:eastAsia="宋体" w:cs="Times New Roman"/>
          <w:color w:val="231F20"/>
          <w:sz w:val="24"/>
          <w:szCs w:val="24"/>
        </w:rPr>
        <w:t>根据国家土壤信息服务平台，本项目所在地土壤类型为红壤。</w:t>
      </w:r>
    </w:p>
    <w:p>
      <w:pPr>
        <w:pStyle w:val="6"/>
        <w:rPr>
          <w:rFonts w:hint="eastAsia"/>
        </w:rPr>
      </w:pPr>
      <w:r>
        <w:rPr>
          <w:rFonts w:hint="eastAsia"/>
          <w:lang w:eastAsia="zh-CN"/>
        </w:rPr>
        <w:t>评价范围</w:t>
      </w:r>
    </w:p>
    <w:p>
      <w:pPr>
        <w:pStyle w:val="26"/>
        <w:keepNext w:val="0"/>
        <w:keepLines w:val="0"/>
        <w:pageBreakBefore w:val="0"/>
        <w:widowControl w:val="0"/>
        <w:kinsoku/>
        <w:wordWrap/>
        <w:overflowPunct/>
        <w:topLinePunct w:val="0"/>
        <w:autoSpaceDE/>
        <w:autoSpaceDN/>
        <w:bidi w:val="0"/>
        <w:adjustRightInd/>
        <w:snapToGrid/>
        <w:spacing w:after="0" w:afterLines="0" w:line="360" w:lineRule="auto"/>
        <w:ind w:left="0" w:right="0" w:firstLine="480" w:firstLineChars="200"/>
        <w:jc w:val="both"/>
        <w:textAlignment w:val="auto"/>
        <w:rPr>
          <w:rFonts w:hint="default" w:ascii="Times New Roman" w:hAnsi="Times New Roman" w:eastAsia="宋体" w:cs="Times New Roman"/>
          <w:color w:val="231F20"/>
          <w:sz w:val="24"/>
          <w:szCs w:val="24"/>
        </w:rPr>
      </w:pPr>
      <w:r>
        <w:rPr>
          <w:rFonts w:hint="default" w:ascii="Times New Roman" w:hAnsi="Times New Roman" w:eastAsia="宋体" w:cs="Times New Roman"/>
          <w:color w:val="231F20"/>
          <w:sz w:val="24"/>
          <w:szCs w:val="24"/>
        </w:rPr>
        <w:t xml:space="preserve">根据《环境影响评价技术导则 土壤环境（试行）》(HJ964-2018)，本项目评价范围为项目占地范围及项目占地范围外0.05km的范围。 </w:t>
      </w:r>
    </w:p>
    <w:p>
      <w:pPr>
        <w:pStyle w:val="6"/>
        <w:rPr>
          <w:rFonts w:hint="eastAsia"/>
        </w:rPr>
      </w:pPr>
      <w:r>
        <w:rPr>
          <w:rFonts w:hint="eastAsia"/>
          <w:lang w:eastAsia="zh-CN"/>
        </w:rPr>
        <w:t>评价时段</w:t>
      </w:r>
    </w:p>
    <w:p>
      <w:pPr>
        <w:pStyle w:val="26"/>
        <w:keepNext w:val="0"/>
        <w:keepLines w:val="0"/>
        <w:pageBreakBefore w:val="0"/>
        <w:widowControl w:val="0"/>
        <w:kinsoku/>
        <w:wordWrap/>
        <w:overflowPunct/>
        <w:topLinePunct w:val="0"/>
        <w:autoSpaceDE/>
        <w:autoSpaceDN/>
        <w:bidi w:val="0"/>
        <w:adjustRightInd/>
        <w:snapToGrid/>
        <w:spacing w:after="0" w:afterLines="0" w:line="360" w:lineRule="auto"/>
        <w:ind w:left="0" w:right="0" w:firstLine="480" w:firstLineChars="200"/>
        <w:jc w:val="both"/>
        <w:textAlignment w:val="auto"/>
        <w:rPr>
          <w:rFonts w:hint="default" w:ascii="Times New Roman" w:hAnsi="Times New Roman" w:eastAsia="宋体" w:cs="Times New Roman"/>
          <w:color w:val="231F20"/>
          <w:sz w:val="24"/>
          <w:szCs w:val="24"/>
        </w:rPr>
      </w:pPr>
      <w:r>
        <w:rPr>
          <w:rFonts w:hint="default" w:ascii="Times New Roman" w:hAnsi="Times New Roman" w:eastAsia="宋体" w:cs="Times New Roman"/>
          <w:color w:val="231F20"/>
          <w:sz w:val="24"/>
          <w:szCs w:val="24"/>
        </w:rPr>
        <w:t xml:space="preserve">根据建设项目土壤环境影响类型识别结果，本项目重点预测评价时段为运营期。 </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b/>
          <w:bCs/>
          <w:lang w:eastAsia="zh-CN"/>
        </w:rPr>
      </w:pPr>
      <w:r>
        <w:rPr>
          <w:rFonts w:hint="eastAsia"/>
          <w:b/>
          <w:bCs/>
          <w:sz w:val="21"/>
          <w:szCs w:val="21"/>
          <w:lang w:eastAsia="zh-CN"/>
        </w:rPr>
        <w:t>表</w:t>
      </w:r>
      <w:r>
        <w:rPr>
          <w:rFonts w:hint="eastAsia"/>
          <w:b/>
          <w:bCs/>
          <w:sz w:val="21"/>
          <w:szCs w:val="21"/>
          <w:lang w:val="en-US" w:eastAsia="zh-CN"/>
        </w:rPr>
        <w:t>5.2-19   建设项目土壤环境影响类型与影响途径表</w:t>
      </w:r>
    </w:p>
    <w:tbl>
      <w:tblPr>
        <w:tblStyle w:val="63"/>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79"/>
        <w:gridCol w:w="1979"/>
        <w:gridCol w:w="1979"/>
        <w:gridCol w:w="1979"/>
        <w:gridCol w:w="19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9" w:type="pct"/>
            <w:vMerge w:val="restart"/>
            <w:tcBorders>
              <w:top w:val="single" w:color="auto" w:sz="12" w:space="0"/>
              <w:lef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不同时段</w:t>
            </w:r>
          </w:p>
        </w:tc>
        <w:tc>
          <w:tcPr>
            <w:tcW w:w="4000" w:type="pct"/>
            <w:gridSpan w:val="4"/>
            <w:tcBorders>
              <w:top w:val="single" w:color="auto" w:sz="12" w:space="0"/>
              <w:righ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污染影响型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9" w:type="pct"/>
            <w:vMerge w:val="continue"/>
            <w:tcBorders>
              <w:left w:val="nil"/>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999" w:type="pct"/>
            <w:tcBorders>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大气沉降</w:t>
            </w:r>
          </w:p>
        </w:tc>
        <w:tc>
          <w:tcPr>
            <w:tcW w:w="999" w:type="pct"/>
            <w:tcBorders>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地面漫流</w:t>
            </w:r>
          </w:p>
        </w:tc>
        <w:tc>
          <w:tcPr>
            <w:tcW w:w="999" w:type="pct"/>
            <w:tcBorders>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垂直入渗</w:t>
            </w:r>
          </w:p>
        </w:tc>
        <w:tc>
          <w:tcPr>
            <w:tcW w:w="1002" w:type="pct"/>
            <w:tcBorders>
              <w:bottom w:val="single" w:color="auto" w:sz="12" w:space="0"/>
              <w:righ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9" w:type="pct"/>
            <w:tcBorders>
              <w:top w:val="single" w:color="auto" w:sz="12" w:space="0"/>
              <w:lef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建设期</w:t>
            </w:r>
          </w:p>
        </w:tc>
        <w:tc>
          <w:tcPr>
            <w:tcW w:w="999" w:type="pct"/>
            <w:tcBorders>
              <w:top w:val="single" w:color="auto" w:sz="12" w:space="0"/>
            </w:tcBorders>
            <w:noWrap w:val="0"/>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无</w:t>
            </w:r>
          </w:p>
        </w:tc>
        <w:tc>
          <w:tcPr>
            <w:tcW w:w="999" w:type="pct"/>
            <w:tcBorders>
              <w:top w:val="single" w:color="auto" w:sz="12" w:space="0"/>
            </w:tcBorders>
            <w:noWrap w:val="0"/>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无</w:t>
            </w:r>
          </w:p>
        </w:tc>
        <w:tc>
          <w:tcPr>
            <w:tcW w:w="999" w:type="pct"/>
            <w:tcBorders>
              <w:top w:val="single" w:color="auto" w:sz="12" w:space="0"/>
            </w:tcBorders>
            <w:noWrap w:val="0"/>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无</w:t>
            </w:r>
          </w:p>
        </w:tc>
        <w:tc>
          <w:tcPr>
            <w:tcW w:w="1002" w:type="pct"/>
            <w:tcBorders>
              <w:top w:val="single" w:color="auto" w:sz="12" w:space="0"/>
              <w:right w:val="nil"/>
            </w:tcBorders>
            <w:noWrap w:val="0"/>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default" w:ascii="Arial" w:hAnsi="Arial" w:cs="Arial"/>
                <w:b w:val="0"/>
                <w:bCs w:val="0"/>
                <w:sz w:val="21"/>
                <w:szCs w:val="21"/>
                <w:vertAlign w:val="baseline"/>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99" w:type="pct"/>
            <w:tcBorders>
              <w:lef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运营期</w:t>
            </w:r>
          </w:p>
        </w:tc>
        <w:tc>
          <w:tcPr>
            <w:tcW w:w="999" w:type="pct"/>
            <w:noWrap w:val="0"/>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无</w:t>
            </w:r>
          </w:p>
        </w:tc>
        <w:tc>
          <w:tcPr>
            <w:tcW w:w="999" w:type="pct"/>
            <w:noWrap w:val="0"/>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无</w:t>
            </w:r>
          </w:p>
        </w:tc>
        <w:tc>
          <w:tcPr>
            <w:tcW w:w="999" w:type="pct"/>
            <w:noWrap w:val="0"/>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default" w:ascii="Arial" w:hAnsi="Arial" w:cs="Arial"/>
                <w:b w:val="0"/>
                <w:bCs w:val="0"/>
                <w:sz w:val="21"/>
                <w:szCs w:val="21"/>
                <w:vertAlign w:val="baseline"/>
                <w:lang w:eastAsia="zh-CN"/>
              </w:rPr>
              <w:t>√</w:t>
            </w:r>
          </w:p>
        </w:tc>
        <w:tc>
          <w:tcPr>
            <w:tcW w:w="1002" w:type="pct"/>
            <w:tcBorders>
              <w:right w:val="nil"/>
            </w:tcBorders>
            <w:noWrap w:val="0"/>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9" w:type="pct"/>
            <w:tcBorders>
              <w:left w:val="nil"/>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服务期满后</w:t>
            </w:r>
          </w:p>
        </w:tc>
        <w:tc>
          <w:tcPr>
            <w:tcW w:w="999" w:type="pct"/>
            <w:tcBorders>
              <w:bottom w:val="single" w:color="auto" w:sz="12" w:space="0"/>
            </w:tcBorders>
            <w:noWrap w:val="0"/>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无</w:t>
            </w:r>
          </w:p>
        </w:tc>
        <w:tc>
          <w:tcPr>
            <w:tcW w:w="999" w:type="pct"/>
            <w:tcBorders>
              <w:bottom w:val="single" w:color="auto" w:sz="12" w:space="0"/>
            </w:tcBorders>
            <w:noWrap w:val="0"/>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无</w:t>
            </w:r>
          </w:p>
        </w:tc>
        <w:tc>
          <w:tcPr>
            <w:tcW w:w="999" w:type="pct"/>
            <w:tcBorders>
              <w:bottom w:val="single" w:color="auto" w:sz="12" w:space="0"/>
            </w:tcBorders>
            <w:noWrap w:val="0"/>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无</w:t>
            </w:r>
          </w:p>
        </w:tc>
        <w:tc>
          <w:tcPr>
            <w:tcW w:w="1002" w:type="pct"/>
            <w:tcBorders>
              <w:bottom w:val="single" w:color="auto" w:sz="12" w:space="0"/>
              <w:right w:val="nil"/>
            </w:tcBorders>
            <w:noWrap w:val="0"/>
            <w:vAlign w:val="center"/>
          </w:tcPr>
          <w:p>
            <w:pPr>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无</w:t>
            </w:r>
          </w:p>
        </w:tc>
      </w:tr>
    </w:tbl>
    <w:p>
      <w:pPr>
        <w:pStyle w:val="6"/>
        <w:rPr>
          <w:rFonts w:hint="eastAsia"/>
        </w:rPr>
      </w:pPr>
      <w:r>
        <w:rPr>
          <w:rFonts w:hint="eastAsia"/>
          <w:lang w:eastAsia="zh-CN"/>
        </w:rPr>
        <w:t>情景设置</w:t>
      </w:r>
    </w:p>
    <w:p>
      <w:pPr>
        <w:pStyle w:val="8"/>
        <w:rPr>
          <w:rFonts w:hint="eastAsia"/>
        </w:rPr>
      </w:pPr>
      <w:r>
        <w:rPr>
          <w:rFonts w:hint="default"/>
          <w:b w:val="0"/>
          <w:bCs w:val="0"/>
          <w:lang w:eastAsia="zh-CN"/>
        </w:rPr>
        <w:t>本项目运营期发生污染土壤环境的途经主要为污水处理站</w:t>
      </w:r>
      <w:r>
        <w:rPr>
          <w:rFonts w:hint="eastAsia"/>
          <w:b w:val="0"/>
          <w:bCs w:val="0"/>
          <w:lang w:eastAsia="zh-CN"/>
        </w:rPr>
        <w:t>、异位发酵床</w:t>
      </w:r>
      <w:r>
        <w:rPr>
          <w:rFonts w:hint="default"/>
          <w:b w:val="0"/>
          <w:bCs w:val="0"/>
          <w:lang w:eastAsia="zh-CN"/>
        </w:rPr>
        <w:t>。正常情况下，污水处理站是不会发生泄漏的，本次针对非正常情况进行分析评价。</w:t>
      </w:r>
    </w:p>
    <w:p>
      <w:pPr>
        <w:pStyle w:val="6"/>
        <w:rPr>
          <w:rFonts w:hint="eastAsia"/>
        </w:rPr>
      </w:pPr>
      <w:r>
        <w:rPr>
          <w:rFonts w:hint="eastAsia"/>
          <w:lang w:eastAsia="zh-CN"/>
        </w:rPr>
        <w:t>环境影响类型、途径及影响因子识别</w:t>
      </w:r>
    </w:p>
    <w:p>
      <w:pPr>
        <w:pStyle w:val="8"/>
        <w:keepNext w:val="0"/>
        <w:keepLines w:val="0"/>
        <w:pageBreakBefore w:val="0"/>
        <w:widowControl w:val="0"/>
        <w:kinsoku/>
        <w:wordWrap/>
        <w:overflowPunct/>
        <w:topLinePunct w:val="0"/>
        <w:autoSpaceDE w:val="0"/>
        <w:autoSpaceDN w:val="0"/>
        <w:bidi w:val="0"/>
        <w:adjustRightInd/>
        <w:snapToGrid/>
        <w:textAlignment w:val="auto"/>
        <w:rPr>
          <w:rFonts w:hint="default"/>
          <w:b w:val="0"/>
          <w:bCs w:val="0"/>
          <w:lang w:eastAsia="zh-CN"/>
        </w:rPr>
      </w:pPr>
      <w:r>
        <w:rPr>
          <w:rFonts w:hint="default"/>
          <w:b w:val="0"/>
          <w:bCs w:val="0"/>
          <w:lang w:eastAsia="zh-CN"/>
        </w:rPr>
        <w:t>根据建设项目土壤环境影响源及影响因子识别，本项目评价因子选取COD、氨氮。</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eastAsia"/>
          <w:b/>
          <w:bCs/>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b/>
          <w:bCs/>
          <w:sz w:val="21"/>
          <w:szCs w:val="21"/>
          <w:lang w:val="en-US" w:eastAsia="zh-CN"/>
        </w:rPr>
      </w:pPr>
      <w:r>
        <w:rPr>
          <w:rFonts w:hint="eastAsia"/>
          <w:b/>
          <w:bCs/>
          <w:sz w:val="21"/>
          <w:szCs w:val="21"/>
          <w:lang w:eastAsia="zh-CN"/>
        </w:rPr>
        <w:t>表</w:t>
      </w:r>
      <w:r>
        <w:rPr>
          <w:rFonts w:hint="eastAsia"/>
          <w:b/>
          <w:bCs/>
          <w:sz w:val="21"/>
          <w:szCs w:val="21"/>
          <w:lang w:val="en-US" w:eastAsia="zh-CN"/>
        </w:rPr>
        <w:t>5.2-20  污染影响型建设项目土壤环境影响源及影响因子识别表</w:t>
      </w:r>
    </w:p>
    <w:tbl>
      <w:tblPr>
        <w:tblStyle w:val="63"/>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60"/>
        <w:gridCol w:w="2003"/>
        <w:gridCol w:w="1359"/>
        <w:gridCol w:w="2039"/>
        <w:gridCol w:w="1603"/>
        <w:gridCol w:w="10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9" w:type="pct"/>
            <w:tcBorders>
              <w:top w:val="single" w:color="auto" w:sz="12" w:space="0"/>
              <w:left w:val="nil"/>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污染源</w:t>
            </w:r>
          </w:p>
        </w:tc>
        <w:tc>
          <w:tcPr>
            <w:tcW w:w="1011" w:type="pct"/>
            <w:tcBorders>
              <w:top w:val="single" w:color="auto" w:sz="12" w:space="0"/>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val="en-US" w:eastAsia="zh-CN"/>
              </w:rPr>
            </w:pPr>
            <w:r>
              <w:rPr>
                <w:rFonts w:hint="eastAsia"/>
                <w:b w:val="0"/>
                <w:bCs w:val="0"/>
                <w:sz w:val="21"/>
                <w:szCs w:val="21"/>
                <w:vertAlign w:val="baseline"/>
                <w:lang w:eastAsia="zh-CN"/>
              </w:rPr>
              <w:t>工艺流程</w:t>
            </w:r>
            <w:r>
              <w:rPr>
                <w:rFonts w:hint="eastAsia"/>
                <w:b w:val="0"/>
                <w:bCs w:val="0"/>
                <w:sz w:val="21"/>
                <w:szCs w:val="21"/>
                <w:vertAlign w:val="baseline"/>
                <w:lang w:val="en-US" w:eastAsia="zh-CN"/>
              </w:rPr>
              <w:t>/节点</w:t>
            </w:r>
          </w:p>
        </w:tc>
        <w:tc>
          <w:tcPr>
            <w:tcW w:w="686" w:type="pct"/>
            <w:tcBorders>
              <w:top w:val="single" w:color="auto" w:sz="12" w:space="0"/>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污染途径</w:t>
            </w:r>
          </w:p>
        </w:tc>
        <w:tc>
          <w:tcPr>
            <w:tcW w:w="1029" w:type="pct"/>
            <w:tcBorders>
              <w:top w:val="single" w:color="auto" w:sz="12" w:space="0"/>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全部污染物指标</w:t>
            </w:r>
          </w:p>
        </w:tc>
        <w:tc>
          <w:tcPr>
            <w:tcW w:w="809" w:type="pct"/>
            <w:tcBorders>
              <w:top w:val="single" w:color="auto" w:sz="12" w:space="0"/>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特征因子</w:t>
            </w:r>
          </w:p>
        </w:tc>
        <w:tc>
          <w:tcPr>
            <w:tcW w:w="524" w:type="pct"/>
            <w:tcBorders>
              <w:top w:val="single" w:color="auto" w:sz="12" w:space="0"/>
              <w:bottom w:val="single" w:color="auto" w:sz="12" w:space="0"/>
              <w:righ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9" w:type="pct"/>
            <w:tcBorders>
              <w:top w:val="single" w:color="auto" w:sz="12" w:space="0"/>
              <w:left w:val="nil"/>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b w:val="0"/>
                <w:bCs w:val="0"/>
                <w:sz w:val="21"/>
                <w:szCs w:val="21"/>
                <w:vertAlign w:val="baseline"/>
                <w:lang w:eastAsia="zh-CN"/>
              </w:rPr>
            </w:pPr>
            <w:r>
              <w:rPr>
                <w:rFonts w:hint="eastAsia"/>
                <w:b w:val="0"/>
                <w:bCs w:val="0"/>
                <w:sz w:val="21"/>
                <w:szCs w:val="21"/>
                <w:vertAlign w:val="baseline"/>
                <w:lang w:eastAsia="zh-CN"/>
              </w:rPr>
              <w:t>污水处理设施</w:t>
            </w:r>
          </w:p>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异位发酵床</w:t>
            </w:r>
          </w:p>
        </w:tc>
        <w:tc>
          <w:tcPr>
            <w:tcW w:w="1011" w:type="pct"/>
            <w:tcBorders>
              <w:top w:val="single" w:color="auto" w:sz="12" w:space="0"/>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防渗层</w:t>
            </w:r>
          </w:p>
        </w:tc>
        <w:tc>
          <w:tcPr>
            <w:tcW w:w="686" w:type="pct"/>
            <w:tcBorders>
              <w:top w:val="single" w:color="auto" w:sz="12" w:space="0"/>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垂直入渗</w:t>
            </w:r>
          </w:p>
        </w:tc>
        <w:tc>
          <w:tcPr>
            <w:tcW w:w="1029" w:type="pct"/>
            <w:tcBorders>
              <w:top w:val="single" w:color="auto" w:sz="12" w:space="0"/>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val="en-US" w:eastAsia="zh-CN"/>
              </w:rPr>
            </w:pPr>
            <w:r>
              <w:rPr>
                <w:rFonts w:hint="eastAsia"/>
                <w:b w:val="0"/>
                <w:bCs w:val="0"/>
                <w:sz w:val="21"/>
                <w:szCs w:val="21"/>
                <w:vertAlign w:val="baseline"/>
                <w:lang w:val="en-US" w:eastAsia="zh-CN"/>
              </w:rPr>
              <w:t>COD、氨氮</w:t>
            </w:r>
          </w:p>
        </w:tc>
        <w:tc>
          <w:tcPr>
            <w:tcW w:w="809" w:type="pct"/>
            <w:tcBorders>
              <w:top w:val="single" w:color="auto" w:sz="12" w:space="0"/>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val="en-US" w:eastAsia="zh-CN"/>
              </w:rPr>
              <w:t>COD、氨氮</w:t>
            </w:r>
          </w:p>
        </w:tc>
        <w:tc>
          <w:tcPr>
            <w:tcW w:w="524" w:type="pct"/>
            <w:tcBorders>
              <w:top w:val="single" w:color="auto" w:sz="12" w:space="0"/>
              <w:bottom w:val="single" w:color="auto" w:sz="12" w:space="0"/>
              <w:righ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事故</w:t>
            </w:r>
          </w:p>
        </w:tc>
      </w:tr>
    </w:tbl>
    <w:p>
      <w:pPr>
        <w:pStyle w:val="6"/>
        <w:rPr>
          <w:rFonts w:hint="eastAsia"/>
        </w:rPr>
      </w:pPr>
      <w:r>
        <w:rPr>
          <w:rFonts w:hint="eastAsia"/>
          <w:lang w:eastAsia="zh-CN"/>
        </w:rPr>
        <w:t>影响分析</w:t>
      </w:r>
    </w:p>
    <w:p>
      <w:pPr>
        <w:pStyle w:val="8"/>
        <w:keepNext w:val="0"/>
        <w:keepLines w:val="0"/>
        <w:pageBreakBefore w:val="0"/>
        <w:widowControl w:val="0"/>
        <w:kinsoku/>
        <w:wordWrap/>
        <w:overflowPunct/>
        <w:topLinePunct w:val="0"/>
        <w:autoSpaceDE w:val="0"/>
        <w:autoSpaceDN w:val="0"/>
        <w:bidi w:val="0"/>
        <w:adjustRightInd/>
        <w:snapToGrid/>
        <w:textAlignment w:val="auto"/>
        <w:rPr>
          <w:rFonts w:hint="default"/>
          <w:b w:val="0"/>
          <w:bCs w:val="0"/>
          <w:lang w:eastAsia="zh-CN"/>
        </w:rPr>
      </w:pPr>
      <w:r>
        <w:rPr>
          <w:rFonts w:hint="default"/>
          <w:b w:val="0"/>
          <w:bCs w:val="0"/>
          <w:lang w:eastAsia="zh-CN"/>
        </w:rPr>
        <w:t>本项目对土壤产生污染的影响源主要污水处理</w:t>
      </w:r>
      <w:r>
        <w:rPr>
          <w:rFonts w:hint="eastAsia"/>
          <w:b w:val="0"/>
          <w:bCs w:val="0"/>
          <w:lang w:eastAsia="zh-CN"/>
        </w:rPr>
        <w:t>设施、异位发酵床</w:t>
      </w:r>
      <w:r>
        <w:rPr>
          <w:rFonts w:hint="default"/>
          <w:b w:val="0"/>
          <w:bCs w:val="0"/>
          <w:lang w:eastAsia="zh-CN"/>
        </w:rPr>
        <w:t>。当污水处理</w:t>
      </w:r>
      <w:r>
        <w:rPr>
          <w:rFonts w:hint="eastAsia"/>
          <w:b w:val="0"/>
          <w:bCs w:val="0"/>
          <w:lang w:eastAsia="zh-CN"/>
        </w:rPr>
        <w:t>设施、异位发酵床</w:t>
      </w:r>
      <w:r>
        <w:rPr>
          <w:rFonts w:hint="default"/>
          <w:b w:val="0"/>
          <w:bCs w:val="0"/>
          <w:lang w:eastAsia="zh-CN"/>
        </w:rPr>
        <w:t xml:space="preserve">出现破损而导致废水泄漏时，废水将渗入土壤，对土壤及地下水造成污染，因此，本项目应严格落实好分区防渗工程并定期检查，杜绝泄漏情况的发生，基本不会对项目土壤造成明显影响。 </w:t>
      </w:r>
    </w:p>
    <w:p>
      <w:pPr>
        <w:pStyle w:val="6"/>
        <w:rPr>
          <w:rFonts w:hint="eastAsia"/>
        </w:rPr>
      </w:pPr>
      <w:r>
        <w:rPr>
          <w:rFonts w:hint="eastAsia"/>
          <w:lang w:eastAsia="zh-CN"/>
        </w:rPr>
        <w:t>土壤环境影响评价自查表</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b w:val="0"/>
          <w:bCs w:val="0"/>
          <w:sz w:val="21"/>
          <w:szCs w:val="21"/>
          <w:lang w:eastAsia="zh-CN"/>
        </w:rPr>
      </w:pPr>
      <w:r>
        <w:rPr>
          <w:rFonts w:hint="eastAsia"/>
          <w:b/>
          <w:bCs/>
          <w:sz w:val="21"/>
          <w:szCs w:val="21"/>
          <w:lang w:eastAsia="zh-CN"/>
        </w:rPr>
        <w:t>表</w:t>
      </w:r>
      <w:r>
        <w:rPr>
          <w:rFonts w:hint="eastAsia"/>
          <w:b/>
          <w:bCs/>
          <w:sz w:val="21"/>
          <w:szCs w:val="21"/>
          <w:lang w:val="en-US" w:eastAsia="zh-CN"/>
        </w:rPr>
        <w:t>5.2-21  土壤环境影响评价自查表</w:t>
      </w:r>
    </w:p>
    <w:tbl>
      <w:tblPr>
        <w:tblStyle w:val="63"/>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40"/>
        <w:gridCol w:w="1759"/>
        <w:gridCol w:w="1498"/>
        <w:gridCol w:w="470"/>
        <w:gridCol w:w="836"/>
        <w:gridCol w:w="1131"/>
        <w:gridCol w:w="384"/>
        <w:gridCol w:w="1589"/>
        <w:gridCol w:w="15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1" w:type="pct"/>
            <w:gridSpan w:val="2"/>
            <w:tcBorders>
              <w:top w:val="single" w:color="auto" w:sz="12" w:space="0"/>
              <w:left w:val="nil"/>
              <w:bottom w:val="single" w:color="auto" w:sz="12" w:space="0"/>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工作内容</w:t>
            </w:r>
          </w:p>
        </w:tc>
        <w:tc>
          <w:tcPr>
            <w:tcW w:w="2982" w:type="pct"/>
            <w:gridSpan w:val="6"/>
            <w:tcBorders>
              <w:top w:val="single" w:color="auto" w:sz="12" w:space="0"/>
              <w:bottom w:val="single" w:color="auto" w:sz="12" w:space="0"/>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完成情况</w:t>
            </w:r>
          </w:p>
        </w:tc>
        <w:tc>
          <w:tcPr>
            <w:tcW w:w="806" w:type="pct"/>
            <w:tcBorders>
              <w:top w:val="single" w:color="auto" w:sz="12" w:space="0"/>
              <w:bottom w:val="single" w:color="auto" w:sz="12" w:space="0"/>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restart"/>
            <w:tcBorders>
              <w:top w:val="single" w:color="auto" w:sz="12" w:space="0"/>
              <w:lef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影响识别</w:t>
            </w:r>
          </w:p>
        </w:tc>
        <w:tc>
          <w:tcPr>
            <w:tcW w:w="888" w:type="pct"/>
            <w:tcBorders>
              <w:top w:val="single" w:color="auto" w:sz="12" w:space="0"/>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影响类型</w:t>
            </w:r>
          </w:p>
        </w:tc>
        <w:tc>
          <w:tcPr>
            <w:tcW w:w="2982" w:type="pct"/>
            <w:gridSpan w:val="6"/>
            <w:tcBorders>
              <w:top w:val="single" w:color="auto" w:sz="12" w:space="0"/>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eastAsia="zh-CN"/>
              </w:rPr>
            </w:pPr>
            <w:r>
              <w:rPr>
                <w:rFonts w:hint="eastAsia"/>
                <w:b w:val="0"/>
                <w:bCs w:val="0"/>
                <w:sz w:val="21"/>
                <w:szCs w:val="21"/>
                <w:vertAlign w:val="baseline"/>
                <w:lang w:eastAsia="zh-CN"/>
              </w:rPr>
              <w:t>污染影响型</w:t>
            </w:r>
            <w:r>
              <w:rPr>
                <w:rFonts w:hint="default" w:ascii="Arial" w:hAnsi="Arial" w:cs="Arial"/>
                <w:b w:val="0"/>
                <w:bCs w:val="0"/>
                <w:sz w:val="21"/>
                <w:szCs w:val="21"/>
                <w:vertAlign w:val="baseline"/>
                <w:lang w:eastAsia="zh-CN"/>
              </w:rPr>
              <w:t>√</w:t>
            </w:r>
            <w:r>
              <w:rPr>
                <w:rFonts w:hint="eastAsia"/>
                <w:b w:val="0"/>
                <w:bCs w:val="0"/>
                <w:sz w:val="21"/>
                <w:szCs w:val="21"/>
                <w:vertAlign w:val="baseline"/>
                <w:lang w:eastAsia="zh-CN"/>
              </w:rPr>
              <w:t>；生态影响型</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；两种兼有</w:t>
            </w:r>
            <w:r>
              <w:rPr>
                <w:rFonts w:hint="eastAsia"/>
                <w:b w:val="0"/>
                <w:bCs w:val="0"/>
                <w:sz w:val="21"/>
                <w:szCs w:val="21"/>
                <w:vertAlign w:val="baseline"/>
                <w:lang w:eastAsia="zh-CN"/>
              </w:rPr>
              <w:sym w:font="Wingdings 2" w:char="00A3"/>
            </w:r>
          </w:p>
        </w:tc>
        <w:tc>
          <w:tcPr>
            <w:tcW w:w="806" w:type="pct"/>
            <w:tcBorders>
              <w:top w:val="single" w:color="auto" w:sz="12" w:space="0"/>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土地利用类型</w:t>
            </w:r>
          </w:p>
        </w:tc>
        <w:tc>
          <w:tcPr>
            <w:tcW w:w="2982" w:type="pct"/>
            <w:gridSpan w:val="6"/>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eastAsia="zh-CN"/>
              </w:rPr>
            </w:pPr>
            <w:r>
              <w:rPr>
                <w:rFonts w:hint="eastAsia"/>
                <w:b w:val="0"/>
                <w:bCs w:val="0"/>
                <w:sz w:val="21"/>
                <w:szCs w:val="21"/>
                <w:vertAlign w:val="baseline"/>
                <w:lang w:eastAsia="zh-CN"/>
              </w:rPr>
              <w:t>建设用地</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；农用地</w:t>
            </w:r>
            <w:r>
              <w:rPr>
                <w:rFonts w:hint="default" w:ascii="Arial" w:hAnsi="Arial" w:cs="Arial"/>
                <w:b w:val="0"/>
                <w:bCs w:val="0"/>
                <w:sz w:val="21"/>
                <w:szCs w:val="21"/>
                <w:vertAlign w:val="baseline"/>
                <w:lang w:eastAsia="zh-CN"/>
              </w:rPr>
              <w:t>√</w:t>
            </w:r>
            <w:r>
              <w:rPr>
                <w:rFonts w:hint="eastAsia"/>
                <w:b w:val="0"/>
                <w:bCs w:val="0"/>
                <w:sz w:val="21"/>
                <w:szCs w:val="21"/>
                <w:vertAlign w:val="baseline"/>
                <w:lang w:eastAsia="zh-CN"/>
              </w:rPr>
              <w:t>；未利用地</w:t>
            </w:r>
            <w:r>
              <w:rPr>
                <w:rFonts w:hint="eastAsia"/>
                <w:b w:val="0"/>
                <w:bCs w:val="0"/>
                <w:sz w:val="21"/>
                <w:szCs w:val="21"/>
                <w:vertAlign w:val="baseline"/>
                <w:lang w:eastAsia="zh-CN"/>
              </w:rPr>
              <w:sym w:font="Wingdings 2" w:char="00A3"/>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土地利用类型图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占地规模</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val="en-US" w:eastAsia="zh-CN"/>
              </w:rPr>
            </w:pPr>
            <w:r>
              <w:rPr>
                <w:rFonts w:hint="eastAsia"/>
                <w:b w:val="0"/>
                <w:bCs w:val="0"/>
                <w:sz w:val="21"/>
                <w:szCs w:val="21"/>
                <w:vertAlign w:val="baseline"/>
                <w:lang w:eastAsia="zh-CN"/>
              </w:rPr>
              <w:t>（</w:t>
            </w:r>
            <w:r>
              <w:rPr>
                <w:rFonts w:hint="eastAsia"/>
                <w:b w:val="0"/>
                <w:bCs w:val="0"/>
                <w:sz w:val="21"/>
                <w:szCs w:val="21"/>
                <w:vertAlign w:val="baseline"/>
                <w:lang w:val="en-US" w:eastAsia="zh-CN"/>
              </w:rPr>
              <w:t>40020</w:t>
            </w:r>
            <w:r>
              <w:rPr>
                <w:rFonts w:hint="eastAsia"/>
                <w:b w:val="0"/>
                <w:bCs w:val="0"/>
                <w:sz w:val="21"/>
                <w:szCs w:val="21"/>
                <w:vertAlign w:val="baseline"/>
                <w:lang w:eastAsia="zh-CN"/>
              </w:rPr>
              <w:t>）</w:t>
            </w:r>
            <w:r>
              <w:rPr>
                <w:rFonts w:hint="eastAsia"/>
                <w:b w:val="0"/>
                <w:bCs w:val="0"/>
                <w:sz w:val="21"/>
                <w:szCs w:val="21"/>
                <w:vertAlign w:val="baseline"/>
                <w:lang w:val="en-US" w:eastAsia="zh-CN"/>
              </w:rPr>
              <w:t>m</w:t>
            </w:r>
            <w:r>
              <w:rPr>
                <w:rFonts w:hint="eastAsia"/>
                <w:b w:val="0"/>
                <w:bCs w:val="0"/>
                <w:sz w:val="21"/>
                <w:szCs w:val="21"/>
                <w:vertAlign w:val="superscript"/>
                <w:lang w:val="en-US" w:eastAsia="zh-CN"/>
              </w:rPr>
              <w:t>2</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敏感目标信息</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eastAsia="zh-CN"/>
              </w:rPr>
            </w:pPr>
            <w:r>
              <w:rPr>
                <w:rFonts w:hint="eastAsia"/>
                <w:b w:val="0"/>
                <w:bCs w:val="0"/>
                <w:sz w:val="21"/>
                <w:szCs w:val="21"/>
                <w:vertAlign w:val="baseline"/>
                <w:lang w:eastAsia="zh-CN"/>
              </w:rPr>
              <w:t>敏感目标（耕地）、方位（项目周围）、距离（</w:t>
            </w:r>
            <w:r>
              <w:rPr>
                <w:rFonts w:hint="eastAsia"/>
                <w:b w:val="0"/>
                <w:bCs w:val="0"/>
                <w:sz w:val="21"/>
                <w:szCs w:val="21"/>
                <w:vertAlign w:val="baseline"/>
                <w:lang w:val="en-US" w:eastAsia="zh-CN"/>
              </w:rPr>
              <w:t>1m</w:t>
            </w:r>
            <w:r>
              <w:rPr>
                <w:rFonts w:hint="eastAsia"/>
                <w:b w:val="0"/>
                <w:bCs w:val="0"/>
                <w:sz w:val="21"/>
                <w:szCs w:val="21"/>
                <w:vertAlign w:val="baseline"/>
                <w:lang w:eastAsia="zh-CN"/>
              </w:rPr>
              <w:t>）</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影响途径</w:t>
            </w:r>
          </w:p>
        </w:tc>
        <w:tc>
          <w:tcPr>
            <w:tcW w:w="2982" w:type="pct"/>
            <w:gridSpan w:val="6"/>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eastAsia"/>
                <w:b w:val="0"/>
                <w:bCs w:val="0"/>
                <w:sz w:val="21"/>
                <w:szCs w:val="21"/>
                <w:vertAlign w:val="baseline"/>
                <w:lang w:eastAsia="zh-CN"/>
              </w:rPr>
            </w:pPr>
            <w:r>
              <w:rPr>
                <w:rFonts w:hint="eastAsia"/>
                <w:b w:val="0"/>
                <w:bCs w:val="0"/>
                <w:sz w:val="21"/>
                <w:szCs w:val="21"/>
                <w:vertAlign w:val="baseline"/>
                <w:lang w:eastAsia="zh-CN"/>
              </w:rPr>
              <w:t>大气沉降</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；地面漫流</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；垂直入渗</w:t>
            </w:r>
            <w:r>
              <w:rPr>
                <w:rFonts w:hint="default" w:ascii="Arial" w:hAnsi="Arial" w:cs="Arial"/>
                <w:b w:val="0"/>
                <w:bCs w:val="0"/>
                <w:sz w:val="21"/>
                <w:szCs w:val="21"/>
                <w:vertAlign w:val="baseline"/>
                <w:lang w:eastAsia="zh-CN"/>
              </w:rPr>
              <w:t>√</w:t>
            </w:r>
            <w:r>
              <w:rPr>
                <w:rFonts w:hint="eastAsia"/>
                <w:b w:val="0"/>
                <w:bCs w:val="0"/>
                <w:sz w:val="21"/>
                <w:szCs w:val="21"/>
                <w:vertAlign w:val="baseline"/>
                <w:lang w:eastAsia="zh-CN"/>
              </w:rPr>
              <w:t>；</w:t>
            </w:r>
          </w:p>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eastAsia="zh-CN"/>
              </w:rPr>
            </w:pPr>
            <w:r>
              <w:rPr>
                <w:rFonts w:hint="eastAsia"/>
                <w:b w:val="0"/>
                <w:bCs w:val="0"/>
                <w:sz w:val="21"/>
                <w:szCs w:val="21"/>
                <w:vertAlign w:val="baseline"/>
                <w:lang w:eastAsia="zh-CN"/>
              </w:rPr>
              <w:t>地下水位</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；；其他（</w:t>
            </w:r>
            <w:r>
              <w:rPr>
                <w:rFonts w:hint="eastAsia"/>
                <w:b w:val="0"/>
                <w:bCs w:val="0"/>
                <w:sz w:val="21"/>
                <w:szCs w:val="21"/>
                <w:vertAlign w:val="baseline"/>
                <w:lang w:val="en-US" w:eastAsia="zh-CN"/>
              </w:rPr>
              <w:t xml:space="preserve">  </w:t>
            </w:r>
            <w:r>
              <w:rPr>
                <w:rFonts w:hint="eastAsia"/>
                <w:b w:val="0"/>
                <w:bCs w:val="0"/>
                <w:sz w:val="21"/>
                <w:szCs w:val="21"/>
                <w:vertAlign w:val="baseline"/>
                <w:lang w:eastAsia="zh-CN"/>
              </w:rPr>
              <w:t>）</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全部污染物</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val="en-US" w:eastAsia="zh-CN"/>
              </w:rPr>
            </w:pPr>
            <w:r>
              <w:rPr>
                <w:rFonts w:hint="eastAsia"/>
                <w:b w:val="0"/>
                <w:bCs w:val="0"/>
                <w:sz w:val="21"/>
                <w:szCs w:val="21"/>
                <w:vertAlign w:val="baseline"/>
                <w:lang w:val="en-US" w:eastAsia="zh-CN"/>
              </w:rPr>
              <w:t>COD、氨氮</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特征污染物</w:t>
            </w:r>
          </w:p>
        </w:tc>
        <w:tc>
          <w:tcPr>
            <w:tcW w:w="2982" w:type="pct"/>
            <w:gridSpan w:val="6"/>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eastAsia="zh-CN"/>
              </w:rPr>
            </w:pPr>
            <w:r>
              <w:rPr>
                <w:rFonts w:hint="eastAsia"/>
                <w:b w:val="0"/>
                <w:bCs w:val="0"/>
                <w:sz w:val="21"/>
                <w:szCs w:val="21"/>
                <w:vertAlign w:val="baseline"/>
                <w:lang w:val="en-US" w:eastAsia="zh-CN"/>
              </w:rPr>
              <w:t>COD、氨氮</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所属土壤环境影响评价类别</w:t>
            </w:r>
          </w:p>
        </w:tc>
        <w:tc>
          <w:tcPr>
            <w:tcW w:w="2982" w:type="pct"/>
            <w:gridSpan w:val="6"/>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eastAsia="zh-CN"/>
              </w:rPr>
            </w:pPr>
            <w:r>
              <w:rPr>
                <w:rFonts w:hint="eastAsia"/>
                <w:b w:val="0"/>
                <w:bCs w:val="0"/>
                <w:sz w:val="21"/>
                <w:szCs w:val="21"/>
                <w:vertAlign w:val="baseline"/>
                <w:lang w:eastAsia="zh-CN"/>
              </w:rPr>
              <w:t>Ⅰ类</w:t>
            </w:r>
            <w:r>
              <w:rPr>
                <w:rFonts w:hint="eastAsia"/>
                <w:b w:val="0"/>
                <w:bCs w:val="0"/>
                <w:sz w:val="21"/>
                <w:szCs w:val="21"/>
                <w:vertAlign w:val="baseline"/>
                <w:lang w:eastAsia="zh-CN"/>
              </w:rPr>
              <w:sym w:font="Wingdings 2" w:char="0052"/>
            </w:r>
            <w:r>
              <w:rPr>
                <w:rFonts w:hint="eastAsia"/>
                <w:b w:val="0"/>
                <w:bCs w:val="0"/>
                <w:sz w:val="21"/>
                <w:szCs w:val="21"/>
                <w:vertAlign w:val="baseline"/>
                <w:lang w:eastAsia="zh-CN"/>
              </w:rPr>
              <w:t>；Ⅱ类</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；Ⅲ类</w:t>
            </w:r>
            <w:r>
              <w:rPr>
                <w:rFonts w:hint="default" w:ascii="Arial" w:hAnsi="Arial" w:cs="Arial"/>
                <w:b w:val="0"/>
                <w:bCs w:val="0"/>
                <w:sz w:val="21"/>
                <w:szCs w:val="21"/>
                <w:vertAlign w:val="baseline"/>
                <w:lang w:eastAsia="zh-CN"/>
              </w:rPr>
              <w:t>√</w:t>
            </w:r>
            <w:r>
              <w:rPr>
                <w:rFonts w:hint="eastAsia"/>
                <w:b w:val="0"/>
                <w:bCs w:val="0"/>
                <w:sz w:val="21"/>
                <w:szCs w:val="21"/>
                <w:vertAlign w:val="baseline"/>
                <w:lang w:eastAsia="zh-CN"/>
              </w:rPr>
              <w:t>；Ⅳ类</w:t>
            </w:r>
            <w:r>
              <w:rPr>
                <w:rFonts w:hint="eastAsia"/>
                <w:b w:val="0"/>
                <w:bCs w:val="0"/>
                <w:sz w:val="21"/>
                <w:szCs w:val="21"/>
                <w:vertAlign w:val="baseline"/>
                <w:lang w:eastAsia="zh-CN"/>
              </w:rPr>
              <w:sym w:font="Wingdings 2" w:char="00A3"/>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敏感程度</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eastAsia="zh-CN"/>
              </w:rPr>
            </w:pPr>
            <w:r>
              <w:rPr>
                <w:rFonts w:hint="eastAsia"/>
                <w:b w:val="0"/>
                <w:bCs w:val="0"/>
                <w:sz w:val="21"/>
                <w:szCs w:val="21"/>
                <w:vertAlign w:val="baseline"/>
                <w:lang w:eastAsia="zh-CN"/>
              </w:rPr>
              <w:t>敏感</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；较敏感</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；不敏感</w:t>
            </w:r>
            <w:r>
              <w:rPr>
                <w:rFonts w:hint="default" w:ascii="Arial" w:hAnsi="Arial" w:cs="Arial"/>
                <w:b w:val="0"/>
                <w:bCs w:val="0"/>
                <w:sz w:val="21"/>
                <w:szCs w:val="21"/>
                <w:vertAlign w:val="baseline"/>
                <w:lang w:eastAsia="zh-CN"/>
              </w:rPr>
              <w:t>√</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1" w:type="pct"/>
            <w:gridSpan w:val="2"/>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评价工作等级</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eastAsia="zh-CN"/>
              </w:rPr>
            </w:pPr>
            <w:r>
              <w:rPr>
                <w:rFonts w:hint="eastAsia"/>
                <w:b w:val="0"/>
                <w:bCs w:val="0"/>
                <w:sz w:val="21"/>
                <w:szCs w:val="21"/>
                <w:vertAlign w:val="baseline"/>
                <w:lang w:eastAsia="zh-CN"/>
              </w:rPr>
              <w:t>一级</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；二级</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；三级</w:t>
            </w:r>
            <w:r>
              <w:rPr>
                <w:rFonts w:hint="default" w:ascii="Arial" w:hAnsi="Arial" w:cs="Arial"/>
                <w:b w:val="0"/>
                <w:bCs w:val="0"/>
                <w:sz w:val="21"/>
                <w:szCs w:val="21"/>
                <w:vertAlign w:val="baseline"/>
                <w:lang w:eastAsia="zh-CN"/>
              </w:rPr>
              <w:t>√</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3" w:type="pct"/>
            <w:vMerge w:val="restart"/>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现状调查内容</w:t>
            </w:r>
          </w:p>
        </w:tc>
        <w:tc>
          <w:tcPr>
            <w:tcW w:w="888"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资料收集</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val="en-US" w:eastAsia="zh-CN"/>
              </w:rPr>
            </w:pPr>
            <w:r>
              <w:rPr>
                <w:rFonts w:hint="eastAsia"/>
                <w:b w:val="0"/>
                <w:bCs w:val="0"/>
                <w:sz w:val="21"/>
                <w:szCs w:val="21"/>
                <w:vertAlign w:val="baseline"/>
                <w:lang w:val="en-US" w:eastAsia="zh-CN"/>
              </w:rPr>
              <w:t>a）</w:t>
            </w:r>
            <w:r>
              <w:rPr>
                <w:rFonts w:hint="default" w:ascii="Arial" w:hAnsi="Arial" w:cs="Arial"/>
                <w:b w:val="0"/>
                <w:bCs w:val="0"/>
                <w:sz w:val="21"/>
                <w:szCs w:val="21"/>
                <w:vertAlign w:val="baseline"/>
                <w:lang w:eastAsia="zh-CN"/>
              </w:rPr>
              <w:t>√</w:t>
            </w:r>
            <w:r>
              <w:rPr>
                <w:rFonts w:hint="eastAsia" w:ascii="Arial" w:hAnsi="Arial" w:cs="Arial"/>
                <w:b w:val="0"/>
                <w:bCs w:val="0"/>
                <w:sz w:val="21"/>
                <w:szCs w:val="21"/>
                <w:vertAlign w:val="baseline"/>
                <w:lang w:eastAsia="zh-CN"/>
              </w:rPr>
              <w:t>；</w:t>
            </w:r>
            <w:r>
              <w:rPr>
                <w:rFonts w:hint="eastAsia"/>
                <w:b w:val="0"/>
                <w:bCs w:val="0"/>
                <w:sz w:val="21"/>
                <w:szCs w:val="21"/>
                <w:vertAlign w:val="baseline"/>
                <w:lang w:val="en-US" w:eastAsia="zh-CN"/>
              </w:rPr>
              <w:t>b）</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w:t>
            </w:r>
            <w:r>
              <w:rPr>
                <w:rFonts w:hint="eastAsia"/>
                <w:b w:val="0"/>
                <w:bCs w:val="0"/>
                <w:sz w:val="21"/>
                <w:szCs w:val="21"/>
                <w:vertAlign w:val="baseline"/>
                <w:lang w:val="en-US" w:eastAsia="zh-CN"/>
              </w:rPr>
              <w:t>c）</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w:t>
            </w:r>
            <w:r>
              <w:rPr>
                <w:rFonts w:hint="eastAsia"/>
                <w:b w:val="0"/>
                <w:bCs w:val="0"/>
                <w:sz w:val="21"/>
                <w:szCs w:val="21"/>
                <w:vertAlign w:val="baseline"/>
                <w:lang w:val="en-US" w:eastAsia="zh-CN"/>
              </w:rPr>
              <w:t>d）</w:t>
            </w:r>
            <w:r>
              <w:rPr>
                <w:rFonts w:hint="eastAsia"/>
                <w:b w:val="0"/>
                <w:bCs w:val="0"/>
                <w:sz w:val="21"/>
                <w:szCs w:val="21"/>
                <w:vertAlign w:val="baseline"/>
                <w:lang w:eastAsia="zh-CN"/>
              </w:rPr>
              <w:sym w:font="Wingdings 2" w:char="00A3"/>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理化性质</w:t>
            </w:r>
          </w:p>
        </w:tc>
        <w:tc>
          <w:tcPr>
            <w:tcW w:w="2982" w:type="pct"/>
            <w:gridSpan w:val="6"/>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val="en-US" w:eastAsia="zh-CN"/>
              </w:rPr>
            </w:pPr>
            <w:r>
              <w:rPr>
                <w:rFonts w:hint="eastAsia"/>
                <w:b w:val="0"/>
                <w:bCs w:val="0"/>
                <w:sz w:val="21"/>
                <w:szCs w:val="21"/>
                <w:vertAlign w:val="baseline"/>
                <w:lang w:eastAsia="zh-CN"/>
              </w:rPr>
              <w:t>同附录</w:t>
            </w:r>
            <w:r>
              <w:rPr>
                <w:rFonts w:hint="eastAsia"/>
                <w:b w:val="0"/>
                <w:bCs w:val="0"/>
                <w:sz w:val="21"/>
                <w:szCs w:val="21"/>
                <w:vertAlign w:val="baseline"/>
                <w:lang w:val="en-US" w:eastAsia="zh-CN"/>
              </w:rPr>
              <w: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vMerge w:val="restart"/>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现状监测点位</w:t>
            </w:r>
          </w:p>
        </w:tc>
        <w:tc>
          <w:tcPr>
            <w:tcW w:w="756" w:type="pct"/>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659" w:type="pct"/>
            <w:gridSpan w:val="2"/>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占地范围</w:t>
            </w:r>
          </w:p>
        </w:tc>
        <w:tc>
          <w:tcPr>
            <w:tcW w:w="765" w:type="pct"/>
            <w:gridSpan w:val="2"/>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占地范围外</w:t>
            </w:r>
          </w:p>
        </w:tc>
        <w:tc>
          <w:tcPr>
            <w:tcW w:w="801"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深度</w:t>
            </w:r>
          </w:p>
        </w:tc>
        <w:tc>
          <w:tcPr>
            <w:tcW w:w="806" w:type="pct"/>
            <w:vMerge w:val="restart"/>
            <w:tcBorders>
              <w:righ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点位布置图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vMerge w:val="continue"/>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756" w:type="pct"/>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表层样点数</w:t>
            </w:r>
          </w:p>
        </w:tc>
        <w:tc>
          <w:tcPr>
            <w:tcW w:w="659" w:type="pct"/>
            <w:gridSpan w:val="2"/>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val="en-US" w:eastAsia="zh-CN"/>
              </w:rPr>
            </w:pPr>
            <w:r>
              <w:rPr>
                <w:rFonts w:hint="eastAsia"/>
                <w:b w:val="0"/>
                <w:bCs w:val="0"/>
                <w:sz w:val="21"/>
                <w:szCs w:val="21"/>
                <w:vertAlign w:val="baseline"/>
                <w:lang w:val="en-US" w:eastAsia="zh-CN"/>
              </w:rPr>
              <w:t>3</w:t>
            </w:r>
          </w:p>
        </w:tc>
        <w:tc>
          <w:tcPr>
            <w:tcW w:w="765" w:type="pct"/>
            <w:gridSpan w:val="2"/>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val="en-US" w:eastAsia="zh-CN"/>
              </w:rPr>
            </w:pPr>
            <w:r>
              <w:rPr>
                <w:rFonts w:hint="eastAsia"/>
                <w:b w:val="0"/>
                <w:bCs w:val="0"/>
                <w:sz w:val="21"/>
                <w:szCs w:val="21"/>
                <w:vertAlign w:val="baseline"/>
                <w:lang w:val="en-US" w:eastAsia="zh-CN"/>
              </w:rPr>
              <w:t>0</w:t>
            </w:r>
          </w:p>
        </w:tc>
        <w:tc>
          <w:tcPr>
            <w:tcW w:w="801"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val="en-US" w:eastAsia="zh-CN"/>
              </w:rPr>
            </w:pPr>
            <w:r>
              <w:rPr>
                <w:rFonts w:hint="eastAsia"/>
                <w:b w:val="0"/>
                <w:bCs w:val="0"/>
                <w:sz w:val="21"/>
                <w:szCs w:val="21"/>
                <w:vertAlign w:val="baseline"/>
                <w:lang w:val="en-US" w:eastAsia="zh-CN"/>
              </w:rPr>
              <w:t>0.2m</w:t>
            </w:r>
          </w:p>
        </w:tc>
        <w:tc>
          <w:tcPr>
            <w:tcW w:w="806" w:type="pct"/>
            <w:vMerge w:val="continue"/>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vMerge w:val="continue"/>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756"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柱状样点数</w:t>
            </w:r>
          </w:p>
        </w:tc>
        <w:tc>
          <w:tcPr>
            <w:tcW w:w="659" w:type="pct"/>
            <w:gridSpan w:val="2"/>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val="en-US" w:eastAsia="zh-CN"/>
              </w:rPr>
            </w:pPr>
            <w:r>
              <w:rPr>
                <w:rFonts w:hint="eastAsia"/>
                <w:b w:val="0"/>
                <w:bCs w:val="0"/>
                <w:sz w:val="21"/>
                <w:szCs w:val="21"/>
                <w:vertAlign w:val="baseline"/>
                <w:lang w:val="en-US" w:eastAsia="zh-CN"/>
              </w:rPr>
              <w:t>0</w:t>
            </w:r>
          </w:p>
        </w:tc>
        <w:tc>
          <w:tcPr>
            <w:tcW w:w="765" w:type="pct"/>
            <w:gridSpan w:val="2"/>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val="en-US" w:eastAsia="zh-CN"/>
              </w:rPr>
            </w:pPr>
            <w:r>
              <w:rPr>
                <w:rFonts w:hint="eastAsia"/>
                <w:b w:val="0"/>
                <w:bCs w:val="0"/>
                <w:sz w:val="21"/>
                <w:szCs w:val="21"/>
                <w:vertAlign w:val="baseline"/>
                <w:lang w:val="en-US" w:eastAsia="zh-CN"/>
              </w:rPr>
              <w:t>0</w:t>
            </w:r>
          </w:p>
        </w:tc>
        <w:tc>
          <w:tcPr>
            <w:tcW w:w="801"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val="en-US" w:eastAsia="zh-CN"/>
              </w:rPr>
            </w:pPr>
            <w:r>
              <w:rPr>
                <w:rFonts w:hint="eastAsia"/>
                <w:b w:val="0"/>
                <w:bCs w:val="0"/>
                <w:sz w:val="21"/>
                <w:szCs w:val="21"/>
                <w:vertAlign w:val="baseline"/>
                <w:lang w:val="en-US" w:eastAsia="zh-CN"/>
              </w:rPr>
              <w:t>/</w:t>
            </w:r>
          </w:p>
        </w:tc>
        <w:tc>
          <w:tcPr>
            <w:tcW w:w="806" w:type="pct"/>
            <w:vMerge w:val="continue"/>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现状监测因子</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sz w:val="24"/>
              </w:rPr>
              <w:t>pH值、</w:t>
            </w:r>
            <w:r>
              <w:rPr>
                <w:sz w:val="24"/>
              </w:rPr>
              <w:t>镉、汞、砷、铅、铬、铜、镍、锌</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restart"/>
            <w:tcBorders>
              <w:lef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现状评价</w:t>
            </w:r>
          </w:p>
        </w:tc>
        <w:tc>
          <w:tcPr>
            <w:tcW w:w="888" w:type="pct"/>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评价因子</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eastAsia="zh-CN"/>
              </w:rPr>
            </w:pPr>
            <w:r>
              <w:rPr>
                <w:rFonts w:hint="eastAsia"/>
                <w:sz w:val="24"/>
              </w:rPr>
              <w:t>pH值、</w:t>
            </w:r>
            <w:r>
              <w:rPr>
                <w:sz w:val="24"/>
              </w:rPr>
              <w:t>镉、汞、砷、铅、铬、铜、镍、锌</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评价标准</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val="en-US" w:eastAsia="zh-CN"/>
              </w:rPr>
            </w:pPr>
            <w:r>
              <w:rPr>
                <w:rFonts w:hint="eastAsia"/>
                <w:b w:val="0"/>
                <w:bCs w:val="0"/>
                <w:sz w:val="21"/>
                <w:szCs w:val="21"/>
                <w:vertAlign w:val="baseline"/>
                <w:lang w:val="en-US" w:eastAsia="zh-CN"/>
              </w:rPr>
              <w:t>GB15618</w:t>
            </w:r>
            <w:r>
              <w:rPr>
                <w:rFonts w:hint="default" w:ascii="Arial" w:hAnsi="Arial" w:cs="Arial"/>
                <w:b w:val="0"/>
                <w:bCs w:val="0"/>
                <w:sz w:val="21"/>
                <w:szCs w:val="21"/>
                <w:vertAlign w:val="baseline"/>
                <w:lang w:eastAsia="zh-CN"/>
              </w:rPr>
              <w:t>√</w:t>
            </w:r>
            <w:r>
              <w:rPr>
                <w:rFonts w:hint="eastAsia" w:ascii="Arial" w:hAnsi="Arial" w:cs="Arial"/>
                <w:b w:val="0"/>
                <w:bCs w:val="0"/>
                <w:sz w:val="21"/>
                <w:szCs w:val="21"/>
                <w:vertAlign w:val="baseline"/>
                <w:lang w:eastAsia="zh-CN"/>
              </w:rPr>
              <w:t>；</w:t>
            </w:r>
            <w:r>
              <w:rPr>
                <w:rFonts w:hint="eastAsia" w:ascii="Arial" w:hAnsi="Arial" w:cs="Arial"/>
                <w:b w:val="0"/>
                <w:bCs w:val="0"/>
                <w:sz w:val="21"/>
                <w:szCs w:val="21"/>
                <w:vertAlign w:val="baseline"/>
                <w:lang w:val="en-US" w:eastAsia="zh-CN"/>
              </w:rPr>
              <w:t>GB36600</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；表</w:t>
            </w:r>
            <w:r>
              <w:rPr>
                <w:rFonts w:hint="eastAsia"/>
                <w:b w:val="0"/>
                <w:bCs w:val="0"/>
                <w:sz w:val="21"/>
                <w:szCs w:val="21"/>
                <w:vertAlign w:val="baseline"/>
                <w:lang w:val="en-US" w:eastAsia="zh-CN"/>
              </w:rPr>
              <w:t>D.2</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；其他（</w:t>
            </w:r>
            <w:r>
              <w:rPr>
                <w:rFonts w:hint="eastAsia"/>
                <w:b w:val="0"/>
                <w:bCs w:val="0"/>
                <w:sz w:val="21"/>
                <w:szCs w:val="21"/>
                <w:vertAlign w:val="baseline"/>
                <w:lang w:val="en-US" w:eastAsia="zh-CN"/>
              </w:rPr>
              <w:t xml:space="preserve"> </w:t>
            </w:r>
            <w:r>
              <w:rPr>
                <w:rFonts w:hint="eastAsia"/>
                <w:b w:val="0"/>
                <w:bCs w:val="0"/>
                <w:sz w:val="21"/>
                <w:szCs w:val="21"/>
                <w:vertAlign w:val="baseline"/>
                <w:lang w:eastAsia="zh-CN"/>
              </w:rPr>
              <w:t>）</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3" w:type="pct"/>
            <w:vMerge w:val="continue"/>
            <w:tcBorders>
              <w:lef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现状评价结论</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eastAsia="zh-CN"/>
              </w:rPr>
            </w:pPr>
            <w:r>
              <w:rPr>
                <w:rFonts w:hint="default"/>
                <w:b w:val="0"/>
                <w:bCs w:val="0"/>
                <w:sz w:val="21"/>
                <w:szCs w:val="21"/>
                <w:vertAlign w:val="baseline"/>
                <w:lang w:eastAsia="zh-CN"/>
              </w:rPr>
              <w:t>从监测结果可知，本次监测的所有土壤样点中，所有监测因子均满足《土壤环境质量 农用地土壤污染风险管控标准（试行）》（GB15618-2018）筛选值，说明本项目所在地土壤环境质量满足要求</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restart"/>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影响预测</w:t>
            </w:r>
          </w:p>
        </w:tc>
        <w:tc>
          <w:tcPr>
            <w:tcW w:w="888"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预测因子</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val="en-US" w:eastAsia="zh-CN"/>
              </w:rPr>
            </w:pPr>
            <w:r>
              <w:rPr>
                <w:rFonts w:hint="eastAsia"/>
                <w:b w:val="0"/>
                <w:bCs w:val="0"/>
                <w:sz w:val="21"/>
                <w:szCs w:val="21"/>
                <w:vertAlign w:val="baseline"/>
                <w:lang w:val="en-US" w:eastAsia="zh-CN"/>
              </w:rPr>
              <w:t>/</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预测方法</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val="en-US" w:eastAsia="zh-CN"/>
              </w:rPr>
            </w:pPr>
            <w:r>
              <w:rPr>
                <w:rFonts w:hint="eastAsia"/>
                <w:b w:val="0"/>
                <w:bCs w:val="0"/>
                <w:sz w:val="21"/>
                <w:szCs w:val="21"/>
                <w:vertAlign w:val="baseline"/>
                <w:lang w:eastAsia="zh-CN"/>
              </w:rPr>
              <w:t>附录</w:t>
            </w:r>
            <w:r>
              <w:rPr>
                <w:rFonts w:hint="eastAsia"/>
                <w:b w:val="0"/>
                <w:bCs w:val="0"/>
                <w:sz w:val="21"/>
                <w:szCs w:val="21"/>
                <w:vertAlign w:val="baseline"/>
                <w:lang w:val="en-US" w:eastAsia="zh-CN"/>
              </w:rPr>
              <w:t>E</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；附录</w:t>
            </w:r>
            <w:r>
              <w:rPr>
                <w:rFonts w:hint="eastAsia"/>
                <w:b w:val="0"/>
                <w:bCs w:val="0"/>
                <w:sz w:val="21"/>
                <w:szCs w:val="21"/>
                <w:vertAlign w:val="baseline"/>
                <w:lang w:val="en-US" w:eastAsia="zh-CN"/>
              </w:rPr>
              <w:t>F</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；其他（</w:t>
            </w:r>
            <w:r>
              <w:rPr>
                <w:rFonts w:hint="eastAsia"/>
                <w:b w:val="0"/>
                <w:bCs w:val="0"/>
                <w:sz w:val="21"/>
                <w:szCs w:val="21"/>
                <w:vertAlign w:val="baseline"/>
                <w:lang w:val="en-US" w:eastAsia="zh-CN"/>
              </w:rPr>
              <w:t xml:space="preserve">  </w:t>
            </w:r>
            <w:r>
              <w:rPr>
                <w:rFonts w:hint="eastAsia"/>
                <w:b w:val="0"/>
                <w:bCs w:val="0"/>
                <w:sz w:val="21"/>
                <w:szCs w:val="21"/>
                <w:vertAlign w:val="baseline"/>
                <w:lang w:eastAsia="zh-CN"/>
              </w:rPr>
              <w:t>）</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预测分析内容</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val="en-US" w:eastAsia="zh-CN"/>
              </w:rPr>
            </w:pPr>
            <w:r>
              <w:rPr>
                <w:rFonts w:hint="eastAsia"/>
                <w:b w:val="0"/>
                <w:bCs w:val="0"/>
                <w:sz w:val="21"/>
                <w:szCs w:val="21"/>
                <w:vertAlign w:val="baseline"/>
                <w:lang w:eastAsia="zh-CN"/>
              </w:rPr>
              <w:t>影响范围（</w:t>
            </w:r>
            <w:r>
              <w:rPr>
                <w:rFonts w:hint="eastAsia"/>
                <w:b w:val="0"/>
                <w:bCs w:val="0"/>
                <w:sz w:val="21"/>
                <w:szCs w:val="21"/>
                <w:vertAlign w:val="baseline"/>
                <w:lang w:val="en-US" w:eastAsia="zh-CN"/>
              </w:rPr>
              <w:t xml:space="preserve">  </w:t>
            </w:r>
            <w:r>
              <w:rPr>
                <w:rFonts w:hint="eastAsia"/>
                <w:b w:val="0"/>
                <w:bCs w:val="0"/>
                <w:sz w:val="21"/>
                <w:szCs w:val="21"/>
                <w:vertAlign w:val="baseline"/>
                <w:lang w:eastAsia="zh-CN"/>
              </w:rPr>
              <w:t>）</w:t>
            </w:r>
            <w:r>
              <w:rPr>
                <w:rFonts w:hint="eastAsia"/>
                <w:b w:val="0"/>
                <w:bCs w:val="0"/>
                <w:sz w:val="21"/>
                <w:szCs w:val="21"/>
                <w:vertAlign w:val="baseline"/>
                <w:lang w:val="en-US" w:eastAsia="zh-CN"/>
              </w:rPr>
              <w:t xml:space="preserve"> ；影响程度（    ）</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预测结论</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b w:val="0"/>
                <w:bCs w:val="0"/>
                <w:sz w:val="21"/>
                <w:szCs w:val="21"/>
                <w:vertAlign w:val="baseline"/>
                <w:lang w:val="en-US" w:eastAsia="zh-CN"/>
              </w:rPr>
            </w:pPr>
            <w:r>
              <w:rPr>
                <w:rFonts w:hint="eastAsia"/>
                <w:b w:val="0"/>
                <w:bCs w:val="0"/>
                <w:sz w:val="21"/>
                <w:szCs w:val="21"/>
                <w:vertAlign w:val="baseline"/>
                <w:lang w:eastAsia="zh-CN"/>
              </w:rPr>
              <w:t>达标结论：</w:t>
            </w:r>
            <w:r>
              <w:rPr>
                <w:rFonts w:hint="eastAsia"/>
                <w:b w:val="0"/>
                <w:bCs w:val="0"/>
                <w:sz w:val="21"/>
                <w:szCs w:val="21"/>
                <w:vertAlign w:val="baseline"/>
                <w:lang w:val="en-US" w:eastAsia="zh-CN"/>
              </w:rPr>
              <w:t>a)</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w:t>
            </w:r>
            <w:r>
              <w:rPr>
                <w:rFonts w:hint="eastAsia"/>
                <w:b w:val="0"/>
                <w:bCs w:val="0"/>
                <w:sz w:val="21"/>
                <w:szCs w:val="21"/>
                <w:vertAlign w:val="baseline"/>
                <w:lang w:val="en-US" w:eastAsia="zh-CN"/>
              </w:rPr>
              <w:t>b)</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w:t>
            </w:r>
            <w:r>
              <w:rPr>
                <w:rFonts w:hint="eastAsia"/>
                <w:b w:val="0"/>
                <w:bCs w:val="0"/>
                <w:sz w:val="21"/>
                <w:szCs w:val="21"/>
                <w:vertAlign w:val="baseline"/>
                <w:lang w:val="en-US" w:eastAsia="zh-CN"/>
              </w:rPr>
              <w:t>c)</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；不达标结论：</w:t>
            </w:r>
            <w:r>
              <w:rPr>
                <w:rFonts w:hint="eastAsia"/>
                <w:b w:val="0"/>
                <w:bCs w:val="0"/>
                <w:sz w:val="21"/>
                <w:szCs w:val="21"/>
                <w:vertAlign w:val="baseline"/>
                <w:lang w:val="en-US" w:eastAsia="zh-CN"/>
              </w:rPr>
              <w:t>a)</w:t>
            </w:r>
            <w:r>
              <w:rPr>
                <w:rFonts w:hint="eastAsia"/>
                <w:b w:val="0"/>
                <w:bCs w:val="0"/>
                <w:sz w:val="21"/>
                <w:szCs w:val="21"/>
                <w:vertAlign w:val="baseline"/>
                <w:lang w:eastAsia="zh-CN"/>
              </w:rPr>
              <w:sym w:font="Wingdings 2" w:char="00A3"/>
            </w:r>
            <w:r>
              <w:rPr>
                <w:rFonts w:hint="eastAsia"/>
                <w:b w:val="0"/>
                <w:bCs w:val="0"/>
                <w:sz w:val="21"/>
                <w:szCs w:val="21"/>
                <w:vertAlign w:val="baseline"/>
                <w:lang w:eastAsia="zh-CN"/>
              </w:rPr>
              <w:t>；</w:t>
            </w:r>
            <w:r>
              <w:rPr>
                <w:rFonts w:hint="eastAsia"/>
                <w:b w:val="0"/>
                <w:bCs w:val="0"/>
                <w:sz w:val="21"/>
                <w:szCs w:val="21"/>
                <w:vertAlign w:val="baseline"/>
                <w:lang w:val="en-US" w:eastAsia="zh-CN"/>
              </w:rPr>
              <w:t>b)</w:t>
            </w:r>
            <w:r>
              <w:rPr>
                <w:rFonts w:hint="eastAsia"/>
                <w:b w:val="0"/>
                <w:bCs w:val="0"/>
                <w:sz w:val="21"/>
                <w:szCs w:val="21"/>
                <w:vertAlign w:val="baseline"/>
                <w:lang w:eastAsia="zh-CN"/>
              </w:rPr>
              <w:sym w:font="Wingdings 2" w:char="00A3"/>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restart"/>
            <w:tcBorders>
              <w:lef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防治措施</w:t>
            </w:r>
          </w:p>
        </w:tc>
        <w:tc>
          <w:tcPr>
            <w:tcW w:w="888" w:type="pct"/>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防控措施</w:t>
            </w:r>
          </w:p>
        </w:tc>
        <w:tc>
          <w:tcPr>
            <w:tcW w:w="2982" w:type="pct"/>
            <w:gridSpan w:val="6"/>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default"/>
                <w:b w:val="0"/>
                <w:bCs w:val="0"/>
                <w:sz w:val="21"/>
                <w:szCs w:val="21"/>
                <w:vertAlign w:val="baseline"/>
                <w:lang w:eastAsia="zh-CN"/>
              </w:rPr>
              <w:t>土壤环境质量现状保障□；源头控制□；过程防控√；其他（√）</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vMerge w:val="restart"/>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ascii="宋体" w:hAnsi="宋体" w:eastAsia="宋体"/>
                <w:color w:val="000000"/>
                <w:sz w:val="21"/>
              </w:rPr>
              <w:t>跟踪监测</w:t>
            </w:r>
          </w:p>
        </w:tc>
        <w:tc>
          <w:tcPr>
            <w:tcW w:w="993" w:type="pct"/>
            <w:gridSpan w:val="2"/>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监测点数</w:t>
            </w:r>
          </w:p>
        </w:tc>
        <w:tc>
          <w:tcPr>
            <w:tcW w:w="993" w:type="pct"/>
            <w:gridSpan w:val="2"/>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监测指标</w:t>
            </w:r>
          </w:p>
        </w:tc>
        <w:tc>
          <w:tcPr>
            <w:tcW w:w="994" w:type="pct"/>
            <w:gridSpan w:val="2"/>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监测频次</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3" w:type="pct"/>
            <w:vMerge w:val="continue"/>
            <w:tcBorders>
              <w:lef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vMerge w:val="continue"/>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val="en-US" w:eastAsia="zh-CN"/>
              </w:rPr>
            </w:pPr>
          </w:p>
        </w:tc>
        <w:tc>
          <w:tcPr>
            <w:tcW w:w="993" w:type="pct"/>
            <w:gridSpan w:val="2"/>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val="en-US" w:eastAsia="zh-CN"/>
              </w:rPr>
              <w:t>1</w:t>
            </w:r>
          </w:p>
        </w:tc>
        <w:tc>
          <w:tcPr>
            <w:tcW w:w="993" w:type="pct"/>
            <w:gridSpan w:val="2"/>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val="en-US" w:eastAsia="zh-CN"/>
              </w:rPr>
            </w:pPr>
            <w:r>
              <w:rPr>
                <w:rFonts w:hint="eastAsia"/>
                <w:b w:val="0"/>
                <w:bCs w:val="0"/>
                <w:sz w:val="21"/>
                <w:szCs w:val="21"/>
                <w:vertAlign w:val="baseline"/>
                <w:lang w:val="en-US" w:eastAsia="zh-CN"/>
              </w:rPr>
              <w:t>GB15618中所有基本项</w:t>
            </w:r>
          </w:p>
        </w:tc>
        <w:tc>
          <w:tcPr>
            <w:tcW w:w="994" w:type="pct"/>
            <w:gridSpan w:val="2"/>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val="en-US" w:eastAsia="zh-CN"/>
              </w:rPr>
            </w:pPr>
            <w:r>
              <w:rPr>
                <w:rFonts w:hint="eastAsia"/>
                <w:b w:val="0"/>
                <w:bCs w:val="0"/>
                <w:sz w:val="21"/>
                <w:szCs w:val="21"/>
                <w:vertAlign w:val="baseline"/>
                <w:lang w:val="en-US" w:eastAsia="zh-CN"/>
              </w:rPr>
              <w:t>5年1次</w:t>
            </w: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3" w:type="pct"/>
            <w:vMerge w:val="continue"/>
            <w:tcBorders>
              <w:lef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88" w:type="pct"/>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信息公开指标</w:t>
            </w:r>
          </w:p>
        </w:tc>
        <w:tc>
          <w:tcPr>
            <w:tcW w:w="2982" w:type="pct"/>
            <w:gridSpan w:val="6"/>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c>
          <w:tcPr>
            <w:tcW w:w="806" w:type="pct"/>
            <w:tcBorders>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1" w:type="pct"/>
            <w:gridSpan w:val="2"/>
            <w:tcBorders>
              <w:left w:val="nil"/>
              <w:bottom w:val="single" w:color="auto" w:sz="12" w:space="0"/>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评价结论</w:t>
            </w:r>
          </w:p>
        </w:tc>
        <w:tc>
          <w:tcPr>
            <w:tcW w:w="2982" w:type="pct"/>
            <w:gridSpan w:val="6"/>
            <w:tcBorders>
              <w:bottom w:val="single" w:color="auto" w:sz="12" w:space="0"/>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r>
              <w:rPr>
                <w:rFonts w:hint="eastAsia"/>
                <w:b w:val="0"/>
                <w:bCs w:val="0"/>
                <w:sz w:val="21"/>
                <w:szCs w:val="21"/>
                <w:vertAlign w:val="baseline"/>
                <w:lang w:eastAsia="zh-CN"/>
              </w:rPr>
              <w:t>项目不会对周围土壤产生明显影响</w:t>
            </w:r>
          </w:p>
        </w:tc>
        <w:tc>
          <w:tcPr>
            <w:tcW w:w="806" w:type="pct"/>
            <w:tcBorders>
              <w:bottom w:val="single" w:color="auto" w:sz="12" w:space="0"/>
              <w:right w:val="nil"/>
            </w:tcBorders>
            <w:noWrap w:val="0"/>
            <w:vAlign w:val="top"/>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b w:val="0"/>
                <w:bCs w:val="0"/>
                <w:sz w:val="21"/>
                <w:szCs w:val="21"/>
                <w:vertAlign w:val="baseline"/>
                <w:lang w:eastAsia="zh-CN"/>
              </w:rPr>
            </w:pPr>
          </w:p>
        </w:tc>
      </w:tr>
    </w:tbl>
    <w:p>
      <w:pPr>
        <w:pStyle w:val="5"/>
        <w:ind w:firstLine="562"/>
      </w:pPr>
      <w:r>
        <w:rPr>
          <w:rFonts w:hint="eastAsia"/>
          <w:lang w:val="en-US" w:eastAsia="zh-CN"/>
        </w:rPr>
        <w:t xml:space="preserve"> </w:t>
      </w:r>
      <w:r>
        <w:rPr>
          <w:rFonts w:hint="eastAsia"/>
          <w:lang w:eastAsia="zh-CN"/>
        </w:rPr>
        <w:t>生态环境影响分析</w:t>
      </w:r>
    </w:p>
    <w:p>
      <w:pPr>
        <w:pStyle w:val="8"/>
        <w:keepNext w:val="0"/>
        <w:keepLines w:val="0"/>
        <w:pageBreakBefore w:val="0"/>
        <w:widowControl w:val="0"/>
        <w:kinsoku/>
        <w:wordWrap/>
        <w:overflowPunct/>
        <w:topLinePunct w:val="0"/>
        <w:autoSpaceDE w:val="0"/>
        <w:autoSpaceDN w:val="0"/>
        <w:bidi w:val="0"/>
        <w:adjustRightInd/>
        <w:snapToGrid/>
        <w:jc w:val="left"/>
        <w:textAlignment w:val="auto"/>
        <w:rPr>
          <w:rFonts w:hint="default" w:ascii="Times New Roman" w:hAnsi="Times New Roman" w:eastAsia="宋体" w:cs="Times New Roman"/>
          <w:b w:val="0"/>
          <w:bCs w:val="0"/>
          <w:lang w:eastAsia="zh-CN"/>
        </w:rPr>
      </w:pPr>
      <w:r>
        <w:rPr>
          <w:rFonts w:hint="default" w:ascii="Times New Roman" w:hAnsi="Times New Roman" w:eastAsia="宋体" w:cs="Times New Roman"/>
          <w:b w:val="0"/>
          <w:bCs w:val="0"/>
          <w:lang w:eastAsia="zh-CN"/>
        </w:rPr>
        <w:t xml:space="preserve">（1）易造成土壤、面源污染 </w:t>
      </w:r>
    </w:p>
    <w:p>
      <w:pPr>
        <w:pStyle w:val="8"/>
        <w:keepNext w:val="0"/>
        <w:keepLines w:val="0"/>
        <w:pageBreakBefore w:val="0"/>
        <w:widowControl w:val="0"/>
        <w:kinsoku/>
        <w:wordWrap/>
        <w:overflowPunct/>
        <w:topLinePunct w:val="0"/>
        <w:autoSpaceDE w:val="0"/>
        <w:autoSpaceDN w:val="0"/>
        <w:bidi w:val="0"/>
        <w:adjustRightInd/>
        <w:snapToGrid/>
        <w:jc w:val="left"/>
        <w:textAlignment w:val="auto"/>
        <w:rPr>
          <w:rFonts w:hint="default" w:ascii="Times New Roman" w:hAnsi="Times New Roman" w:eastAsia="宋体" w:cs="Times New Roman"/>
          <w:b w:val="0"/>
          <w:bCs w:val="0"/>
          <w:lang w:eastAsia="zh-CN"/>
        </w:rPr>
      </w:pPr>
      <w:r>
        <w:rPr>
          <w:rFonts w:hint="default" w:ascii="Times New Roman" w:hAnsi="Times New Roman" w:eastAsia="宋体" w:cs="Times New Roman"/>
          <w:b w:val="0"/>
          <w:bCs w:val="0"/>
          <w:lang w:eastAsia="zh-CN"/>
        </w:rPr>
        <w:t xml:space="preserve">本项目营运期对生态环境影响比较大的是项目所产生的废水、固体废物（猪粪等）对土壤、地下水及地表水的影响，容易造成土壤、地下水硝酸盐积累、超标。由于本建设项目的特点决定了其所排放的废物含氮量较高，不过由于该选址为山地，地下水埋藏较深，与农田相比其土壤硝酸盐积累的问题并不突出，亦不会使评价区地下水遭到较严重的污染。 </w:t>
      </w:r>
    </w:p>
    <w:p>
      <w:pPr>
        <w:pStyle w:val="8"/>
        <w:keepNext w:val="0"/>
        <w:keepLines w:val="0"/>
        <w:pageBreakBefore w:val="0"/>
        <w:widowControl w:val="0"/>
        <w:kinsoku/>
        <w:wordWrap/>
        <w:overflowPunct/>
        <w:topLinePunct w:val="0"/>
        <w:autoSpaceDE w:val="0"/>
        <w:autoSpaceDN w:val="0"/>
        <w:bidi w:val="0"/>
        <w:adjustRightInd/>
        <w:snapToGrid/>
        <w:jc w:val="left"/>
        <w:textAlignment w:val="auto"/>
        <w:rPr>
          <w:rFonts w:hint="default" w:ascii="Times New Roman" w:hAnsi="Times New Roman" w:eastAsia="宋体" w:cs="Times New Roman"/>
          <w:b w:val="0"/>
          <w:bCs w:val="0"/>
          <w:lang w:eastAsia="zh-CN"/>
        </w:rPr>
      </w:pPr>
      <w:r>
        <w:rPr>
          <w:rFonts w:hint="default" w:ascii="Times New Roman" w:hAnsi="Times New Roman" w:eastAsia="宋体" w:cs="Times New Roman"/>
          <w:b w:val="0"/>
          <w:bCs w:val="0"/>
          <w:lang w:eastAsia="zh-CN"/>
        </w:rPr>
        <w:t xml:space="preserve">（2）暴雨径流引起的面源污染影响 </w:t>
      </w:r>
    </w:p>
    <w:p>
      <w:pPr>
        <w:pStyle w:val="8"/>
        <w:keepNext w:val="0"/>
        <w:keepLines w:val="0"/>
        <w:pageBreakBefore w:val="0"/>
        <w:widowControl w:val="0"/>
        <w:kinsoku/>
        <w:wordWrap/>
        <w:overflowPunct/>
        <w:topLinePunct w:val="0"/>
        <w:autoSpaceDE w:val="0"/>
        <w:autoSpaceDN w:val="0"/>
        <w:bidi w:val="0"/>
        <w:adjustRightInd/>
        <w:snapToGrid/>
        <w:jc w:val="left"/>
        <w:textAlignment w:val="auto"/>
        <w:rPr>
          <w:rFonts w:hint="default" w:ascii="Times New Roman" w:hAnsi="Times New Roman" w:eastAsia="宋体" w:cs="Times New Roman"/>
          <w:b w:val="0"/>
          <w:bCs w:val="0"/>
          <w:lang w:eastAsia="zh-CN"/>
        </w:rPr>
      </w:pPr>
      <w:r>
        <w:rPr>
          <w:rFonts w:hint="default" w:ascii="Times New Roman" w:hAnsi="Times New Roman" w:eastAsia="宋体" w:cs="Times New Roman"/>
          <w:b w:val="0"/>
          <w:bCs w:val="0"/>
          <w:lang w:eastAsia="zh-CN"/>
        </w:rPr>
        <w:t xml:space="preserve">由于项目所在地处于中亚热带，春季阴雨连绵，夏季降雨量较大而且较为集中，在暴雨条件下容易形成地表径流，从而造成面源污染。因此，本项目在建设和营运过程中，要切实注意各种有机物的储存、治理，科学管理、强化监督、达标排放，唯有如此，才能降低项目形成面源污染的几率，才能创造经济效益与生态效益的双重效益。 </w:t>
      </w:r>
    </w:p>
    <w:p>
      <w:pPr>
        <w:pStyle w:val="8"/>
        <w:keepNext w:val="0"/>
        <w:keepLines w:val="0"/>
        <w:pageBreakBefore w:val="0"/>
        <w:widowControl w:val="0"/>
        <w:kinsoku/>
        <w:wordWrap/>
        <w:overflowPunct/>
        <w:topLinePunct w:val="0"/>
        <w:autoSpaceDE w:val="0"/>
        <w:autoSpaceDN w:val="0"/>
        <w:bidi w:val="0"/>
        <w:adjustRightInd/>
        <w:snapToGrid/>
        <w:jc w:val="left"/>
        <w:textAlignment w:val="auto"/>
        <w:rPr>
          <w:rFonts w:hint="default" w:ascii="Times New Roman" w:hAnsi="Times New Roman" w:eastAsia="宋体" w:cs="Times New Roman"/>
          <w:b w:val="0"/>
          <w:bCs w:val="0"/>
          <w:lang w:eastAsia="zh-CN"/>
        </w:rPr>
      </w:pPr>
      <w:r>
        <w:rPr>
          <w:rFonts w:hint="default" w:ascii="Times New Roman" w:hAnsi="Times New Roman" w:eastAsia="宋体" w:cs="Times New Roman"/>
          <w:b w:val="0"/>
          <w:bCs w:val="0"/>
          <w:lang w:eastAsia="zh-CN"/>
        </w:rPr>
        <w:t xml:space="preserve">（3）对区域植被生物量的影响 </w:t>
      </w:r>
    </w:p>
    <w:p>
      <w:pPr>
        <w:pStyle w:val="8"/>
        <w:keepNext w:val="0"/>
        <w:keepLines w:val="0"/>
        <w:pageBreakBefore w:val="0"/>
        <w:widowControl w:val="0"/>
        <w:kinsoku/>
        <w:wordWrap/>
        <w:overflowPunct/>
        <w:topLinePunct w:val="0"/>
        <w:autoSpaceDE w:val="0"/>
        <w:autoSpaceDN w:val="0"/>
        <w:bidi w:val="0"/>
        <w:adjustRightInd/>
        <w:snapToGrid/>
        <w:jc w:val="left"/>
        <w:textAlignment w:val="auto"/>
        <w:rPr>
          <w:rFonts w:hint="default" w:ascii="Times New Roman" w:hAnsi="Times New Roman" w:eastAsia="宋体" w:cs="Times New Roman"/>
          <w:b w:val="0"/>
          <w:bCs w:val="0"/>
          <w:lang w:eastAsia="zh-CN"/>
        </w:rPr>
      </w:pPr>
      <w:r>
        <w:rPr>
          <w:rFonts w:hint="default" w:ascii="Times New Roman" w:hAnsi="Times New Roman" w:eastAsia="宋体" w:cs="Times New Roman"/>
          <w:b w:val="0"/>
          <w:bCs w:val="0"/>
          <w:lang w:eastAsia="zh-CN"/>
        </w:rPr>
        <w:t xml:space="preserve">本项目工程建设主要在原有地貌的基础上，在林地上建设猪舍，对原有自然景观的改变较小，并且项目建设后将呈现良好的人文景观，生物量、景观类型的改变，对生态系统碳氧平衡产生一定的影响。 </w:t>
      </w:r>
    </w:p>
    <w:p>
      <w:pPr>
        <w:pStyle w:val="8"/>
        <w:rPr>
          <w:rFonts w:hint="eastAsia"/>
        </w:rPr>
      </w:pPr>
      <w:r>
        <w:rPr>
          <w:rFonts w:hint="default" w:ascii="Times New Roman" w:hAnsi="Times New Roman" w:eastAsia="宋体" w:cs="Times New Roman"/>
          <w:b w:val="0"/>
          <w:bCs w:val="0"/>
          <w:lang w:eastAsia="zh-CN"/>
        </w:rPr>
        <w:t>结合项目目前实际情况来看，项目所在地植被覆盖率较高，不存在明显的水土流失现象，因此，项目的建设不会对当地生态环境带来明显不利影响。由于评价区以林地、农田为主，林地生态系统的连通性、阻抗稳定性和整体生态稳定性较好，评价区整体生态环境良好。项目营运期对生态环境的影响不大</w:t>
      </w:r>
      <w:r>
        <w:rPr>
          <w:rFonts w:hint="eastAsia" w:cs="Times New Roman"/>
          <w:b w:val="0"/>
          <w:bCs w:val="0"/>
          <w:lang w:eastAsia="zh-CN"/>
        </w:rPr>
        <w:t>。</w:t>
      </w: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sectPr>
          <w:pgSz w:w="11910" w:h="16840"/>
          <w:pgMar w:top="1500" w:right="1100" w:bottom="1180" w:left="1120" w:header="850" w:footer="993" w:gutter="0"/>
          <w:pgBorders>
            <w:top w:val="none" w:sz="0" w:space="0"/>
            <w:left w:val="none" w:sz="0" w:space="0"/>
            <w:bottom w:val="none" w:sz="0" w:space="0"/>
            <w:right w:val="none" w:sz="0" w:space="0"/>
          </w:pgBorders>
          <w:pgNumType w:fmt="decimal"/>
          <w:cols w:space="720" w:num="1"/>
        </w:sectPr>
      </w:pPr>
    </w:p>
    <w:p>
      <w:pPr>
        <w:pStyle w:val="3"/>
        <w:jc w:val="center"/>
      </w:pPr>
      <w:bookmarkStart w:id="61" w:name="_Toc18299"/>
      <w:bookmarkStart w:id="62" w:name="_Toc6428"/>
      <w:r>
        <w:rPr>
          <w:rFonts w:hint="eastAsia"/>
        </w:rPr>
        <w:t>环境</w:t>
      </w:r>
      <w:r>
        <w:rPr>
          <w:rFonts w:hint="eastAsia"/>
          <w:lang w:eastAsia="zh-CN"/>
        </w:rPr>
        <w:t>风险评价</w:t>
      </w:r>
      <w:bookmarkEnd w:id="61"/>
      <w:bookmarkEnd w:id="62"/>
    </w:p>
    <w:p>
      <w:pPr>
        <w:pStyle w:val="20"/>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b w:val="0"/>
          <w:sz w:val="24"/>
          <w:szCs w:val="24"/>
        </w:rPr>
      </w:pPr>
      <w:r>
        <w:rPr>
          <w:rFonts w:hint="default" w:ascii="Times New Roman" w:hAnsi="Times New Roman" w:eastAsia="宋体" w:cs="Times New Roman"/>
          <w:b w:val="0"/>
          <w:sz w:val="24"/>
          <w:szCs w:val="24"/>
        </w:rPr>
        <w:t>影响评价管理防范环境风险的通知》（环发</w:t>
      </w:r>
      <w:r>
        <w:rPr>
          <w:rFonts w:hint="eastAsia" w:ascii="宋体" w:hAnsi="宋体" w:eastAsia="宋体" w:cs="宋体"/>
          <w:b w:val="0"/>
          <w:sz w:val="24"/>
          <w:szCs w:val="24"/>
        </w:rPr>
        <w:t>〔</w:t>
      </w:r>
      <w:r>
        <w:rPr>
          <w:rFonts w:hint="default" w:ascii="Times New Roman" w:hAnsi="Times New Roman" w:eastAsia="宋体" w:cs="Times New Roman"/>
          <w:b w:val="0"/>
          <w:sz w:val="24"/>
          <w:szCs w:val="24"/>
        </w:rPr>
        <w:t>2012</w:t>
      </w:r>
      <w:r>
        <w:rPr>
          <w:rFonts w:hint="eastAsia" w:ascii="宋体" w:hAnsi="宋体" w:eastAsia="宋体" w:cs="宋体"/>
          <w:b w:val="0"/>
          <w:sz w:val="24"/>
          <w:szCs w:val="24"/>
        </w:rPr>
        <w:t>〕</w:t>
      </w:r>
      <w:r>
        <w:rPr>
          <w:rFonts w:hint="default" w:ascii="Times New Roman" w:hAnsi="Times New Roman" w:eastAsia="宋体" w:cs="Times New Roman"/>
          <w:b w:val="0"/>
          <w:sz w:val="24"/>
          <w:szCs w:val="24"/>
        </w:rPr>
        <w:t>77号）和《关于切实加强风险防范严格环境影响评价管理的通知》（环发</w:t>
      </w:r>
      <w:r>
        <w:rPr>
          <w:rFonts w:hint="eastAsia" w:ascii="宋体" w:hAnsi="宋体" w:eastAsia="宋体" w:cs="宋体"/>
          <w:b w:val="0"/>
          <w:sz w:val="24"/>
          <w:szCs w:val="24"/>
        </w:rPr>
        <w:t>〔</w:t>
      </w:r>
      <w:r>
        <w:rPr>
          <w:rFonts w:hint="default" w:ascii="Times New Roman" w:hAnsi="Times New Roman" w:eastAsia="宋体" w:cs="Times New Roman"/>
          <w:b w:val="0"/>
          <w:sz w:val="24"/>
          <w:szCs w:val="24"/>
        </w:rPr>
        <w:t>2012</w:t>
      </w:r>
      <w:r>
        <w:rPr>
          <w:rFonts w:hint="eastAsia" w:ascii="宋体" w:hAnsi="宋体" w:eastAsia="宋体" w:cs="宋体"/>
          <w:b w:val="0"/>
          <w:sz w:val="24"/>
          <w:szCs w:val="24"/>
        </w:rPr>
        <w:t>〕</w:t>
      </w:r>
      <w:r>
        <w:rPr>
          <w:rFonts w:hint="default" w:ascii="Times New Roman" w:hAnsi="Times New Roman" w:eastAsia="宋体" w:cs="Times New Roman"/>
          <w:b w:val="0"/>
          <w:sz w:val="24"/>
          <w:szCs w:val="24"/>
        </w:rPr>
        <w:t>98号）的相关要求，应对可能产生重大环境污染事故隐患进行环境风险评价。</w:t>
      </w:r>
    </w:p>
    <w:p>
      <w:pPr>
        <w:pStyle w:val="20"/>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b w:val="0"/>
          <w:sz w:val="24"/>
          <w:szCs w:val="24"/>
        </w:rPr>
      </w:pPr>
      <w:r>
        <w:rPr>
          <w:rFonts w:hint="default" w:ascii="Times New Roman" w:hAnsi="Times New Roman" w:eastAsia="宋体" w:cs="Times New Roman"/>
          <w:b w:val="0"/>
          <w:sz w:val="24"/>
          <w:szCs w:val="24"/>
        </w:rPr>
        <w:t>根据《建设项目环境风险评价技术导则》（HJ169-2018），环境风险评价应以突发性事故导致的危险物质环境急性损害防控为目标，对建设项目的环境风险进行分析、预测和评估，提出环境风险预防、控制、减缓措施，明确环境风险监控及应急建议要求，为建设项目环境风险防控提供科学依据。</w:t>
      </w:r>
    </w:p>
    <w:p>
      <w:pPr>
        <w:pStyle w:val="4"/>
      </w:pPr>
      <w:bookmarkStart w:id="63" w:name="_Toc18171"/>
      <w:bookmarkStart w:id="64" w:name="_Toc25922"/>
      <w:r>
        <w:rPr>
          <w:rFonts w:hint="eastAsia"/>
          <w:lang w:eastAsia="zh-CN"/>
        </w:rPr>
        <w:t>评价依据</w:t>
      </w:r>
      <w:bookmarkEnd w:id="63"/>
      <w:bookmarkEnd w:id="64"/>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sz w:val="24"/>
          <w:szCs w:val="24"/>
        </w:rPr>
      </w:pPr>
      <w:r>
        <w:rPr>
          <w:rFonts w:hint="eastAsia"/>
          <w:sz w:val="24"/>
          <w:szCs w:val="24"/>
        </w:rPr>
        <w:t>（1）风险调查</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sz w:val="24"/>
          <w:szCs w:val="24"/>
        </w:rPr>
      </w:pPr>
      <w:r>
        <w:rPr>
          <w:rFonts w:hint="eastAsia"/>
          <w:sz w:val="24"/>
          <w:szCs w:val="24"/>
        </w:rPr>
        <w:t>根据《建设项目环境风险评价技术导则》（HJ169-2018）中附录B，本项目原辅材料中无列入《建设项目环境风险评价技术导则》（HJ169-2018）附录B中的物质。</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sz w:val="24"/>
          <w:szCs w:val="24"/>
        </w:rPr>
      </w:pPr>
      <w:r>
        <w:rPr>
          <w:rFonts w:hint="eastAsia"/>
          <w:sz w:val="24"/>
          <w:szCs w:val="24"/>
        </w:rPr>
        <w:t>（2）风险潜势初判</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sz w:val="24"/>
          <w:szCs w:val="24"/>
        </w:rPr>
      </w:pPr>
      <w:r>
        <w:rPr>
          <w:rFonts w:hint="eastAsia"/>
          <w:sz w:val="24"/>
          <w:szCs w:val="24"/>
        </w:rPr>
        <w:t>本项目原辅材料中无列入《建设项目环境风险评价技术导则》（HJ169-2018）附录B中的物质，因此本项目环境风险潜势为Ⅰ。</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sz w:val="24"/>
          <w:szCs w:val="24"/>
        </w:rPr>
      </w:pPr>
      <w:r>
        <w:rPr>
          <w:rFonts w:hint="eastAsia"/>
          <w:sz w:val="24"/>
          <w:szCs w:val="24"/>
        </w:rPr>
        <w:t>（3）评价等级</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sz w:val="24"/>
          <w:szCs w:val="24"/>
        </w:rPr>
      </w:pPr>
      <w:r>
        <w:rPr>
          <w:rFonts w:hint="eastAsia"/>
          <w:sz w:val="24"/>
          <w:szCs w:val="24"/>
        </w:rPr>
        <w:t>根据2.</w:t>
      </w:r>
      <w:r>
        <w:rPr>
          <w:rFonts w:hint="eastAsia"/>
          <w:sz w:val="24"/>
          <w:szCs w:val="24"/>
          <w:lang w:val="en-US" w:eastAsia="zh-CN"/>
        </w:rPr>
        <w:t>5.7</w:t>
      </w:r>
      <w:r>
        <w:rPr>
          <w:rFonts w:hint="eastAsia"/>
          <w:sz w:val="24"/>
          <w:szCs w:val="24"/>
        </w:rPr>
        <w:t>节环境风险评价工作等级判定可知，项目环境风险潜势划分为Ⅰ，无评价工作等级划分，只需按《建设项目环境风险评价技术导则》（HJ169-2018）附录A简单分析基本内容进行分析即可。</w:t>
      </w:r>
    </w:p>
    <w:p>
      <w:pPr>
        <w:pStyle w:val="4"/>
      </w:pPr>
      <w:bookmarkStart w:id="65" w:name="_Toc7232"/>
      <w:bookmarkStart w:id="66" w:name="_Toc14283"/>
      <w:r>
        <w:rPr>
          <w:rFonts w:hint="eastAsia"/>
          <w:lang w:eastAsia="zh-CN"/>
        </w:rPr>
        <w:t>环境风险识别</w:t>
      </w:r>
      <w:bookmarkEnd w:id="65"/>
      <w:bookmarkEnd w:id="66"/>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b w:val="0"/>
          <w:sz w:val="24"/>
          <w:szCs w:val="24"/>
        </w:rPr>
      </w:pPr>
      <w:r>
        <w:rPr>
          <w:rFonts w:hint="eastAsia"/>
          <w:b w:val="0"/>
          <w:sz w:val="24"/>
          <w:szCs w:val="24"/>
        </w:rPr>
        <w:t>根据本项目的生产工艺流程和设计参数，生产过程包括：物料输送、各生产设备运行等。</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b w:val="0"/>
          <w:sz w:val="24"/>
          <w:szCs w:val="24"/>
        </w:rPr>
      </w:pPr>
      <w:r>
        <w:rPr>
          <w:rFonts w:hint="eastAsia"/>
          <w:b w:val="0"/>
          <w:sz w:val="24"/>
          <w:szCs w:val="24"/>
        </w:rPr>
        <w:t>原料在装卸、使用输送和储存过程中，生产过程中如操作不当或者设备损坏或人为因素造成原料泄露或者外溢的因素主要有年久失修，原料包装物腐蚀，致使物料渗漏；管道连接不好或由于地面下沉，造成管道接口不严，致使泄漏或渗漏现象发生，引发污染、伤害事故。</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b w:val="0"/>
          <w:sz w:val="24"/>
          <w:szCs w:val="24"/>
        </w:rPr>
      </w:pPr>
      <w:r>
        <w:rPr>
          <w:rFonts w:hint="eastAsia"/>
          <w:b w:val="0"/>
          <w:sz w:val="24"/>
          <w:szCs w:val="24"/>
        </w:rPr>
        <w:t>综上所述，本项目生产使用的物料较多，在储存、生产等环节，由于管理、操作不当或设备损害等因素，可能会发生泄露或火灾等事故，从而引发环境污染。</w:t>
      </w:r>
    </w:p>
    <w:p>
      <w:pPr>
        <w:pStyle w:val="4"/>
      </w:pPr>
      <w:bookmarkStart w:id="67" w:name="_Toc23598"/>
      <w:bookmarkStart w:id="68" w:name="_Toc8593"/>
      <w:r>
        <w:rPr>
          <w:rFonts w:hint="eastAsia"/>
          <w:lang w:eastAsia="zh-CN"/>
        </w:rPr>
        <w:t>环境风险分析</w:t>
      </w:r>
      <w:bookmarkEnd w:id="67"/>
      <w:bookmarkEnd w:id="68"/>
    </w:p>
    <w:p>
      <w:pPr>
        <w:keepNext w:val="0"/>
        <w:keepLines w:val="0"/>
        <w:pageBreakBefore w:val="0"/>
        <w:widowControl w:val="0"/>
        <w:kinsoku/>
        <w:wordWrap/>
        <w:overflowPunct/>
        <w:topLinePunct w:val="0"/>
        <w:autoSpaceDE/>
        <w:autoSpaceDN/>
        <w:bidi w:val="0"/>
        <w:adjustRightInd/>
        <w:snapToGrid/>
        <w:spacing w:line="360" w:lineRule="auto"/>
        <w:ind w:firstLine="481" w:firstLineChars="200"/>
        <w:jc w:val="left"/>
        <w:textAlignment w:val="auto"/>
        <w:rPr>
          <w:b w:val="0"/>
          <w:sz w:val="24"/>
          <w:szCs w:val="24"/>
        </w:rPr>
      </w:pPr>
      <w:r>
        <w:rPr>
          <w:rFonts w:hint="eastAsia"/>
          <w:b/>
          <w:bCs/>
          <w:sz w:val="24"/>
          <w:szCs w:val="24"/>
          <w:lang w:eastAsia="zh-CN"/>
        </w:rPr>
        <w:t>（</w:t>
      </w:r>
      <w:r>
        <w:rPr>
          <w:rFonts w:hint="eastAsia"/>
          <w:b/>
          <w:bCs/>
          <w:sz w:val="24"/>
          <w:szCs w:val="24"/>
          <w:lang w:val="en-US" w:eastAsia="zh-CN"/>
        </w:rPr>
        <w:t>1</w:t>
      </w:r>
      <w:r>
        <w:rPr>
          <w:rFonts w:hint="eastAsia"/>
          <w:b/>
          <w:bCs/>
          <w:sz w:val="24"/>
          <w:szCs w:val="24"/>
          <w:lang w:eastAsia="zh-CN"/>
        </w:rPr>
        <w:t>）</w:t>
      </w:r>
      <w:r>
        <w:rPr>
          <w:rFonts w:hint="eastAsia"/>
          <w:b/>
          <w:bCs/>
          <w:sz w:val="24"/>
          <w:szCs w:val="24"/>
        </w:rPr>
        <w:t>地表水环境污染影响分析</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b w:val="0"/>
          <w:sz w:val="24"/>
          <w:szCs w:val="24"/>
        </w:rPr>
      </w:pPr>
      <w:r>
        <w:rPr>
          <w:rFonts w:hint="eastAsia"/>
          <w:b w:val="0"/>
          <w:sz w:val="24"/>
          <w:szCs w:val="24"/>
        </w:rPr>
        <w:t>畜禽养殖场中高浓度、未经处理的废水进入自然水体后，使水中的悬浮物、有机物和微生物含量升高，改变水体的物理、化学和生物群落群落组成，使水质变坏。粪污中含有大量的病原微生物将通过水体或通过水生动植物进行扩散传播，危害人畜健康。此外，粪污中有机生物降解和水生生物的繁殖大量消耗水体溶解氧，使水体发黑发臭，水生生物死亡，发生水体“富营养化”。</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b w:val="0"/>
          <w:sz w:val="24"/>
          <w:szCs w:val="24"/>
        </w:rPr>
      </w:pPr>
      <w:r>
        <w:rPr>
          <w:rFonts w:hint="eastAsia"/>
          <w:b w:val="0"/>
          <w:sz w:val="24"/>
          <w:szCs w:val="24"/>
        </w:rPr>
        <w:t>若发生废水排放事故，因项目水量不大，且设置有专门的应急事故池，废水向外泄漏经林地漫流消散，基本不会对水体水质造成影响。</w:t>
      </w:r>
    </w:p>
    <w:p>
      <w:pPr>
        <w:keepNext w:val="0"/>
        <w:keepLines w:val="0"/>
        <w:pageBreakBefore w:val="0"/>
        <w:widowControl w:val="0"/>
        <w:kinsoku/>
        <w:wordWrap/>
        <w:overflowPunct/>
        <w:topLinePunct w:val="0"/>
        <w:autoSpaceDE/>
        <w:autoSpaceDN/>
        <w:bidi w:val="0"/>
        <w:adjustRightInd/>
        <w:snapToGrid/>
        <w:spacing w:line="360" w:lineRule="auto"/>
        <w:ind w:firstLine="481" w:firstLineChars="200"/>
        <w:jc w:val="left"/>
        <w:textAlignment w:val="auto"/>
        <w:rPr>
          <w:b w:val="0"/>
          <w:sz w:val="24"/>
          <w:szCs w:val="24"/>
        </w:rPr>
      </w:pPr>
      <w:r>
        <w:rPr>
          <w:rFonts w:hint="eastAsia"/>
          <w:b/>
          <w:bCs/>
          <w:sz w:val="24"/>
          <w:szCs w:val="24"/>
          <w:lang w:eastAsia="zh-CN"/>
        </w:rPr>
        <w:t>（</w:t>
      </w:r>
      <w:r>
        <w:rPr>
          <w:rFonts w:hint="eastAsia"/>
          <w:b/>
          <w:bCs/>
          <w:sz w:val="24"/>
          <w:szCs w:val="24"/>
          <w:lang w:val="en-US" w:eastAsia="zh-CN"/>
        </w:rPr>
        <w:t>2</w:t>
      </w:r>
      <w:r>
        <w:rPr>
          <w:rFonts w:hint="eastAsia"/>
          <w:b/>
          <w:bCs/>
          <w:sz w:val="24"/>
          <w:szCs w:val="24"/>
          <w:lang w:eastAsia="zh-CN"/>
        </w:rPr>
        <w:t>）</w:t>
      </w:r>
      <w:r>
        <w:rPr>
          <w:rFonts w:hint="eastAsia"/>
          <w:b/>
          <w:bCs/>
          <w:sz w:val="24"/>
          <w:szCs w:val="24"/>
        </w:rPr>
        <w:t>地</w:t>
      </w:r>
      <w:r>
        <w:rPr>
          <w:rFonts w:hint="eastAsia"/>
          <w:b/>
          <w:bCs/>
          <w:sz w:val="24"/>
          <w:szCs w:val="24"/>
          <w:lang w:eastAsia="zh-CN"/>
        </w:rPr>
        <w:t>下</w:t>
      </w:r>
      <w:r>
        <w:rPr>
          <w:rFonts w:hint="eastAsia"/>
          <w:b/>
          <w:bCs/>
          <w:sz w:val="24"/>
          <w:szCs w:val="24"/>
        </w:rPr>
        <w:t>水环境污染影响分析</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b w:val="0"/>
          <w:sz w:val="24"/>
          <w:szCs w:val="24"/>
        </w:rPr>
      </w:pPr>
      <w:r>
        <w:rPr>
          <w:rFonts w:hint="eastAsia"/>
          <w:b w:val="0"/>
          <w:sz w:val="24"/>
          <w:szCs w:val="24"/>
        </w:rPr>
        <w:t>未经处理的废水直接或作为粪肥直接灌溉土壤，部分氮、磷不仅随地表水或水体流失流入周边水体，且会渗入地下污染地下水。废水处理系统等设施出现下渗时，渗滤液将会渗入地下污染地下水，废水及渗滤液中的有毒、有害成分进入地下水中，会使地下水溶解氧含量减少，水质中有毒成分增多，一旦污染地下水，将极难治理恢复，造成较持久性的污染。</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b w:val="0"/>
          <w:sz w:val="24"/>
          <w:szCs w:val="24"/>
        </w:rPr>
      </w:pPr>
      <w:r>
        <w:rPr>
          <w:rFonts w:hint="eastAsia"/>
          <w:b w:val="0"/>
          <w:sz w:val="24"/>
          <w:szCs w:val="24"/>
        </w:rPr>
        <w:t>由此可见事故排污对环境将造成一定的危害，应坚决杜绝本项目废水事故排放事故的发生。一旦出现事故，应立即采取应急措施停止污染，将污水储存在有防渗设施的事故池中，待处理系统正常后，再将废水经处理后用于场内生态果林绿化灌溉。</w:t>
      </w:r>
    </w:p>
    <w:p>
      <w:pPr>
        <w:keepNext w:val="0"/>
        <w:keepLines w:val="0"/>
        <w:pageBreakBefore w:val="0"/>
        <w:widowControl w:val="0"/>
        <w:kinsoku/>
        <w:wordWrap/>
        <w:overflowPunct/>
        <w:topLinePunct w:val="0"/>
        <w:autoSpaceDE/>
        <w:autoSpaceDN/>
        <w:bidi w:val="0"/>
        <w:adjustRightInd/>
        <w:snapToGrid/>
        <w:spacing w:line="360" w:lineRule="auto"/>
        <w:ind w:firstLine="481" w:firstLineChars="200"/>
        <w:jc w:val="left"/>
        <w:textAlignment w:val="auto"/>
        <w:rPr>
          <w:b w:val="0"/>
          <w:sz w:val="24"/>
          <w:szCs w:val="24"/>
        </w:rPr>
      </w:pPr>
      <w:r>
        <w:rPr>
          <w:rFonts w:hint="eastAsia"/>
          <w:b/>
          <w:bCs/>
          <w:sz w:val="24"/>
          <w:szCs w:val="24"/>
          <w:lang w:eastAsia="zh-CN"/>
        </w:rPr>
        <w:t>（</w:t>
      </w:r>
      <w:r>
        <w:rPr>
          <w:rFonts w:hint="eastAsia"/>
          <w:b/>
          <w:bCs/>
          <w:sz w:val="24"/>
          <w:szCs w:val="24"/>
          <w:lang w:val="en-US" w:eastAsia="zh-CN"/>
        </w:rPr>
        <w:t>3</w:t>
      </w:r>
      <w:r>
        <w:rPr>
          <w:rFonts w:hint="eastAsia"/>
          <w:b/>
          <w:bCs/>
          <w:sz w:val="24"/>
          <w:szCs w:val="24"/>
          <w:lang w:eastAsia="zh-CN"/>
        </w:rPr>
        <w:t>）</w:t>
      </w:r>
      <w:r>
        <w:rPr>
          <w:rFonts w:hint="eastAsia"/>
          <w:b/>
          <w:bCs/>
          <w:sz w:val="24"/>
          <w:szCs w:val="24"/>
        </w:rPr>
        <w:t>土壤环境污染分析</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b w:val="0"/>
          <w:sz w:val="24"/>
          <w:szCs w:val="24"/>
        </w:rPr>
      </w:pPr>
      <w:r>
        <w:rPr>
          <w:rFonts w:hint="eastAsia"/>
          <w:b w:val="0"/>
          <w:sz w:val="24"/>
          <w:szCs w:val="24"/>
        </w:rPr>
        <w:t>未经处理的废水中高浓度的有机物和氨氮会使土壤环境质量严重破坏。当废水排放超过土壤的自净能力，便会出现降解不完全和厌氧腐解，产生恶臭物质和亚硝酸盐等有害物质，引起土壤的组成和性状发生改变，破坏其原有的基本功能；作物徒长、倒伏、晚熟或不熟，造成减产、甚至毒害作物使之出现大面积腐烂。此外，土壤对病原微生物的自净能力下降，不仅增加了净化难度，而且易造成生物污染和疫病传播。</w:t>
      </w:r>
    </w:p>
    <w:p>
      <w:pPr>
        <w:keepNext w:val="0"/>
        <w:keepLines w:val="0"/>
        <w:pageBreakBefore w:val="0"/>
        <w:widowControl w:val="0"/>
        <w:kinsoku/>
        <w:wordWrap/>
        <w:overflowPunct/>
        <w:topLinePunct w:val="0"/>
        <w:autoSpaceDE/>
        <w:autoSpaceDN/>
        <w:bidi w:val="0"/>
        <w:adjustRightInd/>
        <w:snapToGrid/>
        <w:spacing w:line="360" w:lineRule="auto"/>
        <w:ind w:firstLine="481" w:firstLineChars="200"/>
        <w:jc w:val="left"/>
        <w:textAlignment w:val="auto"/>
        <w:rPr>
          <w:b/>
          <w:bCs/>
          <w:sz w:val="24"/>
          <w:szCs w:val="24"/>
        </w:rPr>
      </w:pPr>
      <w:r>
        <w:rPr>
          <w:rFonts w:hint="eastAsia"/>
          <w:b/>
          <w:bCs/>
          <w:sz w:val="24"/>
          <w:szCs w:val="24"/>
          <w:lang w:eastAsia="zh-CN"/>
        </w:rPr>
        <w:t>（</w:t>
      </w:r>
      <w:r>
        <w:rPr>
          <w:rFonts w:hint="eastAsia"/>
          <w:b/>
          <w:bCs/>
          <w:sz w:val="24"/>
          <w:szCs w:val="24"/>
          <w:lang w:val="en-US" w:eastAsia="zh-CN"/>
        </w:rPr>
        <w:t>4</w:t>
      </w:r>
      <w:r>
        <w:rPr>
          <w:rFonts w:hint="eastAsia"/>
          <w:b/>
          <w:bCs/>
          <w:sz w:val="24"/>
          <w:szCs w:val="24"/>
          <w:lang w:eastAsia="zh-CN"/>
        </w:rPr>
        <w:t>）</w:t>
      </w:r>
      <w:r>
        <w:rPr>
          <w:rFonts w:hint="eastAsia"/>
          <w:b/>
          <w:bCs/>
          <w:sz w:val="24"/>
          <w:szCs w:val="24"/>
        </w:rPr>
        <w:t>大气环境污染分析</w:t>
      </w:r>
    </w:p>
    <w:p>
      <w:pPr>
        <w:pStyle w:val="8"/>
        <w:rPr>
          <w:rFonts w:hint="eastAsia"/>
        </w:rPr>
      </w:pPr>
      <w:r>
        <w:rPr>
          <w:rFonts w:hint="eastAsia"/>
          <w:b w:val="0"/>
          <w:sz w:val="24"/>
          <w:szCs w:val="24"/>
        </w:rPr>
        <w:t>未经处理的废水会散发出高浓度的恶臭气体，造成空气中含氧量相对下降，污浊度升高，轻则降低空气质量、产生异味妨碍人畜健康生存；重则引起呼吸系统疾病。未经处理的猪场废水中含有大量的微生物，在风的作用下极易扩散到空气中，可引起猪大肠杆菌病、猪新城疫等疫病的传播，危害人和动物的健康。</w:t>
      </w:r>
    </w:p>
    <w:p>
      <w:pPr>
        <w:pStyle w:val="4"/>
      </w:pPr>
      <w:bookmarkStart w:id="69" w:name="_Toc6205"/>
      <w:bookmarkStart w:id="70" w:name="_Toc16623"/>
      <w:r>
        <w:rPr>
          <w:rFonts w:hint="eastAsia"/>
          <w:lang w:eastAsia="zh-CN"/>
        </w:rPr>
        <w:t>环境风险防范措施及应急要求</w:t>
      </w:r>
      <w:bookmarkEnd w:id="69"/>
      <w:bookmarkEnd w:id="70"/>
    </w:p>
    <w:p>
      <w:pPr>
        <w:pStyle w:val="5"/>
        <w:ind w:firstLine="562"/>
      </w:pPr>
      <w:r>
        <w:rPr>
          <w:rFonts w:hint="eastAsia"/>
          <w:lang w:eastAsia="zh-CN"/>
        </w:rPr>
        <w:t>企业总图布置与风险防范</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b w:val="0"/>
          <w:sz w:val="24"/>
          <w:szCs w:val="24"/>
        </w:rPr>
      </w:pPr>
      <w:r>
        <w:rPr>
          <w:rFonts w:hint="eastAsia"/>
          <w:b w:val="0"/>
          <w:sz w:val="24"/>
          <w:szCs w:val="24"/>
        </w:rPr>
        <w:t>在厂区内的总平面设计上，应严格按照国家相关规范、标准和规定以及按照安监、消防、供电、卫生等相关部门的要求进行设计。</w:t>
      </w:r>
    </w:p>
    <w:p>
      <w:pPr>
        <w:pStyle w:val="5"/>
        <w:ind w:firstLine="562"/>
      </w:pPr>
      <w:r>
        <w:rPr>
          <w:rFonts w:hint="eastAsia"/>
          <w:lang w:eastAsia="zh-CN"/>
        </w:rPr>
        <w:t>生产过程风险防范与管理</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b w:val="0"/>
          <w:sz w:val="24"/>
          <w:szCs w:val="24"/>
        </w:rPr>
      </w:pPr>
      <w:r>
        <w:rPr>
          <w:rFonts w:hint="eastAsia"/>
          <w:b w:val="0"/>
          <w:sz w:val="24"/>
          <w:szCs w:val="24"/>
        </w:rPr>
        <w:t>本项目环境风险主要是生产设施和贮运过程发生泄漏、火灾、爆炸等风险事故，以及污染防治设施非正常使用引起的环境污染。安全事故发生后，不仅对人员、财产造成损失，而且对周围环境有着难以弥补的损害。为避免风险事故发生，避免风险事故发生后对环境造成的严重污染，建设单位首先树立环境风险意识，并在管理过程当中强化环境风险意识。在实际工作与管理过程当中落实环境风险防患措施。</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b w:val="0"/>
          <w:sz w:val="24"/>
          <w:szCs w:val="24"/>
        </w:rPr>
      </w:pPr>
      <w:r>
        <w:rPr>
          <w:rFonts w:hint="eastAsia"/>
          <w:b w:val="0"/>
          <w:sz w:val="24"/>
          <w:szCs w:val="24"/>
        </w:rPr>
        <w:t>（1）树立并强化环境风险意识</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b w:val="0"/>
          <w:sz w:val="24"/>
          <w:szCs w:val="24"/>
        </w:rPr>
      </w:pPr>
      <w:r>
        <w:rPr>
          <w:rFonts w:hint="eastAsia"/>
          <w:b w:val="0"/>
          <w:sz w:val="24"/>
          <w:szCs w:val="24"/>
        </w:rPr>
        <w:t>贯彻“安全第一，预防为主”方针，树立环境风险意识，强化环境风险责任，体现环境保护的内容。</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b w:val="0"/>
          <w:sz w:val="24"/>
          <w:szCs w:val="24"/>
        </w:rPr>
      </w:pPr>
      <w:r>
        <w:rPr>
          <w:rFonts w:hint="eastAsia"/>
          <w:b w:val="0"/>
          <w:sz w:val="24"/>
          <w:szCs w:val="24"/>
        </w:rPr>
        <w:t>（2）实行安全环保管理制度</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b w:val="0"/>
          <w:sz w:val="24"/>
          <w:szCs w:val="24"/>
        </w:rPr>
      </w:pPr>
      <w:r>
        <w:rPr>
          <w:rFonts w:hint="eastAsia"/>
          <w:b w:val="0"/>
          <w:sz w:val="24"/>
          <w:szCs w:val="24"/>
        </w:rPr>
        <w:t>由上述分析可知，在生产、暂存等过程中均有可以发生各种事故，事故发生后会对环境造成不同程度的污染，因此针对建设项目开展全面、全员、全过程的系统安全管理，把安全工作的重点放在系统的安全隐患上，并从整体和全局上促进建设项目各个环节的安全操作，并建立监察、检测、管理，实行安全检查目标管理。</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b w:val="0"/>
          <w:sz w:val="24"/>
          <w:szCs w:val="24"/>
        </w:rPr>
      </w:pPr>
      <w:r>
        <w:rPr>
          <w:rFonts w:hint="eastAsia"/>
          <w:b w:val="0"/>
          <w:sz w:val="24"/>
          <w:szCs w:val="24"/>
        </w:rPr>
        <w:t>（3）规范并强化风险预防措施</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b w:val="0"/>
          <w:sz w:val="24"/>
          <w:szCs w:val="24"/>
        </w:rPr>
      </w:pPr>
      <w:r>
        <w:rPr>
          <w:rFonts w:hint="eastAsia"/>
          <w:b w:val="0"/>
          <w:sz w:val="24"/>
          <w:szCs w:val="24"/>
        </w:rPr>
        <w:t>为预防安全事故的发生，建设单位制定安全管理规章制度，并采取相应的预防和处理措施。对防止安全事故的发生起到制度上、技术上的保证作用，但火灾事故的发生，会产生一定的环境污染，对于这类事故的预防仍然需要制定相应的防患措施，从运输、贮存过程中予以全面考虑，并力求做到规范且可操作性强。</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b w:val="0"/>
          <w:sz w:val="24"/>
          <w:szCs w:val="24"/>
        </w:rPr>
      </w:pPr>
      <w:r>
        <w:rPr>
          <w:rFonts w:hint="eastAsia"/>
          <w:b w:val="0"/>
          <w:sz w:val="24"/>
          <w:szCs w:val="24"/>
        </w:rPr>
        <w:t>（4）提高员工的技术水平</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b w:val="0"/>
          <w:sz w:val="24"/>
          <w:szCs w:val="24"/>
        </w:rPr>
      </w:pPr>
      <w:r>
        <w:rPr>
          <w:rFonts w:hint="eastAsia"/>
          <w:b w:val="0"/>
          <w:sz w:val="24"/>
          <w:szCs w:val="24"/>
        </w:rPr>
        <w:t>人员的失误也是导致事故发生的重要因素之一。失误的原因主要是，由于技术水平低下、身体状况、工作疏忽。项目建成投产后，建设单位严格要求负责危险废物装卸、运输、管理等人员的技术水平，职工上岗前必须参加培训，落实安全教育制度。</w:t>
      </w:r>
    </w:p>
    <w:p>
      <w:pPr>
        <w:pStyle w:val="5"/>
        <w:ind w:firstLine="562"/>
      </w:pPr>
      <w:r>
        <w:rPr>
          <w:rFonts w:hint="eastAsia"/>
          <w:lang w:eastAsia="zh-CN"/>
        </w:rPr>
        <w:t>物料泄漏的防范</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b w:val="0"/>
          <w:sz w:val="24"/>
          <w:szCs w:val="24"/>
        </w:rPr>
      </w:pPr>
      <w:r>
        <w:rPr>
          <w:rFonts w:hint="eastAsia"/>
          <w:b w:val="0"/>
          <w:sz w:val="24"/>
          <w:szCs w:val="24"/>
        </w:rPr>
        <w:t>防范泄漏事故是生产和储运过程中最重要的环节，发生泄漏事故可能引起火灾和爆炸等一系列重大事故，由此会带来环境风险问题项目必须严格落实安监、消防部门对物料泄漏的相关防范要求，同时自觉接受安监、消防部门的监督管理。同时，设置雨水外排口截断阀，在火灾、泄漏等事故情况下关闭截断阀门，防止消防废水通过雨水管道排入外环境。</w:t>
      </w:r>
    </w:p>
    <w:p>
      <w:pPr>
        <w:pStyle w:val="5"/>
        <w:ind w:firstLine="562"/>
      </w:pPr>
      <w:r>
        <w:rPr>
          <w:rFonts w:hint="eastAsia"/>
          <w:lang w:eastAsia="zh-CN"/>
        </w:rPr>
        <w:t>生产过程火灾爆炸事故预防</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（1）应急环境监测、抢险、救援及控制措施</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①泄漏、火灾等事故发生后，在向安监、消防部门报告的同时，应立即向有关环境管理部门报告，请求环境管理部门应急监测工作组进行应急监测；</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②环境管理部门应急监测工作组应根据污染物的扩散速度和事件发生地的气象和地域特点，确定污染物扩散范围。</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③根据监测结果，综合分析突发环境事件污染变化趋势，并通过专家咨询和讨论的方式，预测并报告突发污染事故的发展情况和污染物的变化情况，作为突发环境事件应急决策的依据。</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（2）消防事故环境风险防范措施</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一旦发生火灾后，消防过程中同样会产生二次环境风险，主要体现在消防污水如直接经过市政雨水或污水管网进入纳污水体含高浓度污染物的消防排水势必对地表水体造成极为不利的影响，造成污水处理设施的故障，导致严重的危害后果，因此必须设置容积足够的事故应急池，同时设置雨水外排口截断阀，在火灾、泄漏等事故情况下关闭截断阀门，防止消防废水通过雨水管道排入外环境。</w:t>
      </w:r>
    </w:p>
    <w:p>
      <w:pPr>
        <w:pStyle w:val="5"/>
        <w:ind w:firstLine="562"/>
      </w:pPr>
      <w:r>
        <w:rPr>
          <w:rFonts w:hint="eastAsia"/>
          <w:lang w:eastAsia="zh-CN"/>
        </w:rPr>
        <w:t>加强员工的安全生产教育卫生防疫的防范措施</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1" w:firstLineChars="200"/>
        <w:jc w:val="both"/>
        <w:textAlignment w:val="auto"/>
        <w:rPr>
          <w:rFonts w:hint="eastAsia"/>
          <w:sz w:val="24"/>
          <w:szCs w:val="24"/>
        </w:rPr>
      </w:pPr>
      <w:r>
        <w:rPr>
          <w:rFonts w:hint="eastAsia"/>
          <w:b/>
          <w:bCs/>
          <w:sz w:val="24"/>
          <w:szCs w:val="24"/>
          <w:lang w:eastAsia="zh-CN"/>
        </w:rPr>
        <w:t>（</w:t>
      </w:r>
      <w:r>
        <w:rPr>
          <w:rFonts w:hint="eastAsia"/>
          <w:b/>
          <w:bCs/>
          <w:sz w:val="24"/>
          <w:szCs w:val="24"/>
          <w:lang w:val="en-US" w:eastAsia="zh-CN"/>
        </w:rPr>
        <w:t>1</w:t>
      </w:r>
      <w:r>
        <w:rPr>
          <w:rFonts w:hint="eastAsia"/>
          <w:b/>
          <w:bCs/>
          <w:sz w:val="24"/>
          <w:szCs w:val="24"/>
          <w:lang w:eastAsia="zh-CN"/>
        </w:rPr>
        <w:t>）</w:t>
      </w:r>
      <w:r>
        <w:rPr>
          <w:rFonts w:hint="eastAsia"/>
          <w:b/>
          <w:bCs/>
          <w:sz w:val="24"/>
          <w:szCs w:val="24"/>
        </w:rPr>
        <w:t>加强饲养管理</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项目严格按照国家法律规定及标准，采用标准化养殖技术标准与健康养殖规范化操作规程，从培育到饲养管理、疫病防治等各个环节进行有效严格的管理。</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1）加强员工防疫知识和兽医法规的教育；</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2）完善隔离制度，粪污和动物运输通道分离，人畜分离，加强生产区人员及其他动物的出入管理，养殖区入口设置消毒设施并严格执行消毒制度。</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3）加强影响疾病发生和流行的饲养管理因素，主要包括饲料营养、饮水质量、饲养密度等内容，防治病原微生物在不同批次群体中形成连续感染或交叉感染。</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1" w:firstLineChars="200"/>
        <w:jc w:val="both"/>
        <w:textAlignment w:val="auto"/>
        <w:rPr>
          <w:rFonts w:hint="eastAsia"/>
          <w:b/>
          <w:bCs/>
          <w:sz w:val="24"/>
          <w:szCs w:val="24"/>
        </w:rPr>
      </w:pPr>
      <w:r>
        <w:rPr>
          <w:rFonts w:hint="eastAsia"/>
          <w:b/>
          <w:bCs/>
          <w:sz w:val="24"/>
          <w:szCs w:val="24"/>
          <w:lang w:eastAsia="zh-CN"/>
        </w:rPr>
        <w:t>（</w:t>
      </w:r>
      <w:r>
        <w:rPr>
          <w:rFonts w:hint="eastAsia"/>
          <w:b/>
          <w:bCs/>
          <w:sz w:val="24"/>
          <w:szCs w:val="24"/>
          <w:lang w:val="en-US" w:eastAsia="zh-CN"/>
        </w:rPr>
        <w:t>2</w:t>
      </w:r>
      <w:r>
        <w:rPr>
          <w:rFonts w:hint="eastAsia"/>
          <w:b/>
          <w:bCs/>
          <w:sz w:val="24"/>
          <w:szCs w:val="24"/>
          <w:lang w:eastAsia="zh-CN"/>
        </w:rPr>
        <w:t>）</w:t>
      </w:r>
      <w:r>
        <w:rPr>
          <w:rFonts w:hint="eastAsia"/>
          <w:b/>
          <w:bCs/>
          <w:sz w:val="24"/>
          <w:szCs w:val="24"/>
        </w:rPr>
        <w:t>免疫接种</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项目根据《中华人民共和国动物防疫法》及其配套法规的要求，结合当地实际情况，有选择的进行疫病防治工作，通过规范的免疫接种预防疫病的发生。</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1" w:firstLineChars="200"/>
        <w:jc w:val="both"/>
        <w:textAlignment w:val="auto"/>
        <w:rPr>
          <w:rFonts w:hint="eastAsia"/>
          <w:b/>
          <w:bCs/>
          <w:sz w:val="24"/>
          <w:szCs w:val="24"/>
        </w:rPr>
      </w:pPr>
      <w:r>
        <w:rPr>
          <w:rFonts w:hint="eastAsia"/>
          <w:b/>
          <w:bCs/>
          <w:sz w:val="24"/>
          <w:szCs w:val="24"/>
          <w:lang w:eastAsia="zh-CN"/>
        </w:rPr>
        <w:t>（</w:t>
      </w:r>
      <w:r>
        <w:rPr>
          <w:rFonts w:hint="eastAsia"/>
          <w:b/>
          <w:bCs/>
          <w:sz w:val="24"/>
          <w:szCs w:val="24"/>
          <w:lang w:val="en-US" w:eastAsia="zh-CN"/>
        </w:rPr>
        <w:t>3</w:t>
      </w:r>
      <w:r>
        <w:rPr>
          <w:rFonts w:hint="eastAsia"/>
          <w:b/>
          <w:bCs/>
          <w:sz w:val="24"/>
          <w:szCs w:val="24"/>
          <w:lang w:eastAsia="zh-CN"/>
        </w:rPr>
        <w:t>）</w:t>
      </w:r>
      <w:r>
        <w:rPr>
          <w:rFonts w:hint="eastAsia"/>
          <w:b/>
          <w:bCs/>
          <w:sz w:val="24"/>
          <w:szCs w:val="24"/>
        </w:rPr>
        <w:t>疫病预防</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项目疫病监测依照《中华人民共和国动物防疫法》及配套法规要求执行。发生疫病或疑似疫病时应采用以下措施：</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1）驻场兽医应及时进行诊断，并尽快向当地畜牧兽医管理部门报告疫情。</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2）确诊发生一类疫病时，猪场应配合当地畜牧兽医管理部门，对猪群实施严格的隔离、捕杀措施。</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3）发生二类疫病时，应对畜群实施清群和净化措施，全场进行彻底的清洗消毒。</w:t>
      </w:r>
    </w:p>
    <w:p>
      <w:pPr>
        <w:pStyle w:val="5"/>
        <w:ind w:firstLine="562"/>
      </w:pPr>
      <w:r>
        <w:rPr>
          <w:rFonts w:hint="eastAsia"/>
          <w:lang w:eastAsia="zh-CN"/>
        </w:rPr>
        <w:t>事故废水应急储存设施</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当发生</w:t>
      </w:r>
      <w:r>
        <w:rPr>
          <w:rFonts w:hint="eastAsia"/>
          <w:sz w:val="24"/>
          <w:szCs w:val="24"/>
          <w:lang w:val="en-US" w:eastAsia="zh-CN"/>
        </w:rPr>
        <w:t>泄露、火灾</w:t>
      </w:r>
      <w:r>
        <w:rPr>
          <w:rFonts w:hint="eastAsia"/>
          <w:sz w:val="24"/>
          <w:szCs w:val="24"/>
        </w:rPr>
        <w:t>等环境风险事故时，消防产生的废水如不及时收集，外排后将对地表水环境构成严重污染的潜存威胁。为此，建设单位应完善</w:t>
      </w:r>
      <w:r>
        <w:rPr>
          <w:rFonts w:hint="eastAsia"/>
          <w:sz w:val="24"/>
          <w:szCs w:val="24"/>
          <w:lang w:eastAsia="zh-CN"/>
        </w:rPr>
        <w:t>场区</w:t>
      </w:r>
      <w:r>
        <w:rPr>
          <w:rFonts w:hint="eastAsia"/>
          <w:sz w:val="24"/>
          <w:szCs w:val="24"/>
        </w:rPr>
        <w:t>应急水池以及配套管网设施。</w:t>
      </w:r>
    </w:p>
    <w:p>
      <w:pPr>
        <w:pStyle w:val="8"/>
        <w:rPr>
          <w:rFonts w:hint="eastAsia"/>
        </w:rPr>
      </w:pPr>
      <w:r>
        <w:rPr>
          <w:rFonts w:hint="eastAsia"/>
          <w:b/>
          <w:bCs/>
          <w:sz w:val="24"/>
          <w:szCs w:val="24"/>
        </w:rPr>
        <w:t>（1）事故应急池计算</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参考《化工建设项目环境保护设计规范》（GB50483-2009）、《关于印发水体风险防控要点》（试行）的通知》（安环</w:t>
      </w:r>
      <w:r>
        <w:rPr>
          <w:rFonts w:hint="eastAsia" w:ascii="宋体" w:hAnsi="宋体" w:eastAsia="宋体" w:cs="宋体"/>
          <w:sz w:val="24"/>
          <w:szCs w:val="24"/>
        </w:rPr>
        <w:t>〔</w:t>
      </w:r>
      <w:r>
        <w:rPr>
          <w:rFonts w:hint="eastAsia"/>
          <w:sz w:val="24"/>
          <w:szCs w:val="24"/>
        </w:rPr>
        <w:t>2006</w:t>
      </w:r>
      <w:r>
        <w:rPr>
          <w:rFonts w:hint="eastAsia" w:ascii="宋体" w:hAnsi="宋体" w:eastAsia="宋体" w:cs="宋体"/>
          <w:sz w:val="24"/>
          <w:szCs w:val="24"/>
        </w:rPr>
        <w:t>〕</w:t>
      </w:r>
      <w:r>
        <w:rPr>
          <w:rFonts w:hint="eastAsia"/>
          <w:sz w:val="24"/>
          <w:szCs w:val="24"/>
        </w:rPr>
        <w:t>10号）、《水体污染防控经济措施设计导则》中对事故应急池大小的规定：</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0" w:firstLineChars="0"/>
        <w:jc w:val="center"/>
        <w:textAlignment w:val="auto"/>
        <w:rPr>
          <w:rFonts w:hint="eastAsia"/>
          <w:sz w:val="24"/>
          <w:szCs w:val="24"/>
        </w:rPr>
      </w:pPr>
      <w:r>
        <w:rPr>
          <w:rFonts w:hint="eastAsia" w:ascii="TimesNewRomanPSMT" w:hAnsi="TimesNewRomanPSMT" w:eastAsia="TimesNewRomanPSMT"/>
          <w:sz w:val="24"/>
        </w:rPr>
        <w:t>V</w:t>
      </w:r>
      <w:r>
        <w:rPr>
          <w:rFonts w:hint="eastAsia" w:ascii="宋体" w:hAnsi="宋体" w:eastAsia="宋体"/>
          <w:sz w:val="12"/>
        </w:rPr>
        <w:t>总</w:t>
      </w:r>
      <w:r>
        <w:rPr>
          <w:rFonts w:hint="eastAsia" w:ascii="TimesNewRomanPSMT" w:hAnsi="TimesNewRomanPSMT" w:eastAsia="TimesNewRomanPSMT"/>
          <w:sz w:val="24"/>
        </w:rPr>
        <w:t>= (V</w:t>
      </w:r>
      <w:r>
        <w:rPr>
          <w:rFonts w:hint="eastAsia" w:ascii="TimesNewRomanPSMT" w:hAnsi="TimesNewRomanPSMT" w:eastAsia="TimesNewRomanPSMT"/>
          <w:sz w:val="16"/>
        </w:rPr>
        <w:t xml:space="preserve">1 </w:t>
      </w:r>
      <w:r>
        <w:rPr>
          <w:rFonts w:hint="eastAsia" w:ascii="TimesNewRomanPSMT" w:hAnsi="TimesNewRomanPSMT" w:eastAsia="TimesNewRomanPSMT"/>
          <w:sz w:val="24"/>
        </w:rPr>
        <w:t>+ V</w:t>
      </w:r>
      <w:r>
        <w:rPr>
          <w:rFonts w:hint="eastAsia" w:ascii="TimesNewRomanPSMT" w:hAnsi="TimesNewRomanPSMT" w:eastAsia="TimesNewRomanPSMT"/>
          <w:sz w:val="16"/>
        </w:rPr>
        <w:t>2</w:t>
      </w:r>
      <w:r>
        <w:rPr>
          <w:rFonts w:hint="eastAsia" w:ascii="宋体" w:hAnsi="宋体" w:eastAsia="宋体"/>
          <w:sz w:val="24"/>
        </w:rPr>
        <w:t>－</w:t>
      </w:r>
      <w:r>
        <w:rPr>
          <w:rFonts w:hint="eastAsia" w:ascii="TimesNewRomanPSMT" w:hAnsi="TimesNewRomanPSMT" w:eastAsia="TimesNewRomanPSMT"/>
          <w:sz w:val="24"/>
        </w:rPr>
        <w:t>V</w:t>
      </w:r>
      <w:r>
        <w:rPr>
          <w:rFonts w:hint="eastAsia" w:ascii="TimesNewRomanPSMT" w:hAnsi="TimesNewRomanPSMT" w:eastAsia="TimesNewRomanPSMT"/>
          <w:sz w:val="16"/>
        </w:rPr>
        <w:t>3</w:t>
      </w:r>
      <w:r>
        <w:rPr>
          <w:rFonts w:hint="eastAsia" w:ascii="TimesNewRomanPSMT" w:hAnsi="TimesNewRomanPSMT" w:eastAsia="TimesNewRomanPSMT"/>
          <w:sz w:val="24"/>
        </w:rPr>
        <w:t>)</w:t>
      </w:r>
      <w:r>
        <w:rPr>
          <w:rFonts w:hint="eastAsia" w:ascii="TimesNewRomanPSMT" w:hAnsi="TimesNewRomanPSMT" w:eastAsia="TimesNewRomanPSMT"/>
          <w:sz w:val="16"/>
        </w:rPr>
        <w:t xml:space="preserve">max </w:t>
      </w:r>
      <w:r>
        <w:rPr>
          <w:rFonts w:hint="eastAsia" w:ascii="TimesNewRomanPSMT" w:hAnsi="TimesNewRomanPSMT" w:eastAsia="TimesNewRomanPSMT"/>
          <w:sz w:val="24"/>
        </w:rPr>
        <w:t>+ V</w:t>
      </w:r>
      <w:r>
        <w:rPr>
          <w:rFonts w:hint="eastAsia" w:ascii="TimesNewRomanPSMT" w:hAnsi="TimesNewRomanPSMT" w:eastAsia="TimesNewRomanPSMT"/>
          <w:sz w:val="16"/>
        </w:rPr>
        <w:t xml:space="preserve">4 </w:t>
      </w:r>
      <w:r>
        <w:rPr>
          <w:rFonts w:hint="eastAsia" w:ascii="TimesNewRomanPSMT" w:hAnsi="TimesNewRomanPSMT" w:eastAsia="TimesNewRomanPSMT"/>
          <w:sz w:val="24"/>
        </w:rPr>
        <w:t>+ V</w:t>
      </w:r>
      <w:r>
        <w:rPr>
          <w:rFonts w:hint="eastAsia" w:ascii="TimesNewRomanPSMT" w:hAnsi="TimesNewRomanPSMT" w:eastAsia="TimesNewRomanPSMT"/>
          <w:sz w:val="16"/>
        </w:rPr>
        <w:t>5</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注：(V</w:t>
      </w:r>
      <w:r>
        <w:rPr>
          <w:rFonts w:hint="eastAsia"/>
          <w:sz w:val="24"/>
          <w:szCs w:val="24"/>
          <w:vertAlign w:val="subscript"/>
        </w:rPr>
        <w:t>1</w:t>
      </w:r>
      <w:r>
        <w:rPr>
          <w:rFonts w:hint="eastAsia"/>
          <w:sz w:val="24"/>
          <w:szCs w:val="24"/>
        </w:rPr>
        <w:t xml:space="preserve"> + V</w:t>
      </w:r>
      <w:r>
        <w:rPr>
          <w:rFonts w:hint="eastAsia"/>
          <w:sz w:val="24"/>
          <w:szCs w:val="24"/>
          <w:vertAlign w:val="subscript"/>
        </w:rPr>
        <w:t>2</w:t>
      </w:r>
      <w:r>
        <w:rPr>
          <w:rFonts w:hint="eastAsia"/>
          <w:sz w:val="24"/>
          <w:szCs w:val="24"/>
        </w:rPr>
        <w:t>－V</w:t>
      </w:r>
      <w:r>
        <w:rPr>
          <w:rFonts w:hint="eastAsia"/>
          <w:sz w:val="24"/>
          <w:szCs w:val="24"/>
          <w:vertAlign w:val="subscript"/>
        </w:rPr>
        <w:t>3</w:t>
      </w:r>
      <w:r>
        <w:rPr>
          <w:rFonts w:hint="eastAsia"/>
          <w:sz w:val="24"/>
          <w:szCs w:val="24"/>
        </w:rPr>
        <w:t>)m</w:t>
      </w:r>
      <w:r>
        <w:rPr>
          <w:rFonts w:hint="eastAsia"/>
          <w:sz w:val="24"/>
          <w:szCs w:val="24"/>
          <w:vertAlign w:val="subscript"/>
        </w:rPr>
        <w:t>ax</w:t>
      </w:r>
      <w:r>
        <w:rPr>
          <w:rFonts w:hint="eastAsia"/>
          <w:sz w:val="24"/>
          <w:szCs w:val="24"/>
        </w:rPr>
        <w:t>是指对收集系统范围内不同罐组或装置分别计算V</w:t>
      </w:r>
      <w:r>
        <w:rPr>
          <w:rFonts w:hint="eastAsia"/>
          <w:sz w:val="24"/>
          <w:szCs w:val="24"/>
          <w:vertAlign w:val="subscript"/>
        </w:rPr>
        <w:t>1</w:t>
      </w:r>
      <w:r>
        <w:rPr>
          <w:rFonts w:hint="eastAsia"/>
          <w:sz w:val="24"/>
          <w:szCs w:val="24"/>
        </w:rPr>
        <w:t xml:space="preserve"> + V</w:t>
      </w:r>
      <w:r>
        <w:rPr>
          <w:rFonts w:hint="eastAsia"/>
          <w:sz w:val="24"/>
          <w:szCs w:val="24"/>
          <w:vertAlign w:val="subscript"/>
        </w:rPr>
        <w:t>2</w:t>
      </w:r>
      <w:r>
        <w:rPr>
          <w:rFonts w:hint="eastAsia"/>
          <w:sz w:val="24"/>
          <w:szCs w:val="24"/>
        </w:rPr>
        <w:t>－V</w:t>
      </w:r>
      <w:r>
        <w:rPr>
          <w:rFonts w:hint="eastAsia"/>
          <w:sz w:val="24"/>
          <w:szCs w:val="24"/>
          <w:vertAlign w:val="subscript"/>
        </w:rPr>
        <w:t>3</w:t>
      </w:r>
      <w:r>
        <w:rPr>
          <w:rFonts w:hint="eastAsia"/>
          <w:sz w:val="24"/>
          <w:szCs w:val="24"/>
        </w:rPr>
        <w:t>，取其中最大值。</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上式中，V</w:t>
      </w:r>
      <w:r>
        <w:rPr>
          <w:rFonts w:hint="eastAsia"/>
          <w:sz w:val="24"/>
          <w:szCs w:val="24"/>
          <w:vertAlign w:val="subscript"/>
        </w:rPr>
        <w:t>1</w:t>
      </w:r>
      <w:r>
        <w:rPr>
          <w:rFonts w:hint="eastAsia"/>
          <w:sz w:val="24"/>
          <w:szCs w:val="24"/>
        </w:rPr>
        <w:t>——收集系统范围内发生事故的一个罐组或一套装置的物料量最大储罐物料量，m</w:t>
      </w:r>
      <w:r>
        <w:rPr>
          <w:rFonts w:hint="eastAsia"/>
          <w:sz w:val="24"/>
          <w:szCs w:val="24"/>
          <w:vertAlign w:val="superscript"/>
        </w:rPr>
        <w:t>3</w:t>
      </w:r>
      <w:r>
        <w:rPr>
          <w:rFonts w:hint="eastAsia"/>
          <w:sz w:val="24"/>
          <w:szCs w:val="24"/>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注：储存相同物料的罐组按一个最大储罐计，装置物料量按存留最大物料量的一台反应器或中间储罐计。</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V</w:t>
      </w:r>
      <w:r>
        <w:rPr>
          <w:rFonts w:hint="eastAsia"/>
          <w:sz w:val="24"/>
          <w:szCs w:val="24"/>
          <w:vertAlign w:val="subscript"/>
        </w:rPr>
        <w:t>2</w:t>
      </w:r>
      <w:r>
        <w:rPr>
          <w:rFonts w:hint="eastAsia"/>
          <w:sz w:val="24"/>
          <w:szCs w:val="24"/>
        </w:rPr>
        <w:t>——发生事故的储罐或装置的消防水量，m</w:t>
      </w:r>
      <w:r>
        <w:rPr>
          <w:rFonts w:hint="eastAsia"/>
          <w:sz w:val="24"/>
          <w:szCs w:val="24"/>
          <w:vertAlign w:val="superscript"/>
        </w:rPr>
        <w:t>3</w:t>
      </w:r>
      <w:r>
        <w:rPr>
          <w:rFonts w:hint="eastAsia"/>
          <w:sz w:val="24"/>
          <w:szCs w:val="24"/>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V</w:t>
      </w:r>
      <w:r>
        <w:rPr>
          <w:rFonts w:hint="eastAsia"/>
          <w:sz w:val="24"/>
          <w:szCs w:val="24"/>
          <w:vertAlign w:val="subscript"/>
        </w:rPr>
        <w:t>3</w:t>
      </w:r>
      <w:r>
        <w:rPr>
          <w:rFonts w:hint="eastAsia"/>
          <w:sz w:val="24"/>
          <w:szCs w:val="24"/>
        </w:rPr>
        <w:t>——发生事故时可以转输到其它储存或处理设施的物料量，m</w:t>
      </w:r>
      <w:r>
        <w:rPr>
          <w:rFonts w:hint="eastAsia"/>
          <w:sz w:val="24"/>
          <w:szCs w:val="24"/>
          <w:vertAlign w:val="superscript"/>
        </w:rPr>
        <w:t>3</w:t>
      </w:r>
      <w:r>
        <w:rPr>
          <w:rFonts w:hint="eastAsia"/>
          <w:sz w:val="24"/>
          <w:szCs w:val="24"/>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V</w:t>
      </w:r>
      <w:r>
        <w:rPr>
          <w:rFonts w:hint="eastAsia"/>
          <w:sz w:val="24"/>
          <w:szCs w:val="24"/>
          <w:vertAlign w:val="subscript"/>
        </w:rPr>
        <w:t>4</w:t>
      </w:r>
      <w:r>
        <w:rPr>
          <w:rFonts w:hint="eastAsia"/>
          <w:sz w:val="24"/>
          <w:szCs w:val="24"/>
        </w:rPr>
        <w:t>——发生事故时仍必须进入该收集系统的生产废水量，m</w:t>
      </w:r>
      <w:r>
        <w:rPr>
          <w:rFonts w:hint="eastAsia"/>
          <w:sz w:val="24"/>
          <w:szCs w:val="24"/>
          <w:vertAlign w:val="superscript"/>
        </w:rPr>
        <w:t>3</w:t>
      </w:r>
      <w:r>
        <w:rPr>
          <w:rFonts w:hint="eastAsia"/>
          <w:sz w:val="24"/>
          <w:szCs w:val="24"/>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V</w:t>
      </w:r>
      <w:r>
        <w:rPr>
          <w:rFonts w:hint="eastAsia"/>
          <w:sz w:val="24"/>
          <w:szCs w:val="24"/>
          <w:vertAlign w:val="subscript"/>
        </w:rPr>
        <w:t>5</w:t>
      </w:r>
      <w:r>
        <w:rPr>
          <w:rFonts w:hint="eastAsia"/>
          <w:sz w:val="24"/>
          <w:szCs w:val="24"/>
        </w:rPr>
        <w:t>——发生事故时可能进入该收集系统的降雨量，m</w:t>
      </w:r>
      <w:r>
        <w:rPr>
          <w:rFonts w:hint="eastAsia"/>
          <w:sz w:val="24"/>
          <w:szCs w:val="24"/>
          <w:vertAlign w:val="superscript"/>
        </w:rPr>
        <w:t>3</w:t>
      </w:r>
      <w:r>
        <w:rPr>
          <w:rFonts w:hint="eastAsia"/>
          <w:sz w:val="24"/>
          <w:szCs w:val="24"/>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A、项目不设置储罐等，则V</w:t>
      </w:r>
      <w:r>
        <w:rPr>
          <w:rFonts w:hint="eastAsia"/>
          <w:sz w:val="24"/>
          <w:szCs w:val="24"/>
          <w:vertAlign w:val="subscript"/>
        </w:rPr>
        <w:t>1</w:t>
      </w:r>
      <w:r>
        <w:rPr>
          <w:rFonts w:hint="eastAsia"/>
          <w:sz w:val="24"/>
          <w:szCs w:val="24"/>
        </w:rPr>
        <w:t>=0m</w:t>
      </w:r>
      <w:r>
        <w:rPr>
          <w:rFonts w:hint="eastAsia"/>
          <w:sz w:val="24"/>
          <w:szCs w:val="24"/>
          <w:vertAlign w:val="superscript"/>
        </w:rPr>
        <w:t>3</w:t>
      </w:r>
      <w:r>
        <w:rPr>
          <w:rFonts w:hint="eastAsia"/>
          <w:sz w:val="24"/>
          <w:szCs w:val="24"/>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B、根据《建筑设计防火规范》（GB50016-2014）和《消防给水及消火栓系统技术规范》（GB50974-2014），本项目属于戊类仓库，本项目消防给水量按最大的15L/s计，消防灭火时间按2小时计，则最大消防水量为108m</w:t>
      </w:r>
      <w:r>
        <w:rPr>
          <w:rFonts w:hint="eastAsia"/>
          <w:sz w:val="24"/>
          <w:szCs w:val="24"/>
          <w:vertAlign w:val="superscript"/>
        </w:rPr>
        <w:t>3</w:t>
      </w:r>
      <w:r>
        <w:rPr>
          <w:rFonts w:hint="eastAsia"/>
          <w:sz w:val="24"/>
          <w:szCs w:val="24"/>
        </w:rPr>
        <w:t>，V</w:t>
      </w:r>
      <w:r>
        <w:rPr>
          <w:rFonts w:hint="eastAsia"/>
          <w:sz w:val="24"/>
          <w:szCs w:val="24"/>
          <w:vertAlign w:val="subscript"/>
        </w:rPr>
        <w:t>2</w:t>
      </w:r>
      <w:r>
        <w:rPr>
          <w:rFonts w:hint="eastAsia"/>
          <w:sz w:val="24"/>
          <w:szCs w:val="24"/>
        </w:rPr>
        <w:t>=108m</w:t>
      </w:r>
      <w:r>
        <w:rPr>
          <w:rFonts w:hint="eastAsia"/>
          <w:sz w:val="24"/>
          <w:szCs w:val="24"/>
          <w:vertAlign w:val="superscript"/>
        </w:rPr>
        <w:t>3</w:t>
      </w:r>
      <w:r>
        <w:rPr>
          <w:rFonts w:hint="eastAsia"/>
          <w:sz w:val="24"/>
          <w:szCs w:val="24"/>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C、发生事故时转输的物料量</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本项目无转输到其它储存或处理设施的物料量，则V</w:t>
      </w:r>
      <w:r>
        <w:rPr>
          <w:rFonts w:hint="eastAsia"/>
          <w:sz w:val="24"/>
          <w:szCs w:val="24"/>
          <w:vertAlign w:val="subscript"/>
        </w:rPr>
        <w:t>3</w:t>
      </w:r>
      <w:r>
        <w:rPr>
          <w:rFonts w:hint="eastAsia"/>
          <w:sz w:val="24"/>
          <w:szCs w:val="24"/>
        </w:rPr>
        <w:t>=0 m</w:t>
      </w:r>
      <w:r>
        <w:rPr>
          <w:rFonts w:hint="eastAsia"/>
          <w:sz w:val="24"/>
          <w:szCs w:val="24"/>
          <w:vertAlign w:val="superscript"/>
        </w:rPr>
        <w:t>3</w:t>
      </w:r>
      <w:r>
        <w:rPr>
          <w:rFonts w:hint="eastAsia"/>
          <w:sz w:val="24"/>
          <w:szCs w:val="24"/>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D、一旦发生事故，公司将停产，生产废水不进入该收集系统，故V</w:t>
      </w:r>
      <w:r>
        <w:rPr>
          <w:rFonts w:hint="eastAsia"/>
          <w:sz w:val="24"/>
          <w:szCs w:val="24"/>
          <w:vertAlign w:val="subscript"/>
        </w:rPr>
        <w:t>4</w:t>
      </w:r>
      <w:r>
        <w:rPr>
          <w:rFonts w:hint="eastAsia"/>
          <w:sz w:val="24"/>
          <w:szCs w:val="24"/>
        </w:rPr>
        <w:t>= 0m</w:t>
      </w:r>
      <w:r>
        <w:rPr>
          <w:rFonts w:hint="eastAsia"/>
          <w:sz w:val="24"/>
          <w:szCs w:val="24"/>
          <w:vertAlign w:val="superscript"/>
        </w:rPr>
        <w:t>3</w:t>
      </w:r>
      <w:r>
        <w:rPr>
          <w:rFonts w:hint="eastAsia"/>
          <w:sz w:val="24"/>
          <w:szCs w:val="24"/>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E、发生事故时可能进入该收集系统的降雨量，m³；</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center"/>
        <w:textAlignment w:val="auto"/>
        <w:rPr>
          <w:rFonts w:hint="eastAsia"/>
          <w:sz w:val="24"/>
          <w:szCs w:val="24"/>
        </w:rPr>
      </w:pPr>
      <w:r>
        <w:rPr>
          <w:rFonts w:hint="eastAsia" w:ascii="TimesNewRomanPSMT" w:hAnsi="TimesNewRomanPSMT" w:eastAsia="TimesNewRomanPSMT"/>
          <w:sz w:val="24"/>
        </w:rPr>
        <w:t>V</w:t>
      </w:r>
      <w:r>
        <w:rPr>
          <w:rFonts w:hint="eastAsia" w:ascii="TimesNewRomanPSMT" w:hAnsi="TimesNewRomanPSMT" w:eastAsia="TimesNewRomanPSMT"/>
          <w:sz w:val="16"/>
        </w:rPr>
        <w:t>5</w:t>
      </w:r>
      <w:r>
        <w:rPr>
          <w:rFonts w:hint="eastAsia" w:ascii="TimesNewRomanPSMT" w:hAnsi="TimesNewRomanPSMT" w:eastAsia="TimesNewRomanPSMT"/>
          <w:sz w:val="24"/>
        </w:rPr>
        <w:t>=10qF</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q---降雨强度，mm；按平均日降雨量；</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center"/>
        <w:textAlignment w:val="auto"/>
        <w:rPr>
          <w:rFonts w:hint="eastAsia"/>
          <w:sz w:val="24"/>
          <w:szCs w:val="24"/>
        </w:rPr>
      </w:pPr>
      <w:r>
        <w:rPr>
          <w:rFonts w:hint="eastAsia"/>
          <w:sz w:val="24"/>
          <w:szCs w:val="24"/>
        </w:rPr>
        <w:t>q=q</w:t>
      </w:r>
      <w:r>
        <w:rPr>
          <w:rFonts w:hint="eastAsia"/>
          <w:sz w:val="24"/>
          <w:szCs w:val="24"/>
          <w:vertAlign w:val="subscript"/>
        </w:rPr>
        <w:t>a</w:t>
      </w:r>
      <w:r>
        <w:rPr>
          <w:rFonts w:hint="eastAsia"/>
          <w:sz w:val="24"/>
          <w:szCs w:val="24"/>
        </w:rPr>
        <w:t>/n；</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q</w:t>
      </w:r>
      <w:r>
        <w:rPr>
          <w:rFonts w:hint="eastAsia"/>
          <w:sz w:val="24"/>
          <w:szCs w:val="24"/>
          <w:vertAlign w:val="subscript"/>
        </w:rPr>
        <w:t>a</w:t>
      </w:r>
      <w:r>
        <w:rPr>
          <w:rFonts w:hint="eastAsia"/>
          <w:sz w:val="24"/>
          <w:szCs w:val="24"/>
        </w:rPr>
        <w:t>---年平均降雨量，mm，取</w:t>
      </w:r>
      <w:r>
        <w:rPr>
          <w:rFonts w:hint="eastAsia"/>
          <w:sz w:val="24"/>
          <w:szCs w:val="24"/>
          <w:lang w:val="en-US" w:eastAsia="zh-CN"/>
        </w:rPr>
        <w:t>1649.7</w:t>
      </w:r>
      <w:r>
        <w:rPr>
          <w:rFonts w:hint="eastAsia"/>
          <w:sz w:val="24"/>
          <w:szCs w:val="24"/>
        </w:rPr>
        <w:t>mm；</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n---年平均降雨日数，取1</w:t>
      </w:r>
      <w:r>
        <w:rPr>
          <w:rFonts w:hint="eastAsia"/>
          <w:sz w:val="24"/>
          <w:szCs w:val="24"/>
          <w:lang w:val="en-US" w:eastAsia="zh-CN"/>
        </w:rPr>
        <w:t>72</w:t>
      </w:r>
      <w:r>
        <w:rPr>
          <w:rFonts w:hint="eastAsia"/>
          <w:sz w:val="24"/>
          <w:szCs w:val="24"/>
        </w:rPr>
        <w:t>日；</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F---必须进入事故废水收集系统的雨水汇水面积，ha。本项目猪舍汇雨面积约为</w:t>
      </w:r>
      <w:r>
        <w:rPr>
          <w:rFonts w:hint="eastAsia"/>
          <w:sz w:val="24"/>
          <w:szCs w:val="24"/>
          <w:lang w:val="en-US" w:eastAsia="zh-CN"/>
        </w:rPr>
        <w:t>11119.2</w:t>
      </w:r>
      <w:r>
        <w:rPr>
          <w:rFonts w:hint="eastAsia"/>
          <w:sz w:val="24"/>
          <w:szCs w:val="24"/>
        </w:rPr>
        <w:t>m</w:t>
      </w:r>
      <w:r>
        <w:rPr>
          <w:rFonts w:hint="eastAsia"/>
          <w:sz w:val="24"/>
          <w:szCs w:val="24"/>
          <w:vertAlign w:val="superscript"/>
        </w:rPr>
        <w:t>2</w:t>
      </w:r>
      <w:r>
        <w:rPr>
          <w:rFonts w:hint="eastAsia"/>
          <w:sz w:val="24"/>
          <w:szCs w:val="24"/>
        </w:rPr>
        <w:t>，即</w:t>
      </w:r>
      <w:r>
        <w:rPr>
          <w:rFonts w:hint="eastAsia"/>
          <w:sz w:val="24"/>
          <w:szCs w:val="24"/>
          <w:lang w:val="en-US" w:eastAsia="zh-CN"/>
        </w:rPr>
        <w:t>1.11</w:t>
      </w:r>
      <w:r>
        <w:rPr>
          <w:rFonts w:hint="eastAsia"/>
          <w:sz w:val="24"/>
          <w:szCs w:val="24"/>
        </w:rPr>
        <w:t>ha。</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经核算，V</w:t>
      </w:r>
      <w:r>
        <w:rPr>
          <w:rFonts w:hint="eastAsia"/>
          <w:sz w:val="24"/>
          <w:szCs w:val="24"/>
          <w:vertAlign w:val="subscript"/>
        </w:rPr>
        <w:t>5</w:t>
      </w:r>
      <w:r>
        <w:rPr>
          <w:rFonts w:hint="eastAsia"/>
          <w:sz w:val="24"/>
          <w:szCs w:val="24"/>
        </w:rPr>
        <w:t xml:space="preserve"> =</w:t>
      </w:r>
      <w:r>
        <w:rPr>
          <w:rFonts w:hint="eastAsia"/>
          <w:sz w:val="24"/>
          <w:szCs w:val="24"/>
          <w:lang w:val="en-US" w:eastAsia="zh-CN"/>
        </w:rPr>
        <w:t>106.46</w:t>
      </w:r>
      <w:r>
        <w:rPr>
          <w:rFonts w:hint="eastAsia"/>
          <w:sz w:val="24"/>
          <w:szCs w:val="24"/>
        </w:rPr>
        <w:t xml:space="preserve"> m</w:t>
      </w:r>
      <w:r>
        <w:rPr>
          <w:rFonts w:hint="eastAsia"/>
          <w:sz w:val="24"/>
          <w:szCs w:val="24"/>
          <w:vertAlign w:val="superscript"/>
        </w:rPr>
        <w:t>3</w:t>
      </w:r>
      <w:r>
        <w:rPr>
          <w:rFonts w:hint="eastAsia"/>
          <w:sz w:val="24"/>
          <w:szCs w:val="24"/>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1" w:firstLineChars="200"/>
        <w:jc w:val="both"/>
        <w:textAlignment w:val="auto"/>
        <w:rPr>
          <w:rFonts w:hint="eastAsia"/>
          <w:sz w:val="24"/>
          <w:szCs w:val="24"/>
        </w:rPr>
      </w:pPr>
      <w:r>
        <w:rPr>
          <w:rFonts w:hint="eastAsia"/>
          <w:b/>
          <w:bCs/>
          <w:sz w:val="24"/>
          <w:szCs w:val="24"/>
        </w:rPr>
        <w:t>事故应急池大小计算</w:t>
      </w:r>
      <w:r>
        <w:rPr>
          <w:rFonts w:hint="eastAsia"/>
          <w:sz w:val="24"/>
          <w:szCs w:val="24"/>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（V</w:t>
      </w:r>
      <w:r>
        <w:rPr>
          <w:rFonts w:hint="eastAsia"/>
          <w:sz w:val="24"/>
          <w:szCs w:val="24"/>
          <w:vertAlign w:val="subscript"/>
        </w:rPr>
        <w:t>1</w:t>
      </w:r>
      <w:r>
        <w:rPr>
          <w:rFonts w:hint="eastAsia"/>
          <w:sz w:val="24"/>
          <w:szCs w:val="24"/>
        </w:rPr>
        <w:t>+V</w:t>
      </w:r>
      <w:r>
        <w:rPr>
          <w:rFonts w:hint="eastAsia"/>
          <w:sz w:val="24"/>
          <w:szCs w:val="24"/>
          <w:vertAlign w:val="subscript"/>
        </w:rPr>
        <w:t>2</w:t>
      </w:r>
      <w:r>
        <w:rPr>
          <w:rFonts w:hint="eastAsia"/>
          <w:sz w:val="24"/>
          <w:szCs w:val="24"/>
        </w:rPr>
        <w:t>-V</w:t>
      </w:r>
      <w:r>
        <w:rPr>
          <w:rFonts w:hint="eastAsia"/>
          <w:sz w:val="24"/>
          <w:szCs w:val="24"/>
          <w:vertAlign w:val="subscript"/>
        </w:rPr>
        <w:t>3</w:t>
      </w:r>
      <w:r>
        <w:rPr>
          <w:rFonts w:hint="eastAsia"/>
          <w:sz w:val="24"/>
          <w:szCs w:val="24"/>
        </w:rPr>
        <w:t>）</w:t>
      </w:r>
      <w:r>
        <w:rPr>
          <w:rFonts w:hint="eastAsia"/>
          <w:sz w:val="24"/>
          <w:szCs w:val="24"/>
          <w:vertAlign w:val="subscript"/>
        </w:rPr>
        <w:t>max</w:t>
      </w:r>
      <w:r>
        <w:rPr>
          <w:rFonts w:hint="eastAsia"/>
          <w:sz w:val="24"/>
          <w:szCs w:val="24"/>
        </w:rPr>
        <w:t>+V</w:t>
      </w:r>
      <w:r>
        <w:rPr>
          <w:rFonts w:hint="eastAsia"/>
          <w:sz w:val="24"/>
          <w:szCs w:val="24"/>
          <w:vertAlign w:val="subscript"/>
        </w:rPr>
        <w:t>4</w:t>
      </w:r>
      <w:r>
        <w:rPr>
          <w:rFonts w:hint="eastAsia"/>
          <w:sz w:val="24"/>
          <w:szCs w:val="24"/>
        </w:rPr>
        <w:t xml:space="preserve"> +V</w:t>
      </w:r>
      <w:r>
        <w:rPr>
          <w:rFonts w:hint="eastAsia"/>
          <w:sz w:val="24"/>
          <w:szCs w:val="24"/>
          <w:vertAlign w:val="subscript"/>
        </w:rPr>
        <w:t>5</w:t>
      </w:r>
      <w:r>
        <w:rPr>
          <w:rFonts w:hint="eastAsia"/>
          <w:sz w:val="24"/>
          <w:szCs w:val="24"/>
        </w:rPr>
        <w:t>=0+108-0+0+</w:t>
      </w:r>
      <w:r>
        <w:rPr>
          <w:rFonts w:hint="eastAsia"/>
          <w:sz w:val="24"/>
          <w:szCs w:val="24"/>
          <w:lang w:val="en-US" w:eastAsia="zh-CN"/>
        </w:rPr>
        <w:t>106.46</w:t>
      </w:r>
      <w:r>
        <w:rPr>
          <w:rFonts w:hint="eastAsia"/>
          <w:sz w:val="24"/>
          <w:szCs w:val="24"/>
        </w:rPr>
        <w:t>=</w:t>
      </w:r>
      <w:r>
        <w:rPr>
          <w:rFonts w:hint="eastAsia"/>
          <w:sz w:val="24"/>
          <w:szCs w:val="24"/>
          <w:lang w:val="en-US" w:eastAsia="zh-CN"/>
        </w:rPr>
        <w:t>214.46</w:t>
      </w:r>
      <w:r>
        <w:rPr>
          <w:rFonts w:hint="eastAsia"/>
          <w:sz w:val="24"/>
          <w:szCs w:val="24"/>
        </w:rPr>
        <w:t>m</w:t>
      </w:r>
      <w:r>
        <w:rPr>
          <w:rFonts w:hint="eastAsia"/>
          <w:sz w:val="24"/>
          <w:szCs w:val="24"/>
          <w:vertAlign w:val="superscript"/>
        </w:rPr>
        <w:t>3</w:t>
      </w:r>
    </w:p>
    <w:p>
      <w:pPr>
        <w:pStyle w:val="8"/>
        <w:rPr>
          <w:rFonts w:hint="eastAsia"/>
        </w:rPr>
      </w:pPr>
      <w:r>
        <w:rPr>
          <w:rFonts w:hint="eastAsia"/>
          <w:sz w:val="24"/>
          <w:szCs w:val="24"/>
        </w:rPr>
        <w:t>根据上述分析，</w:t>
      </w:r>
      <w:r>
        <w:rPr>
          <w:rFonts w:hint="eastAsia"/>
          <w:sz w:val="24"/>
          <w:szCs w:val="24"/>
          <w:lang w:eastAsia="zh-CN"/>
        </w:rPr>
        <w:t>场内</w:t>
      </w:r>
      <w:r>
        <w:rPr>
          <w:rFonts w:hint="eastAsia"/>
          <w:sz w:val="24"/>
          <w:szCs w:val="24"/>
        </w:rPr>
        <w:t>现有情况下，至少应设置容积为</w:t>
      </w:r>
      <w:r>
        <w:rPr>
          <w:rFonts w:hint="eastAsia"/>
          <w:sz w:val="24"/>
          <w:szCs w:val="24"/>
          <w:lang w:val="en-US" w:eastAsia="zh-CN"/>
        </w:rPr>
        <w:t>250</w:t>
      </w:r>
      <w:r>
        <w:rPr>
          <w:rFonts w:hint="eastAsia"/>
          <w:sz w:val="24"/>
          <w:szCs w:val="24"/>
        </w:rPr>
        <w:t xml:space="preserve"> m</w:t>
      </w:r>
      <w:r>
        <w:rPr>
          <w:rFonts w:hint="eastAsia"/>
          <w:sz w:val="24"/>
          <w:szCs w:val="24"/>
          <w:vertAlign w:val="superscript"/>
        </w:rPr>
        <w:t>3</w:t>
      </w:r>
      <w:r>
        <w:rPr>
          <w:rFonts w:hint="eastAsia"/>
          <w:sz w:val="24"/>
          <w:szCs w:val="24"/>
        </w:rPr>
        <w:t>的事故应急池。</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1" w:firstLineChars="200"/>
        <w:jc w:val="both"/>
        <w:textAlignment w:val="auto"/>
        <w:rPr>
          <w:rFonts w:hint="eastAsia"/>
          <w:sz w:val="24"/>
          <w:szCs w:val="24"/>
        </w:rPr>
      </w:pPr>
      <w:r>
        <w:rPr>
          <w:rFonts w:hint="eastAsia" w:ascii="宋体" w:hAnsi="宋体" w:eastAsia="宋体"/>
          <w:b/>
          <w:bCs/>
          <w:sz w:val="24"/>
        </w:rPr>
        <w:t>（</w:t>
      </w:r>
      <w:r>
        <w:rPr>
          <w:rFonts w:hint="eastAsia" w:ascii="TimesNewRomanPSMT" w:hAnsi="TimesNewRomanPSMT" w:eastAsia="TimesNewRomanPSMT"/>
          <w:b/>
          <w:bCs/>
          <w:sz w:val="24"/>
        </w:rPr>
        <w:t>2</w:t>
      </w:r>
      <w:r>
        <w:rPr>
          <w:rFonts w:hint="eastAsia" w:ascii="宋体" w:hAnsi="宋体" w:eastAsia="宋体"/>
          <w:b/>
          <w:bCs/>
          <w:sz w:val="24"/>
        </w:rPr>
        <w:t>）事故应急池设置要求</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参照《化工建设项目环境保护设计规范》（GB50483-2009）的规定，需采取以下措施：</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1）事故应急池应加盖防止雨水进入，正常工况应保持腾空状态以备急用；</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2）事故应急池建设时需根据实际情况采取防渗、防腐、防冻等措施；</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3）事故应急池一般宜采取地下式，以利于收集废水防止漫流，而对于容积较大的事故应急池也可采用半地下式或地上式；</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4）事故应急池需建设必要的导液管（沟），使得事故废水能顺利流入应急池内；</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5）在上述水池和排水管网之间建设连通水管，并在池旁建设提水泵，在厂区总排口处设水闸。当发生事故时，关闭厂区总闸，通过水泵把事故废水排入事故水池；</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6）在非事故状态下需占用事故池时（例如，前期雨水池共用），占用容积不得超过事故池容积的1/3，并应设有在事故时可以紧急排空的技术措施。污水处理事故池不可作为事故储存设施，不能把风险进一步转加到污水处理系统；</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综上所述，本项目消防废水和事故废水应急储存设施技术可行。</w:t>
      </w:r>
    </w:p>
    <w:p>
      <w:pPr>
        <w:pStyle w:val="5"/>
        <w:ind w:firstLine="562"/>
      </w:pPr>
      <w:r>
        <w:rPr>
          <w:rFonts w:hint="eastAsia"/>
          <w:lang w:eastAsia="zh-CN"/>
        </w:rPr>
        <w:t>制定项目风险事故应急预案</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制定风险事故应急预案的目的是为了在发生环境风险事故时，能以最快的速度发挥最大的效能，有序的实施救援，尽快控制事态的发展，降低事故造成的危害，减少事故造成的损失。建设单位必须制定切实可行的风险事故应急预案，以便事故发生时，通过事故鉴别，能及时分别采取针对性措施，控制事故的进一步发展，把事故造成的破坏降至最低程度。</w:t>
      </w:r>
    </w:p>
    <w:p>
      <w:pPr>
        <w:pStyle w:val="4"/>
      </w:pPr>
      <w:bookmarkStart w:id="71" w:name="_Toc12506"/>
      <w:bookmarkStart w:id="72" w:name="_Toc22740"/>
      <w:r>
        <w:rPr>
          <w:rFonts w:hint="eastAsia"/>
          <w:lang w:eastAsia="zh-CN"/>
        </w:rPr>
        <w:t>环境风险影响评价自查表</w:t>
      </w:r>
      <w:bookmarkEnd w:id="71"/>
      <w:bookmarkEnd w:id="72"/>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表6.5-1 环境风险简单分析内容表</w:t>
      </w:r>
    </w:p>
    <w:tbl>
      <w:tblPr>
        <w:tblStyle w:val="64"/>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86"/>
        <w:gridCol w:w="1198"/>
        <w:gridCol w:w="1529"/>
        <w:gridCol w:w="989"/>
        <w:gridCol w:w="1202"/>
        <w:gridCol w:w="13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2" w:type="pct"/>
            <w:tcBorders>
              <w:top w:val="single" w:color="auto" w:sz="12" w:space="0"/>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建设项目名称</w:t>
            </w:r>
          </w:p>
        </w:tc>
        <w:tc>
          <w:tcPr>
            <w:tcW w:w="3657" w:type="pct"/>
            <w:gridSpan w:val="5"/>
            <w:tcBorders>
              <w:top w:val="single" w:color="auto" w:sz="12" w:space="0"/>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lang w:val="en-US" w:eastAsia="zh-CN"/>
              </w:rPr>
              <w:t>高联村寨下组现代高效化养猪场建设项目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2" w:type="pct"/>
            <w:tcBorders>
              <w:top w:val="single" w:color="auto" w:sz="12" w:space="0"/>
              <w:left w:val="nil"/>
              <w:bottom w:val="single" w:color="auto" w:sz="4"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建设地点</w:t>
            </w:r>
          </w:p>
        </w:tc>
        <w:tc>
          <w:tcPr>
            <w:tcW w:w="703" w:type="pct"/>
            <w:tcBorders>
              <w:top w:val="single" w:color="auto" w:sz="12" w:space="0"/>
              <w:bottom w:val="single" w:color="auto" w:sz="4"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（广东）省</w:t>
            </w:r>
          </w:p>
        </w:tc>
        <w:tc>
          <w:tcPr>
            <w:tcW w:w="897" w:type="pct"/>
            <w:tcBorders>
              <w:top w:val="single" w:color="auto" w:sz="12" w:space="0"/>
              <w:bottom w:val="single" w:color="auto" w:sz="4"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（韶关）市</w:t>
            </w:r>
          </w:p>
        </w:tc>
        <w:tc>
          <w:tcPr>
            <w:tcW w:w="580" w:type="pct"/>
            <w:tcBorders>
              <w:top w:val="single" w:color="auto" w:sz="12" w:space="0"/>
              <w:bottom w:val="single" w:color="auto" w:sz="4"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w:t>
            </w:r>
            <w:r>
              <w:rPr>
                <w:rFonts w:hint="eastAsia"/>
                <w:sz w:val="21"/>
                <w:szCs w:val="21"/>
                <w:vertAlign w:val="baseline"/>
                <w:lang w:val="en-US" w:eastAsia="zh-CN"/>
              </w:rPr>
              <w:t xml:space="preserve">  </w:t>
            </w:r>
            <w:r>
              <w:rPr>
                <w:rFonts w:hint="eastAsia"/>
                <w:sz w:val="21"/>
                <w:szCs w:val="21"/>
                <w:vertAlign w:val="baseline"/>
                <w:lang w:eastAsia="zh-CN"/>
              </w:rPr>
              <w:t>）区</w:t>
            </w:r>
          </w:p>
        </w:tc>
        <w:tc>
          <w:tcPr>
            <w:tcW w:w="705" w:type="pct"/>
            <w:tcBorders>
              <w:top w:val="single" w:color="auto" w:sz="12" w:space="0"/>
              <w:bottom w:val="single" w:color="auto" w:sz="4"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（仁化）县</w:t>
            </w:r>
          </w:p>
        </w:tc>
        <w:tc>
          <w:tcPr>
            <w:tcW w:w="770" w:type="pct"/>
            <w:tcBorders>
              <w:top w:val="single" w:color="auto" w:sz="12" w:space="0"/>
              <w:bottom w:val="single" w:color="auto" w:sz="4"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w:t>
            </w:r>
            <w:r>
              <w:rPr>
                <w:rFonts w:hint="eastAsia"/>
                <w:sz w:val="21"/>
                <w:szCs w:val="21"/>
                <w:vertAlign w:val="baseline"/>
                <w:lang w:val="en-US" w:eastAsia="zh-CN"/>
              </w:rPr>
              <w:t xml:space="preserve">  </w:t>
            </w:r>
            <w:r>
              <w:rPr>
                <w:rFonts w:hint="eastAsia"/>
                <w:sz w:val="21"/>
                <w:szCs w:val="21"/>
                <w:vertAlign w:val="baseline"/>
                <w:lang w:eastAsia="zh-CN"/>
              </w:rPr>
              <w:t>）园区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2" w:type="pct"/>
            <w:tcBorders>
              <w:top w:val="single" w:color="auto" w:sz="4" w:space="0"/>
              <w:left w:val="nil"/>
              <w:bottom w:val="single" w:color="auto" w:sz="4"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地理坐标</w:t>
            </w:r>
          </w:p>
        </w:tc>
        <w:tc>
          <w:tcPr>
            <w:tcW w:w="703" w:type="pct"/>
            <w:tcBorders>
              <w:top w:val="single" w:color="auto" w:sz="4" w:space="0"/>
              <w:bottom w:val="single" w:color="auto" w:sz="4"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经度</w:t>
            </w:r>
          </w:p>
        </w:tc>
        <w:tc>
          <w:tcPr>
            <w:tcW w:w="897" w:type="pct"/>
            <w:tcBorders>
              <w:top w:val="single" w:color="auto" w:sz="4" w:space="0"/>
              <w:bottom w:val="single" w:color="auto" w:sz="4"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rPr>
              <w:t>113.704162</w:t>
            </w:r>
          </w:p>
        </w:tc>
        <w:tc>
          <w:tcPr>
            <w:tcW w:w="580" w:type="pct"/>
            <w:tcBorders>
              <w:top w:val="single" w:color="auto" w:sz="4" w:space="0"/>
              <w:bottom w:val="single" w:color="auto" w:sz="4"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纬度</w:t>
            </w:r>
          </w:p>
        </w:tc>
        <w:tc>
          <w:tcPr>
            <w:tcW w:w="1475" w:type="pct"/>
            <w:gridSpan w:val="2"/>
            <w:tcBorders>
              <w:top w:val="single" w:color="auto" w:sz="4" w:space="0"/>
              <w:bottom w:val="single" w:color="auto" w:sz="4"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rPr>
              <w:t>25.191894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42" w:type="pct"/>
            <w:tcBorders>
              <w:top w:val="single" w:color="auto" w:sz="4" w:space="0"/>
              <w:left w:val="nil"/>
              <w:bottom w:val="single" w:color="auto" w:sz="4"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主要危险物质及分布</w:t>
            </w:r>
          </w:p>
        </w:tc>
        <w:tc>
          <w:tcPr>
            <w:tcW w:w="3657" w:type="pct"/>
            <w:gridSpan w:val="5"/>
            <w:tcBorders>
              <w:top w:val="single" w:color="auto" w:sz="4" w:space="0"/>
              <w:bottom w:val="single" w:color="auto" w:sz="4"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z w:val="21"/>
                <w:szCs w:val="21"/>
                <w:vertAlign w:val="baseline"/>
                <w:lang w:eastAsia="zh-CN"/>
              </w:rPr>
            </w:pPr>
            <w:r>
              <w:rPr>
                <w:rFonts w:hint="eastAsia"/>
                <w:sz w:val="21"/>
                <w:szCs w:val="21"/>
                <w:vertAlign w:val="baseline"/>
                <w:lang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2" w:type="pct"/>
            <w:tcBorders>
              <w:top w:val="single" w:color="auto" w:sz="4" w:space="0"/>
              <w:left w:val="nil"/>
              <w:bottom w:val="single" w:color="auto" w:sz="4"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rPr>
            </w:pPr>
            <w:r>
              <w:rPr>
                <w:rFonts w:hint="eastAsia"/>
                <w:sz w:val="21"/>
                <w:szCs w:val="21"/>
                <w:vertAlign w:val="baseline"/>
              </w:rPr>
              <w:t>环境影响途径及危害后果（大气、地表水、地下水等）</w:t>
            </w:r>
          </w:p>
        </w:tc>
        <w:tc>
          <w:tcPr>
            <w:tcW w:w="3657" w:type="pct"/>
            <w:gridSpan w:val="5"/>
            <w:tcBorders>
              <w:top w:val="single" w:color="auto" w:sz="4" w:space="0"/>
              <w:bottom w:val="single" w:color="auto" w:sz="4"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eastAsia"/>
                <w:sz w:val="21"/>
                <w:szCs w:val="21"/>
                <w:vertAlign w:val="baseline"/>
              </w:rPr>
            </w:pPr>
            <w:r>
              <w:rPr>
                <w:rFonts w:hint="eastAsia"/>
                <w:sz w:val="21"/>
                <w:szCs w:val="21"/>
                <w:vertAlign w:val="baseline"/>
              </w:rPr>
              <w:t>主要为</w:t>
            </w:r>
            <w:r>
              <w:rPr>
                <w:rFonts w:hint="eastAsia"/>
                <w:sz w:val="21"/>
                <w:szCs w:val="21"/>
                <w:vertAlign w:val="baseline"/>
                <w:lang w:val="en-US" w:eastAsia="zh-CN"/>
              </w:rPr>
              <w:t>泄露、火灾等事故</w:t>
            </w:r>
            <w:r>
              <w:rPr>
                <w:rFonts w:hint="eastAsia"/>
                <w:sz w:val="21"/>
                <w:szCs w:val="21"/>
                <w:vertAlign w:val="baseline"/>
              </w:rPr>
              <w:t>产生的消防废水等废水未有效收集排入下水道流入附近水体，影响水质环境，或经过土地渗透进入地下水环境影响地下水水质；火灾事故产生有毒有害烟气，废水处理系统故障导致废水事故排放等，废水污染物直接排入大气，影响地表水环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2" w:type="pct"/>
            <w:tcBorders>
              <w:top w:val="single" w:color="auto" w:sz="4" w:space="0"/>
              <w:left w:val="nil"/>
              <w:bottom w:val="single" w:color="auto" w:sz="4"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sz w:val="21"/>
                <w:szCs w:val="21"/>
                <w:vertAlign w:val="baseline"/>
              </w:rPr>
            </w:pPr>
            <w:r>
              <w:rPr>
                <w:rFonts w:hint="default" w:ascii="Times New Roman" w:hAnsi="Times New Roman" w:cs="Times New Roman"/>
                <w:sz w:val="21"/>
                <w:szCs w:val="21"/>
                <w:vertAlign w:val="baseline"/>
                <w:lang w:val="en-US" w:eastAsia="zh-CN"/>
              </w:rPr>
              <w:t>风险防范措施</w:t>
            </w:r>
            <w:r>
              <w:rPr>
                <w:rFonts w:hint="default" w:ascii="Times New Roman" w:hAnsi="Times New Roman" w:cs="Times New Roman"/>
                <w:sz w:val="21"/>
                <w:szCs w:val="21"/>
                <w:vertAlign w:val="baseline"/>
              </w:rPr>
              <w:t>要求</w:t>
            </w:r>
          </w:p>
        </w:tc>
        <w:tc>
          <w:tcPr>
            <w:tcW w:w="3657" w:type="pct"/>
            <w:gridSpan w:val="5"/>
            <w:tcBorders>
              <w:top w:val="single" w:color="auto" w:sz="4" w:space="0"/>
              <w:bottom w:val="single" w:color="auto" w:sz="4"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ascii="Times New Roman" w:hAnsi="Times New Roman" w:cs="Times New Roman"/>
                <w:sz w:val="21"/>
                <w:szCs w:val="21"/>
                <w:vertAlign w:val="baseline"/>
              </w:rPr>
            </w:pPr>
            <w:r>
              <w:rPr>
                <w:rFonts w:hint="default" w:ascii="Times New Roman" w:hAnsi="Times New Roman" w:cs="Times New Roman"/>
                <w:sz w:val="21"/>
                <w:szCs w:val="21"/>
                <w:vertAlign w:val="baseline"/>
              </w:rPr>
              <w:t>项目需设置相应的事故应急水池，以接纳事故产生的废水，防止污染环境；加强废气、废水治理设施日常监测与维修；加强应急物资供应；加强本企业的环保技术培训，提高本企业全体员工的环境意识和综合素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2" w:type="pct"/>
            <w:tcBorders>
              <w:top w:val="single" w:color="auto" w:sz="4" w:space="0"/>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cs="Times New Roman"/>
                <w:sz w:val="21"/>
                <w:szCs w:val="21"/>
                <w:vertAlign w:val="baseline"/>
              </w:rPr>
            </w:pPr>
            <w:r>
              <w:rPr>
                <w:rFonts w:hint="default" w:ascii="Times New Roman" w:hAnsi="Times New Roman" w:cs="Times New Roman"/>
                <w:sz w:val="21"/>
                <w:szCs w:val="21"/>
                <w:vertAlign w:val="baseline"/>
              </w:rPr>
              <w:t>填表说明（列出项目相关信息及评价说明）</w:t>
            </w:r>
          </w:p>
        </w:tc>
        <w:tc>
          <w:tcPr>
            <w:tcW w:w="3657" w:type="pct"/>
            <w:gridSpan w:val="5"/>
            <w:tcBorders>
              <w:top w:val="single" w:color="auto" w:sz="4" w:space="0"/>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default" w:ascii="Times New Roman" w:hAnsi="Times New Roman" w:cs="Times New Roman"/>
                <w:sz w:val="21"/>
                <w:szCs w:val="21"/>
                <w:vertAlign w:val="baseline"/>
              </w:rPr>
            </w:pPr>
            <w:r>
              <w:rPr>
                <w:rFonts w:hint="default" w:ascii="Times New Roman" w:hAnsi="Times New Roman" w:cs="Times New Roman"/>
                <w:sz w:val="21"/>
                <w:szCs w:val="21"/>
                <w:vertAlign w:val="baseline"/>
              </w:rPr>
              <w:t>项目总投资</w:t>
            </w:r>
            <w:r>
              <w:rPr>
                <w:rFonts w:hint="eastAsia" w:ascii="Times New Roman" w:hAnsi="Times New Roman" w:cs="Times New Roman"/>
                <w:sz w:val="21"/>
                <w:szCs w:val="21"/>
                <w:vertAlign w:val="baseline"/>
                <w:lang w:val="en-US" w:eastAsia="zh-CN"/>
              </w:rPr>
              <w:t>1</w:t>
            </w:r>
            <w:r>
              <w:rPr>
                <w:rFonts w:hint="eastAsia" w:cs="Times New Roman"/>
                <w:sz w:val="21"/>
                <w:szCs w:val="21"/>
                <w:vertAlign w:val="baseline"/>
                <w:lang w:val="en-US" w:eastAsia="zh-CN"/>
              </w:rPr>
              <w:t>28</w:t>
            </w:r>
            <w:r>
              <w:rPr>
                <w:rFonts w:hint="eastAsia" w:ascii="Times New Roman" w:hAnsi="Times New Roman" w:cs="Times New Roman"/>
                <w:sz w:val="21"/>
                <w:szCs w:val="21"/>
                <w:vertAlign w:val="baseline"/>
                <w:lang w:val="en-US" w:eastAsia="zh-CN"/>
              </w:rPr>
              <w:t>0</w:t>
            </w:r>
            <w:r>
              <w:rPr>
                <w:rFonts w:hint="default" w:ascii="Times New Roman" w:hAnsi="Times New Roman" w:cs="Times New Roman"/>
                <w:sz w:val="21"/>
                <w:szCs w:val="21"/>
                <w:vertAlign w:val="baseline"/>
              </w:rPr>
              <w:t>万元，占</w:t>
            </w:r>
            <w:r>
              <w:rPr>
                <w:rFonts w:hint="default" w:ascii="Times New Roman" w:hAnsi="Times New Roman" w:cs="Times New Roman"/>
                <w:color w:val="auto"/>
                <w:sz w:val="21"/>
                <w:szCs w:val="21"/>
                <w:vertAlign w:val="baseline"/>
              </w:rPr>
              <w:t>地面积为</w:t>
            </w:r>
            <w:r>
              <w:rPr>
                <w:rFonts w:hint="eastAsia" w:cs="Times New Roman"/>
                <w:color w:val="auto"/>
                <w:sz w:val="21"/>
                <w:szCs w:val="21"/>
                <w:vertAlign w:val="baseline"/>
                <w:lang w:val="en-US" w:eastAsia="zh-CN"/>
              </w:rPr>
              <w:t>107亩</w:t>
            </w:r>
            <w:r>
              <w:rPr>
                <w:rFonts w:hint="default" w:ascii="Times New Roman" w:hAnsi="Times New Roman" w:cs="Times New Roman"/>
                <w:color w:val="auto"/>
                <w:sz w:val="21"/>
                <w:szCs w:val="21"/>
                <w:vertAlign w:val="baseline"/>
              </w:rPr>
              <w:t>，主要建</w:t>
            </w:r>
            <w:r>
              <w:rPr>
                <w:rFonts w:hint="default" w:ascii="Times New Roman" w:hAnsi="Times New Roman" w:cs="Times New Roman"/>
                <w:sz w:val="21"/>
                <w:szCs w:val="21"/>
                <w:vertAlign w:val="baseline"/>
              </w:rPr>
              <w:t>筑物包括生活区、</w:t>
            </w:r>
            <w:r>
              <w:rPr>
                <w:rFonts w:hint="eastAsia" w:ascii="Times New Roman" w:hAnsi="Times New Roman" w:cs="Times New Roman"/>
                <w:sz w:val="21"/>
                <w:szCs w:val="21"/>
                <w:vertAlign w:val="baseline"/>
                <w:lang w:eastAsia="zh-CN"/>
              </w:rPr>
              <w:t>养殖区</w:t>
            </w:r>
            <w:r>
              <w:rPr>
                <w:rFonts w:hint="default" w:ascii="Times New Roman" w:hAnsi="Times New Roman" w:cs="Times New Roman"/>
                <w:sz w:val="21"/>
                <w:szCs w:val="21"/>
                <w:vertAlign w:val="baseline"/>
              </w:rPr>
              <w:t>、环保区等，项目建成后</w:t>
            </w:r>
            <w:r>
              <w:rPr>
                <w:rFonts w:hint="default" w:ascii="Times New Roman" w:hAnsi="Times New Roman" w:cs="Times New Roman"/>
                <w:sz w:val="21"/>
                <w:szCs w:val="21"/>
                <w:vertAlign w:val="baseline"/>
                <w:lang w:val="en-US" w:eastAsia="zh-CN"/>
              </w:rPr>
              <w:t>年存档保育猪</w:t>
            </w:r>
            <w:r>
              <w:rPr>
                <w:rFonts w:hint="eastAsia" w:cs="Times New Roman"/>
                <w:sz w:val="21"/>
                <w:szCs w:val="21"/>
                <w:vertAlign w:val="baseline"/>
                <w:lang w:val="en-US" w:eastAsia="zh-CN"/>
              </w:rPr>
              <w:t>1855</w:t>
            </w:r>
            <w:r>
              <w:rPr>
                <w:rFonts w:hint="default" w:ascii="Times New Roman" w:hAnsi="Times New Roman" w:cs="Times New Roman"/>
                <w:sz w:val="21"/>
                <w:szCs w:val="21"/>
                <w:vertAlign w:val="baseline"/>
                <w:lang w:val="en-US" w:eastAsia="zh-CN"/>
              </w:rPr>
              <w:t>头、育肥猪</w:t>
            </w:r>
            <w:r>
              <w:rPr>
                <w:rFonts w:hint="eastAsia" w:cs="Times New Roman"/>
                <w:sz w:val="21"/>
                <w:szCs w:val="21"/>
                <w:vertAlign w:val="baseline"/>
                <w:lang w:val="en-US" w:eastAsia="zh-CN"/>
              </w:rPr>
              <w:t>5500</w:t>
            </w:r>
            <w:r>
              <w:rPr>
                <w:rFonts w:hint="default" w:ascii="Times New Roman" w:hAnsi="Times New Roman" w:cs="Times New Roman"/>
                <w:sz w:val="21"/>
                <w:szCs w:val="21"/>
                <w:vertAlign w:val="baseline"/>
                <w:lang w:val="en-US" w:eastAsia="zh-CN"/>
              </w:rPr>
              <w:t>头，年出栏商品猪</w:t>
            </w:r>
            <w:r>
              <w:rPr>
                <w:rFonts w:hint="eastAsia" w:cs="Times New Roman"/>
                <w:sz w:val="21"/>
                <w:szCs w:val="21"/>
                <w:vertAlign w:val="baseline"/>
                <w:lang w:val="en-US" w:eastAsia="zh-CN"/>
              </w:rPr>
              <w:t>18</w:t>
            </w:r>
            <w:r>
              <w:rPr>
                <w:rFonts w:hint="default" w:ascii="Times New Roman" w:hAnsi="Times New Roman" w:cs="Times New Roman"/>
                <w:sz w:val="21"/>
                <w:szCs w:val="21"/>
                <w:vertAlign w:val="baseline"/>
                <w:lang w:val="en-US" w:eastAsia="zh-CN"/>
              </w:rPr>
              <w:t>000头。</w:t>
            </w:r>
            <w:r>
              <w:rPr>
                <w:rFonts w:hint="default" w:ascii="Times New Roman" w:hAnsi="Times New Roman" w:cs="Times New Roman"/>
                <w:sz w:val="21"/>
                <w:szCs w:val="21"/>
                <w:vertAlign w:val="baseline"/>
              </w:rPr>
              <w:t>本报告已按全厂原辅材料储存情况、生产情况进行环境风险分析。环境风险潜势划分为Ⅰ，无评价工作等级划分</w:t>
            </w:r>
            <w:r>
              <w:rPr>
                <w:rFonts w:hint="eastAsia" w:ascii="Times New Roman" w:hAnsi="Times New Roman" w:cs="Times New Roman"/>
                <w:sz w:val="21"/>
                <w:szCs w:val="21"/>
                <w:vertAlign w:val="baseline"/>
                <w:lang w:eastAsia="zh-CN"/>
              </w:rPr>
              <w:t>，简单分析即可</w:t>
            </w:r>
            <w:r>
              <w:rPr>
                <w:rFonts w:hint="default" w:ascii="Times New Roman" w:hAnsi="Times New Roman" w:cs="Times New Roman"/>
                <w:sz w:val="21"/>
                <w:szCs w:val="21"/>
                <w:vertAlign w:val="baseline"/>
              </w:rPr>
              <w:t>。</w:t>
            </w:r>
          </w:p>
        </w:tc>
      </w:tr>
    </w:tbl>
    <w:p>
      <w:pPr>
        <w:pStyle w:val="4"/>
      </w:pPr>
      <w:bookmarkStart w:id="73" w:name="_Toc25430"/>
      <w:bookmarkStart w:id="74" w:name="_Toc26453"/>
      <w:r>
        <w:rPr>
          <w:rFonts w:hint="eastAsia"/>
          <w:lang w:eastAsia="zh-CN"/>
        </w:rPr>
        <w:t>环境风险分析结论</w:t>
      </w:r>
      <w:bookmarkEnd w:id="73"/>
      <w:bookmarkEnd w:id="74"/>
    </w:p>
    <w:p>
      <w:pPr>
        <w:pStyle w:val="8"/>
        <w:rPr>
          <w:rFonts w:hint="eastAsia"/>
        </w:rPr>
      </w:pPr>
      <w:r>
        <w:rPr>
          <w:rFonts w:hint="eastAsia"/>
        </w:rPr>
        <w:t>本项目的环境风险主要是在贮存、生产等过程发生的泄漏、火灾爆炸以及环保设施非正常运行等风险事故所引发的环境污染。由上文分析可知，本项目事故性排放的污染物对周围环境敏感点影响不明显。</w:t>
      </w: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8"/>
        <w:rPr>
          <w:rFonts w:hint="eastAsia"/>
        </w:rPr>
      </w:pPr>
    </w:p>
    <w:p>
      <w:pPr>
        <w:pStyle w:val="3"/>
        <w:jc w:val="center"/>
      </w:pPr>
      <w:bookmarkStart w:id="75" w:name="_Toc28842"/>
      <w:bookmarkStart w:id="76" w:name="_Toc20190"/>
      <w:r>
        <w:rPr>
          <w:rFonts w:hint="eastAsia"/>
        </w:rPr>
        <w:t>环境保护措施及可行性分析</w:t>
      </w:r>
      <w:bookmarkEnd w:id="75"/>
      <w:bookmarkEnd w:id="76"/>
    </w:p>
    <w:p>
      <w:pPr>
        <w:pStyle w:val="4"/>
      </w:pPr>
      <w:bookmarkStart w:id="77" w:name="_Toc5000"/>
      <w:bookmarkStart w:id="78" w:name="_Toc6099"/>
      <w:r>
        <w:rPr>
          <w:rFonts w:hint="eastAsia"/>
          <w:lang w:eastAsia="zh-CN"/>
        </w:rPr>
        <w:t>施工期污染治理措施</w:t>
      </w:r>
      <w:bookmarkEnd w:id="77"/>
      <w:bookmarkEnd w:id="78"/>
    </w:p>
    <w:p>
      <w:pPr>
        <w:pStyle w:val="5"/>
        <w:ind w:firstLine="562"/>
      </w:pPr>
      <w:r>
        <w:rPr>
          <w:rFonts w:hint="eastAsia"/>
          <w:lang w:eastAsia="zh-CN"/>
        </w:rPr>
        <w:t xml:space="preserve">施工期大气污染防治措施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为了减缓本工程施工期扬尘和机械尾气对周边敏感保护目标的影响，本次环评提出以下减缓措施： </w:t>
      </w:r>
    </w:p>
    <w:p>
      <w:pPr>
        <w:pStyle w:val="8"/>
        <w:keepNext w:val="0"/>
        <w:keepLines w:val="0"/>
        <w:pageBreakBefore w:val="0"/>
        <w:widowControl w:val="0"/>
        <w:numPr>
          <w:ilvl w:val="0"/>
          <w:numId w:val="17"/>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在施工期间对场地内车辆行驶的路面实施洒水抑尘，根据天气干燥情况定期对扬尘作业面喷洒水，最大程度地减少扬尘对周围空气环境质量的影响。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eastAsia"/>
          <w:sz w:val="24"/>
          <w:szCs w:val="24"/>
        </w:rPr>
      </w:pPr>
      <w:r>
        <w:rPr>
          <w:rFonts w:hint="eastAsia"/>
          <w:sz w:val="24"/>
          <w:szCs w:val="24"/>
        </w:rPr>
        <w:t xml:space="preserve">（2）车辆在运输沙石、余泥等建筑材料和建筑废料时，不宜装得过满，防止物料洒在路上，造成二次污染，粉状材料应加盖蓬布保护，防止扬尘和材料洒落。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（3）开挖出来的泥土应及时运到指定低洼填方区域，临时堆土须设防尘措施，堆放时间不宜过长，堆积高度不宜过高，以防风吹刮扬尘。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（4）运输车辆在施工区以及村庄道路上应限制行驶速度，车辆速度尽量放缓，不易过快，减少扬尘影响。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（5）工地施工现场出口路面应硬化，并设置清洗槽，配备高压水枪清洗轮胎及车身以防止泥土被带出污染村庄道路及产生扬尘。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（6）施工单位必须使用污染物排放符合国家标准的运输车辆和施工设备，严禁使用报废车辆和淘汰设备。施工机械设备宜采用优质柴油，机械尾气通过空气的稀释扩散及自净作用可大大降低对环境的影响。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本环评采取的措施在建筑施工进程普遍采用，根据实际施工情况效果较好，可大大减少施工废气对环境的影响，所采取措施可行。 </w:t>
      </w:r>
    </w:p>
    <w:p>
      <w:pPr>
        <w:pStyle w:val="5"/>
        <w:ind w:firstLine="562"/>
      </w:pPr>
      <w:r>
        <w:rPr>
          <w:rFonts w:hint="eastAsia"/>
          <w:lang w:eastAsia="zh-CN"/>
        </w:rPr>
        <w:t xml:space="preserve">施工期水污染防治措施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为了减缓本工程施工废水和生活污水对环境的影响，本次环评提出以下减缓措施： </w:t>
      </w:r>
    </w:p>
    <w:p>
      <w:pPr>
        <w:pStyle w:val="8"/>
        <w:keepNext w:val="0"/>
        <w:keepLines w:val="0"/>
        <w:pageBreakBefore w:val="0"/>
        <w:widowControl w:val="0"/>
        <w:numPr>
          <w:ilvl w:val="0"/>
          <w:numId w:val="18"/>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施工期间场地内配套隔油沉淀池，并配建集水沟，将各种作业废水和初期雨水集中收集到沉淀池处理后回收利用场地洒水降尘。 </w:t>
      </w:r>
    </w:p>
    <w:p>
      <w:pPr>
        <w:pStyle w:val="8"/>
        <w:rPr>
          <w:rFonts w:hint="eastAsia" w:eastAsia="宋体"/>
          <w:lang w:eastAsia="zh-CN"/>
        </w:rPr>
      </w:pPr>
      <w:r>
        <w:rPr>
          <w:rFonts w:hint="eastAsia"/>
          <w:sz w:val="24"/>
          <w:szCs w:val="24"/>
        </w:rPr>
        <w:t>（2）施工形成的疏松土层要及时压实，根据工程进展情况用木桩、沙包和塑料膜等对松土进行覆盖和压实，减少降雨的携沙量和污染物含量</w:t>
      </w:r>
      <w:r>
        <w:rPr>
          <w:rFonts w:hint="eastAsia"/>
          <w:sz w:val="24"/>
          <w:szCs w:val="24"/>
          <w:lang w:eastAsia="zh-CN"/>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（3）加强施工管理，杜绝施工机械在运行、清洗过程中油料的跑、冒、滴、漏问题。 </w:t>
      </w:r>
    </w:p>
    <w:p>
      <w:pPr>
        <w:pStyle w:val="8"/>
        <w:rPr>
          <w:rFonts w:hint="eastAsia"/>
        </w:rPr>
      </w:pPr>
      <w:r>
        <w:rPr>
          <w:rFonts w:hint="eastAsia"/>
          <w:sz w:val="24"/>
          <w:szCs w:val="24"/>
        </w:rPr>
        <w:t xml:space="preserve">（4）施工营地设置隔油化粪池对生活污水进行处理，处理后用作场地林木肥料。本环评采取的措施在建筑施工进程普遍采用，实际施工情况效果较好，可大大减少施工期废水对环境的影响，水污染防治措施可行。 </w:t>
      </w:r>
    </w:p>
    <w:p>
      <w:pPr>
        <w:pStyle w:val="5"/>
        <w:ind w:firstLine="562"/>
      </w:pPr>
      <w:r>
        <w:rPr>
          <w:rFonts w:hint="eastAsia"/>
          <w:lang w:eastAsia="zh-CN"/>
        </w:rPr>
        <w:t xml:space="preserve">施工期噪声污染防治措施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施工期噪声保护对象是在大型高噪设备旁工作的人员，要采取防护措施，以免造成身体伤害，如噪声性耳聋及各种听力障碍等疾病。为减少施工噪声对施工人员的影响，施工单位在施工期间必须严格执行《中华人民共和国噪声污染防治法》中的建设施工噪声污染防治条例，并将施工场界噪声控制在《建筑施工场界环境噪声排放标准》（GB12523-2011）限值之内，具体应采取以下噪声污染防治措施： </w:t>
      </w:r>
    </w:p>
    <w:p>
      <w:pPr>
        <w:pStyle w:val="8"/>
        <w:keepNext w:val="0"/>
        <w:keepLines w:val="0"/>
        <w:pageBreakBefore w:val="0"/>
        <w:widowControl w:val="0"/>
        <w:numPr>
          <w:ilvl w:val="0"/>
          <w:numId w:val="19"/>
        </w:numPr>
        <w:kinsoku/>
        <w:wordWrap/>
        <w:overflowPunct/>
        <w:topLinePunct w:val="0"/>
        <w:autoSpaceDE w:val="0"/>
        <w:autoSpaceDN w:val="0"/>
        <w:bidi w:val="0"/>
        <w:adjustRightInd/>
        <w:snapToGrid/>
        <w:spacing w:line="360" w:lineRule="auto"/>
        <w:ind w:leftChars="0" w:firstLine="480" w:firstLineChars="200"/>
        <w:jc w:val="both"/>
        <w:textAlignment w:val="auto"/>
        <w:rPr>
          <w:rFonts w:hint="eastAsia"/>
          <w:sz w:val="24"/>
          <w:szCs w:val="24"/>
        </w:rPr>
      </w:pPr>
      <w:r>
        <w:rPr>
          <w:rFonts w:hint="eastAsia"/>
          <w:sz w:val="24"/>
          <w:szCs w:val="24"/>
        </w:rPr>
        <w:t xml:space="preserve">在不影响施工质量的前提下，在施工中要尽量采用低噪声，低振动的施工机械；建议建设单位在部分施工现场设置一些临时的屏障设施，阻挡噪声的传播，同时尽量避免在同一时间集中使用大量的动力机械设备。 </w:t>
      </w:r>
    </w:p>
    <w:p>
      <w:pPr>
        <w:pStyle w:val="8"/>
        <w:keepNext w:val="0"/>
        <w:keepLines w:val="0"/>
        <w:pageBreakBefore w:val="0"/>
        <w:widowControl w:val="0"/>
        <w:numPr>
          <w:ilvl w:val="0"/>
          <w:numId w:val="19"/>
        </w:numPr>
        <w:kinsoku/>
        <w:wordWrap/>
        <w:overflowPunct/>
        <w:topLinePunct w:val="0"/>
        <w:autoSpaceDE w:val="0"/>
        <w:autoSpaceDN w:val="0"/>
        <w:bidi w:val="0"/>
        <w:adjustRightInd/>
        <w:snapToGrid/>
        <w:spacing w:line="360" w:lineRule="auto"/>
        <w:ind w:left="0" w:leftChars="0" w:firstLine="480" w:firstLineChars="200"/>
        <w:jc w:val="both"/>
        <w:textAlignment w:val="auto"/>
        <w:rPr>
          <w:rFonts w:hint="eastAsia"/>
          <w:sz w:val="24"/>
          <w:szCs w:val="24"/>
        </w:rPr>
      </w:pPr>
      <w:r>
        <w:rPr>
          <w:rFonts w:hint="eastAsia"/>
          <w:sz w:val="24"/>
          <w:szCs w:val="24"/>
        </w:rPr>
        <w:t xml:space="preserve">在施工期间，加强施工管理，落实各项减震降噪措施。 </w:t>
      </w:r>
    </w:p>
    <w:p>
      <w:pPr>
        <w:pStyle w:val="8"/>
        <w:keepNext w:val="0"/>
        <w:keepLines w:val="0"/>
        <w:pageBreakBefore w:val="0"/>
        <w:widowControl w:val="0"/>
        <w:numPr>
          <w:ilvl w:val="0"/>
          <w:numId w:val="19"/>
        </w:numPr>
        <w:kinsoku/>
        <w:wordWrap/>
        <w:overflowPunct/>
        <w:topLinePunct w:val="0"/>
        <w:autoSpaceDE w:val="0"/>
        <w:autoSpaceDN w:val="0"/>
        <w:bidi w:val="0"/>
        <w:adjustRightInd/>
        <w:snapToGrid/>
        <w:spacing w:line="360" w:lineRule="auto"/>
        <w:ind w:left="0" w:leftChars="0" w:firstLine="480" w:firstLineChars="200"/>
        <w:jc w:val="both"/>
        <w:textAlignment w:val="auto"/>
        <w:rPr>
          <w:rFonts w:hint="eastAsia"/>
          <w:sz w:val="24"/>
          <w:szCs w:val="24"/>
        </w:rPr>
      </w:pPr>
      <w:r>
        <w:rPr>
          <w:rFonts w:hint="eastAsia"/>
          <w:sz w:val="24"/>
          <w:szCs w:val="24"/>
        </w:rPr>
        <w:t xml:space="preserve">合理规划施工场地，噪声大的设备应尽量远离施工营地。 </w:t>
      </w:r>
    </w:p>
    <w:p>
      <w:pPr>
        <w:pStyle w:val="8"/>
        <w:keepNext w:val="0"/>
        <w:keepLines w:val="0"/>
        <w:pageBreakBefore w:val="0"/>
        <w:widowControl w:val="0"/>
        <w:numPr>
          <w:ilvl w:val="0"/>
          <w:numId w:val="19"/>
        </w:numPr>
        <w:kinsoku/>
        <w:wordWrap/>
        <w:overflowPunct/>
        <w:topLinePunct w:val="0"/>
        <w:autoSpaceDE w:val="0"/>
        <w:autoSpaceDN w:val="0"/>
        <w:bidi w:val="0"/>
        <w:adjustRightInd/>
        <w:snapToGrid/>
        <w:spacing w:line="360" w:lineRule="auto"/>
        <w:ind w:left="0" w:leftChars="0" w:firstLine="480" w:firstLineChars="200"/>
        <w:jc w:val="both"/>
        <w:textAlignment w:val="auto"/>
        <w:rPr>
          <w:rFonts w:hint="eastAsia"/>
          <w:sz w:val="24"/>
          <w:szCs w:val="24"/>
        </w:rPr>
      </w:pPr>
      <w:r>
        <w:rPr>
          <w:rFonts w:hint="eastAsia"/>
          <w:sz w:val="24"/>
          <w:szCs w:val="24"/>
        </w:rPr>
        <w:t xml:space="preserve">应经常对施工设施进行检修、维护保养，避免由于设备带病运行使噪声增强的现象发生。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both"/>
        <w:textAlignment w:val="auto"/>
        <w:rPr>
          <w:rFonts w:hint="eastAsia"/>
          <w:sz w:val="24"/>
          <w:szCs w:val="24"/>
        </w:rPr>
      </w:pPr>
      <w:r>
        <w:rPr>
          <w:rFonts w:hint="eastAsia"/>
          <w:sz w:val="24"/>
          <w:szCs w:val="24"/>
        </w:rPr>
        <w:t xml:space="preserve">（5）施工所需大量的各类材料经公路以卡车运输，运输路线经过部分环境敏感点，繁忙的公路运输引起的噪声会对沿途居民的生活、工作产生一定程度的影响，为减少噪声影响，过往车辆在途经环境敏感点时应限速行驶和减少鸣喇叭，同时施工管理部门应合理安排，尽量减少运送材料的车辆在居民休息时间经过环境敏感点。 </w:t>
      </w:r>
    </w:p>
    <w:p>
      <w:pPr>
        <w:pStyle w:val="8"/>
        <w:rPr>
          <w:rFonts w:hint="eastAsia"/>
        </w:rPr>
      </w:pPr>
      <w:r>
        <w:rPr>
          <w:rFonts w:hint="eastAsia"/>
          <w:sz w:val="24"/>
          <w:szCs w:val="24"/>
        </w:rPr>
        <w:t>施工期采取的措施在建筑施工进程普遍采用，实际施工情况效果较好，可大大减少施工噪声对环境和敏感点的影响，噪声防治措施可行。</w:t>
      </w:r>
    </w:p>
    <w:p>
      <w:pPr>
        <w:pStyle w:val="5"/>
        <w:ind w:firstLine="562"/>
      </w:pPr>
      <w:r>
        <w:rPr>
          <w:rFonts w:hint="eastAsia"/>
          <w:lang w:eastAsia="zh-CN"/>
        </w:rPr>
        <w:t xml:space="preserve">施工期固体废弃物污染防治措施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sz w:val="24"/>
          <w:szCs w:val="24"/>
        </w:rPr>
      </w:pPr>
      <w:r>
        <w:rPr>
          <w:rFonts w:hint="eastAsia"/>
          <w:sz w:val="24"/>
          <w:szCs w:val="24"/>
        </w:rPr>
        <w:t xml:space="preserve">为了减少施工期固体废弃物对环境的影响，本次环评提出以下减缓措施： </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sz w:val="24"/>
          <w:szCs w:val="24"/>
        </w:rPr>
      </w:pPr>
      <w:r>
        <w:rPr>
          <w:rFonts w:hint="eastAsia"/>
          <w:sz w:val="24"/>
          <w:szCs w:val="24"/>
        </w:rPr>
        <w:t xml:space="preserve">（1）施工营地设置一个垃圾收集点，采用翻盖式垃圾桶。垃圾集中收集后运往附近村屯的生活垃圾集中处置点处理，杜绝生活垃圾随意丢弃，污染环境。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（2）施工建设产生的废钢筋、废铁丝、废砖块等废料经分解、剔除和粉碎后，可以作为建筑材料加以综合利用，对于不能再利用的建筑垃圾作为填料用于低洼区域场地平整。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（3）建筑垃圾的临时堆放应采用设置围堰，集中堆放，同时在雨季可铺设彩条布进行遮雨，避免产生污水径流。 </w:t>
      </w:r>
    </w:p>
    <w:p>
      <w:pPr>
        <w:pStyle w:val="8"/>
        <w:rPr>
          <w:rFonts w:hint="eastAsia"/>
        </w:rPr>
      </w:pPr>
      <w:r>
        <w:rPr>
          <w:rFonts w:hint="eastAsia"/>
          <w:sz w:val="24"/>
          <w:szCs w:val="24"/>
        </w:rPr>
        <w:t>（4）土方阶段应注重水土保持，积极采取水土保持措施，减小挖方、填方过程产生的负面影响。 施工期采取的措施在建筑施工进程普遍采用，实际施工情况效果较好，可大大减少施工固体废弃物对环境的影响，防治措施可行。</w:t>
      </w:r>
    </w:p>
    <w:p>
      <w:pPr>
        <w:pStyle w:val="5"/>
        <w:ind w:firstLine="562"/>
      </w:pPr>
      <w:r>
        <w:rPr>
          <w:rFonts w:hint="eastAsia"/>
          <w:lang w:eastAsia="zh-CN"/>
        </w:rPr>
        <w:t xml:space="preserve">施工期生态环境保护措施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在施工期间应采取生态环境保护措施，以利于项目建成后的生态环境恢复和建设：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1）施工期间项目开发区域的大部分植被将会消失，但应尽量结合绿地建设争取保留项目边缘地带的植被，因为这些物种是适合当地生长条件的乡土植物，是当地植被建设的基础。施工期间尽量保留这些植物群落和物种，并适当地对其进行改造，是改善区域生态环境的良好途径，既可节省复绿开支，也可减少物种的生态入侵及绿地与当地景观不协调的问题。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（2）水土保持工作应坚持及时、多样、因地制宜、长短期相结合以及总体和局部结合的原则。结合本建设区域的具体情况在施工中可以采取以下对策：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①施工单位在动工前应在必要地段完成拦土堤及护坡垒砌工程，在整体上形成完整的档土墙体系。同时，开边沟，边坡要用石块铺砌，填土场的上游要设置导流沟，防止上游的径流冲刷填土场。</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②开发建设区周围设置防洪墙或淤泥幕，防止对施工废水的淤积影响。</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③挖填方工程应避开雨季施工。暴雨是造成水土流失的主要原因，因此工程施工尽量避开雨季，可以大大减少土壤流失量。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④在推挖填土方工程完成后，工地往往还要裸露一段时间才能完成建设或重新绿化，这就要及时在地面的径流汇集线上设置缓流泥砂阻隔带。阻隔带可以采用透水的高强PVC编制带，用角铁或木桩将纺织袋固置于与汇流线相切的方向上，带高一般为50cm就已足够，带长可以视地形决定，一般为数米至数十米不等，可以有效地阻止泥沙随径流的初始流动，控制住施工期的水土流失。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 xml:space="preserve">⑤在施工中，要合理安排施工计划、施工程序，协调好各个施工步骤，土方填挖应尽量集中和避开暴雨期，并争取土料随挖随运、随填随压，减少堆土裸土的暴露时间，以避免受降雨的直接冲刷。在暴雨期，还应采取应急措施，尽量用覆盖物覆盖新开挖的陡坡，防止冲刷和崩塌。 </w:t>
      </w:r>
    </w:p>
    <w:p>
      <w:pPr>
        <w:pStyle w:val="8"/>
        <w:rPr>
          <w:rFonts w:hint="eastAsia"/>
        </w:rPr>
      </w:pPr>
      <w:r>
        <w:rPr>
          <w:rFonts w:hint="eastAsia"/>
          <w:sz w:val="24"/>
          <w:szCs w:val="24"/>
        </w:rPr>
        <w:t>⑥各个分项目建成以后，及时恢复被扰乱的地域，重新组织未利用的小块土地，种植人工植被，辟为花园或绿地；管理部门应组织人员对区内荒芜的地块栽种人工植被，减少自然的水土流失。</w:t>
      </w:r>
    </w:p>
    <w:p>
      <w:pPr>
        <w:pStyle w:val="4"/>
      </w:pPr>
      <w:bookmarkStart w:id="79" w:name="_Toc16171"/>
      <w:bookmarkStart w:id="80" w:name="_Toc29661"/>
      <w:r>
        <w:rPr>
          <w:rFonts w:hint="eastAsia"/>
          <w:lang w:eastAsia="zh-CN"/>
        </w:rPr>
        <w:t>营运期污染治理措施</w:t>
      </w:r>
      <w:bookmarkEnd w:id="79"/>
      <w:bookmarkEnd w:id="80"/>
    </w:p>
    <w:p>
      <w:pPr>
        <w:pStyle w:val="5"/>
        <w:ind w:firstLine="562"/>
      </w:pPr>
      <w:r>
        <w:rPr>
          <w:rFonts w:hint="eastAsia"/>
          <w:lang w:eastAsia="zh-CN"/>
        </w:rPr>
        <w:t xml:space="preserve">废气污染防治措施及可行性分析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rPr>
        <w:t>本项目生产过程中产生的污染物主要为猪舍、污水处理设施</w:t>
      </w:r>
      <w:r>
        <w:rPr>
          <w:rFonts w:hint="eastAsia"/>
          <w:sz w:val="24"/>
          <w:szCs w:val="24"/>
          <w:lang w:eastAsia="zh-CN"/>
        </w:rPr>
        <w:t>、异位发酵床</w:t>
      </w:r>
      <w:r>
        <w:rPr>
          <w:rFonts w:hint="eastAsia"/>
          <w:sz w:val="24"/>
          <w:szCs w:val="24"/>
        </w:rPr>
        <w:t>产生的恶臭以及食堂油烟等。</w:t>
      </w:r>
    </w:p>
    <w:p>
      <w:pPr>
        <w:pStyle w:val="6"/>
      </w:pPr>
      <w:r>
        <w:rPr>
          <w:rFonts w:hint="eastAsia"/>
          <w:lang w:eastAsia="zh-CN"/>
        </w:rPr>
        <w:t>养猪场臭气的产生及危害</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lang w:eastAsia="zh-CN"/>
        </w:rPr>
        <w:t>养猪场产生的臭气主要来源于集体排泄的粪尿和浪费的饲料等废弃物腐败分解的产物及其呼吸道等排出的气体等，其中不仅含有多种有害物质，还产生大量恶臭，在各种恶臭气味中，主要包括氮化物（氨气、甲胺）、硫化物（硫化氢、甲基硫醇）、脂肪族化合物（吲哚、丙烯醛和粪臭素等）、二氧化碳和甲烷气体等，这些恶臭物质尤其是氨气、硫化氢等气体易溶于水，因此，可被人畜的黏膜、结膜等部位吸附，引起结膜和呼吸系统黏膜出现充血、水肿乃至发炎，高浓度的可导致机体呼吸中枢麻痹而死亡。如果动物长时间处于低浓度臭气的环境中，可使体质变弱，生产性能下降，机体抵抗力降低，诱发多种传染病，从而严重影响了养殖场的经济效益。</w:t>
      </w:r>
    </w:p>
    <w:p>
      <w:pPr>
        <w:pStyle w:val="6"/>
      </w:pPr>
      <w:r>
        <w:rPr>
          <w:rFonts w:hint="eastAsia"/>
          <w:lang w:eastAsia="zh-CN"/>
        </w:rPr>
        <w:t>除臭剂的类型及应用</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lang w:eastAsia="zh-CN"/>
        </w:rPr>
        <w:t>目前，除臭剂的种类有很多，按其作用可分为营养性除臭剂和非营养性除臭剂：按来源、作用机理和功能等可分为物理型除臭剂、生物型除臭剂、药物型除臭剂、植物型除臭剂和复合型除臭剂。</w:t>
      </w:r>
    </w:p>
    <w:p>
      <w:pPr>
        <w:pStyle w:val="6"/>
      </w:pPr>
      <w:r>
        <w:rPr>
          <w:rFonts w:hint="eastAsia"/>
          <w:lang w:eastAsia="zh-CN"/>
        </w:rPr>
        <w:t>本项目大气污染物防治措施</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由于猪舍的恶臭污染源很分散，集中处理困难，最有效的控制方法是预防为主，在恶臭产生的源头就地处理。本评价主要提出如下措施减降恶臭污染物的产生：</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①源头控制</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通过控制饲养密度，并加强舍内通风，及时清理猪舍，猪粪等应及时加工或外运，尽量减少其在场内的堆存时间和堆存量；搞好场区环境卫生，采用节水型饮水器，猪舍及时冲洗；</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温度高时恶臭气体浓度高，猪粪在1～2周后发酵较快，粪便暴露面积大的发酵率高。猪舍使用漏缝地板，保证粪便冷却，并尽快从猪舍内清粪，在猪舍内加强通风，加速粪便干燥，可减少猪粪污染；</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通过合理搭配日粮；而减轻环境中的恶臭，减少蚊蝇孪生。</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②过程整治</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猪场采用“漏缝板+干清粪”工艺，项目采用墙体集热板、猪舍内热交换器、红外灯和喷雾降温相结合的方式进行猪舍内部温度控制。猪转栏时利用高压水枪冲圈消毒，夏季加强猪舍通风，降低舍内有害气体浓度，产生的粪渣等固废及时运至贮存或处理场所，以减少污染。</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猪粪及时运往固粪处置区，固粪处置区场设置顶棚，即能防雨又能保持通风，三面设置围堰。</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加强养殖场生产管理，并对工作人员强化知识培训，提高饲养人员操作技能；场区布置按功能区进行相应划分，各构筑物之间设绿化隔离带，特别是</w:t>
      </w:r>
      <w:r>
        <w:rPr>
          <w:rFonts w:hint="eastAsia"/>
          <w:sz w:val="24"/>
          <w:szCs w:val="24"/>
          <w:lang w:val="en-US" w:eastAsia="zh-CN"/>
        </w:rPr>
        <w:t>集液池</w:t>
      </w:r>
      <w:r>
        <w:rPr>
          <w:rFonts w:hint="eastAsia"/>
          <w:sz w:val="24"/>
          <w:szCs w:val="24"/>
          <w:lang w:eastAsia="zh-CN"/>
        </w:rPr>
        <w:t>四周应加强绿化，易种植椿树、法国梧桐、枸杞树、柏树、小叶女贞等具有吸附恶臭功能的绿色植物，并配合种植草木、灌木等，实现立体绿化，利用绿色植物的吸收作用，以减少恶臭气体的逸散，减轻恶臭等对周围环境的影响；</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③终端处理</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产生的恶臭用多种化学和生物产品来控制恶臭。评价建议夏季高温天气在养殖区、污水处理站、固粪处置区附近喷洒除臭剂进行处理，多用强氧化剂和杀菌剂等消除微生物产生的臭味或化学氧化臭味物质。</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本项目使用养殖场专用植物性除臭剂，该种除臭剂主要成分为活性醛基芳香香料、樟树、桉树、柏木、香茅等天然植物提取物，无毒、无刺激、无腐蚀性，杀菌功能强。植物性除臭剂通过4 种物理化学作用力将臭气分子捕捉：范德华力、耦合力、化学反应力、吸附力，植物型除臭剂可以有效去除硫化氢、氨气、二氧化硫、甲硫醇、胺等多种常见的恶臭气体，也可以用于去除工业领域产生的特种恶臭气味。除臭剂中的活性基(-CHO)具有很高的活性，利用它的活性同挥发性含S(如硫化氢、硫醇、疏基化合物)、含N(如氨、有机胺) 等易挥发物质反应，产生新的低气味且无毒的新物质，不能参与活性基(-CHO)反应的一些挥发性物质则采用气味补偿办法解决，这种补偿也不是简单的气味掩盖作用，而是利用植物提取液中的活性成分与不能和活性基(-CHO)反应的成分进行再次作用，使其失去原来的气味，藉此实现对发挥性恶臭物质的有效削减和消除。</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lang w:eastAsia="zh-CN"/>
        </w:rPr>
        <w:t>本项目采用漏缝地板——机械干清粪饲养方式，常年保持猪舍干燥、猪粪不暴露在空气中，所有排污沟密封、分离出的粪渣和废弃垫料不露天堆放、抽风出口喷洒除臭剂。</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lang w:eastAsia="zh-CN"/>
        </w:rPr>
        <w:t>本项目大气污染物防治措施具体流程如下：</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1" w:firstLineChars="200"/>
        <w:jc w:val="both"/>
        <w:textAlignment w:val="auto"/>
        <w:rPr>
          <w:rFonts w:hint="eastAsia" w:eastAsia="宋体"/>
          <w:sz w:val="24"/>
          <w:szCs w:val="24"/>
          <w:lang w:eastAsia="zh-CN"/>
        </w:rPr>
      </w:pPr>
      <w:r>
        <w:rPr>
          <w:rFonts w:hint="eastAsia"/>
          <w:b/>
          <w:bCs/>
          <w:sz w:val="24"/>
          <w:szCs w:val="24"/>
          <w:lang w:eastAsia="zh-CN"/>
        </w:rPr>
        <w:t>（</w:t>
      </w:r>
      <w:r>
        <w:rPr>
          <w:rFonts w:hint="eastAsia"/>
          <w:b/>
          <w:bCs/>
          <w:sz w:val="24"/>
          <w:szCs w:val="24"/>
          <w:lang w:val="en-US" w:eastAsia="zh-CN"/>
        </w:rPr>
        <w:t>1</w:t>
      </w:r>
      <w:r>
        <w:rPr>
          <w:rFonts w:hint="eastAsia"/>
          <w:b/>
          <w:bCs/>
          <w:sz w:val="24"/>
          <w:szCs w:val="24"/>
          <w:lang w:eastAsia="zh-CN"/>
        </w:rPr>
        <w:t>）猪舍</w:t>
      </w:r>
      <w:r>
        <w:rPr>
          <w:rFonts w:hint="eastAsia"/>
          <w:sz w:val="24"/>
          <w:szCs w:val="24"/>
          <w:lang w:eastAsia="zh-CN"/>
        </w:rPr>
        <w:t>：抽风机抽风→抽风出口处喷洒除臭剂→面源排放；</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1" w:firstLineChars="200"/>
        <w:jc w:val="both"/>
        <w:textAlignment w:val="auto"/>
        <w:rPr>
          <w:rFonts w:hint="eastAsia"/>
          <w:sz w:val="24"/>
          <w:szCs w:val="24"/>
        </w:rPr>
      </w:pPr>
      <w:r>
        <w:rPr>
          <w:rFonts w:hint="eastAsia"/>
          <w:b/>
          <w:bCs/>
          <w:sz w:val="24"/>
          <w:szCs w:val="24"/>
          <w:lang w:eastAsia="zh-CN"/>
        </w:rPr>
        <w:t>（</w:t>
      </w:r>
      <w:r>
        <w:rPr>
          <w:rFonts w:hint="eastAsia"/>
          <w:b/>
          <w:bCs/>
          <w:sz w:val="24"/>
          <w:szCs w:val="24"/>
          <w:lang w:val="en-US" w:eastAsia="zh-CN"/>
        </w:rPr>
        <w:t>2</w:t>
      </w:r>
      <w:r>
        <w:rPr>
          <w:rFonts w:hint="eastAsia"/>
          <w:b/>
          <w:bCs/>
          <w:sz w:val="24"/>
          <w:szCs w:val="24"/>
          <w:lang w:eastAsia="zh-CN"/>
        </w:rPr>
        <w:t>）地埋式一体化污水处理设施</w:t>
      </w:r>
      <w:r>
        <w:rPr>
          <w:rFonts w:hint="eastAsia"/>
          <w:sz w:val="24"/>
          <w:szCs w:val="24"/>
          <w:lang w:eastAsia="zh-CN"/>
        </w:rPr>
        <w:t>：喷洒除臭剂→面源排放；</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1" w:firstLineChars="200"/>
        <w:jc w:val="both"/>
        <w:textAlignment w:val="auto"/>
        <w:rPr>
          <w:rFonts w:hint="eastAsia" w:eastAsia="宋体"/>
          <w:sz w:val="24"/>
          <w:szCs w:val="24"/>
          <w:lang w:eastAsia="zh-CN"/>
        </w:rPr>
      </w:pPr>
      <w:r>
        <w:rPr>
          <w:rFonts w:hint="eastAsia"/>
          <w:b/>
          <w:bCs/>
          <w:sz w:val="24"/>
          <w:szCs w:val="24"/>
          <w:lang w:eastAsia="zh-CN"/>
        </w:rPr>
        <w:t>（</w:t>
      </w:r>
      <w:r>
        <w:rPr>
          <w:rFonts w:hint="eastAsia"/>
          <w:b/>
          <w:bCs/>
          <w:sz w:val="24"/>
          <w:szCs w:val="24"/>
          <w:lang w:val="en-US" w:eastAsia="zh-CN"/>
        </w:rPr>
        <w:t>3</w:t>
      </w:r>
      <w:r>
        <w:rPr>
          <w:rFonts w:hint="eastAsia"/>
          <w:b/>
          <w:bCs/>
          <w:sz w:val="24"/>
          <w:szCs w:val="24"/>
          <w:lang w:eastAsia="zh-CN"/>
        </w:rPr>
        <w:t>）异位发酵床</w:t>
      </w:r>
      <w:r>
        <w:rPr>
          <w:rFonts w:hint="eastAsia"/>
          <w:sz w:val="24"/>
          <w:szCs w:val="24"/>
          <w:lang w:eastAsia="zh-CN"/>
        </w:rPr>
        <w:t>：抽风机抽风→抽风出口处喷洒除臭剂→面源排放；</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1" w:firstLineChars="200"/>
        <w:jc w:val="both"/>
        <w:textAlignment w:val="auto"/>
        <w:rPr>
          <w:rFonts w:hint="default" w:eastAsia="宋体"/>
          <w:sz w:val="24"/>
          <w:szCs w:val="24"/>
          <w:lang w:val="en-US" w:eastAsia="zh-CN"/>
        </w:rPr>
      </w:pPr>
      <w:r>
        <w:rPr>
          <w:rFonts w:hint="eastAsia"/>
          <w:b/>
          <w:bCs/>
          <w:sz w:val="24"/>
          <w:szCs w:val="24"/>
          <w:lang w:eastAsia="zh-CN"/>
        </w:rPr>
        <w:t>（</w:t>
      </w:r>
      <w:r>
        <w:rPr>
          <w:rFonts w:hint="eastAsia"/>
          <w:b/>
          <w:bCs/>
          <w:sz w:val="24"/>
          <w:szCs w:val="24"/>
          <w:lang w:val="en-US" w:eastAsia="zh-CN"/>
        </w:rPr>
        <w:t>4</w:t>
      </w:r>
      <w:r>
        <w:rPr>
          <w:rFonts w:hint="eastAsia"/>
          <w:b/>
          <w:bCs/>
          <w:sz w:val="24"/>
          <w:szCs w:val="24"/>
          <w:lang w:eastAsia="zh-CN"/>
        </w:rPr>
        <w:t>）厨房油烟</w:t>
      </w:r>
      <w:r>
        <w:rPr>
          <w:rFonts w:hint="eastAsia"/>
          <w:sz w:val="24"/>
          <w:szCs w:val="24"/>
          <w:lang w:eastAsia="zh-CN"/>
        </w:rPr>
        <w:t>：收集→高效油烟净化装置处理→</w:t>
      </w:r>
      <w:r>
        <w:rPr>
          <w:rFonts w:hint="eastAsia"/>
          <w:sz w:val="24"/>
          <w:szCs w:val="24"/>
          <w:lang w:val="en-US" w:eastAsia="zh-CN"/>
        </w:rPr>
        <w:t>油烟管道排放。</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lang w:eastAsia="zh-CN"/>
        </w:rPr>
        <w:t>采取大气处理措施中</w:t>
      </w:r>
      <w:r>
        <w:rPr>
          <w:rFonts w:hint="eastAsia"/>
          <w:sz w:val="24"/>
          <w:szCs w:val="24"/>
          <w:lang w:val="en-US" w:eastAsia="zh-CN"/>
        </w:rPr>
        <w:t>建设</w:t>
      </w:r>
      <w:r>
        <w:rPr>
          <w:rFonts w:hint="eastAsia"/>
          <w:sz w:val="24"/>
          <w:szCs w:val="24"/>
          <w:lang w:eastAsia="zh-CN"/>
        </w:rPr>
        <w:t>单位拟通过喷洒除臭剂来抑制产生的恶臭，本项目采用生物除臭。</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rPr>
        <w:sym w:font="Wingdings" w:char="F081"/>
      </w:r>
      <w:r>
        <w:rPr>
          <w:rFonts w:hint="eastAsia"/>
          <w:sz w:val="24"/>
          <w:szCs w:val="24"/>
          <w:lang w:eastAsia="zh-CN"/>
        </w:rPr>
        <w:t>原理：生物处理法利用微生物将臭味气体中的有机污染物降解或转化为无害或低害类物质的过程，生物除臭剂主要为酶和活菌制剂。益生菌显著降低猪舍氨气浓度其原理主要是益生菌作为一种活菌制剂，一方面可以帮助建立肠道内优势菌群，维持肠道内微生态平衡，通过在肠道内产生有机酸、细菌素等物质来抑制肠道内腐败菌的生长，降低了脲酶活性，减少了蛋白向胺和氨的转化，使养殖动物体内的氨及胺含量下降，这样就减少了随粪便排出体外的氨等有害气体，改善了猪场环境。另一方面益生菌通过增加消化道多种酶的分泌量和消化酶的活性，参与氨物质的代谢，减少了氨的排出，从而降低畜禽舍内氨气浓度，改善饲养环境。</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rPr>
        <w:sym w:font="Wingdings" w:char="F082"/>
      </w:r>
      <w:r>
        <w:rPr>
          <w:rFonts w:hint="eastAsia"/>
          <w:sz w:val="24"/>
          <w:szCs w:val="24"/>
          <w:lang w:eastAsia="zh-CN"/>
        </w:rPr>
        <w:t>生物剂除臭特点</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最大优点是效果持久，不会产生二次污染，但是在使用过程中不能向化学除臭剂那样马上产生除臭效果，需要一定的扩繁时间和发酵时间。</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严格禁止与抗生素、杀虫剂、杀菌剂、消毒剂、强酸强碱类产品混合使用，防止杀灭和抑制益生菌，使其活性降低，益生菌保管瓶开启后，一周内用完。</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eastAsia="zh-CN"/>
        </w:rPr>
        <w:t>喷洒生物除臭剂按要求</w:t>
      </w:r>
      <w:r>
        <w:rPr>
          <w:rFonts w:hint="eastAsia"/>
          <w:sz w:val="24"/>
          <w:szCs w:val="24"/>
          <w:lang w:val="en-US" w:eastAsia="zh-CN"/>
        </w:rPr>
        <w:t>3次/天，专人负责厂内除臭。</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lang w:eastAsia="zh-CN"/>
        </w:rPr>
        <w:t>此外，从清洁生产的角度还包括以下措施：</w:t>
      </w:r>
    </w:p>
    <w:p>
      <w:pPr>
        <w:pStyle w:val="8"/>
        <w:keepNext w:val="0"/>
        <w:keepLines w:val="0"/>
        <w:pageBreakBefore w:val="0"/>
        <w:widowControl w:val="0"/>
        <w:numPr>
          <w:ilvl w:val="0"/>
          <w:numId w:val="2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加强猪舍管理，及时清扫粪便废物；</w:t>
      </w:r>
    </w:p>
    <w:p>
      <w:pPr>
        <w:pStyle w:val="8"/>
        <w:keepNext w:val="0"/>
        <w:keepLines w:val="0"/>
        <w:pageBreakBefore w:val="0"/>
        <w:widowControl w:val="0"/>
        <w:numPr>
          <w:ilvl w:val="0"/>
          <w:numId w:val="2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在饲养中使用微生物或植物添加剂等，抑制粪便废气挥发；</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lang w:eastAsia="zh-CN"/>
        </w:rPr>
        <w:t>（</w:t>
      </w:r>
      <w:r>
        <w:rPr>
          <w:rFonts w:hint="eastAsia"/>
          <w:sz w:val="24"/>
          <w:szCs w:val="24"/>
          <w:lang w:val="en-US" w:eastAsia="zh-CN"/>
        </w:rPr>
        <w:t>3</w:t>
      </w:r>
      <w:r>
        <w:rPr>
          <w:rFonts w:hint="eastAsia"/>
          <w:sz w:val="24"/>
          <w:szCs w:val="24"/>
          <w:lang w:eastAsia="zh-CN"/>
        </w:rPr>
        <w:t>）对养猪场进行立体绿化，形成花园式景观。在猪舍及水塘周围种植能散发香味的灌木，如九离香等，在猪场四周种植乔木、灌木，吸附和隔离恶臭污染物的散发。</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4</w:t>
      </w:r>
      <w:r>
        <w:rPr>
          <w:rFonts w:hint="eastAsia"/>
          <w:sz w:val="24"/>
          <w:szCs w:val="24"/>
          <w:lang w:eastAsia="zh-CN"/>
        </w:rPr>
        <w:t>）尽量将猪舍、异位发酵床、废水处理站等主要恶臭产生源分散布局，这对于减轻恶臭的影响也是有利的。</w:t>
      </w:r>
    </w:p>
    <w:p>
      <w:pPr>
        <w:pStyle w:val="6"/>
      </w:pPr>
      <w:r>
        <w:rPr>
          <w:rFonts w:hint="eastAsia"/>
          <w:lang w:eastAsia="zh-CN"/>
        </w:rPr>
        <w:t>废气处理经济技术可行性分析</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采用上述措施治理后，可有效减轻项目恶臭污染影响，评价预测场界排放臭气浓度能够满足《畜禽养殖业污染物排放标准》（GB18596－2001）中表7要求，在场界外500m 范围内不得新建学校、医院、居民区等环境敏感点。</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eastAsia="宋体"/>
          <w:sz w:val="24"/>
          <w:szCs w:val="24"/>
          <w:lang w:val="en-US" w:eastAsia="zh-CN"/>
        </w:rPr>
      </w:pPr>
      <w:r>
        <w:rPr>
          <w:rFonts w:hint="eastAsia"/>
          <w:sz w:val="24"/>
          <w:szCs w:val="24"/>
          <w:lang w:eastAsia="zh-CN"/>
        </w:rPr>
        <w:t>本项目废气处理设施投资约</w:t>
      </w:r>
      <w:r>
        <w:rPr>
          <w:rFonts w:hint="eastAsia"/>
          <w:sz w:val="24"/>
          <w:szCs w:val="24"/>
          <w:lang w:val="en-US" w:eastAsia="zh-CN"/>
        </w:rPr>
        <w:t>18万元，占项目总投资的1.4%，在经济上是可行的。</w:t>
      </w:r>
    </w:p>
    <w:p>
      <w:pPr>
        <w:pStyle w:val="5"/>
        <w:ind w:firstLine="562"/>
      </w:pPr>
      <w:r>
        <w:rPr>
          <w:rFonts w:hint="eastAsia"/>
          <w:lang w:eastAsia="zh-CN"/>
        </w:rPr>
        <w:t xml:space="preserve">废水污染防治措施及可行性分析 </w:t>
      </w:r>
    </w:p>
    <w:p>
      <w:pPr>
        <w:pStyle w:val="6"/>
      </w:pPr>
      <w:r>
        <w:rPr>
          <w:rFonts w:hint="eastAsia"/>
          <w:lang w:eastAsia="zh-CN"/>
        </w:rPr>
        <w:t>猪舍及污水处理设施的布置</w:t>
      </w:r>
    </w:p>
    <w:p>
      <w:pPr>
        <w:pStyle w:val="8"/>
        <w:rPr>
          <w:rFonts w:hint="eastAsia"/>
        </w:rPr>
      </w:pPr>
      <w:r>
        <w:rPr>
          <w:rFonts w:hint="eastAsia"/>
          <w:sz w:val="24"/>
          <w:szCs w:val="24"/>
          <w:lang w:eastAsia="zh-CN"/>
        </w:rPr>
        <w:t>本项目按照《畜禽养殖业污染物排放标准》（</w:t>
      </w:r>
      <w:r>
        <w:rPr>
          <w:rFonts w:hint="eastAsia"/>
          <w:sz w:val="24"/>
          <w:szCs w:val="24"/>
          <w:lang w:val="en-US" w:eastAsia="zh-CN"/>
        </w:rPr>
        <w:t>DB44/613-2009</w:t>
      </w:r>
      <w:r>
        <w:rPr>
          <w:rFonts w:hint="eastAsia"/>
          <w:sz w:val="24"/>
          <w:szCs w:val="24"/>
          <w:lang w:eastAsia="zh-CN"/>
        </w:rPr>
        <w:t>）的规定，养殖场的排水系统实行雨污分流（雨水走明渠，污水走暗渠），猪舍全部采用房舍式密封设计，不设露天养殖，每个猪舍中铺设导水暗渠，暗渠上方用混凝土块封闭，避免雨水进入废水输送渠道中，雨水管道另外铺设，采用明渠直接排放。本项目靠近山体设有排洪渠（沟），场内的地表雨水和周边山体的集留雨水均通过山体周边的排洪沟从场区</w:t>
      </w:r>
      <w:r>
        <w:rPr>
          <w:rFonts w:hint="eastAsia"/>
          <w:sz w:val="24"/>
          <w:szCs w:val="24"/>
          <w:lang w:val="en-US" w:eastAsia="zh-CN"/>
        </w:rPr>
        <w:t>西南</w:t>
      </w:r>
      <w:r>
        <w:rPr>
          <w:rFonts w:hint="eastAsia"/>
          <w:sz w:val="24"/>
          <w:szCs w:val="24"/>
          <w:lang w:eastAsia="zh-CN"/>
        </w:rPr>
        <w:t>面低洼处排入小沟渠</w:t>
      </w:r>
    </w:p>
    <w:p>
      <w:pPr>
        <w:pStyle w:val="6"/>
      </w:pPr>
      <w:r>
        <w:rPr>
          <w:rFonts w:hint="eastAsia"/>
          <w:lang w:eastAsia="zh-CN"/>
        </w:rPr>
        <w:t>废水处理工艺</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lang w:eastAsia="zh-CN"/>
        </w:rPr>
        <w:t>本项目产生的废水主要有猪场工作人员生活污水和猪场养殖废水。</w:t>
      </w:r>
    </w:p>
    <w:p>
      <w:pPr>
        <w:pStyle w:val="8"/>
        <w:rPr>
          <w:rFonts w:hint="eastAsia"/>
        </w:rPr>
      </w:pPr>
      <w:r>
        <w:rPr>
          <w:rFonts w:hint="eastAsia"/>
          <w:sz w:val="24"/>
          <w:szCs w:val="24"/>
          <w:lang w:eastAsia="zh-CN"/>
        </w:rPr>
        <w:t>生产废水含猪粪经集液池收集，混合均匀后喷洒至异位发酵床进行发酵</w:t>
      </w:r>
      <w:r>
        <w:rPr>
          <w:rFonts w:hint="eastAsia"/>
          <w:sz w:val="24"/>
          <w:szCs w:val="24"/>
          <w:lang w:val="en-US" w:eastAsia="zh-CN"/>
        </w:rPr>
        <w:t>处理后制成有机肥料外售，不外排</w:t>
      </w:r>
      <w:r>
        <w:rPr>
          <w:rFonts w:hint="eastAsia"/>
          <w:sz w:val="24"/>
          <w:szCs w:val="24"/>
          <w:lang w:eastAsia="zh-CN"/>
        </w:rPr>
        <w:t>。</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val="en-US" w:eastAsia="zh-CN"/>
        </w:rPr>
      </w:pPr>
      <w:r>
        <w:rPr>
          <w:rFonts w:hint="eastAsia"/>
          <w:sz w:val="24"/>
          <w:szCs w:val="24"/>
          <w:lang w:val="en-US" w:eastAsia="zh-CN"/>
        </w:rPr>
        <w:t>1、养殖废水处理工艺</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center"/>
        <w:textAlignment w:val="auto"/>
        <w:rPr>
          <w:rFonts w:hint="eastAsia"/>
          <w:sz w:val="24"/>
          <w:szCs w:val="24"/>
        </w:rPr>
      </w:pPr>
      <w:r>
        <w:rPr>
          <w:rFonts w:hint="eastAsia"/>
          <w:sz w:val="24"/>
          <w:szCs w:val="24"/>
        </w:rPr>
        <w:object>
          <v:shape id="_x0000_i1054" o:spt="75" type="#_x0000_t75" style="height:99pt;width:308.25pt;" o:ole="t" filled="f" o:preferrelative="t" stroked="f" coordsize="21600,21600">
            <v:path/>
            <v:fill on="f" focussize="0,0"/>
            <v:stroke on="f"/>
            <v:imagedata r:id="rId103" o:title=""/>
            <o:lock v:ext="edit" grouping="f" rotation="f" text="f" aspectratio="f"/>
            <w10:wrap type="none"/>
            <w10:anchorlock/>
          </v:shape>
          <o:OLEObject Type="Embed" ProgID="Visio.Drawing.11" ShapeID="_x0000_i1054" DrawAspect="Content" ObjectID="_1468075754" r:id="rId102">
            <o:LockedField>false</o:LockedField>
          </o:OLEObject>
        </w:object>
      </w:r>
    </w:p>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eastAsia="宋体"/>
          <w:b/>
          <w:bCs/>
          <w:sz w:val="21"/>
          <w:szCs w:val="21"/>
          <w:lang w:val="en-US" w:eastAsia="zh-CN"/>
        </w:rPr>
      </w:pPr>
      <w:r>
        <w:rPr>
          <w:rFonts w:hint="eastAsia"/>
          <w:b/>
          <w:bCs/>
          <w:sz w:val="21"/>
          <w:szCs w:val="21"/>
          <w:lang w:eastAsia="zh-CN"/>
        </w:rPr>
        <w:t>图</w:t>
      </w:r>
      <w:r>
        <w:rPr>
          <w:rFonts w:hint="eastAsia"/>
          <w:b/>
          <w:bCs/>
          <w:sz w:val="21"/>
          <w:szCs w:val="21"/>
          <w:lang w:val="en-US" w:eastAsia="zh-CN"/>
        </w:rPr>
        <w:t>7.2-1  养殖废水处理工艺示意图</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val="en-US" w:eastAsia="zh-CN"/>
        </w:rPr>
      </w:pPr>
      <w:r>
        <w:rPr>
          <w:rFonts w:hint="eastAsia"/>
          <w:sz w:val="24"/>
          <w:szCs w:val="24"/>
          <w:lang w:val="en-US" w:eastAsia="zh-CN"/>
        </w:rPr>
        <w:t>本项目建成投产后，每年产生猪粪4319.775t，猪尿等生产废水年产生量为9159.47t/a，蒸发20%得7327.576t/a，则可制得有机肥11647.351t/a。</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val="en-US" w:eastAsia="zh-CN"/>
        </w:rPr>
      </w:pPr>
      <w:r>
        <w:rPr>
          <w:rFonts w:hint="eastAsia"/>
          <w:sz w:val="24"/>
          <w:szCs w:val="24"/>
          <w:lang w:val="en-US" w:eastAsia="zh-CN"/>
        </w:rPr>
        <w:t>猪舍收集的猪尿、猪粪、定期的冲栏废水和无害化处理间的废水通过官网进入集液池中，在集液池中充分混合后，喷淋至异位发酵床进行发酵，将养殖场产生的养殖废水和粪污发酵制得有机肥，事先养殖废水和粪污的零排放。其核心主要为异位发酵床，发酵床的原理利用微生物菌剂在床体垫料上分解养殖粪污的，是一种有生物参与的活动，所以开孔器、水分、营养是异位发酵床运行的必要保证。</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val="en-US" w:eastAsia="zh-CN"/>
        </w:rPr>
        <w:t>（1）发酵床垫料</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val="en-US" w:eastAsia="zh-CN"/>
        </w:rPr>
        <w:t>发酵床垫料一般采用谷壳和锯末（也可用秸秆、花生壳等物料代替），比例为6:4（该比例可根据实际情况适当调整），堆体高度控制在1.2-1.6米（一是透气性较好，温度均一、水分挥发快，二是翻堆时比较彻底，有利用粪水减量比），垫料铺设需要一层谷壳，一层锯末，经过翻抛均匀混合；垫料高度可以一次性堆到发酵床要求的高度，长期循环使用，要求垫料高度不得低于80公分。</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val="en-US" w:eastAsia="zh-CN"/>
        </w:rPr>
        <w:t>（2）菌种添加</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val="en-US" w:eastAsia="zh-CN"/>
        </w:rPr>
      </w:pPr>
      <w:r>
        <w:rPr>
          <w:rFonts w:hint="eastAsia"/>
          <w:sz w:val="24"/>
          <w:szCs w:val="24"/>
          <w:lang w:val="en-US" w:eastAsia="zh-CN"/>
        </w:rPr>
        <w:t>按照混匀后物料的总重量的1‰投放粪污处理专用菌种，即1kg菌种发酵10立方物料。</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val="en-US" w:eastAsia="zh-CN"/>
        </w:rPr>
        <w:t>（3）翻抛</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val="en-US" w:eastAsia="zh-CN"/>
        </w:rPr>
        <w:t>翻抛均匀，使用翻抛机连续翻堆2-3次即可；每隔2-3天，翻抛增氧一次，同时加速水分挥发。</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val="en-US" w:eastAsia="zh-CN"/>
        </w:rPr>
        <w:t>翻抛机的作用：对发酵床的垫料进行翻抛增加垫料的氧气接触量使好氧微生物能够有更好的生存环境，更好的活性把排入的污染物分解处理掉达到无污染零排放；翻抛机具有粉碎、搅拌、翻抛的作用，在发酵床中铺入垫料，将粪污与发酵菌种均匀喷洒在垫料上，通过翻抛机来回搅拌实现粪污的快速降解，在发酵过程中，温度升高，粪污充分降解，多余的被蒸发，经过7~15天的发酵，粪污逐渐转变为有机肥。</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val="en-US" w:eastAsia="zh-CN"/>
        </w:rPr>
        <w:t>（4）物料增补</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val="en-US" w:eastAsia="zh-CN"/>
        </w:rPr>
        <w:t>发酵4-6个月，按照锯末与稻壳一定的比例添加堆体1.2-1.6米高度；添加菌种按比例1:10添加，通过翻抛机混匀。</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val="en-US" w:eastAsia="zh-CN"/>
        </w:rPr>
      </w:pPr>
      <w:r>
        <w:rPr>
          <w:rFonts w:hint="eastAsia"/>
          <w:sz w:val="24"/>
          <w:szCs w:val="24"/>
          <w:lang w:val="en-US" w:eastAsia="zh-CN"/>
        </w:rPr>
        <w:t>2、生活污水处理</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cs="Times New Roman"/>
          <w:kern w:val="0"/>
          <w:sz w:val="24"/>
          <w:szCs w:val="24"/>
          <w:lang w:val="en-US" w:eastAsia="zh-CN"/>
        </w:rPr>
      </w:pPr>
      <w:r>
        <w:rPr>
          <w:rFonts w:hint="eastAsia" w:cs="Times New Roman"/>
          <w:kern w:val="0"/>
          <w:sz w:val="24"/>
          <w:szCs w:val="24"/>
          <w:lang w:val="en-US" w:eastAsia="zh-CN"/>
        </w:rPr>
        <w:t>根据工程分析可知，本项目产生的生活污水为4.8m</w:t>
      </w:r>
      <w:r>
        <w:rPr>
          <w:rFonts w:hint="eastAsia" w:cs="Times New Roman"/>
          <w:kern w:val="0"/>
          <w:sz w:val="24"/>
          <w:szCs w:val="24"/>
          <w:vertAlign w:val="superscript"/>
          <w:lang w:val="en-US" w:eastAsia="zh-CN"/>
        </w:rPr>
        <w:t>3</w:t>
      </w:r>
      <w:r>
        <w:rPr>
          <w:rFonts w:hint="eastAsia" w:cs="Times New Roman"/>
          <w:kern w:val="0"/>
          <w:sz w:val="24"/>
          <w:szCs w:val="24"/>
          <w:lang w:val="en-US" w:eastAsia="zh-CN"/>
        </w:rPr>
        <w:t>/d，建设单位拟涉及地埋式一体化生化处理，处理能力为6m</w:t>
      </w:r>
      <w:r>
        <w:rPr>
          <w:rFonts w:hint="eastAsia" w:cs="Times New Roman"/>
          <w:kern w:val="0"/>
          <w:sz w:val="24"/>
          <w:szCs w:val="24"/>
          <w:vertAlign w:val="superscript"/>
          <w:lang w:val="en-US" w:eastAsia="zh-CN"/>
        </w:rPr>
        <w:t>3</w:t>
      </w:r>
      <w:r>
        <w:rPr>
          <w:rFonts w:hint="eastAsia" w:cs="Times New Roman"/>
          <w:kern w:val="0"/>
          <w:sz w:val="24"/>
          <w:szCs w:val="24"/>
          <w:lang w:val="en-US" w:eastAsia="zh-CN"/>
        </w:rPr>
        <w:t>/d，可处理本项目产生的生活污水。</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leftChars="0" w:firstLine="480" w:firstLineChars="200"/>
        <w:jc w:val="left"/>
        <w:textAlignment w:val="auto"/>
        <w:rPr>
          <w:rFonts w:hint="eastAsia" w:ascii="Times New Roman" w:hAnsi="Times New Roman" w:cs="Times New Roman"/>
          <w:kern w:val="0"/>
          <w:sz w:val="24"/>
          <w:szCs w:val="24"/>
          <w:lang w:val="en-US" w:eastAsia="zh-CN"/>
        </w:rPr>
      </w:pPr>
      <w:r>
        <w:rPr>
          <w:rFonts w:hint="eastAsia" w:cs="Times New Roman"/>
          <w:kern w:val="0"/>
          <w:sz w:val="24"/>
          <w:szCs w:val="24"/>
          <w:lang w:val="en-US" w:eastAsia="zh-CN"/>
        </w:rPr>
        <w:t>生活污水经地埋式一体化生化处理达到《畜禽养殖业污染物排放标准》（DB44/613-2009）中集约化畜禽养殖业水污染物最高日排放浓度和《农田灌溉水质标准》（GB5084-2005）中旱作标准的较严值后全部回用场内绿化和附近林地灌溉，不外排。</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eastAsia" w:cs="Times New Roman"/>
          <w:kern w:val="0"/>
          <w:sz w:val="24"/>
          <w:szCs w:val="24"/>
          <w:lang w:val="en-US" w:eastAsia="zh-CN"/>
        </w:rPr>
      </w:pPr>
      <w:r>
        <w:rPr>
          <w:rFonts w:hint="eastAsia" w:cs="Times New Roman"/>
          <w:kern w:val="0"/>
          <w:sz w:val="24"/>
          <w:szCs w:val="24"/>
          <w:lang w:val="en-US" w:eastAsia="zh-CN"/>
        </w:rPr>
        <w:t>生活污水处理流程如图7.2-2。</w:t>
      </w:r>
    </w:p>
    <w:p>
      <w:pPr>
        <w:pStyle w:val="8"/>
        <w:keepNext w:val="0"/>
        <w:keepLines w:val="0"/>
        <w:pageBreakBefore w:val="0"/>
        <w:widowControl w:val="0"/>
        <w:kinsoku/>
        <w:wordWrap/>
        <w:overflowPunct/>
        <w:topLinePunct w:val="0"/>
        <w:autoSpaceDE w:val="0"/>
        <w:autoSpaceDN w:val="0"/>
        <w:bidi w:val="0"/>
        <w:adjustRightInd/>
        <w:snapToGrid/>
        <w:spacing w:line="360" w:lineRule="auto"/>
        <w:ind w:left="0" w:firstLine="480" w:firstLineChars="200"/>
        <w:jc w:val="left"/>
        <w:textAlignment w:val="auto"/>
        <w:rPr>
          <w:rFonts w:hint="default" w:cs="Times New Roman"/>
          <w:kern w:val="0"/>
          <w:sz w:val="24"/>
          <w:szCs w:val="24"/>
          <w:lang w:val="en-US" w:eastAsia="zh-CN"/>
        </w:rPr>
      </w:pPr>
      <w:r>
        <w:rPr>
          <w:rFonts w:hint="default" w:cs="Times New Roman"/>
          <w:kern w:val="0"/>
          <w:sz w:val="24"/>
          <w:szCs w:val="24"/>
          <w:lang w:val="en-US" w:eastAsia="zh-CN"/>
        </w:rPr>
        <w:object>
          <v:shape id="_x0000_i1055" o:spt="75" type="#_x0000_t75" style="height:110.25pt;width:294.75pt;" o:ole="t" filled="f" o:preferrelative="t" stroked="f" coordsize="21600,21600">
            <v:path/>
            <v:fill on="f" focussize="0,0"/>
            <v:stroke on="f"/>
            <v:imagedata r:id="rId105" o:title=""/>
            <o:lock v:ext="edit" grouping="f" rotation="f" text="f" aspectratio="f"/>
            <w10:wrap type="none"/>
            <w10:anchorlock/>
          </v:shape>
          <o:OLEObject Type="Embed" ProgID="Visio.Drawing.11" ShapeID="_x0000_i1055" DrawAspect="Content" ObjectID="_1468075755" r:id="rId104">
            <o:LockedField>false</o:LockedField>
          </o:OLEObject>
        </w:object>
      </w:r>
    </w:p>
    <w:p>
      <w:pPr>
        <w:pStyle w:val="8"/>
        <w:jc w:val="center"/>
        <w:rPr>
          <w:rFonts w:hint="eastAsia" w:eastAsia="宋体"/>
          <w:lang w:val="en-US" w:eastAsia="zh-CN"/>
        </w:rPr>
      </w:pPr>
      <w:r>
        <w:rPr>
          <w:rFonts w:hint="eastAsia" w:ascii="宋体" w:hAnsi="宋体" w:eastAsia="宋体"/>
          <w:b/>
          <w:bCs/>
          <w:color w:val="000000"/>
          <w:sz w:val="21"/>
          <w:szCs w:val="21"/>
        </w:rPr>
        <w:t>图</w:t>
      </w:r>
      <w:r>
        <w:rPr>
          <w:rFonts w:hint="eastAsia"/>
          <w:b/>
          <w:bCs/>
          <w:color w:val="000000"/>
          <w:sz w:val="21"/>
          <w:szCs w:val="21"/>
          <w:lang w:val="en-US" w:eastAsia="zh-CN"/>
        </w:rPr>
        <w:t>7</w:t>
      </w:r>
      <w:r>
        <w:rPr>
          <w:rFonts w:hint="eastAsia" w:ascii="Times New Roman" w:hAnsi="Times New Roman" w:eastAsia="Times New Roman"/>
          <w:b/>
          <w:bCs/>
          <w:color w:val="000000"/>
          <w:sz w:val="21"/>
          <w:szCs w:val="21"/>
        </w:rPr>
        <w:t>.2-</w:t>
      </w:r>
      <w:r>
        <w:rPr>
          <w:rFonts w:hint="eastAsia"/>
          <w:b/>
          <w:bCs/>
          <w:color w:val="000000"/>
          <w:sz w:val="21"/>
          <w:szCs w:val="21"/>
          <w:lang w:val="en-US" w:eastAsia="zh-CN"/>
        </w:rPr>
        <w:t>2</w:t>
      </w:r>
      <w:r>
        <w:rPr>
          <w:rFonts w:hint="eastAsia" w:ascii="Times New Roman" w:hAnsi="Times New Roman" w:eastAsia="Times New Roman"/>
          <w:b/>
          <w:bCs/>
          <w:color w:val="000000"/>
          <w:sz w:val="21"/>
          <w:szCs w:val="21"/>
        </w:rPr>
        <w:t xml:space="preserve"> </w:t>
      </w:r>
      <w:r>
        <w:rPr>
          <w:rFonts w:hint="eastAsia" w:ascii="宋体" w:hAnsi="宋体"/>
          <w:b/>
          <w:bCs/>
          <w:color w:val="000000"/>
          <w:sz w:val="21"/>
          <w:szCs w:val="21"/>
          <w:lang w:eastAsia="zh-CN"/>
        </w:rPr>
        <w:t>生活污水处理</w:t>
      </w:r>
      <w:r>
        <w:rPr>
          <w:rFonts w:hint="eastAsia" w:ascii="宋体" w:hAnsi="宋体" w:eastAsia="宋体"/>
          <w:b/>
          <w:bCs/>
          <w:color w:val="000000"/>
          <w:sz w:val="21"/>
          <w:szCs w:val="21"/>
        </w:rPr>
        <w:t>工艺图</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eastAsia="宋体"/>
          <w:sz w:val="24"/>
          <w:szCs w:val="24"/>
          <w:lang w:val="en-US" w:eastAsia="zh-CN"/>
        </w:rPr>
      </w:pPr>
      <w:r>
        <w:rPr>
          <w:rFonts w:hint="eastAsia"/>
          <w:sz w:val="24"/>
          <w:szCs w:val="24"/>
          <w:lang w:eastAsia="zh-CN"/>
        </w:rPr>
        <w:t>根据工程分析可知，本项目产生的生活污水</w:t>
      </w:r>
      <w:r>
        <w:rPr>
          <w:rFonts w:hint="eastAsia"/>
          <w:sz w:val="24"/>
          <w:szCs w:val="24"/>
          <w:lang w:val="en-US" w:eastAsia="zh-CN"/>
        </w:rPr>
        <w:t>1752m</w:t>
      </w:r>
      <w:r>
        <w:rPr>
          <w:rFonts w:hint="eastAsia"/>
          <w:sz w:val="24"/>
          <w:szCs w:val="24"/>
          <w:vertAlign w:val="superscript"/>
          <w:lang w:val="en-US" w:eastAsia="zh-CN"/>
        </w:rPr>
        <w:t>3</w:t>
      </w:r>
      <w:r>
        <w:rPr>
          <w:rFonts w:hint="eastAsia"/>
          <w:sz w:val="24"/>
          <w:szCs w:val="24"/>
          <w:lang w:val="en-US" w:eastAsia="zh-CN"/>
        </w:rPr>
        <w:t>/a，即4.8m</w:t>
      </w:r>
      <w:r>
        <w:rPr>
          <w:rFonts w:hint="eastAsia"/>
          <w:sz w:val="24"/>
          <w:szCs w:val="24"/>
          <w:vertAlign w:val="superscript"/>
          <w:lang w:val="en-US" w:eastAsia="zh-CN"/>
        </w:rPr>
        <w:t>3</w:t>
      </w:r>
      <w:r>
        <w:rPr>
          <w:rFonts w:hint="eastAsia"/>
          <w:sz w:val="24"/>
          <w:szCs w:val="24"/>
          <w:lang w:val="en-US" w:eastAsia="zh-CN"/>
        </w:rPr>
        <w:t>/d（按年365天计），建设单位拟设计地埋式一体化生化系统处理，处理能力为6m</w:t>
      </w:r>
      <w:r>
        <w:rPr>
          <w:rFonts w:hint="eastAsia"/>
          <w:sz w:val="24"/>
          <w:szCs w:val="24"/>
          <w:vertAlign w:val="superscript"/>
          <w:lang w:val="en-US" w:eastAsia="zh-CN"/>
        </w:rPr>
        <w:t>3</w:t>
      </w:r>
      <w:r>
        <w:rPr>
          <w:rFonts w:hint="eastAsia"/>
          <w:sz w:val="24"/>
          <w:szCs w:val="24"/>
          <w:lang w:val="en-US" w:eastAsia="zh-CN"/>
        </w:rPr>
        <w:t>/d，可处理本项目产生的生活污水。</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val="en-US" w:eastAsia="zh-CN"/>
        </w:rPr>
      </w:pPr>
      <w:r>
        <w:rPr>
          <w:rFonts w:hint="eastAsia"/>
          <w:sz w:val="24"/>
          <w:szCs w:val="24"/>
          <w:lang w:val="en-US" w:eastAsia="zh-CN"/>
        </w:rPr>
        <w:t>地埋式一体化污水处理设备，可埋入地表下，设备上方地表可作为绿化或其他用地，不需要建房及采暖和保温，全自动控制，不需人员管理无污泥回流，操作简单，维修方便。</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rPr>
      </w:pPr>
      <w:r>
        <w:rPr>
          <w:rFonts w:hint="eastAsia"/>
          <w:sz w:val="24"/>
          <w:szCs w:val="24"/>
          <w:lang w:val="en-US" w:eastAsia="zh-CN"/>
        </w:rPr>
        <w:t>地埋式污水处理设备是一种模块化的高效污水生物处理设备，是一种以生物膜为净化主体的污水生物处理系统，充分发挥了厌氧生物滤池、接触氧化床等生物膜反应器具有的生物密度大、耐污能力强、动力消耗低、操作运行稳定、维护方便的特点，使得该系统具有很广的应用前景和推广价值。</w:t>
      </w:r>
    </w:p>
    <w:p>
      <w:pPr>
        <w:pStyle w:val="6"/>
      </w:pPr>
      <w:r>
        <w:rPr>
          <w:rFonts w:hint="eastAsia"/>
          <w:lang w:eastAsia="zh-CN"/>
        </w:rPr>
        <w:t>废水处理措施经济可行性分析</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lang w:eastAsia="zh-CN"/>
        </w:rPr>
        <w:t>本项目废水处理设计原则如下：</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lang w:eastAsia="zh-CN"/>
        </w:rPr>
        <w:t>（</w:t>
      </w:r>
      <w:r>
        <w:rPr>
          <w:rFonts w:hint="eastAsia"/>
          <w:sz w:val="24"/>
          <w:szCs w:val="24"/>
          <w:lang w:val="en-US" w:eastAsia="zh-CN"/>
        </w:rPr>
        <w:t>1</w:t>
      </w:r>
      <w:r>
        <w:rPr>
          <w:rFonts w:hint="eastAsia"/>
          <w:sz w:val="24"/>
          <w:szCs w:val="24"/>
          <w:lang w:eastAsia="zh-CN"/>
        </w:rPr>
        <w:t>）严格执行国家有关环境保护法律法规的要求；</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lang w:eastAsia="zh-CN"/>
        </w:rPr>
        <w:t>（</w:t>
      </w:r>
      <w:r>
        <w:rPr>
          <w:rFonts w:hint="eastAsia"/>
          <w:sz w:val="24"/>
          <w:szCs w:val="24"/>
          <w:lang w:val="en-US" w:eastAsia="zh-CN"/>
        </w:rPr>
        <w:t>2</w:t>
      </w:r>
      <w:r>
        <w:rPr>
          <w:rFonts w:hint="eastAsia"/>
          <w:sz w:val="24"/>
          <w:szCs w:val="24"/>
          <w:lang w:eastAsia="zh-CN"/>
        </w:rPr>
        <w:t>）严格执行现行的防火、安全、卫生、环境保护等国家和地方颁布的法规、规范与标准；</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lang w:eastAsia="zh-CN"/>
        </w:rPr>
        <w:t>（</w:t>
      </w:r>
      <w:r>
        <w:rPr>
          <w:rFonts w:hint="eastAsia"/>
          <w:sz w:val="24"/>
          <w:szCs w:val="24"/>
          <w:lang w:val="en-US" w:eastAsia="zh-CN"/>
        </w:rPr>
        <w:t>3</w:t>
      </w:r>
      <w:r>
        <w:rPr>
          <w:rFonts w:hint="eastAsia"/>
          <w:sz w:val="24"/>
          <w:szCs w:val="24"/>
          <w:lang w:eastAsia="zh-CN"/>
        </w:rPr>
        <w:t>）选择国内外先进成熟的污水治理技术，采用优质、可靠、适用、经济的治理工艺路线；</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eastAsia="zh-CN"/>
        </w:rPr>
      </w:pPr>
      <w:r>
        <w:rPr>
          <w:rFonts w:hint="eastAsia"/>
          <w:sz w:val="24"/>
          <w:szCs w:val="24"/>
          <w:lang w:eastAsia="zh-CN"/>
        </w:rPr>
        <w:t>（</w:t>
      </w:r>
      <w:r>
        <w:rPr>
          <w:rFonts w:hint="eastAsia"/>
          <w:sz w:val="24"/>
          <w:szCs w:val="24"/>
          <w:lang w:val="en-US" w:eastAsia="zh-CN"/>
        </w:rPr>
        <w:t>4</w:t>
      </w:r>
      <w:r>
        <w:rPr>
          <w:rFonts w:hint="eastAsia"/>
          <w:sz w:val="24"/>
          <w:szCs w:val="24"/>
          <w:lang w:eastAsia="zh-CN"/>
        </w:rPr>
        <w:t>）切合实际，正确掌握设计规范和标准，优化工艺技术，合理选用优质、高效的处理设备和设施；</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5</w:t>
      </w:r>
      <w:r>
        <w:rPr>
          <w:rFonts w:hint="eastAsia"/>
          <w:sz w:val="24"/>
          <w:szCs w:val="24"/>
          <w:lang w:eastAsia="zh-CN"/>
        </w:rPr>
        <w:t>）在确保出水稳定达标的前提下，尽可能地节省投资，减少占地面积和降低运行费用，调整好一次性投资与运行费用、水质要求之间的比例关系；</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6</w:t>
      </w:r>
      <w:r>
        <w:rPr>
          <w:rFonts w:hint="eastAsia"/>
          <w:sz w:val="24"/>
          <w:szCs w:val="24"/>
          <w:lang w:eastAsia="zh-CN"/>
        </w:rPr>
        <w:t>）废水处理站总体布局、统一规划，力求工厂和周围环境协调；</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7</w:t>
      </w:r>
      <w:r>
        <w:rPr>
          <w:rFonts w:hint="eastAsia"/>
          <w:sz w:val="24"/>
          <w:szCs w:val="24"/>
          <w:lang w:eastAsia="zh-CN"/>
        </w:rPr>
        <w:t>）在处理站运行中保证清洁、安全。设备运行简单，以操作维护方便，利于管理为原则。</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eastAsia="zh-CN"/>
        </w:rPr>
        <w:t>项目异位发酵床、事故应急池、地埋式一体化生化处理系统及雨污分流系统的建设成本约</w:t>
      </w:r>
      <w:r>
        <w:rPr>
          <w:rFonts w:hint="eastAsia"/>
          <w:sz w:val="24"/>
          <w:szCs w:val="24"/>
          <w:lang w:val="en-US" w:eastAsia="zh-CN"/>
        </w:rPr>
        <w:t>50万，占项目总投资的3.9%，占项目总投资的比例可接受。由此可见，本项目水污染防治措施在经济上是可行的。</w:t>
      </w:r>
    </w:p>
    <w:p>
      <w:pPr>
        <w:pStyle w:val="5"/>
        <w:ind w:firstLine="562"/>
      </w:pPr>
      <w:r>
        <w:rPr>
          <w:rFonts w:hint="eastAsia"/>
          <w:lang w:eastAsia="zh-CN"/>
        </w:rPr>
        <w:t xml:space="preserve">地下水污染防治措施及其可行性论证 </w:t>
      </w:r>
    </w:p>
    <w:p>
      <w:pPr>
        <w:pStyle w:val="8"/>
        <w:rPr>
          <w:rFonts w:hint="eastAsia"/>
        </w:rPr>
      </w:pPr>
      <w:r>
        <w:rPr>
          <w:rFonts w:hint="eastAsia"/>
          <w:sz w:val="24"/>
          <w:szCs w:val="24"/>
          <w:lang w:eastAsia="zh-CN"/>
        </w:rPr>
        <w:t>根据规划区可能泄漏至地面区域污染物的性质和生产单元的构筑方式，将区内划分为重点污染防治区、一般污染防治区和非污染防治区，详见下表和下图。</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eastAsia="zh-CN"/>
        </w:rPr>
        <w:t>表</w:t>
      </w:r>
      <w:r>
        <w:rPr>
          <w:rFonts w:hint="default" w:ascii="Times New Roman" w:hAnsi="Times New Roman" w:eastAsia="宋体" w:cs="Times New Roman"/>
          <w:b/>
          <w:bCs/>
          <w:sz w:val="21"/>
          <w:szCs w:val="21"/>
          <w:lang w:val="en-US" w:eastAsia="zh-CN"/>
        </w:rPr>
        <w:t>7.2-2  项目地下水分区防治情况一览表</w:t>
      </w: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36"/>
        <w:gridCol w:w="4705"/>
        <w:gridCol w:w="19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6" w:type="dxa"/>
            <w:tcBorders>
              <w:top w:val="single" w:color="auto" w:sz="12" w:space="0"/>
              <w:left w:val="nil"/>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防治区</w:t>
            </w:r>
          </w:p>
        </w:tc>
        <w:tc>
          <w:tcPr>
            <w:tcW w:w="4705" w:type="dxa"/>
            <w:tcBorders>
              <w:top w:val="single" w:color="auto" w:sz="12" w:space="0"/>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所属区域</w:t>
            </w:r>
          </w:p>
        </w:tc>
        <w:tc>
          <w:tcPr>
            <w:tcW w:w="1981" w:type="dxa"/>
            <w:tcBorders>
              <w:top w:val="single" w:color="auto" w:sz="12" w:space="0"/>
              <w:bottom w:val="single" w:color="auto" w:sz="12" w:space="0"/>
              <w:righ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防治级别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6" w:type="dxa"/>
            <w:tcBorders>
              <w:top w:val="single" w:color="auto" w:sz="12" w:space="0"/>
              <w:lef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重点污染防治区</w:t>
            </w:r>
          </w:p>
        </w:tc>
        <w:tc>
          <w:tcPr>
            <w:tcW w:w="4705" w:type="dxa"/>
            <w:tcBorders>
              <w:top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污水处理工程、异位发酵床、危险废物暂存间</w:t>
            </w:r>
          </w:p>
        </w:tc>
        <w:tc>
          <w:tcPr>
            <w:tcW w:w="1981" w:type="dxa"/>
            <w:tcBorders>
              <w:top w:val="single" w:color="auto" w:sz="12" w:space="0"/>
              <w:righ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重点防治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6" w:type="dxa"/>
            <w:tcBorders>
              <w:lef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一般污染防治区</w:t>
            </w:r>
          </w:p>
        </w:tc>
        <w:tc>
          <w:tcPr>
            <w:tcW w:w="4705" w:type="dxa"/>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场内生产区</w:t>
            </w:r>
          </w:p>
        </w:tc>
        <w:tc>
          <w:tcPr>
            <w:tcW w:w="1981" w:type="dxa"/>
            <w:tcBorders>
              <w:righ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一般防治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836" w:type="dxa"/>
            <w:tcBorders>
              <w:left w:val="nil"/>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非污染防治区</w:t>
            </w:r>
          </w:p>
        </w:tc>
        <w:tc>
          <w:tcPr>
            <w:tcW w:w="4705" w:type="dxa"/>
            <w:tcBorders>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val="en-US" w:eastAsia="zh-CN"/>
              </w:rPr>
              <w:t>办公生活区</w:t>
            </w:r>
          </w:p>
        </w:tc>
        <w:tc>
          <w:tcPr>
            <w:tcW w:w="1981" w:type="dxa"/>
            <w:tcBorders>
              <w:bottom w:val="single" w:color="auto" w:sz="12" w:space="0"/>
              <w:right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无需防治</w:t>
            </w:r>
          </w:p>
        </w:tc>
      </w:tr>
    </w:tbl>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 xml:space="preserve">根据防渗参照的标准和规范，结合目前施工过程中的可操作性和和技术水平，不同的防渗区域采用在满足防渗标准要求前提下的防渗措施：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1" w:firstLineChars="200"/>
        <w:jc w:val="both"/>
        <w:textAlignment w:val="auto"/>
        <w:rPr>
          <w:rFonts w:hint="eastAsia"/>
          <w:b/>
          <w:bCs/>
          <w:sz w:val="24"/>
          <w:szCs w:val="24"/>
          <w:lang w:eastAsia="zh-CN"/>
        </w:rPr>
      </w:pPr>
      <w:r>
        <w:rPr>
          <w:rFonts w:hint="eastAsia"/>
          <w:b/>
          <w:bCs/>
          <w:sz w:val="24"/>
          <w:szCs w:val="24"/>
          <w:lang w:eastAsia="zh-CN"/>
        </w:rPr>
        <w:t>（</w:t>
      </w:r>
      <w:r>
        <w:rPr>
          <w:rFonts w:hint="eastAsia"/>
          <w:b/>
          <w:bCs/>
          <w:sz w:val="24"/>
          <w:szCs w:val="24"/>
          <w:lang w:val="en-US" w:eastAsia="zh-CN"/>
        </w:rPr>
        <w:t>1</w:t>
      </w:r>
      <w:r>
        <w:rPr>
          <w:rFonts w:hint="eastAsia"/>
          <w:b/>
          <w:bCs/>
          <w:sz w:val="24"/>
          <w:szCs w:val="24"/>
          <w:lang w:eastAsia="zh-CN"/>
        </w:rPr>
        <w:t>）重点污染防渗区</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eastAsia="宋体"/>
          <w:sz w:val="24"/>
          <w:szCs w:val="24"/>
          <w:lang w:val="en-US" w:eastAsia="zh-CN"/>
        </w:rPr>
      </w:pPr>
      <w:r>
        <w:rPr>
          <w:rFonts w:hint="eastAsia"/>
          <w:sz w:val="24"/>
          <w:szCs w:val="24"/>
          <w:lang w:val="en-US" w:eastAsia="zh-CN"/>
        </w:rPr>
        <w:t>1）污水处理工程、异位发酵床、危险废物暂存间、事故应急池等</w:t>
      </w:r>
      <w:r>
        <w:rPr>
          <w:rFonts w:hint="eastAsia" w:ascii="宋体" w:hAnsi="宋体"/>
          <w:color w:val="000000"/>
          <w:sz w:val="24"/>
        </w:rPr>
        <w:t>为重点防渗区</w:t>
      </w:r>
      <w:r>
        <w:rPr>
          <w:rFonts w:hint="eastAsia" w:ascii="宋体" w:hAnsi="宋体"/>
          <w:color w:val="000000"/>
          <w:sz w:val="24"/>
          <w:lang w:eastAsia="zh-CN"/>
        </w:rPr>
        <w:t xml:space="preserve">。从防渗角度出发，在压实原始地面之上采用三层处理法处理地基。下层为石灰沙砾层，石灰与沙砾配比为1：5。该层厚10cm，作用使上覆压力均匀分布；中层为石灰粘土层，石灰与粘土配比为1：15；上层为水泥石子层，水泥和石子的配比为1：3，厚度5cm。对地面采用防水水泥砂浆层法处理。防水水泥砂浆层配比为水泥：砂：水：氯化亚铁＝1：2：0.6：0.05，厚度2cm；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val="en-US" w:eastAsia="zh-CN"/>
        </w:rPr>
        <w:t>2）管道、阀门防渗漏措施</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阀门采用知名厂家优质产品，对于生活区及生产区及生产区地上管道、阀门派专人负责随时观察，如出现渗漏问题及时解决。对工艺要求必须地下走管的管道、阀门设专用防渗管沟，管沟上设活动观察顶盖，以便出现渗漏问题及时观察、解决，管沟与污水集水井相连，并设计合理的排水坡度，便于废水排至集水井，然后由污水处理系统统一处理。</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val="en-US" w:eastAsia="zh-CN"/>
        </w:rPr>
        <w:t>3）废水收集管网防渗漏措施</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在防渗漏区内废水收集管网是设计的关键内容，设计合理的排水坡度，使水在集水井汇集。</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1" w:firstLineChars="200"/>
        <w:jc w:val="both"/>
        <w:textAlignment w:val="auto"/>
        <w:rPr>
          <w:rFonts w:hint="eastAsia"/>
          <w:b/>
          <w:bCs/>
          <w:sz w:val="24"/>
          <w:szCs w:val="24"/>
          <w:lang w:eastAsia="zh-CN"/>
        </w:rPr>
      </w:pPr>
      <w:r>
        <w:rPr>
          <w:rFonts w:hint="eastAsia"/>
          <w:b/>
          <w:bCs/>
          <w:sz w:val="24"/>
          <w:szCs w:val="24"/>
          <w:lang w:eastAsia="zh-CN"/>
        </w:rPr>
        <w:t>（</w:t>
      </w:r>
      <w:r>
        <w:rPr>
          <w:rFonts w:hint="eastAsia"/>
          <w:b/>
          <w:bCs/>
          <w:sz w:val="24"/>
          <w:szCs w:val="24"/>
          <w:lang w:val="en-US" w:eastAsia="zh-CN"/>
        </w:rPr>
        <w:t>2</w:t>
      </w:r>
      <w:r>
        <w:rPr>
          <w:rFonts w:hint="eastAsia"/>
          <w:b/>
          <w:bCs/>
          <w:sz w:val="24"/>
          <w:szCs w:val="24"/>
          <w:lang w:eastAsia="zh-CN"/>
        </w:rPr>
        <w:t>）一般污染防渗区</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1）厂内生产区地面全部水泥硬化；</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2）定期检修污水池、污水管，加强防渗处理的工程管理，发生设备故障、泄漏事故等意外时，应及时采取有效措施，如采用备用设备、紧急停运检修等，降低风险环境影响；</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 xml:space="preserve">3）做好污水灌溉输送管道的维护检查工作，确保管道无老化、无破损，避免污水泄漏，造成沿途土壤、地下水受到污染；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 xml:space="preserve">4）建设单位应全面推行清洁生产，从源头减少和预防废物的产生、排放，从源头到末端全方位采取有效控制措施，应从原料产品的储存、装卸、运输、生产、污染处理措施等各个环节和过程进行有效控制，避免污染物泄（渗）漏，同时对可能会泄漏的区域采取防渗措施；对各类固体废物和废水进行循环利用，减少污染物的排放量；提高企业的管理水平，对工艺、管道、设备、污水储存和处理构筑物进行严格的监管，防止污染物的跑、冒、滴、漏，将污染物泄漏的环境风险事故降到最低限度。节约用水，防止产生大量生活污水淋洒场地后，氨氮等生活污染物下渗污染地下水。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1" w:firstLineChars="200"/>
        <w:jc w:val="both"/>
        <w:textAlignment w:val="auto"/>
        <w:rPr>
          <w:rFonts w:hint="eastAsia"/>
          <w:b/>
          <w:bCs/>
          <w:sz w:val="24"/>
          <w:szCs w:val="24"/>
          <w:lang w:eastAsia="zh-CN"/>
        </w:rPr>
      </w:pPr>
      <w:r>
        <w:rPr>
          <w:rFonts w:hint="eastAsia"/>
          <w:b/>
          <w:bCs/>
          <w:sz w:val="24"/>
          <w:szCs w:val="24"/>
          <w:lang w:eastAsia="zh-CN"/>
        </w:rPr>
        <w:t>（</w:t>
      </w:r>
      <w:r>
        <w:rPr>
          <w:rFonts w:hint="eastAsia"/>
          <w:b/>
          <w:bCs/>
          <w:sz w:val="24"/>
          <w:szCs w:val="24"/>
          <w:lang w:val="en-US" w:eastAsia="zh-CN"/>
        </w:rPr>
        <w:t>3</w:t>
      </w:r>
      <w:r>
        <w:rPr>
          <w:rFonts w:hint="eastAsia"/>
          <w:b/>
          <w:bCs/>
          <w:sz w:val="24"/>
          <w:szCs w:val="24"/>
          <w:lang w:eastAsia="zh-CN"/>
        </w:rPr>
        <w:t>）简单防渗区</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生产区、生活区其他区域（除绿化用地之外）应全部进行硬化处理，实现场区不裸露土层。</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eastAsia="zh-CN"/>
        </w:rPr>
        <w:t>表</w:t>
      </w:r>
      <w:r>
        <w:rPr>
          <w:rFonts w:hint="default" w:ascii="Times New Roman" w:hAnsi="Times New Roman" w:eastAsia="宋体" w:cs="Times New Roman"/>
          <w:b/>
          <w:bCs/>
          <w:sz w:val="21"/>
          <w:szCs w:val="21"/>
          <w:lang w:val="en-US" w:eastAsia="zh-CN"/>
        </w:rPr>
        <w:t>7.2-3   主要场地分区防渗要求</w:t>
      </w:r>
    </w:p>
    <w:tbl>
      <w:tblPr>
        <w:tblStyle w:val="63"/>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182"/>
        <w:gridCol w:w="634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182" w:type="dxa"/>
            <w:tcBorders>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防渗级别</w:t>
            </w:r>
          </w:p>
        </w:tc>
        <w:tc>
          <w:tcPr>
            <w:tcW w:w="6340" w:type="dxa"/>
            <w:tcBorders>
              <w:bottom w:val="single" w:color="auto" w:sz="12" w:space="0"/>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防渗要求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182" w:type="dxa"/>
            <w:tcBorders>
              <w:top w:val="single" w:color="auto" w:sz="12" w:space="0"/>
              <w:tl2br w:val="nil"/>
              <w:tr2bl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重点防渗区域（污水处理设施、异位发酵床、猪舍、应急池、废水收集管网路段）</w:t>
            </w:r>
          </w:p>
        </w:tc>
        <w:tc>
          <w:tcPr>
            <w:tcW w:w="6340" w:type="dxa"/>
            <w:tcBorders>
              <w:top w:val="single" w:color="auto" w:sz="12" w:space="0"/>
              <w:tl2br w:val="nil"/>
              <w:tr2bl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建、构筑物地基需做防渗处理，在施工图设计及施工阶段对基础层进行防渗处理，采用符合要求的天然基础层或人工合成衬里材料，具体要求依据《危险废物贮存污染控制标准》（</w:t>
            </w:r>
            <w:r>
              <w:rPr>
                <w:rFonts w:hint="eastAsia"/>
                <w:sz w:val="21"/>
                <w:szCs w:val="21"/>
                <w:vertAlign w:val="baseline"/>
                <w:lang w:val="en-US" w:eastAsia="zh-CN"/>
              </w:rPr>
              <w:t>GB18597-2001</w:t>
            </w:r>
            <w:r>
              <w:rPr>
                <w:rFonts w:hint="eastAsia"/>
                <w:sz w:val="21"/>
                <w:szCs w:val="21"/>
                <w:vertAlign w:val="baseline"/>
                <w:lang w:eastAsia="zh-CN"/>
              </w:rPr>
              <w:t>）。部分构筑物除需做基础防渗处理外，还需根据生产过程中接触到的物料腐蚀性情况采取相应的防腐蚀性措施。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182" w:type="dxa"/>
            <w:tcBorders>
              <w:tl2br w:val="nil"/>
              <w:tr2bl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一般防渗区域</w:t>
            </w:r>
          </w:p>
        </w:tc>
        <w:tc>
          <w:tcPr>
            <w:tcW w:w="6340" w:type="dxa"/>
            <w:tcBorders>
              <w:tl2br w:val="nil"/>
              <w:tr2bl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z w:val="21"/>
                <w:szCs w:val="21"/>
                <w:vertAlign w:val="baseline"/>
                <w:lang w:val="en-US" w:eastAsia="zh-CN"/>
              </w:rPr>
            </w:pPr>
            <w:r>
              <w:rPr>
                <w:rFonts w:hint="eastAsia"/>
                <w:sz w:val="21"/>
                <w:szCs w:val="21"/>
                <w:vertAlign w:val="baseline"/>
                <w:lang w:eastAsia="zh-CN"/>
              </w:rPr>
              <w:t>建、构筑物地基需做防渗处理，在施工图设计及施工阶段对基础层进行防渗处理，采用符合要求的天然黏土防渗层，具体要求依据《生活垃圾填埋场控制标准》（</w:t>
            </w:r>
            <w:r>
              <w:rPr>
                <w:rFonts w:hint="eastAsia"/>
                <w:sz w:val="21"/>
                <w:szCs w:val="21"/>
                <w:vertAlign w:val="baseline"/>
                <w:lang w:val="en-US" w:eastAsia="zh-CN"/>
              </w:rPr>
              <w:t>GB16889-2008</w:t>
            </w:r>
            <w:r>
              <w:rPr>
                <w:rFonts w:hint="eastAsia"/>
                <w:sz w:val="21"/>
                <w:szCs w:val="21"/>
                <w:vertAlign w:val="baseline"/>
                <w:lang w:eastAsia="zh-CN"/>
              </w:rPr>
              <w:t>）进行实施。等效黏土防渗层</w:t>
            </w:r>
            <w:r>
              <w:rPr>
                <w:rFonts w:hint="eastAsia"/>
                <w:sz w:val="21"/>
                <w:szCs w:val="21"/>
                <w:vertAlign w:val="baseline"/>
                <w:lang w:val="en-US" w:eastAsia="zh-CN"/>
              </w:rPr>
              <w:t>Mb≥1.5m，采取防渗措施后的基础层渗透系数≤1.0×10</w:t>
            </w:r>
            <w:r>
              <w:rPr>
                <w:rFonts w:hint="eastAsia"/>
                <w:sz w:val="21"/>
                <w:szCs w:val="21"/>
                <w:vertAlign w:val="superscript"/>
                <w:lang w:val="en-US" w:eastAsia="zh-CN"/>
              </w:rPr>
              <w:t>-7</w:t>
            </w:r>
            <w:r>
              <w:rPr>
                <w:rFonts w:hint="eastAsia"/>
                <w:sz w:val="21"/>
                <w:szCs w:val="21"/>
                <w:vertAlign w:val="baseline"/>
                <w:lang w:val="en-US" w:eastAsia="zh-CN"/>
              </w:rPr>
              <w:t>cm/s</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jc w:val="center"/>
        </w:trPr>
        <w:tc>
          <w:tcPr>
            <w:tcW w:w="2182" w:type="dxa"/>
            <w:tcBorders>
              <w:tl2br w:val="nil"/>
              <w:tr2bl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简单防渗区域（道路）</w:t>
            </w:r>
          </w:p>
        </w:tc>
        <w:tc>
          <w:tcPr>
            <w:tcW w:w="6340" w:type="dxa"/>
            <w:tcBorders>
              <w:tl2br w:val="nil"/>
              <w:tr2bl w:val="nil"/>
            </w:tcBorders>
            <w:noWrap w:val="0"/>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sz w:val="21"/>
                <w:szCs w:val="21"/>
                <w:vertAlign w:val="baseline"/>
                <w:lang w:eastAsia="zh-CN"/>
              </w:rPr>
            </w:pPr>
            <w:r>
              <w:rPr>
                <w:rFonts w:hint="eastAsia"/>
                <w:sz w:val="21"/>
                <w:szCs w:val="21"/>
                <w:vertAlign w:val="baseline"/>
                <w:lang w:eastAsia="zh-CN"/>
              </w:rPr>
              <w:t>一般地面硬化</w:t>
            </w:r>
          </w:p>
        </w:tc>
      </w:tr>
    </w:tbl>
    <w:p>
      <w:pPr>
        <w:pStyle w:val="8"/>
        <w:rPr>
          <w:rFonts w:hint="eastAsia"/>
        </w:rPr>
      </w:pPr>
      <w:r>
        <w:rPr>
          <w:rFonts w:hint="eastAsia"/>
          <w:sz w:val="24"/>
          <w:szCs w:val="24"/>
          <w:lang w:eastAsia="zh-CN"/>
        </w:rPr>
        <w:t>因此，在建设单位严格按照本次评价提出的防渗措施对各单元进行治理后，各功能区及各单元的渗透系数均较低，本项目废水、固废堆存淋滤液向地下水发生渗透的概率较小，因此对区域内地下水污染产生的不利影响较小。</w:t>
      </w:r>
    </w:p>
    <w:p>
      <w:pPr>
        <w:pStyle w:val="5"/>
        <w:ind w:firstLine="562"/>
      </w:pPr>
      <w:r>
        <w:rPr>
          <w:rFonts w:hint="eastAsia"/>
          <w:lang w:eastAsia="zh-CN"/>
        </w:rPr>
        <w:t xml:space="preserve">噪声污染防治措施及其可行性论证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 xml:space="preserve">本项目噪声主要来源于猪只叫声、水泵、风机及备用发电机等，项目拟采取的噪声污染防治措施主要包括： </w:t>
      </w:r>
    </w:p>
    <w:p>
      <w:pPr>
        <w:pStyle w:val="8"/>
        <w:keepNext w:val="0"/>
        <w:keepLines w:val="0"/>
        <w:pageBreakBefore w:val="0"/>
        <w:widowControl w:val="0"/>
        <w:numPr>
          <w:ilvl w:val="0"/>
          <w:numId w:val="21"/>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 xml:space="preserve">从声源上降噪 根据本项目噪声源特征，建议在设计和设备采购阶段，优先选用低噪声设备，从而从声源上降低设备本身的噪声。 </w:t>
      </w:r>
    </w:p>
    <w:p>
      <w:pPr>
        <w:pStyle w:val="8"/>
        <w:keepNext w:val="0"/>
        <w:keepLines w:val="0"/>
        <w:pageBreakBefore w:val="0"/>
        <w:widowControl w:val="0"/>
        <w:numPr>
          <w:ilvl w:val="0"/>
          <w:numId w:val="21"/>
        </w:numPr>
        <w:kinsoku/>
        <w:wordWrap/>
        <w:overflowPunct/>
        <w:topLinePunct w:val="0"/>
        <w:autoSpaceDE w:val="0"/>
        <w:autoSpaceDN w:val="0"/>
        <w:bidi w:val="0"/>
        <w:adjustRightInd/>
        <w:snapToGrid/>
        <w:spacing w:line="360" w:lineRule="auto"/>
        <w:ind w:left="0" w:leftChars="0" w:firstLine="480" w:firstLineChars="200"/>
        <w:jc w:val="both"/>
        <w:textAlignment w:val="auto"/>
        <w:rPr>
          <w:rFonts w:hint="eastAsia"/>
          <w:sz w:val="24"/>
          <w:szCs w:val="24"/>
          <w:lang w:eastAsia="zh-CN"/>
        </w:rPr>
      </w:pPr>
      <w:r>
        <w:rPr>
          <w:rFonts w:hint="eastAsia"/>
          <w:sz w:val="24"/>
          <w:szCs w:val="24"/>
          <w:lang w:eastAsia="zh-CN"/>
        </w:rPr>
        <w:t>从传播途径上降噪 厂区周围建设一定高度的隔声屏障，如围墙，减少项目噪声对设备房外或场区外声环境的影响；种植一定的乔木、灌木林等绿化带，有利于减少噪声污染。</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both"/>
        <w:textAlignment w:val="auto"/>
        <w:rPr>
          <w:rFonts w:hint="eastAsia"/>
          <w:sz w:val="24"/>
          <w:szCs w:val="24"/>
          <w:lang w:eastAsia="zh-CN"/>
        </w:rPr>
      </w:pPr>
      <w:r>
        <w:rPr>
          <w:rFonts w:hint="eastAsia"/>
          <w:sz w:val="24"/>
          <w:szCs w:val="24"/>
          <w:lang w:eastAsia="zh-CN"/>
        </w:rPr>
        <w:t xml:space="preserve">加强设备维护，确保设备处于良好的运转状态，杜绝因设备不正常运转时产生的高噪声现象。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 xml:space="preserve">（3）从平面布置上降噪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合理布置生产设备，高噪声源尽量远离厂界和保护目标，确保厂界噪声达标。 经过预测分析后，采取以上措施后，能有效减少项目营运期噪声对周围环境的影响，厂界处的噪声能够达到《工业企业厂界环境噪声排放标准》（GB12348-2008）中</w:t>
      </w:r>
      <w:r>
        <w:rPr>
          <w:rFonts w:hint="eastAsia"/>
          <w:sz w:val="24"/>
          <w:szCs w:val="24"/>
          <w:lang w:val="en-US" w:eastAsia="zh-CN"/>
        </w:rPr>
        <w:t>1</w:t>
      </w:r>
      <w:r>
        <w:rPr>
          <w:rFonts w:hint="eastAsia"/>
          <w:sz w:val="24"/>
          <w:szCs w:val="24"/>
          <w:lang w:eastAsia="zh-CN"/>
        </w:rPr>
        <w:t xml:space="preserve">类标准。因此，从经济和技术上分析，本项目采取的噪声污染防治措施是可行的。 </w:t>
      </w:r>
    </w:p>
    <w:p>
      <w:pPr>
        <w:pStyle w:val="5"/>
        <w:ind w:firstLine="562"/>
      </w:pPr>
      <w:r>
        <w:rPr>
          <w:rFonts w:hint="eastAsia"/>
          <w:lang w:eastAsia="zh-CN"/>
        </w:rPr>
        <w:t xml:space="preserve">固体废物处理措施及其可行性论证 </w:t>
      </w:r>
    </w:p>
    <w:p>
      <w:pPr>
        <w:pStyle w:val="6"/>
      </w:pPr>
      <w:r>
        <w:rPr>
          <w:rFonts w:hint="eastAsia"/>
          <w:lang w:eastAsia="zh-CN"/>
        </w:rPr>
        <w:t>固体废物污染防治措施</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eastAsia="zh-CN"/>
        </w:rPr>
        <w:t>产生的粪污经异位发酵床处理得到有机肥；病死猪按《畜禽病害肉尸及其产品无害化处理规程》（</w:t>
      </w:r>
      <w:r>
        <w:rPr>
          <w:rFonts w:hint="eastAsia"/>
          <w:sz w:val="24"/>
          <w:szCs w:val="24"/>
          <w:lang w:val="en-US" w:eastAsia="zh-CN"/>
        </w:rPr>
        <w:t>GB16548-1996</w:t>
      </w:r>
      <w:r>
        <w:rPr>
          <w:rFonts w:hint="eastAsia"/>
          <w:sz w:val="24"/>
          <w:szCs w:val="24"/>
          <w:lang w:eastAsia="zh-CN"/>
        </w:rPr>
        <w:t>）和《畜禽养殖业污染防治技术规范》（</w:t>
      </w:r>
      <w:r>
        <w:rPr>
          <w:rFonts w:hint="eastAsia"/>
          <w:sz w:val="24"/>
          <w:szCs w:val="24"/>
          <w:lang w:val="en-US" w:eastAsia="zh-CN"/>
        </w:rPr>
        <w:t>HJ/T81-2001</w:t>
      </w:r>
      <w:r>
        <w:rPr>
          <w:rFonts w:hint="eastAsia"/>
          <w:sz w:val="24"/>
          <w:szCs w:val="24"/>
          <w:lang w:eastAsia="zh-CN"/>
        </w:rPr>
        <w:t>）进行“一体化”无害化处理；异位发酵床产生的废垫料和无害化处理制得的油脂、骨粉经发酵制得有机肥；生活垃圾设置固定的垃圾堆放点，定期由环卫部门运走统一处理。疫苗针头等医疗废物应设置专用储存容器，并存放于隔离间（危废暂存间），收集到一定数量后交由有资质的单位进行安全处置。</w:t>
      </w:r>
    </w:p>
    <w:p>
      <w:pPr>
        <w:pStyle w:val="8"/>
        <w:rPr>
          <w:rFonts w:hint="eastAsia"/>
        </w:rPr>
      </w:pPr>
      <w:r>
        <w:rPr>
          <w:rFonts w:hint="eastAsia"/>
          <w:sz w:val="24"/>
          <w:szCs w:val="24"/>
          <w:lang w:eastAsia="zh-CN"/>
        </w:rPr>
        <w:t>根据《广东省人民政府办公厅关于建立病死畜禽无害化处理机制的实施意见》（粤府办</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2015</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36号</w:t>
      </w:r>
      <w:r>
        <w:rPr>
          <w:rFonts w:hint="eastAsia"/>
          <w:sz w:val="24"/>
          <w:szCs w:val="24"/>
          <w:lang w:eastAsia="zh-CN"/>
        </w:rPr>
        <w:t>）和韶关市的要求，“从事畜禽饲养、屠宰、经营、运输的单位和个人是病死畜禽无害化处理的第一责任人，任何单位和个人不得抛弃、收购、贩卖、屠宰、加工病死畜禽。鼓励大型养殖场、屠宰场、批发市场等配备病死畜禽无害化处理设施设备，实现自主处理”。</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根据《病死及病害动物无害化处理技术规范》（农医发</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2017</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25号</w:t>
      </w:r>
      <w:r>
        <w:rPr>
          <w:rFonts w:hint="eastAsia"/>
          <w:sz w:val="24"/>
          <w:szCs w:val="24"/>
          <w:lang w:eastAsia="zh-CN"/>
        </w:rPr>
        <w:t>）要求，本项目处理病死猪方法属于规范推荐的化制法，化制法具体要求如下：</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不得用于患有炭疽等芽孢杆菌类疫病，以及牛海绵状脑病、痒病的染疫动物及产品、组织的处理。</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技术要求：</w:t>
      </w:r>
    </w:p>
    <w:p>
      <w:pPr>
        <w:pStyle w:val="8"/>
        <w:keepNext w:val="0"/>
        <w:keepLines w:val="0"/>
        <w:pageBreakBefore w:val="0"/>
        <w:widowControl w:val="0"/>
        <w:numPr>
          <w:ilvl w:val="0"/>
          <w:numId w:val="22"/>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可视情况对病死及病害动物和相关动物产品进行破碎等预处理。</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2</w:t>
      </w:r>
      <w:r>
        <w:rPr>
          <w:rFonts w:hint="eastAsia"/>
          <w:sz w:val="24"/>
          <w:szCs w:val="24"/>
          <w:lang w:eastAsia="zh-CN"/>
        </w:rPr>
        <w:t>）病死及病害动物和相关动物产品或破碎产污输送入高温高压灭菌容器。</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eastAsia="zh-CN"/>
        </w:rPr>
        <w:t>（</w:t>
      </w:r>
      <w:r>
        <w:rPr>
          <w:rFonts w:hint="eastAsia"/>
          <w:sz w:val="24"/>
          <w:szCs w:val="24"/>
          <w:lang w:val="en-US" w:eastAsia="zh-CN"/>
        </w:rPr>
        <w:t>3</w:t>
      </w:r>
      <w:r>
        <w:rPr>
          <w:rFonts w:hint="eastAsia"/>
          <w:sz w:val="24"/>
          <w:szCs w:val="24"/>
          <w:lang w:eastAsia="zh-CN"/>
        </w:rPr>
        <w:t>）处理物中心温度≥</w:t>
      </w:r>
      <w:r>
        <w:rPr>
          <w:rFonts w:hint="eastAsia"/>
          <w:sz w:val="24"/>
          <w:szCs w:val="24"/>
          <w:lang w:val="en-US" w:eastAsia="zh-CN"/>
        </w:rPr>
        <w:t>140℃，压力</w:t>
      </w:r>
      <w:r>
        <w:rPr>
          <w:rFonts w:hint="eastAsia"/>
          <w:sz w:val="24"/>
          <w:szCs w:val="24"/>
          <w:lang w:eastAsia="zh-CN"/>
        </w:rPr>
        <w:t>≥</w:t>
      </w:r>
      <w:r>
        <w:rPr>
          <w:rFonts w:hint="eastAsia"/>
          <w:sz w:val="24"/>
          <w:szCs w:val="24"/>
          <w:lang w:val="en-US" w:eastAsia="zh-CN"/>
        </w:rPr>
        <w:t>0.5MPa（绝对压力），时间≥4h（具体处理时间随处理无种类和体积大小而设定）。</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4</w:t>
      </w:r>
      <w:r>
        <w:rPr>
          <w:rFonts w:hint="eastAsia"/>
          <w:sz w:val="24"/>
          <w:szCs w:val="24"/>
          <w:lang w:eastAsia="zh-CN"/>
        </w:rPr>
        <w:t>）加热烘干产生的热蒸汽经废气处理系统后排出。</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5</w:t>
      </w:r>
      <w:r>
        <w:rPr>
          <w:rFonts w:hint="eastAsia"/>
          <w:sz w:val="24"/>
          <w:szCs w:val="24"/>
          <w:lang w:eastAsia="zh-CN"/>
        </w:rPr>
        <w:t>）加热烘干产生的动物尸体残渣传输至压榨系统处理。</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操作注意事项：</w:t>
      </w:r>
    </w:p>
    <w:p>
      <w:pPr>
        <w:pStyle w:val="8"/>
        <w:keepNext w:val="0"/>
        <w:keepLines w:val="0"/>
        <w:pageBreakBefore w:val="0"/>
        <w:widowControl w:val="0"/>
        <w:numPr>
          <w:ilvl w:val="0"/>
          <w:numId w:val="23"/>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搅拌系统的工作时间应以烘干剩余物基本不含水分为宜，根据处理物量的多少，适当延长或缩短搅拌时间。</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eastAsia="zh-CN"/>
        </w:rPr>
        <w:t>（</w:t>
      </w:r>
      <w:r>
        <w:rPr>
          <w:rFonts w:hint="eastAsia"/>
          <w:sz w:val="24"/>
          <w:szCs w:val="24"/>
          <w:lang w:val="en-US" w:eastAsia="zh-CN"/>
        </w:rPr>
        <w:t>2</w:t>
      </w:r>
      <w:r>
        <w:rPr>
          <w:rFonts w:hint="eastAsia"/>
          <w:sz w:val="24"/>
          <w:szCs w:val="24"/>
          <w:lang w:eastAsia="zh-CN"/>
        </w:rPr>
        <w:t>）应使用合理的污水处理系统，有效去除有机物、氨氮、达到</w:t>
      </w:r>
      <w:r>
        <w:rPr>
          <w:rFonts w:hint="eastAsia"/>
          <w:sz w:val="24"/>
          <w:szCs w:val="24"/>
          <w:lang w:val="en-US" w:eastAsia="zh-CN"/>
        </w:rPr>
        <w:t>GB8978的要求。</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eastAsia="zh-CN"/>
        </w:rPr>
        <w:t>（</w:t>
      </w:r>
      <w:r>
        <w:rPr>
          <w:rFonts w:hint="eastAsia"/>
          <w:sz w:val="24"/>
          <w:szCs w:val="24"/>
          <w:lang w:val="en-US" w:eastAsia="zh-CN"/>
        </w:rPr>
        <w:t>3</w:t>
      </w:r>
      <w:r>
        <w:rPr>
          <w:rFonts w:hint="eastAsia"/>
          <w:sz w:val="24"/>
          <w:szCs w:val="24"/>
          <w:lang w:eastAsia="zh-CN"/>
        </w:rPr>
        <w:t>）应使用合理的废气处理系统，有效吸收处理过程中动物尸体腐败产生的恶臭气体，达到</w:t>
      </w:r>
      <w:r>
        <w:rPr>
          <w:rFonts w:hint="eastAsia"/>
          <w:sz w:val="24"/>
          <w:szCs w:val="24"/>
          <w:lang w:val="en-US" w:eastAsia="zh-CN"/>
        </w:rPr>
        <w:t>GB16297要求后外排。</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4</w:t>
      </w:r>
      <w:r>
        <w:rPr>
          <w:rFonts w:hint="eastAsia"/>
          <w:sz w:val="24"/>
          <w:szCs w:val="24"/>
          <w:lang w:eastAsia="zh-CN"/>
        </w:rPr>
        <w:t>）高温高压灭菌容器操作人员应符合相关专业要求，持证上岗。</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5</w:t>
      </w:r>
      <w:r>
        <w:rPr>
          <w:rFonts w:hint="eastAsia"/>
          <w:sz w:val="24"/>
          <w:szCs w:val="24"/>
          <w:lang w:eastAsia="zh-CN"/>
        </w:rPr>
        <w:t>）处理结束后，需对墙面、地面及相关工具进行彻底清洗消毒。</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left"/>
        <w:textAlignment w:val="auto"/>
        <w:rPr>
          <w:rFonts w:hint="eastAsia"/>
          <w:sz w:val="24"/>
          <w:szCs w:val="24"/>
          <w:lang w:val="en-US" w:eastAsia="zh-CN"/>
        </w:rPr>
      </w:pPr>
      <w:r>
        <w:rPr>
          <w:rFonts w:hint="eastAsia"/>
          <w:sz w:val="24"/>
          <w:szCs w:val="24"/>
          <w:lang w:eastAsia="zh-CN"/>
        </w:rPr>
        <w:t>根据本项目的实际情况，本项目不需要对动物尸体进行预处理，高温高压灭菌容器使用频率约为</w:t>
      </w:r>
      <w:r>
        <w:rPr>
          <w:rFonts w:hint="eastAsia"/>
          <w:sz w:val="24"/>
          <w:szCs w:val="24"/>
          <w:lang w:val="en-US" w:eastAsia="zh-CN"/>
        </w:rPr>
        <w:t>1次/1星期，能源为电。</w:t>
      </w:r>
    </w:p>
    <w:p>
      <w:pPr>
        <w:pStyle w:val="6"/>
      </w:pPr>
      <w:r>
        <w:rPr>
          <w:rFonts w:hint="eastAsia"/>
          <w:lang w:eastAsia="zh-CN"/>
        </w:rPr>
        <w:t>固体处理经济技术可行性分析</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default"/>
          <w:sz w:val="24"/>
          <w:szCs w:val="24"/>
          <w:lang w:val="en-US" w:eastAsia="zh-CN"/>
        </w:rPr>
      </w:pPr>
      <w:r>
        <w:rPr>
          <w:rFonts w:hint="eastAsia"/>
          <w:sz w:val="24"/>
          <w:szCs w:val="24"/>
          <w:lang w:eastAsia="zh-CN"/>
        </w:rPr>
        <w:t>综上所述，本项目所产生的固废均能得到有效的处置，不会对环境产生影响。有机肥仓库、化制池、隔离间（危废暂存间）等建设费用约为</w:t>
      </w:r>
      <w:r>
        <w:rPr>
          <w:rFonts w:hint="eastAsia"/>
          <w:sz w:val="24"/>
          <w:szCs w:val="24"/>
          <w:lang w:val="en-US" w:eastAsia="zh-CN"/>
        </w:rPr>
        <w:t>25万元，占项目总投资的1.95%，占项目总投资的比例可接受。因此，本项目固废治理措施在经济和技术上是可行的。</w:t>
      </w:r>
    </w:p>
    <w:p>
      <w:pPr>
        <w:pStyle w:val="5"/>
        <w:ind w:firstLine="562"/>
      </w:pPr>
      <w:r>
        <w:rPr>
          <w:rFonts w:hint="eastAsia"/>
          <w:lang w:eastAsia="zh-CN"/>
        </w:rPr>
        <w:t xml:space="preserve">土壤环境防治措施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1</w:t>
      </w:r>
      <w:r>
        <w:rPr>
          <w:rFonts w:hint="eastAsia"/>
          <w:sz w:val="24"/>
          <w:szCs w:val="24"/>
          <w:lang w:eastAsia="zh-CN"/>
        </w:rPr>
        <w:t xml:space="preserve">）项目外购的饲料均进行成分检测，确保其满足中华人民共和国农业行业标准《无公害食品生猪饲养饲料使用准则》（NY5032-2001），从源头控制重金属及微生物的允许量，确保饲料中不含兴奋剂、镇静剂和各种违禁药品，保证饲料的清洁性、营养性和安全性；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2</w:t>
      </w:r>
      <w:r>
        <w:rPr>
          <w:rFonts w:hint="eastAsia"/>
          <w:sz w:val="24"/>
          <w:szCs w:val="24"/>
          <w:lang w:eastAsia="zh-CN"/>
        </w:rPr>
        <w:t>）未腐熟或腐熟不够的有机肥，由于碳氮比(C/N)过高，土壤微生物难以分解，作物很难利用，而且新鲜的禽畜粪含盐较高，作物不但不吸收，还容易加剧地下害虫的危害。因此，粪便经过处理成为腐熟的有机肥再外售，禁止将未腐熟或腐熟不够的有机肥外售；</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3</w:t>
      </w:r>
      <w:r>
        <w:rPr>
          <w:rFonts w:hint="eastAsia"/>
          <w:sz w:val="24"/>
          <w:szCs w:val="24"/>
          <w:lang w:eastAsia="zh-CN"/>
        </w:rPr>
        <w:t>）结合地下水污染防治措施建设，本项目在场地内污染区建设地面的防渗措施、泄漏污染物收集措施。</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1）防渗措施</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本项目根据可能泄漏至地面区域污染物的性质和项目构建筑物的布局、构筑方式，将厂区进行防渗分区。对各池体等非可视部位可能发生渗漏进入地下水的区域，划分地下水重点防渗区，强化防渗、抗裂和抗震的设计和材料选择，建立防渗设施的检漏系统。</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2）防腐防渗设计</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本项目对水处理的建、构筑物采用C30抗渗混凝土面层，抗渗等级S。</w:t>
      </w:r>
    </w:p>
    <w:p>
      <w:pPr>
        <w:pStyle w:val="8"/>
        <w:rPr>
          <w:rFonts w:hint="eastAsia"/>
        </w:rPr>
      </w:pPr>
      <w:r>
        <w:rPr>
          <w:rFonts w:hint="eastAsia"/>
          <w:sz w:val="24"/>
          <w:szCs w:val="24"/>
          <w:lang w:eastAsia="zh-CN"/>
        </w:rPr>
        <w:t>综上，通过以上工程和管理措施可有效防止土壤污染，措施可行。</w:t>
      </w:r>
    </w:p>
    <w:p>
      <w:pPr>
        <w:pStyle w:val="5"/>
        <w:ind w:firstLine="562"/>
      </w:pPr>
      <w:r>
        <w:rPr>
          <w:rFonts w:hint="eastAsia"/>
          <w:lang w:eastAsia="zh-CN"/>
        </w:rPr>
        <w:t xml:space="preserve">生态环境防治措施 </w:t>
      </w:r>
    </w:p>
    <w:p>
      <w:pPr>
        <w:pStyle w:val="8"/>
        <w:keepNext w:val="0"/>
        <w:keepLines w:val="0"/>
        <w:pageBreakBefore w:val="0"/>
        <w:widowControl w:val="0"/>
        <w:numPr>
          <w:ilvl w:val="0"/>
          <w:numId w:val="24"/>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 xml:space="preserve">厂区应制定绿化规划，实施全面绿化。结合各种生产设施的特点，种植高低相结合的乔灌木，形成隔离林带，防止污染扩散。 </w:t>
      </w:r>
    </w:p>
    <w:p>
      <w:pPr>
        <w:pStyle w:val="8"/>
        <w:keepNext w:val="0"/>
        <w:keepLines w:val="0"/>
        <w:pageBreakBefore w:val="0"/>
        <w:widowControl w:val="0"/>
        <w:numPr>
          <w:ilvl w:val="0"/>
          <w:numId w:val="24"/>
        </w:numPr>
        <w:kinsoku/>
        <w:wordWrap/>
        <w:overflowPunct/>
        <w:topLinePunct w:val="0"/>
        <w:autoSpaceDE w:val="0"/>
        <w:autoSpaceDN w:val="0"/>
        <w:bidi w:val="0"/>
        <w:adjustRightInd/>
        <w:snapToGrid/>
        <w:spacing w:line="360" w:lineRule="auto"/>
        <w:ind w:left="0" w:leftChars="0" w:firstLine="480" w:firstLineChars="200"/>
        <w:jc w:val="both"/>
        <w:textAlignment w:val="auto"/>
        <w:rPr>
          <w:rFonts w:hint="eastAsia"/>
          <w:sz w:val="24"/>
          <w:szCs w:val="24"/>
          <w:lang w:eastAsia="zh-CN"/>
        </w:rPr>
      </w:pPr>
      <w:r>
        <w:rPr>
          <w:rFonts w:hint="eastAsia"/>
          <w:sz w:val="24"/>
          <w:szCs w:val="24"/>
          <w:lang w:eastAsia="zh-CN"/>
        </w:rPr>
        <w:t xml:space="preserve">工程厂区周围应积极实施绿化防护林带建设，根据评价现场勘察，周边可利用地较多，具有建设绿化林带的条件，其林带宽度不少于20m。 </w:t>
      </w:r>
    </w:p>
    <w:p>
      <w:pPr>
        <w:pStyle w:val="8"/>
        <w:keepNext w:val="0"/>
        <w:keepLines w:val="0"/>
        <w:pageBreakBefore w:val="0"/>
        <w:widowControl w:val="0"/>
        <w:numPr>
          <w:ilvl w:val="0"/>
          <w:numId w:val="24"/>
        </w:numPr>
        <w:kinsoku/>
        <w:wordWrap/>
        <w:overflowPunct/>
        <w:topLinePunct w:val="0"/>
        <w:autoSpaceDE w:val="0"/>
        <w:autoSpaceDN w:val="0"/>
        <w:bidi w:val="0"/>
        <w:adjustRightInd/>
        <w:snapToGrid/>
        <w:spacing w:line="360" w:lineRule="auto"/>
        <w:ind w:left="0" w:leftChars="0" w:firstLine="480" w:firstLineChars="200"/>
        <w:jc w:val="both"/>
        <w:textAlignment w:val="auto"/>
        <w:rPr>
          <w:rFonts w:hint="eastAsia"/>
          <w:sz w:val="24"/>
          <w:szCs w:val="24"/>
          <w:lang w:eastAsia="zh-CN"/>
        </w:rPr>
      </w:pPr>
      <w:r>
        <w:rPr>
          <w:rFonts w:hint="eastAsia"/>
          <w:sz w:val="24"/>
          <w:szCs w:val="24"/>
          <w:lang w:eastAsia="zh-CN"/>
        </w:rPr>
        <w:t xml:space="preserve">加强绿化管理及职工素质教育，从根本上树立生态保护的整体形象。 </w:t>
      </w:r>
    </w:p>
    <w:p>
      <w:pPr>
        <w:pStyle w:val="8"/>
        <w:keepNext w:val="0"/>
        <w:keepLines w:val="0"/>
        <w:pageBreakBefore w:val="0"/>
        <w:widowControl w:val="0"/>
        <w:numPr>
          <w:ilvl w:val="0"/>
          <w:numId w:val="24"/>
        </w:numPr>
        <w:kinsoku/>
        <w:wordWrap/>
        <w:overflowPunct/>
        <w:topLinePunct w:val="0"/>
        <w:autoSpaceDE w:val="0"/>
        <w:autoSpaceDN w:val="0"/>
        <w:bidi w:val="0"/>
        <w:adjustRightInd/>
        <w:snapToGrid/>
        <w:spacing w:line="360" w:lineRule="auto"/>
        <w:ind w:left="0" w:leftChars="0" w:firstLine="480" w:firstLineChars="200"/>
        <w:jc w:val="both"/>
        <w:textAlignment w:val="auto"/>
        <w:rPr>
          <w:rFonts w:hint="eastAsia"/>
          <w:sz w:val="24"/>
          <w:szCs w:val="24"/>
          <w:lang w:eastAsia="zh-CN"/>
        </w:rPr>
      </w:pPr>
      <w:r>
        <w:rPr>
          <w:rFonts w:hint="eastAsia"/>
          <w:sz w:val="24"/>
          <w:szCs w:val="24"/>
          <w:lang w:eastAsia="zh-CN"/>
        </w:rPr>
        <w:t xml:space="preserve">严格保护厂址周边的树林生态系统，本项目不得向外扩张和多占土地，所有的设施和道路建设不能妨碍农田基本设施的正常运行和周边居民的正常的生产生活活动。 </w:t>
      </w:r>
    </w:p>
    <w:p>
      <w:pPr>
        <w:pStyle w:val="8"/>
        <w:rPr>
          <w:rFonts w:hint="eastAsia"/>
        </w:rPr>
      </w:pPr>
      <w:r>
        <w:rPr>
          <w:rFonts w:hint="eastAsia"/>
          <w:sz w:val="24"/>
          <w:szCs w:val="24"/>
          <w:lang w:eastAsia="zh-CN"/>
        </w:rPr>
        <w:t>（5）积极预防人为因素引起的环境生态破坏，降低环境风险，及时消除潜在的环境影响。让职工享有环境知情权，调动职工关心健康、预防污染、保护环境的自觉性，通过他们的生产操作消除环境隐患的威胁。</w:t>
      </w:r>
    </w:p>
    <w:p>
      <w:pPr>
        <w:pStyle w:val="5"/>
        <w:ind w:firstLine="562"/>
      </w:pPr>
      <w:r>
        <w:rPr>
          <w:rFonts w:hint="eastAsia"/>
          <w:lang w:eastAsia="zh-CN"/>
        </w:rPr>
        <w:t xml:space="preserve">养猪场猪病预防及防治措施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 xml:space="preserve">猪病预防总的原则是“预防为主、防重于治、无病先防，采取综合措施防患于未然”。猪病的预防措施主要包括加强饲养管理以提高机体抵抗力；利用药或其他预防措施阻止致病因素危害猪群。加强饲养管理应做到以下几点： </w:t>
      </w:r>
    </w:p>
    <w:p>
      <w:pPr>
        <w:pStyle w:val="8"/>
        <w:keepNext w:val="0"/>
        <w:keepLines w:val="0"/>
        <w:pageBreakBefore w:val="0"/>
        <w:widowControl w:val="0"/>
        <w:numPr>
          <w:ilvl w:val="0"/>
          <w:numId w:val="25"/>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 xml:space="preserve">满足猪群机体需要，保证充足清洁的饮用水，定时提供充足的饲料。 </w:t>
      </w:r>
    </w:p>
    <w:p>
      <w:pPr>
        <w:pStyle w:val="8"/>
        <w:keepNext w:val="0"/>
        <w:keepLines w:val="0"/>
        <w:pageBreakBefore w:val="0"/>
        <w:widowControl w:val="0"/>
        <w:numPr>
          <w:ilvl w:val="0"/>
          <w:numId w:val="25"/>
        </w:numPr>
        <w:kinsoku/>
        <w:wordWrap/>
        <w:overflowPunct/>
        <w:topLinePunct w:val="0"/>
        <w:autoSpaceDE w:val="0"/>
        <w:autoSpaceDN w:val="0"/>
        <w:bidi w:val="0"/>
        <w:adjustRightInd/>
        <w:snapToGrid/>
        <w:spacing w:line="360" w:lineRule="auto"/>
        <w:ind w:left="0" w:leftChars="0" w:firstLine="480" w:firstLineChars="200"/>
        <w:jc w:val="both"/>
        <w:textAlignment w:val="auto"/>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t xml:space="preserve">搞好各猪舍内外的环境卫生，及时清除猪舍周围的杂草、粪便和垃圾。消灭老鼠及蚊蝇。饲料用具及饮水用具要保持清洁并定期消毒。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both"/>
        <w:textAlignment w:val="auto"/>
        <w:rPr>
          <w:rFonts w:hint="eastAsia"/>
          <w:sz w:val="24"/>
          <w:szCs w:val="24"/>
          <w:lang w:eastAsia="zh-CN"/>
        </w:rPr>
      </w:pPr>
      <w:r>
        <w:rPr>
          <w:rFonts w:hint="default" w:ascii="Times New Roman" w:hAnsi="Times New Roman" w:eastAsia="宋体" w:cs="Times New Roman"/>
          <w:sz w:val="24"/>
          <w:szCs w:val="24"/>
          <w:lang w:eastAsia="zh-CN"/>
        </w:rPr>
        <w:t>（3）根据地不同季节做好防寒防暑工作。保证适宜的饲养密度，以避免影响生长发育和生产性能。</w:t>
      </w:r>
      <w:r>
        <w:rPr>
          <w:rFonts w:hint="eastAsia"/>
          <w:sz w:val="24"/>
          <w:szCs w:val="24"/>
          <w:lang w:eastAsia="zh-CN"/>
        </w:rPr>
        <w:t xml:space="preserve">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 xml:space="preserve">猪瘟防疫是当前养猪业所面临的重大实际问题，也是控制猪瘟及消灭猪瘟的重要手段。具体做法是： </w:t>
      </w:r>
    </w:p>
    <w:p>
      <w:pPr>
        <w:pStyle w:val="8"/>
        <w:keepNext w:val="0"/>
        <w:keepLines w:val="0"/>
        <w:pageBreakBefore w:val="0"/>
        <w:widowControl w:val="0"/>
        <w:numPr>
          <w:ilvl w:val="0"/>
          <w:numId w:val="26"/>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 xml:space="preserve">严格引猪检疫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 xml:space="preserve">为切断猪瘟传染机会，猪在入场前应做全面检疫，检疫合格后方可入场。猪群进场后应隔离观察，全面排除疾病后方可进入猪舍饲养。猪舍空出后，彻底消毒。 </w:t>
      </w:r>
    </w:p>
    <w:p>
      <w:pPr>
        <w:pStyle w:val="8"/>
        <w:keepNext w:val="0"/>
        <w:keepLines w:val="0"/>
        <w:pageBreakBefore w:val="0"/>
        <w:widowControl w:val="0"/>
        <w:numPr>
          <w:ilvl w:val="0"/>
          <w:numId w:val="26"/>
        </w:numPr>
        <w:kinsoku/>
        <w:wordWrap/>
        <w:overflowPunct/>
        <w:topLinePunct w:val="0"/>
        <w:autoSpaceDE w:val="0"/>
        <w:autoSpaceDN w:val="0"/>
        <w:bidi w:val="0"/>
        <w:adjustRightInd/>
        <w:snapToGrid/>
        <w:spacing w:line="360" w:lineRule="auto"/>
        <w:ind w:left="0" w:leftChars="0" w:firstLine="480" w:firstLineChars="200"/>
        <w:jc w:val="both"/>
        <w:textAlignment w:val="auto"/>
        <w:rPr>
          <w:rFonts w:hint="eastAsia"/>
          <w:sz w:val="24"/>
          <w:szCs w:val="24"/>
          <w:lang w:eastAsia="zh-CN"/>
        </w:rPr>
      </w:pPr>
      <w:r>
        <w:rPr>
          <w:rFonts w:hint="eastAsia"/>
          <w:sz w:val="24"/>
          <w:szCs w:val="24"/>
          <w:lang w:eastAsia="zh-CN"/>
        </w:rPr>
        <w:t xml:space="preserve">加强饲养管理，增强抗病能力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both"/>
        <w:textAlignment w:val="auto"/>
        <w:rPr>
          <w:rFonts w:hint="eastAsia"/>
          <w:sz w:val="24"/>
          <w:szCs w:val="24"/>
          <w:lang w:eastAsia="zh-CN"/>
        </w:rPr>
      </w:pPr>
      <w:r>
        <w:rPr>
          <w:rFonts w:hint="eastAsia"/>
          <w:sz w:val="24"/>
          <w:szCs w:val="24"/>
          <w:lang w:eastAsia="zh-CN"/>
        </w:rPr>
        <w:t xml:space="preserve">对仔猪要给予足够的营养，增强仔猪的非特异性免疫力和抗病能力，保持猪舍干燥、卫生，并注意夏季降温、冬季保暖。 </w:t>
      </w:r>
    </w:p>
    <w:p>
      <w:pPr>
        <w:pStyle w:val="8"/>
        <w:keepNext w:val="0"/>
        <w:keepLines w:val="0"/>
        <w:pageBreakBefore w:val="0"/>
        <w:widowControl w:val="0"/>
        <w:numPr>
          <w:ilvl w:val="0"/>
          <w:numId w:val="26"/>
        </w:numPr>
        <w:kinsoku/>
        <w:wordWrap/>
        <w:overflowPunct/>
        <w:topLinePunct w:val="0"/>
        <w:autoSpaceDE w:val="0"/>
        <w:autoSpaceDN w:val="0"/>
        <w:bidi w:val="0"/>
        <w:adjustRightInd/>
        <w:snapToGrid/>
        <w:spacing w:line="360" w:lineRule="auto"/>
        <w:ind w:left="0" w:leftChars="0" w:firstLine="480" w:firstLineChars="200"/>
        <w:jc w:val="both"/>
        <w:textAlignment w:val="auto"/>
        <w:rPr>
          <w:rFonts w:hint="eastAsia"/>
          <w:sz w:val="24"/>
          <w:szCs w:val="24"/>
          <w:lang w:eastAsia="zh-CN"/>
        </w:rPr>
      </w:pPr>
      <w:r>
        <w:rPr>
          <w:rFonts w:hint="eastAsia"/>
          <w:sz w:val="24"/>
          <w:szCs w:val="24"/>
          <w:lang w:eastAsia="zh-CN"/>
        </w:rPr>
        <w:t xml:space="preserve">加强防疫及检疫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leftChars="0" w:firstLine="480" w:firstLineChars="200"/>
        <w:jc w:val="both"/>
        <w:textAlignment w:val="auto"/>
        <w:rPr>
          <w:rFonts w:hint="eastAsia"/>
          <w:sz w:val="24"/>
          <w:szCs w:val="24"/>
          <w:lang w:eastAsia="zh-CN"/>
        </w:rPr>
      </w:pPr>
      <w:r>
        <w:rPr>
          <w:rFonts w:hint="eastAsia"/>
          <w:sz w:val="24"/>
          <w:szCs w:val="24"/>
          <w:lang w:eastAsia="zh-CN"/>
        </w:rPr>
        <w:t xml:space="preserve">一旦发生猪瘟后，要封锁疫点，禁止猪流动，病猪及相关物品应采取无害化处理。对未发病的猪，应立即以猪瘟弱毒疫苗（剂量可加大2~4倍）进行紧急预防接种，对猪舍、粪便和用具彻底彻底消毒，饲养用具每天消毒一次。 </w:t>
      </w:r>
    </w:p>
    <w:p>
      <w:pPr>
        <w:pStyle w:val="8"/>
        <w:rPr>
          <w:rFonts w:hint="eastAsia"/>
        </w:rPr>
      </w:pPr>
      <w:r>
        <w:rPr>
          <w:rFonts w:hint="eastAsia"/>
          <w:sz w:val="24"/>
          <w:szCs w:val="24"/>
          <w:lang w:eastAsia="zh-CN"/>
        </w:rPr>
        <w:t xml:space="preserve"> （</w:t>
      </w:r>
      <w:r>
        <w:rPr>
          <w:rFonts w:hint="eastAsia"/>
          <w:sz w:val="24"/>
          <w:szCs w:val="24"/>
          <w:lang w:val="en-US" w:eastAsia="zh-CN"/>
        </w:rPr>
        <w:t>4</w:t>
      </w:r>
      <w:r>
        <w:rPr>
          <w:rFonts w:hint="eastAsia"/>
          <w:sz w:val="24"/>
          <w:szCs w:val="24"/>
          <w:lang w:eastAsia="zh-CN"/>
        </w:rPr>
        <w:t>）养殖基地建设围墙、防疫沟及绿化隔离带。</w:t>
      </w:r>
    </w:p>
    <w:p>
      <w:pPr>
        <w:pStyle w:val="4"/>
      </w:pPr>
      <w:bookmarkStart w:id="81" w:name="_Toc19719"/>
      <w:bookmarkStart w:id="82" w:name="_Toc28251"/>
      <w:r>
        <w:rPr>
          <w:rFonts w:hint="eastAsia"/>
          <w:lang w:eastAsia="zh-CN"/>
        </w:rPr>
        <w:t>环保投资估算</w:t>
      </w:r>
      <w:bookmarkEnd w:id="81"/>
      <w:bookmarkEnd w:id="82"/>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auto"/>
          <w:sz w:val="24"/>
          <w:szCs w:val="24"/>
          <w:lang w:eastAsia="zh-CN"/>
        </w:rPr>
      </w:pPr>
      <w:r>
        <w:rPr>
          <w:rFonts w:hint="eastAsia"/>
          <w:color w:val="auto"/>
          <w:sz w:val="24"/>
          <w:szCs w:val="24"/>
          <w:lang w:eastAsia="zh-CN"/>
        </w:rPr>
        <w:t>本项目建设完成后，工程污染防治投资估算表见下表</w:t>
      </w:r>
      <w:r>
        <w:rPr>
          <w:rFonts w:hint="eastAsia"/>
          <w:color w:val="auto"/>
          <w:sz w:val="24"/>
          <w:szCs w:val="24"/>
          <w:lang w:val="en-US" w:eastAsia="zh-CN"/>
        </w:rPr>
        <w:t>7</w:t>
      </w:r>
      <w:r>
        <w:rPr>
          <w:rFonts w:hint="eastAsia"/>
          <w:color w:val="auto"/>
          <w:sz w:val="24"/>
          <w:szCs w:val="24"/>
          <w:lang w:eastAsia="zh-CN"/>
        </w:rPr>
        <w:t>.3-1。项目总投资</w:t>
      </w:r>
      <w:r>
        <w:rPr>
          <w:rFonts w:hint="eastAsia"/>
          <w:color w:val="auto"/>
          <w:sz w:val="24"/>
          <w:szCs w:val="24"/>
          <w:lang w:val="en-US" w:eastAsia="zh-CN"/>
        </w:rPr>
        <w:t>1800</w:t>
      </w:r>
      <w:r>
        <w:rPr>
          <w:rFonts w:hint="eastAsia"/>
          <w:color w:val="auto"/>
          <w:sz w:val="24"/>
          <w:szCs w:val="24"/>
          <w:lang w:eastAsia="zh-CN"/>
        </w:rPr>
        <w:t>万元，其中施工期和营运期环保投资约</w:t>
      </w:r>
      <w:r>
        <w:rPr>
          <w:rFonts w:hint="eastAsia"/>
          <w:color w:val="auto"/>
          <w:sz w:val="24"/>
          <w:szCs w:val="24"/>
          <w:lang w:val="en-US" w:eastAsia="zh-CN"/>
        </w:rPr>
        <w:t>106</w:t>
      </w:r>
      <w:r>
        <w:rPr>
          <w:rFonts w:hint="eastAsia"/>
          <w:color w:val="auto"/>
          <w:sz w:val="24"/>
          <w:szCs w:val="24"/>
          <w:lang w:eastAsia="zh-CN"/>
        </w:rPr>
        <w:t>万元，占总投资比例</w:t>
      </w:r>
      <w:r>
        <w:rPr>
          <w:rFonts w:hint="eastAsia"/>
          <w:color w:val="auto"/>
          <w:sz w:val="24"/>
          <w:szCs w:val="24"/>
          <w:lang w:val="en-US" w:eastAsia="zh-CN"/>
        </w:rPr>
        <w:t>8.28</w:t>
      </w:r>
      <w:r>
        <w:rPr>
          <w:rFonts w:hint="eastAsia"/>
          <w:color w:val="auto"/>
          <w:sz w:val="24"/>
          <w:szCs w:val="24"/>
          <w:lang w:eastAsia="zh-CN"/>
        </w:rPr>
        <w:t>%，资金来自建设单位自筹，项目环保投资估算见表</w:t>
      </w:r>
      <w:r>
        <w:rPr>
          <w:rFonts w:hint="eastAsia"/>
          <w:color w:val="auto"/>
          <w:sz w:val="24"/>
          <w:szCs w:val="24"/>
          <w:lang w:val="en-US" w:eastAsia="zh-CN"/>
        </w:rPr>
        <w:t>7</w:t>
      </w:r>
      <w:r>
        <w:rPr>
          <w:rFonts w:hint="eastAsia"/>
          <w:color w:val="auto"/>
          <w:sz w:val="24"/>
          <w:szCs w:val="24"/>
          <w:lang w:eastAsia="zh-CN"/>
        </w:rPr>
        <w:t xml:space="preserve">.3-1。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eastAsia="zh-CN"/>
        </w:rPr>
        <w:t>表</w:t>
      </w:r>
      <w:r>
        <w:rPr>
          <w:rFonts w:hint="default" w:ascii="Times New Roman" w:hAnsi="Times New Roman" w:eastAsia="宋体" w:cs="Times New Roman"/>
          <w:b/>
          <w:bCs/>
          <w:sz w:val="21"/>
          <w:szCs w:val="21"/>
          <w:lang w:val="en-US" w:eastAsia="zh-CN"/>
        </w:rPr>
        <w:t>7.3-1   工程污染防治投资估算表</w:t>
      </w:r>
      <w:r>
        <w:rPr>
          <w:rFonts w:hint="eastAsia" w:ascii="Times New Roman" w:hAnsi="Times New Roman" w:eastAsia="宋体" w:cs="Times New Roman"/>
          <w:b/>
          <w:bCs/>
          <w:sz w:val="21"/>
          <w:szCs w:val="21"/>
          <w:lang w:val="en-US" w:eastAsia="zh-CN"/>
        </w:rPr>
        <w:t xml:space="preserve">   单位：万元</w:t>
      </w:r>
    </w:p>
    <w:tbl>
      <w:tblPr>
        <w:tblStyle w:val="63"/>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70"/>
        <w:gridCol w:w="1073"/>
        <w:gridCol w:w="2123"/>
        <w:gridCol w:w="3447"/>
        <w:gridCol w:w="120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743" w:type="dxa"/>
            <w:gridSpan w:val="2"/>
            <w:tcBorders>
              <w:bottom w:val="single" w:color="auto" w:sz="12" w:space="0"/>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项目</w:t>
            </w:r>
          </w:p>
        </w:tc>
        <w:tc>
          <w:tcPr>
            <w:tcW w:w="2123" w:type="dxa"/>
            <w:tcBorders>
              <w:bottom w:val="single" w:color="auto" w:sz="12" w:space="0"/>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污染源</w:t>
            </w:r>
          </w:p>
        </w:tc>
        <w:tc>
          <w:tcPr>
            <w:tcW w:w="3447" w:type="dxa"/>
            <w:tcBorders>
              <w:bottom w:val="single" w:color="auto" w:sz="12" w:space="0"/>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环保设施及规模</w:t>
            </w:r>
          </w:p>
        </w:tc>
        <w:tc>
          <w:tcPr>
            <w:tcW w:w="1209" w:type="dxa"/>
            <w:tcBorders>
              <w:bottom w:val="single" w:color="auto" w:sz="12" w:space="0"/>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环保投资</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restart"/>
            <w:tcBorders>
              <w:top w:val="single" w:color="auto" w:sz="12" w:space="0"/>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施工期</w:t>
            </w:r>
          </w:p>
        </w:tc>
        <w:tc>
          <w:tcPr>
            <w:tcW w:w="1073" w:type="dxa"/>
            <w:tcBorders>
              <w:top w:val="single" w:color="auto" w:sz="12" w:space="0"/>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废气治理</w:t>
            </w:r>
          </w:p>
        </w:tc>
        <w:tc>
          <w:tcPr>
            <w:tcW w:w="2123" w:type="dxa"/>
            <w:tcBorders>
              <w:top w:val="single" w:color="auto" w:sz="12" w:space="0"/>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施工场地</w:t>
            </w:r>
          </w:p>
        </w:tc>
        <w:tc>
          <w:tcPr>
            <w:tcW w:w="3447" w:type="dxa"/>
            <w:tcBorders>
              <w:top w:val="single" w:color="auto" w:sz="12" w:space="0"/>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洒水降尘错时</w:t>
            </w:r>
          </w:p>
        </w:tc>
        <w:tc>
          <w:tcPr>
            <w:tcW w:w="1209" w:type="dxa"/>
            <w:tcBorders>
              <w:top w:val="single" w:color="auto" w:sz="12" w:space="0"/>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restart"/>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废水治理</w:t>
            </w:r>
          </w:p>
        </w:tc>
        <w:tc>
          <w:tcPr>
            <w:tcW w:w="2123"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施工场地</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设置沉砂池、临时排水沟等</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2123"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施工人员</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临时化粪池</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固废</w:t>
            </w:r>
          </w:p>
        </w:tc>
        <w:tc>
          <w:tcPr>
            <w:tcW w:w="2123"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施工场地</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建筑垃圾</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restart"/>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营运期</w:t>
            </w:r>
          </w:p>
        </w:tc>
        <w:tc>
          <w:tcPr>
            <w:tcW w:w="1073" w:type="dxa"/>
            <w:vMerge w:val="restart"/>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废气治理</w:t>
            </w:r>
          </w:p>
        </w:tc>
        <w:tc>
          <w:tcPr>
            <w:tcW w:w="2123"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猪舍恶臭</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机械通风、饲料添加益生菌等</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2123"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污水处理厂恶臭</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绿化、喷洒除臭剂</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2123"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异位发酵床恶臭</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val="en-US" w:eastAsia="zh-CN"/>
              </w:rPr>
              <w:t>喷洒除臭剂</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2123"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无害化处理车间恶臭</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采用密闭车间</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2123"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厨房油烟</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油烟净化器</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restart"/>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废水治理</w:t>
            </w:r>
          </w:p>
        </w:tc>
        <w:tc>
          <w:tcPr>
            <w:tcW w:w="2123" w:type="dxa"/>
            <w:vMerge w:val="restart"/>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猪舍</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污水收集管网</w:t>
            </w:r>
          </w:p>
        </w:tc>
        <w:tc>
          <w:tcPr>
            <w:tcW w:w="1209" w:type="dxa"/>
            <w:vMerge w:val="restart"/>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45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212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eastAsia="zh-CN"/>
              </w:rPr>
              <w:t>污水处理设施，处理能力</w:t>
            </w:r>
            <w:r>
              <w:rPr>
                <w:rFonts w:hint="eastAsia" w:cs="Times New Roman"/>
                <w:sz w:val="21"/>
                <w:szCs w:val="21"/>
                <w:vertAlign w:val="baseline"/>
                <w:lang w:val="en-US" w:eastAsia="zh-CN"/>
              </w:rPr>
              <w:t>6</w:t>
            </w:r>
            <w:r>
              <w:rPr>
                <w:rFonts w:hint="default" w:ascii="Times New Roman" w:hAnsi="Times New Roman" w:eastAsia="宋体" w:cs="Times New Roman"/>
                <w:sz w:val="21"/>
                <w:szCs w:val="21"/>
                <w:vertAlign w:val="baseline"/>
                <w:lang w:val="en-US" w:eastAsia="zh-CN"/>
              </w:rPr>
              <w:t>m</w:t>
            </w:r>
            <w:r>
              <w:rPr>
                <w:rFonts w:hint="default" w:ascii="Times New Roman" w:hAnsi="Times New Roman" w:eastAsia="宋体" w:cs="Times New Roman"/>
                <w:sz w:val="21"/>
                <w:szCs w:val="21"/>
                <w:vertAlign w:val="superscript"/>
                <w:lang w:val="en-US" w:eastAsia="zh-CN"/>
              </w:rPr>
              <w:t>3</w:t>
            </w:r>
            <w:r>
              <w:rPr>
                <w:rFonts w:hint="default" w:ascii="Times New Roman" w:hAnsi="Times New Roman" w:eastAsia="宋体" w:cs="Times New Roman"/>
                <w:sz w:val="21"/>
                <w:szCs w:val="21"/>
                <w:vertAlign w:val="baseline"/>
                <w:lang w:val="en-US" w:eastAsia="zh-CN"/>
              </w:rPr>
              <w:t>/d</w:t>
            </w:r>
          </w:p>
        </w:tc>
        <w:tc>
          <w:tcPr>
            <w:tcW w:w="1209"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212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地下水防渗措施</w:t>
            </w:r>
          </w:p>
        </w:tc>
        <w:tc>
          <w:tcPr>
            <w:tcW w:w="1209"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2123"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化粪池</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处理生活污水</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2123"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场区</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雨水收集管网</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restart"/>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噪声治理</w:t>
            </w:r>
          </w:p>
        </w:tc>
        <w:tc>
          <w:tcPr>
            <w:tcW w:w="2123"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固液分离机</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隔声罩</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2123"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各类风机、泵机</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减震垫</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restart"/>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固废治理</w:t>
            </w:r>
          </w:p>
        </w:tc>
        <w:tc>
          <w:tcPr>
            <w:tcW w:w="2123" w:type="dxa"/>
            <w:vMerge w:val="restart"/>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猪舍</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机械清粪机</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212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异位发酵床</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212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病死猪无害化处理机</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212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eastAsia="zh-CN"/>
              </w:rPr>
              <w:t>隔离间（危废暂存间）</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70"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1073" w:type="dxa"/>
            <w:vMerge w:val="continue"/>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p>
        </w:tc>
        <w:tc>
          <w:tcPr>
            <w:tcW w:w="2123"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生活垃圾</w:t>
            </w:r>
          </w:p>
        </w:tc>
        <w:tc>
          <w:tcPr>
            <w:tcW w:w="3447"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送环卫部门处理</w:t>
            </w:r>
          </w:p>
        </w:tc>
        <w:tc>
          <w:tcPr>
            <w:tcW w:w="1209" w:type="dxa"/>
            <w:tcBorders>
              <w:tl2br w:val="nil"/>
              <w:tr2bl w:val="nil"/>
            </w:tcBorders>
            <w:noWrap w:val="0"/>
            <w:vAlign w:val="center"/>
          </w:tcPr>
          <w:p>
            <w:pPr>
              <w:keepNext w:val="0"/>
              <w:keepLines w:val="0"/>
              <w:widowControl/>
              <w:suppressLineNumbers w:val="0"/>
              <w:jc w:val="center"/>
              <w:textAlignment w:val="center"/>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i w:val="0"/>
                <w:color w:val="000000"/>
                <w:kern w:val="0"/>
                <w:sz w:val="21"/>
                <w:szCs w:val="21"/>
                <w:u w:val="none"/>
                <w:lang w:val="en-US" w:eastAsia="zh-CN" w:bidi="ar"/>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7313" w:type="dxa"/>
            <w:gridSpan w:val="4"/>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合计</w:t>
            </w:r>
          </w:p>
        </w:tc>
        <w:tc>
          <w:tcPr>
            <w:tcW w:w="1209" w:type="dxa"/>
            <w:tcBorders>
              <w:tl2br w:val="nil"/>
              <w:tr2bl w:val="nil"/>
            </w:tcBorders>
            <w:noWrap w:val="0"/>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before="0" w:beforeLines="0" w:after="0" w:afterLines="0" w:line="240" w:lineRule="auto"/>
              <w:ind w:left="0" w:leftChars="0" w:right="0" w:rightChars="0" w:firstLine="0" w:firstLineChars="0"/>
              <w:jc w:val="center"/>
              <w:textAlignment w:val="auto"/>
              <w:outlineLvl w:val="9"/>
              <w:rPr>
                <w:rFonts w:hint="default" w:ascii="Times New Roman" w:hAnsi="Times New Roman" w:eastAsia="宋体" w:cs="Times New Roman"/>
                <w:sz w:val="21"/>
                <w:szCs w:val="21"/>
                <w:vertAlign w:val="baseline"/>
                <w:lang w:val="en-US" w:eastAsia="zh-CN"/>
              </w:rPr>
            </w:pPr>
            <w:r>
              <w:rPr>
                <w:rFonts w:hint="eastAsia" w:cs="Times New Roman"/>
                <w:sz w:val="21"/>
                <w:szCs w:val="21"/>
                <w:vertAlign w:val="baseline"/>
                <w:lang w:val="en-US" w:eastAsia="zh-CN"/>
              </w:rPr>
              <w:t>106</w:t>
            </w:r>
          </w:p>
        </w:tc>
      </w:tr>
    </w:tbl>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color w:val="FF0000"/>
          <w:sz w:val="24"/>
          <w:szCs w:val="24"/>
          <w:lang w:eastAsia="zh-CN"/>
        </w:rPr>
      </w:pPr>
    </w:p>
    <w:p>
      <w:pPr>
        <w:pStyle w:val="9"/>
      </w:pPr>
    </w:p>
    <w:p>
      <w:pPr>
        <w:pStyle w:val="9"/>
      </w:pPr>
    </w:p>
    <w:p>
      <w:pPr>
        <w:pStyle w:val="3"/>
        <w:jc w:val="center"/>
      </w:pPr>
      <w:bookmarkStart w:id="83" w:name="_Toc2434"/>
      <w:bookmarkStart w:id="84" w:name="_Toc14357"/>
      <w:r>
        <w:rPr>
          <w:rFonts w:hint="eastAsia"/>
          <w:lang w:eastAsia="zh-CN"/>
        </w:rPr>
        <w:t>清洁生产</w:t>
      </w:r>
      <w:bookmarkEnd w:id="83"/>
      <w:bookmarkEnd w:id="84"/>
    </w:p>
    <w:p>
      <w:pPr>
        <w:pStyle w:val="296"/>
        <w:spacing w:line="500" w:lineRule="exact"/>
        <w:ind w:firstLine="480"/>
        <w:rPr>
          <w:rFonts w:hint="eastAsia" w:ascii="Arial" w:hAnsi="Arial" w:cs="Arial"/>
          <w:color w:val="000000"/>
          <w:sz w:val="24"/>
          <w:szCs w:val="24"/>
        </w:rPr>
      </w:pPr>
      <w:r>
        <w:rPr>
          <w:rFonts w:hint="eastAsia" w:ascii="Arial" w:hAnsi="Arial" w:cs="Arial"/>
          <w:color w:val="000000"/>
          <w:sz w:val="24"/>
          <w:szCs w:val="24"/>
        </w:rPr>
        <w:t>清洁生产即是指既可满足人们的需要，又可合理使用资源和能源，并保护环境的生产方法和措施。主要包括生产过程和产品两方面。</w:t>
      </w:r>
    </w:p>
    <w:p>
      <w:pPr>
        <w:pStyle w:val="296"/>
        <w:spacing w:line="500" w:lineRule="exact"/>
        <w:ind w:firstLine="480"/>
        <w:rPr>
          <w:rFonts w:hint="eastAsia" w:ascii="Arial" w:hAnsi="Arial" w:cs="Arial"/>
          <w:color w:val="000000"/>
          <w:sz w:val="24"/>
          <w:szCs w:val="24"/>
        </w:rPr>
      </w:pPr>
      <w:r>
        <w:rPr>
          <w:rFonts w:hint="eastAsia" w:ascii="Arial" w:hAnsi="Arial" w:cs="Arial"/>
          <w:color w:val="000000"/>
          <w:sz w:val="24"/>
          <w:szCs w:val="24"/>
        </w:rPr>
        <w:t>实行清洁生产是全球可持续发展战略的要求，是控制环境污染的有效手段。这是改变过去被动、滞后的污染控制手段为全过程污染控制的主动行动，可降低末端处理的负担。清洁生产技术的应用不仅对环境有利，而且能提高产品质量，降低生产成本，提高劳动生产率，从而提高企业的市场竞争能力。这就要求企业在产品方案选择、原材料使用、生产工艺确定、加强生产管理等方面实行清洁生产，并结合节能节水、废弃物综合利用及末端治理等措施，使工业发展对周围环境可能造成的影响降至最低。</w:t>
      </w:r>
    </w:p>
    <w:p>
      <w:pPr>
        <w:pStyle w:val="4"/>
        <w:rPr>
          <w:rFonts w:hint="eastAsia"/>
        </w:rPr>
      </w:pPr>
      <w:bookmarkStart w:id="85" w:name="_Toc26772"/>
      <w:bookmarkStart w:id="86" w:name="_Toc161"/>
      <w:bookmarkStart w:id="87" w:name="_Toc9272"/>
      <w:bookmarkStart w:id="88" w:name="_Toc13534"/>
      <w:bookmarkStart w:id="89" w:name="_Toc19345"/>
      <w:bookmarkStart w:id="90" w:name="_Toc14650"/>
      <w:r>
        <w:rPr>
          <w:rFonts w:hint="eastAsia"/>
        </w:rPr>
        <w:t>拟建项目清洁生产分析</w:t>
      </w:r>
      <w:bookmarkEnd w:id="85"/>
      <w:bookmarkEnd w:id="86"/>
      <w:bookmarkEnd w:id="87"/>
      <w:bookmarkEnd w:id="88"/>
      <w:bookmarkEnd w:id="89"/>
      <w:bookmarkEnd w:id="90"/>
    </w:p>
    <w:p>
      <w:pPr>
        <w:pStyle w:val="5"/>
        <w:ind w:firstLine="562"/>
        <w:rPr>
          <w:rFonts w:hint="eastAsia"/>
          <w:lang w:eastAsia="zh-CN"/>
        </w:rPr>
      </w:pPr>
      <w:r>
        <w:rPr>
          <w:rFonts w:hint="eastAsia"/>
          <w:lang w:eastAsia="zh-CN"/>
        </w:rPr>
        <w:t>清洁生产要素</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本工程考虑清洁生产原则如下：</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1</w:t>
      </w:r>
      <w:r>
        <w:rPr>
          <w:rFonts w:hint="eastAsia"/>
          <w:sz w:val="24"/>
          <w:szCs w:val="24"/>
          <w:lang w:eastAsia="zh-CN"/>
        </w:rPr>
        <w:t>）高的产品水平、工艺技术装备水平。</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2</w:t>
      </w:r>
      <w:r>
        <w:rPr>
          <w:rFonts w:hint="eastAsia"/>
          <w:sz w:val="24"/>
          <w:szCs w:val="24"/>
          <w:lang w:eastAsia="zh-CN"/>
        </w:rPr>
        <w:t>）使用低毒的原料。</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3</w:t>
      </w:r>
      <w:r>
        <w:rPr>
          <w:rFonts w:hint="eastAsia"/>
          <w:sz w:val="24"/>
          <w:szCs w:val="24"/>
          <w:lang w:eastAsia="zh-CN"/>
        </w:rPr>
        <w:t>）节能、节水。</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w:t>
      </w:r>
      <w:r>
        <w:rPr>
          <w:rFonts w:hint="eastAsia"/>
          <w:sz w:val="24"/>
          <w:szCs w:val="24"/>
          <w:lang w:val="en-US" w:eastAsia="zh-CN"/>
        </w:rPr>
        <w:t>4</w:t>
      </w:r>
      <w:r>
        <w:rPr>
          <w:rFonts w:hint="eastAsia"/>
          <w:sz w:val="24"/>
          <w:szCs w:val="24"/>
          <w:lang w:eastAsia="zh-CN"/>
        </w:rPr>
        <w:t>）控制水、气污染物排放量，做好固体废弃物的处置/处理工作。</w:t>
      </w:r>
    </w:p>
    <w:p>
      <w:pPr>
        <w:pStyle w:val="5"/>
        <w:ind w:firstLine="562"/>
        <w:rPr>
          <w:rFonts w:hint="eastAsia"/>
          <w:lang w:eastAsia="zh-CN"/>
        </w:rPr>
      </w:pPr>
      <w:r>
        <w:rPr>
          <w:rFonts w:hint="eastAsia"/>
          <w:lang w:eastAsia="zh-CN"/>
        </w:rPr>
        <w:t>清洁生产水分析指标</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根据清洁生产分析工作等级划分原则，该建设项目环境影响评价中清洁生产分析工作等级为三级。分别是：</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一级：国际清洁生产先进水平；</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二级：国内清洁生产先进水平；</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三级：国内清洁生产基本水平。</w:t>
      </w:r>
    </w:p>
    <w:p>
      <w:pPr>
        <w:pStyle w:val="4"/>
        <w:rPr>
          <w:rFonts w:hint="eastAsia"/>
        </w:rPr>
      </w:pPr>
      <w:bookmarkStart w:id="91" w:name="_Toc22104"/>
      <w:bookmarkStart w:id="92" w:name="_Toc9796"/>
      <w:r>
        <w:rPr>
          <w:rFonts w:hint="eastAsia"/>
        </w:rPr>
        <w:t>清洁生产评价与分析</w:t>
      </w:r>
      <w:bookmarkEnd w:id="91"/>
      <w:bookmarkEnd w:id="92"/>
    </w:p>
    <w:p>
      <w:pPr>
        <w:pStyle w:val="5"/>
        <w:ind w:firstLine="562"/>
        <w:rPr>
          <w:rFonts w:hint="eastAsia"/>
          <w:lang w:eastAsia="zh-CN"/>
        </w:rPr>
      </w:pPr>
      <w:r>
        <w:rPr>
          <w:rFonts w:hint="eastAsia"/>
          <w:lang w:eastAsia="zh-CN"/>
        </w:rPr>
        <w:t>猪肉产品质量控制</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项目根据不同阶段生猪的营养要求，按照营养专家提供的配方，提供生猪采食的商品猪饲料供给全价配合饲料，保证了生猪饲料营养均衡，能够满足《猪饲养标准》（NY/T65-2004）的相关要求。</w:t>
      </w:r>
    </w:p>
    <w:p>
      <w:pPr>
        <w:pStyle w:val="5"/>
        <w:ind w:firstLine="562"/>
        <w:rPr>
          <w:rFonts w:hint="eastAsia"/>
          <w:lang w:eastAsia="zh-CN"/>
        </w:rPr>
      </w:pPr>
      <w:r>
        <w:rPr>
          <w:rFonts w:hint="eastAsia"/>
          <w:lang w:eastAsia="zh-CN"/>
        </w:rPr>
        <w:t>原辅材料及能源</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原材料的清洁生产指标主要从原材料的毒性、生态影响、可再生性、能源强度以及可回收利用这五个方面建立指标。从清洁生产角度分析，其最终表征为饲料配比(即消耗量的多少、利用率的高低)、生长速度等方面。</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项目饲料公司配套饲料厂生产供应，饲料供给全价配合饲料，并且工程配套建设有全自动给料系统，采用电脑自动程序控制，利用料塔存料，通过空心绞龙输送机，在规定的时间将饲料输送至每个猪舍，管理上能够实现饲料的充分利用，减少资源浪费和废物的产生量。</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资源利用方面，猪舍设置自动饮水器改变了饮水与饲料喂养合槽的传统方式，饮水与饲料分开，大量节约了水资源和提高了饲料的利用率，有效减少了污染物的排放。</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先进的饲养技术和设备，不仅能够有效提高饲料等资源的利用率和报酬率。而且能够有效减轻养殖污染物的产生，减少项目污染物末端治理费用，降低养殖成本。</w:t>
      </w:r>
    </w:p>
    <w:p>
      <w:pPr>
        <w:pStyle w:val="5"/>
        <w:ind w:firstLine="562"/>
        <w:rPr>
          <w:rFonts w:hint="eastAsia"/>
          <w:lang w:eastAsia="zh-CN"/>
        </w:rPr>
      </w:pPr>
      <w:r>
        <w:rPr>
          <w:rFonts w:hint="eastAsia"/>
          <w:lang w:eastAsia="zh-CN"/>
        </w:rPr>
        <w:t>养殖过程与饲养方式</w:t>
      </w:r>
    </w:p>
    <w:p>
      <w:pPr>
        <w:pStyle w:val="296"/>
        <w:ind w:firstLine="482"/>
        <w:rPr>
          <w:rFonts w:hint="eastAsia" w:ascii="Times New Roman" w:hAnsi="Arial" w:cs="Times New Roman"/>
          <w:b/>
          <w:bCs/>
          <w:sz w:val="24"/>
          <w:szCs w:val="24"/>
        </w:rPr>
      </w:pPr>
      <w:r>
        <w:rPr>
          <w:rFonts w:hint="eastAsia" w:ascii="Times New Roman" w:hAnsi="Arial" w:cs="Times New Roman"/>
          <w:b/>
          <w:bCs/>
          <w:sz w:val="24"/>
          <w:szCs w:val="24"/>
        </w:rPr>
        <w:t>（1）清粪工艺</w:t>
      </w:r>
    </w:p>
    <w:p>
      <w:pPr>
        <w:spacing w:line="500" w:lineRule="exact"/>
        <w:ind w:firstLine="480" w:firstLineChars="200"/>
        <w:jc w:val="left"/>
        <w:rPr>
          <w:rFonts w:hint="eastAsia"/>
          <w:bCs/>
          <w:sz w:val="24"/>
        </w:rPr>
      </w:pPr>
      <w:r>
        <w:rPr>
          <w:rFonts w:hint="eastAsia"/>
          <w:bCs/>
          <w:sz w:val="24"/>
        </w:rPr>
        <w:t>猪场清粪和粪污处理是猪场重要工艺，本项目广泛参考国内外经验，采用干清粪工艺，该工艺冲栏废水冬季1.2m</w:t>
      </w:r>
      <w:r>
        <w:rPr>
          <w:rFonts w:hint="eastAsia"/>
          <w:bCs/>
          <w:sz w:val="24"/>
          <w:vertAlign w:val="superscript"/>
        </w:rPr>
        <w:t>3</w:t>
      </w:r>
      <w:r>
        <w:rPr>
          <w:rFonts w:hint="eastAsia"/>
          <w:bCs/>
          <w:sz w:val="24"/>
        </w:rPr>
        <w:t>/百头·d，夏季1.8m</w:t>
      </w:r>
      <w:r>
        <w:rPr>
          <w:rFonts w:hint="eastAsia"/>
          <w:bCs/>
          <w:sz w:val="24"/>
          <w:vertAlign w:val="superscript"/>
        </w:rPr>
        <w:t>3</w:t>
      </w:r>
      <w:r>
        <w:rPr>
          <w:rFonts w:hint="eastAsia"/>
          <w:bCs/>
          <w:sz w:val="24"/>
        </w:rPr>
        <w:t>/百头·d，比水冲粪工艺用水量（平均每天2.5~3.5m</w:t>
      </w:r>
      <w:r>
        <w:rPr>
          <w:rFonts w:hint="eastAsia"/>
          <w:bCs/>
          <w:sz w:val="24"/>
          <w:vertAlign w:val="superscript"/>
        </w:rPr>
        <w:t>3</w:t>
      </w:r>
      <w:r>
        <w:rPr>
          <w:rFonts w:hint="eastAsia"/>
          <w:bCs/>
          <w:sz w:val="24"/>
        </w:rPr>
        <w:t>）减少50%以上，不仅节约了水资源，同时还减少了污水的排放量，从源头上对污染物的产生量进行了控制，充分体现了清洁生产的原则。项目清粪工艺日产日清，满足《畜禽养殖业污染防治技术规范》（HJ/t81-2001）和《畜禽养殖业污染治理工程技术规范》（HJ497-2009）要求，能够及时、有效的清除猪舍内的尿液及粪便。</w:t>
      </w:r>
    </w:p>
    <w:p>
      <w:pPr>
        <w:spacing w:line="500" w:lineRule="exact"/>
        <w:ind w:firstLine="481" w:firstLineChars="200"/>
        <w:jc w:val="left"/>
        <w:rPr>
          <w:rFonts w:hint="eastAsia"/>
          <w:b/>
          <w:sz w:val="24"/>
        </w:rPr>
      </w:pPr>
      <w:r>
        <w:rPr>
          <w:rFonts w:hint="eastAsia"/>
          <w:b/>
          <w:sz w:val="24"/>
        </w:rPr>
        <w:t>（2）恶臭污染物控制</w:t>
      </w:r>
    </w:p>
    <w:p>
      <w:pPr>
        <w:pStyle w:val="9"/>
        <w:keepNext w:val="0"/>
        <w:keepLines w:val="0"/>
        <w:pageBreakBefore w:val="0"/>
        <w:widowControl w:val="0"/>
        <w:kinsoku/>
        <w:wordWrap/>
        <w:overflowPunct/>
        <w:topLinePunct w:val="0"/>
        <w:autoSpaceDE w:val="0"/>
        <w:autoSpaceDN w:val="0"/>
        <w:bidi w:val="0"/>
        <w:adjustRightInd/>
        <w:snapToGrid/>
        <w:textAlignment w:val="auto"/>
        <w:rPr>
          <w:b/>
          <w:bCs/>
        </w:rPr>
      </w:pPr>
      <w:r>
        <w:rPr>
          <w:rFonts w:hint="eastAsia"/>
          <w:bCs/>
          <w:sz w:val="24"/>
        </w:rPr>
        <w:t>养殖过程中，猪舍采取冲洗、饲料中添加抑臭菌、喷洒除臭剂等措施，有效减少恶臭气体对周边环境的影响；对于堆粪场采取喷洒除臭剂来减少恶臭气体对环境的影响；对产生恶臭的猪舍、</w:t>
      </w:r>
      <w:r>
        <w:rPr>
          <w:rFonts w:hint="eastAsia"/>
          <w:bCs/>
          <w:sz w:val="24"/>
          <w:lang w:eastAsia="zh-CN"/>
        </w:rPr>
        <w:t>污水处理设施及异位发酵床</w:t>
      </w:r>
      <w:r>
        <w:rPr>
          <w:rFonts w:hint="eastAsia"/>
          <w:bCs/>
          <w:sz w:val="24"/>
        </w:rPr>
        <w:t>采用</w:t>
      </w:r>
      <w:r>
        <w:rPr>
          <w:rFonts w:hint="eastAsia"/>
          <w:bCs/>
          <w:sz w:val="24"/>
          <w:lang w:eastAsia="zh-CN"/>
        </w:rPr>
        <w:t>生物除臭剂去除</w:t>
      </w:r>
      <w:r>
        <w:rPr>
          <w:rFonts w:hint="eastAsia"/>
          <w:bCs/>
          <w:sz w:val="24"/>
        </w:rPr>
        <w:t>恶臭，另外加强厂区的绿化。</w:t>
      </w:r>
    </w:p>
    <w:p>
      <w:pPr>
        <w:spacing w:line="500" w:lineRule="exact"/>
        <w:ind w:firstLine="481" w:firstLineChars="200"/>
        <w:jc w:val="left"/>
        <w:rPr>
          <w:rFonts w:hint="eastAsia"/>
          <w:b/>
          <w:sz w:val="24"/>
        </w:rPr>
      </w:pPr>
      <w:r>
        <w:rPr>
          <w:rFonts w:hint="eastAsia"/>
          <w:b/>
          <w:sz w:val="24"/>
        </w:rPr>
        <w:t>（3）废水利用</w:t>
      </w:r>
    </w:p>
    <w:p>
      <w:pPr>
        <w:pStyle w:val="8"/>
        <w:jc w:val="both"/>
        <w:rPr>
          <w:rFonts w:hint="default" w:ascii="Times New Roman" w:hAnsi="Times New Roman" w:cs="Times New Roman"/>
          <w:color w:val="auto"/>
          <w:sz w:val="24"/>
          <w:lang w:val="en-US" w:eastAsia="zh-CN"/>
        </w:rPr>
      </w:pPr>
      <w:r>
        <w:rPr>
          <w:rFonts w:hint="eastAsia" w:ascii="Times New Roman" w:hAnsi="Times New Roman" w:cs="Times New Roman"/>
          <w:color w:val="auto"/>
          <w:sz w:val="24"/>
          <w:lang w:val="en-US" w:eastAsia="zh-CN"/>
        </w:rPr>
        <w:t>本项目产生的生产废水与猪粪污一起经异位发酵床工艺处理后制成有机肥料外售，不外排。</w:t>
      </w:r>
    </w:p>
    <w:p>
      <w:pPr>
        <w:pStyle w:val="8"/>
        <w:jc w:val="both"/>
        <w:rPr>
          <w:rFonts w:hint="default" w:ascii="Times New Roman" w:hAnsi="Times New Roman" w:cs="Times New Roman"/>
          <w:color w:val="auto"/>
          <w:sz w:val="24"/>
          <w:lang w:val="en-US" w:eastAsia="zh-CN"/>
        </w:rPr>
      </w:pPr>
      <w:r>
        <w:rPr>
          <w:rFonts w:hint="eastAsia" w:ascii="Times New Roman" w:hAnsi="Times New Roman" w:cs="Times New Roman"/>
          <w:color w:val="auto"/>
          <w:sz w:val="24"/>
          <w:lang w:val="en-US" w:eastAsia="zh-CN"/>
        </w:rPr>
        <w:t>本项目产生的生活污水经地埋式一体化污水处理设施处理达到《畜禽养殖业污染物排放标准》（DB44/613-2009）中集约化畜禽养殖业水污染最高允许日排放浓度和《农田灌溉水质标准》（GB5084-2005）旱作水质标准较严者后全部回用于场内绿化</w:t>
      </w:r>
      <w:r>
        <w:rPr>
          <w:rFonts w:hint="eastAsia" w:cs="Times New Roman"/>
          <w:color w:val="auto"/>
          <w:sz w:val="24"/>
          <w:lang w:val="en-US" w:eastAsia="zh-CN"/>
        </w:rPr>
        <w:t>和附近林地灌溉</w:t>
      </w:r>
      <w:r>
        <w:rPr>
          <w:rFonts w:hint="eastAsia" w:ascii="Times New Roman" w:hAnsi="Times New Roman" w:cs="Times New Roman"/>
          <w:color w:val="auto"/>
          <w:sz w:val="24"/>
          <w:lang w:val="en-US" w:eastAsia="zh-CN"/>
        </w:rPr>
        <w:t>，不外排。</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bCs/>
          <w:sz w:val="24"/>
        </w:rPr>
        <w:t>该方法既降低了企业废水处理成本，提高企业的经济效益，在减少污染物排放的同时，又做到了废水资源化利用。</w:t>
      </w:r>
    </w:p>
    <w:p>
      <w:pPr>
        <w:pStyle w:val="5"/>
        <w:ind w:firstLine="562"/>
        <w:rPr>
          <w:rFonts w:hint="eastAsia"/>
          <w:lang w:eastAsia="zh-CN"/>
        </w:rPr>
      </w:pPr>
      <w:r>
        <w:rPr>
          <w:rFonts w:hint="eastAsia"/>
          <w:lang w:eastAsia="zh-CN"/>
        </w:rPr>
        <w:t>饲养管理</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运进的猪在验收前，严格进行健康体检，患有严重疾病的猪应该严格入舍，健康猪入舍前，首先要称重，然后按照体重、年龄及营养状况分为若干组，并对每头猪进行编号。饲养人员要细心观察猪的采食、饮水、粪便、精神状态等情况，发现异常及时采取治疗措施。</w:t>
      </w:r>
    </w:p>
    <w:p>
      <w:pPr>
        <w:pStyle w:val="5"/>
        <w:ind w:firstLine="562"/>
        <w:rPr>
          <w:rFonts w:hint="eastAsia"/>
          <w:lang w:eastAsia="zh-CN"/>
        </w:rPr>
      </w:pPr>
      <w:r>
        <w:rPr>
          <w:rFonts w:hint="eastAsia"/>
          <w:lang w:eastAsia="zh-CN"/>
        </w:rPr>
        <w:t>节水节能降耗措施</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bCs/>
          <w:sz w:val="24"/>
        </w:rPr>
        <w:t>项目采用干清粪工艺，水消耗量很小，养猪的卫生条件要求很高，清洁度及防疫要求很严，猪舍在干清分离后清洗消毒时利用高压水清洗设施对猪舍、饲料槽及地面等进行清洗，利用高压喷雾器定期对猪舍喷洒生物消毒制剂，主要是为了保证猪舍的卫生防疫，且节约用水，降低能耗。</w:t>
      </w:r>
    </w:p>
    <w:p>
      <w:pPr>
        <w:pStyle w:val="5"/>
        <w:ind w:firstLine="562"/>
        <w:rPr>
          <w:rFonts w:hint="eastAsia"/>
          <w:lang w:eastAsia="zh-CN"/>
        </w:rPr>
      </w:pPr>
      <w:r>
        <w:rPr>
          <w:rFonts w:hint="eastAsia"/>
          <w:lang w:eastAsia="zh-CN"/>
        </w:rPr>
        <w:t>废物产生及回收利用分析</w:t>
      </w:r>
    </w:p>
    <w:p>
      <w:pPr>
        <w:pStyle w:val="9"/>
        <w:keepNext w:val="0"/>
        <w:keepLines w:val="0"/>
        <w:pageBreakBefore w:val="0"/>
        <w:widowControl w:val="0"/>
        <w:kinsoku/>
        <w:wordWrap/>
        <w:overflowPunct/>
        <w:topLinePunct w:val="0"/>
        <w:autoSpaceDE w:val="0"/>
        <w:autoSpaceDN w:val="0"/>
        <w:bidi w:val="0"/>
        <w:adjustRightInd/>
        <w:snapToGrid/>
        <w:textAlignment w:val="auto"/>
        <w:rPr>
          <w:b/>
          <w:bCs/>
        </w:rPr>
      </w:pPr>
      <w:r>
        <w:rPr>
          <w:rFonts w:hint="default" w:ascii="Times New Roman" w:hAnsi="Times New Roman" w:eastAsia="宋体" w:cs="Times New Roman"/>
          <w:sz w:val="24"/>
          <w:szCs w:val="24"/>
          <w:lang w:eastAsia="zh-CN"/>
        </w:rPr>
        <w:t>项目为了最大限度地防止污染物排放在环境中，猪舍采用干清粪工艺，</w:t>
      </w:r>
      <w:r>
        <w:rPr>
          <w:rFonts w:hint="default" w:ascii="Times New Roman" w:hAnsi="Times New Roman" w:eastAsia="宋体" w:cs="Times New Roman"/>
          <w:sz w:val="24"/>
          <w:szCs w:val="24"/>
          <w:lang w:val="en-US" w:eastAsia="zh-CN"/>
        </w:rPr>
        <w:t>生产废水与猪粪污一起经异位发酵床工艺处理后制成有机肥料外售，</w:t>
      </w:r>
      <w:r>
        <w:rPr>
          <w:rFonts w:hint="default" w:ascii="Times New Roman" w:hAnsi="Times New Roman" w:eastAsia="宋体" w:cs="Times New Roman"/>
          <w:color w:val="auto"/>
          <w:sz w:val="24"/>
          <w:lang w:val="en-US" w:eastAsia="zh-CN"/>
        </w:rPr>
        <w:t>生活污水经地埋式一体化污水处理设施处理达到《畜禽养殖业污染物排放标准》（DB44/613-2009）中集约化畜禽养殖业水污染最高允许日排放浓度和《农田灌溉水质标准》（GB5084-2005）旱作水质标准较严者后全部回用于场内绿化，</w:t>
      </w:r>
      <w:r>
        <w:rPr>
          <w:rFonts w:hint="default" w:ascii="Times New Roman" w:hAnsi="Times New Roman" w:eastAsia="宋体" w:cs="Times New Roman"/>
          <w:sz w:val="24"/>
          <w:szCs w:val="24"/>
          <w:lang w:val="en-US" w:eastAsia="zh-CN"/>
        </w:rPr>
        <w:t>不外排。</w:t>
      </w:r>
      <w:r>
        <w:rPr>
          <w:rFonts w:hint="default" w:ascii="Times New Roman" w:hAnsi="Times New Roman" w:eastAsia="宋体" w:cs="Times New Roman"/>
          <w:sz w:val="24"/>
          <w:szCs w:val="24"/>
          <w:lang w:eastAsia="zh-CN"/>
        </w:rPr>
        <w:t>项目营运期间污染物产生情况及防治措施见表</w:t>
      </w:r>
      <w:r>
        <w:rPr>
          <w:rFonts w:hint="default" w:ascii="Times New Roman" w:hAnsi="Times New Roman" w:eastAsia="宋体" w:cs="Times New Roman"/>
          <w:sz w:val="24"/>
          <w:szCs w:val="24"/>
          <w:lang w:val="en-US" w:eastAsia="zh-CN"/>
        </w:rPr>
        <w:t>8.2</w:t>
      </w:r>
      <w:r>
        <w:rPr>
          <w:rFonts w:hint="default" w:ascii="Times New Roman" w:hAnsi="Times New Roman" w:eastAsia="宋体" w:cs="Times New Roman"/>
          <w:sz w:val="24"/>
          <w:szCs w:val="24"/>
          <w:lang w:eastAsia="zh-CN"/>
        </w:rPr>
        <w:t>-1</w:t>
      </w:r>
    </w:p>
    <w:p>
      <w:pPr>
        <w:jc w:val="center"/>
        <w:rPr>
          <w:rFonts w:hint="eastAsia"/>
          <w:b/>
          <w:sz w:val="21"/>
          <w:szCs w:val="21"/>
        </w:rPr>
      </w:pPr>
    </w:p>
    <w:p>
      <w:pPr>
        <w:jc w:val="center"/>
        <w:rPr>
          <w:rFonts w:hint="eastAsia"/>
          <w:b/>
          <w:sz w:val="21"/>
          <w:szCs w:val="21"/>
        </w:rPr>
      </w:pPr>
    </w:p>
    <w:p>
      <w:pPr>
        <w:jc w:val="center"/>
        <w:rPr>
          <w:rFonts w:hint="eastAsia"/>
          <w:b/>
          <w:sz w:val="21"/>
          <w:szCs w:val="21"/>
        </w:rPr>
      </w:pPr>
    </w:p>
    <w:p>
      <w:pPr>
        <w:jc w:val="center"/>
        <w:rPr>
          <w:rFonts w:hint="eastAsia"/>
          <w:b/>
          <w:sz w:val="21"/>
          <w:szCs w:val="21"/>
        </w:rPr>
      </w:pPr>
    </w:p>
    <w:p>
      <w:pPr>
        <w:jc w:val="center"/>
        <w:rPr>
          <w:rFonts w:hint="eastAsia"/>
          <w:b/>
          <w:sz w:val="21"/>
          <w:szCs w:val="21"/>
        </w:rPr>
      </w:pPr>
      <w:r>
        <w:rPr>
          <w:rFonts w:hint="eastAsia"/>
          <w:b/>
          <w:sz w:val="21"/>
          <w:szCs w:val="21"/>
        </w:rPr>
        <w:t>表</w:t>
      </w:r>
      <w:r>
        <w:rPr>
          <w:rFonts w:hint="eastAsia"/>
          <w:b/>
          <w:sz w:val="21"/>
          <w:szCs w:val="21"/>
          <w:lang w:val="en-US" w:eastAsia="zh-CN"/>
        </w:rPr>
        <w:t>8.2</w:t>
      </w:r>
      <w:r>
        <w:rPr>
          <w:rFonts w:hint="eastAsia"/>
          <w:b/>
          <w:sz w:val="21"/>
          <w:szCs w:val="21"/>
        </w:rPr>
        <w:t>-1  主要污染物产生情况一览表</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6"/>
        <w:gridCol w:w="1170"/>
        <w:gridCol w:w="1860"/>
        <w:gridCol w:w="44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6" w:type="dxa"/>
            <w:tcBorders>
              <w:top w:val="single" w:color="auto" w:sz="12" w:space="0"/>
              <w:left w:val="nil"/>
              <w:bottom w:val="single" w:color="auto" w:sz="12" w:space="0"/>
            </w:tcBorders>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工艺</w:t>
            </w:r>
          </w:p>
        </w:tc>
        <w:tc>
          <w:tcPr>
            <w:tcW w:w="1170" w:type="dxa"/>
            <w:tcBorders>
              <w:top w:val="single" w:color="auto" w:sz="12" w:space="0"/>
              <w:bottom w:val="single" w:color="auto" w:sz="12" w:space="0"/>
            </w:tcBorders>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工段</w:t>
            </w:r>
          </w:p>
        </w:tc>
        <w:tc>
          <w:tcPr>
            <w:tcW w:w="1860" w:type="dxa"/>
            <w:tcBorders>
              <w:top w:val="single" w:color="auto" w:sz="12" w:space="0"/>
              <w:bottom w:val="single" w:color="auto" w:sz="12" w:space="0"/>
            </w:tcBorders>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主要污染物</w:t>
            </w:r>
          </w:p>
        </w:tc>
        <w:tc>
          <w:tcPr>
            <w:tcW w:w="4426" w:type="dxa"/>
            <w:tcBorders>
              <w:top w:val="single" w:color="auto" w:sz="12" w:space="0"/>
              <w:bottom w:val="single" w:color="auto" w:sz="12" w:space="0"/>
              <w:right w:val="nil"/>
            </w:tcBorders>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处理措施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6" w:type="dxa"/>
            <w:vMerge w:val="restart"/>
            <w:tcBorders>
              <w:top w:val="single" w:color="auto" w:sz="12" w:space="0"/>
              <w:left w:val="nil"/>
            </w:tcBorders>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生猪养殖</w:t>
            </w:r>
          </w:p>
        </w:tc>
        <w:tc>
          <w:tcPr>
            <w:tcW w:w="1170" w:type="dxa"/>
            <w:tcBorders>
              <w:top w:val="single" w:color="auto" w:sz="12" w:space="0"/>
            </w:tcBorders>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养殖过程</w:t>
            </w:r>
          </w:p>
        </w:tc>
        <w:tc>
          <w:tcPr>
            <w:tcW w:w="1860" w:type="dxa"/>
            <w:tcBorders>
              <w:top w:val="single" w:color="auto" w:sz="12" w:space="0"/>
            </w:tcBorders>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恶臭（NH</w:t>
            </w:r>
            <w:r>
              <w:rPr>
                <w:rFonts w:hint="eastAsia" w:ascii="Times New Roman" w:hAnsi="Times New Roman"/>
                <w:color w:val="auto"/>
                <w:sz w:val="21"/>
                <w:szCs w:val="21"/>
                <w:vertAlign w:val="subscript"/>
              </w:rPr>
              <w:t>3</w:t>
            </w:r>
            <w:r>
              <w:rPr>
                <w:rFonts w:hint="eastAsia" w:ascii="Times New Roman" w:hAnsi="Times New Roman"/>
                <w:color w:val="auto"/>
                <w:sz w:val="21"/>
                <w:szCs w:val="21"/>
              </w:rPr>
              <w:t>，H</w:t>
            </w:r>
            <w:r>
              <w:rPr>
                <w:rFonts w:hint="eastAsia" w:ascii="Times New Roman" w:hAnsi="Times New Roman"/>
                <w:color w:val="auto"/>
                <w:sz w:val="21"/>
                <w:szCs w:val="21"/>
                <w:vertAlign w:val="subscript"/>
              </w:rPr>
              <w:t>2</w:t>
            </w:r>
            <w:r>
              <w:rPr>
                <w:rFonts w:hint="eastAsia" w:ascii="Times New Roman" w:hAnsi="Times New Roman"/>
                <w:color w:val="auto"/>
                <w:sz w:val="21"/>
                <w:szCs w:val="21"/>
              </w:rPr>
              <w:t>S）</w:t>
            </w:r>
          </w:p>
        </w:tc>
        <w:tc>
          <w:tcPr>
            <w:tcW w:w="4426" w:type="dxa"/>
            <w:tcBorders>
              <w:top w:val="single" w:color="auto" w:sz="12" w:space="0"/>
              <w:right w:val="nil"/>
            </w:tcBorders>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及时清理，生物除臭附等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6" w:type="dxa"/>
            <w:vMerge w:val="continue"/>
            <w:tcBorders>
              <w:left w:val="nil"/>
            </w:tcBorders>
            <w:noWrap w:val="0"/>
            <w:vAlign w:val="center"/>
          </w:tcPr>
          <w:p>
            <w:pPr>
              <w:pStyle w:val="862"/>
              <w:spacing w:line="240" w:lineRule="auto"/>
              <w:ind w:right="-62"/>
              <w:jc w:val="center"/>
              <w:rPr>
                <w:rFonts w:hint="eastAsia" w:ascii="Times New Roman" w:hAnsi="Times New Roman"/>
                <w:color w:val="auto"/>
                <w:sz w:val="21"/>
                <w:szCs w:val="21"/>
              </w:rPr>
            </w:pPr>
          </w:p>
        </w:tc>
        <w:tc>
          <w:tcPr>
            <w:tcW w:w="1170" w:type="dxa"/>
            <w:vMerge w:val="restart"/>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清理猪舍</w:t>
            </w:r>
          </w:p>
        </w:tc>
        <w:tc>
          <w:tcPr>
            <w:tcW w:w="1860" w:type="dxa"/>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lang w:eastAsia="zh-CN"/>
              </w:rPr>
              <w:t>养殖</w:t>
            </w:r>
            <w:r>
              <w:rPr>
                <w:rFonts w:hint="eastAsia" w:ascii="Times New Roman" w:hAnsi="Times New Roman"/>
                <w:color w:val="auto"/>
                <w:sz w:val="21"/>
                <w:szCs w:val="21"/>
              </w:rPr>
              <w:t>废水</w:t>
            </w:r>
          </w:p>
        </w:tc>
        <w:tc>
          <w:tcPr>
            <w:tcW w:w="4426" w:type="dxa"/>
            <w:vMerge w:val="restart"/>
            <w:tcBorders>
              <w:right w:val="nil"/>
            </w:tcBorders>
            <w:noWrap w:val="0"/>
            <w:vAlign w:val="center"/>
          </w:tcPr>
          <w:p>
            <w:pPr>
              <w:jc w:val="center"/>
            </w:pPr>
            <w:r>
              <w:rPr>
                <w:rFonts w:hint="eastAsia" w:ascii="Times New Roman" w:hAnsi="Times New Roman"/>
                <w:color w:val="auto"/>
                <w:sz w:val="21"/>
                <w:szCs w:val="21"/>
                <w:lang w:eastAsia="zh-CN"/>
              </w:rPr>
              <w:t>养殖</w:t>
            </w:r>
            <w:r>
              <w:rPr>
                <w:rFonts w:hint="eastAsia" w:ascii="Times New Roman" w:hAnsi="Times New Roman"/>
                <w:color w:val="auto"/>
                <w:sz w:val="21"/>
                <w:szCs w:val="21"/>
              </w:rPr>
              <w:t>废水</w:t>
            </w:r>
            <w:r>
              <w:rPr>
                <w:rFonts w:hint="eastAsia"/>
                <w:lang w:val="en-US" w:eastAsia="zh-CN"/>
              </w:rPr>
              <w:t>与猪粪污一起经异位发酵床工艺处理后制成有机肥料外售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066" w:type="dxa"/>
            <w:vMerge w:val="continue"/>
            <w:tcBorders>
              <w:left w:val="nil"/>
            </w:tcBorders>
            <w:noWrap w:val="0"/>
            <w:vAlign w:val="center"/>
          </w:tcPr>
          <w:p>
            <w:pPr>
              <w:pStyle w:val="862"/>
              <w:spacing w:line="240" w:lineRule="auto"/>
              <w:ind w:right="-62"/>
              <w:jc w:val="center"/>
              <w:rPr>
                <w:rFonts w:hint="eastAsia" w:ascii="Times New Roman" w:hAnsi="Times New Roman"/>
                <w:color w:val="auto"/>
                <w:sz w:val="21"/>
                <w:szCs w:val="21"/>
              </w:rPr>
            </w:pPr>
          </w:p>
        </w:tc>
        <w:tc>
          <w:tcPr>
            <w:tcW w:w="1170" w:type="dxa"/>
            <w:vMerge w:val="continue"/>
            <w:noWrap w:val="0"/>
            <w:vAlign w:val="center"/>
          </w:tcPr>
          <w:p>
            <w:pPr>
              <w:pStyle w:val="862"/>
              <w:spacing w:line="240" w:lineRule="auto"/>
              <w:ind w:right="-62"/>
              <w:jc w:val="center"/>
              <w:rPr>
                <w:rFonts w:hint="eastAsia" w:ascii="Times New Roman" w:hAnsi="Times New Roman"/>
                <w:color w:val="auto"/>
                <w:sz w:val="21"/>
                <w:szCs w:val="21"/>
              </w:rPr>
            </w:pPr>
          </w:p>
        </w:tc>
        <w:tc>
          <w:tcPr>
            <w:tcW w:w="1860" w:type="dxa"/>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猪粪</w:t>
            </w:r>
          </w:p>
        </w:tc>
        <w:tc>
          <w:tcPr>
            <w:tcW w:w="4426" w:type="dxa"/>
            <w:vMerge w:val="continue"/>
            <w:tcBorders>
              <w:right w:val="nil"/>
            </w:tcBorders>
            <w:noWrap w:val="0"/>
            <w:vAlign w:val="center"/>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6" w:type="dxa"/>
            <w:vMerge w:val="continue"/>
            <w:tcBorders>
              <w:left w:val="nil"/>
            </w:tcBorders>
            <w:noWrap w:val="0"/>
            <w:vAlign w:val="center"/>
          </w:tcPr>
          <w:p>
            <w:pPr>
              <w:pStyle w:val="862"/>
              <w:spacing w:line="240" w:lineRule="auto"/>
              <w:ind w:right="-62"/>
              <w:jc w:val="center"/>
              <w:rPr>
                <w:rFonts w:hint="eastAsia" w:ascii="Times New Roman" w:hAnsi="Times New Roman"/>
                <w:color w:val="auto"/>
                <w:sz w:val="21"/>
                <w:szCs w:val="21"/>
              </w:rPr>
            </w:pPr>
          </w:p>
        </w:tc>
        <w:tc>
          <w:tcPr>
            <w:tcW w:w="1170" w:type="dxa"/>
            <w:vMerge w:val="restart"/>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猪只饲养</w:t>
            </w:r>
          </w:p>
        </w:tc>
        <w:tc>
          <w:tcPr>
            <w:tcW w:w="1860" w:type="dxa"/>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猪尿</w:t>
            </w:r>
          </w:p>
        </w:tc>
        <w:tc>
          <w:tcPr>
            <w:tcW w:w="4426" w:type="dxa"/>
            <w:vMerge w:val="continue"/>
            <w:tcBorders>
              <w:right w:val="nil"/>
            </w:tcBorders>
            <w:noWrap w:val="0"/>
            <w:vAlign w:val="center"/>
          </w:tcPr>
          <w:p>
            <w:pPr>
              <w:pStyle w:val="862"/>
              <w:spacing w:line="240" w:lineRule="auto"/>
              <w:ind w:right="-62"/>
              <w:jc w:val="center"/>
              <w:rPr>
                <w:rFonts w:hint="eastAsia" w:ascii="Times New Roman" w:hAnsi="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6" w:type="dxa"/>
            <w:vMerge w:val="continue"/>
            <w:tcBorders>
              <w:left w:val="nil"/>
            </w:tcBorders>
            <w:noWrap w:val="0"/>
            <w:vAlign w:val="center"/>
          </w:tcPr>
          <w:p>
            <w:pPr>
              <w:pStyle w:val="862"/>
              <w:spacing w:line="240" w:lineRule="auto"/>
              <w:ind w:right="-62"/>
              <w:jc w:val="center"/>
              <w:rPr>
                <w:rFonts w:hint="eastAsia" w:ascii="Times New Roman" w:hAnsi="Times New Roman"/>
                <w:color w:val="auto"/>
                <w:sz w:val="21"/>
                <w:szCs w:val="21"/>
              </w:rPr>
            </w:pPr>
          </w:p>
        </w:tc>
        <w:tc>
          <w:tcPr>
            <w:tcW w:w="1170" w:type="dxa"/>
            <w:vMerge w:val="continue"/>
            <w:noWrap w:val="0"/>
            <w:vAlign w:val="center"/>
          </w:tcPr>
          <w:p>
            <w:pPr>
              <w:pStyle w:val="862"/>
              <w:spacing w:line="240" w:lineRule="auto"/>
              <w:ind w:right="-62"/>
              <w:jc w:val="center"/>
              <w:rPr>
                <w:rFonts w:hint="eastAsia" w:ascii="Times New Roman" w:hAnsi="Times New Roman"/>
                <w:color w:val="auto"/>
                <w:sz w:val="21"/>
                <w:szCs w:val="21"/>
              </w:rPr>
            </w:pPr>
          </w:p>
        </w:tc>
        <w:tc>
          <w:tcPr>
            <w:tcW w:w="1860" w:type="dxa"/>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病死猪</w:t>
            </w:r>
          </w:p>
        </w:tc>
        <w:tc>
          <w:tcPr>
            <w:tcW w:w="4426" w:type="dxa"/>
            <w:tcBorders>
              <w:right w:val="nil"/>
            </w:tcBorders>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lang w:eastAsia="zh-CN"/>
              </w:rPr>
              <w:t>无害化处理理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6" w:type="dxa"/>
            <w:vMerge w:val="continue"/>
            <w:tcBorders>
              <w:left w:val="nil"/>
            </w:tcBorders>
            <w:noWrap w:val="0"/>
            <w:vAlign w:val="center"/>
          </w:tcPr>
          <w:p>
            <w:pPr>
              <w:pStyle w:val="862"/>
              <w:spacing w:line="240" w:lineRule="auto"/>
              <w:ind w:right="-62"/>
              <w:jc w:val="center"/>
              <w:rPr>
                <w:rFonts w:hint="eastAsia" w:ascii="Times New Roman" w:hAnsi="Times New Roman"/>
                <w:color w:val="auto"/>
                <w:sz w:val="21"/>
                <w:szCs w:val="21"/>
              </w:rPr>
            </w:pPr>
          </w:p>
        </w:tc>
        <w:tc>
          <w:tcPr>
            <w:tcW w:w="1170" w:type="dxa"/>
            <w:vMerge w:val="continue"/>
            <w:noWrap w:val="0"/>
            <w:vAlign w:val="center"/>
          </w:tcPr>
          <w:p>
            <w:pPr>
              <w:pStyle w:val="862"/>
              <w:spacing w:line="240" w:lineRule="auto"/>
              <w:ind w:right="-62"/>
              <w:jc w:val="center"/>
              <w:rPr>
                <w:rFonts w:hint="eastAsia" w:ascii="Times New Roman" w:hAnsi="Times New Roman"/>
                <w:color w:val="auto"/>
                <w:sz w:val="21"/>
                <w:szCs w:val="21"/>
              </w:rPr>
            </w:pPr>
          </w:p>
        </w:tc>
        <w:tc>
          <w:tcPr>
            <w:tcW w:w="1860" w:type="dxa"/>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医疗废物</w:t>
            </w:r>
          </w:p>
        </w:tc>
        <w:tc>
          <w:tcPr>
            <w:tcW w:w="4426" w:type="dxa"/>
            <w:tcBorders>
              <w:right w:val="nil"/>
            </w:tcBorders>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送资质单位处理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066" w:type="dxa"/>
            <w:vMerge w:val="continue"/>
            <w:tcBorders>
              <w:left w:val="nil"/>
              <w:bottom w:val="single" w:color="auto" w:sz="12" w:space="0"/>
            </w:tcBorders>
            <w:noWrap w:val="0"/>
            <w:vAlign w:val="center"/>
          </w:tcPr>
          <w:p>
            <w:pPr>
              <w:pStyle w:val="862"/>
              <w:spacing w:line="240" w:lineRule="auto"/>
              <w:ind w:right="-62"/>
              <w:jc w:val="center"/>
              <w:rPr>
                <w:rFonts w:hint="eastAsia" w:ascii="Times New Roman" w:hAnsi="Times New Roman"/>
                <w:color w:val="auto"/>
                <w:sz w:val="21"/>
                <w:szCs w:val="21"/>
              </w:rPr>
            </w:pPr>
          </w:p>
        </w:tc>
        <w:tc>
          <w:tcPr>
            <w:tcW w:w="1170" w:type="dxa"/>
            <w:tcBorders>
              <w:bottom w:val="single" w:color="auto" w:sz="12" w:space="0"/>
            </w:tcBorders>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设备运行</w:t>
            </w:r>
          </w:p>
        </w:tc>
        <w:tc>
          <w:tcPr>
            <w:tcW w:w="1860" w:type="dxa"/>
            <w:tcBorders>
              <w:bottom w:val="single" w:color="auto" w:sz="12" w:space="0"/>
            </w:tcBorders>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噪声</w:t>
            </w:r>
          </w:p>
        </w:tc>
        <w:tc>
          <w:tcPr>
            <w:tcW w:w="4426" w:type="dxa"/>
            <w:tcBorders>
              <w:bottom w:val="single" w:color="auto" w:sz="12" w:space="0"/>
              <w:right w:val="nil"/>
            </w:tcBorders>
            <w:noWrap w:val="0"/>
            <w:vAlign w:val="center"/>
          </w:tcPr>
          <w:p>
            <w:pPr>
              <w:pStyle w:val="862"/>
              <w:spacing w:line="240" w:lineRule="auto"/>
              <w:ind w:right="-62"/>
              <w:jc w:val="center"/>
              <w:rPr>
                <w:rFonts w:hint="eastAsia" w:ascii="Times New Roman" w:hAnsi="Times New Roman"/>
                <w:color w:val="auto"/>
                <w:sz w:val="21"/>
                <w:szCs w:val="21"/>
              </w:rPr>
            </w:pPr>
            <w:r>
              <w:rPr>
                <w:rFonts w:hint="eastAsia" w:ascii="Times New Roman" w:hAnsi="Times New Roman"/>
                <w:color w:val="auto"/>
                <w:sz w:val="21"/>
                <w:szCs w:val="21"/>
              </w:rPr>
              <w:t>基座减振、厂房隔音、绿化带降噪</w:t>
            </w:r>
          </w:p>
        </w:tc>
      </w:tr>
    </w:tbl>
    <w:p>
      <w:pPr>
        <w:spacing w:line="500" w:lineRule="exact"/>
        <w:ind w:firstLine="480" w:firstLineChars="200"/>
        <w:jc w:val="left"/>
        <w:rPr>
          <w:rFonts w:hint="eastAsia"/>
          <w:bCs/>
          <w:sz w:val="24"/>
        </w:rPr>
      </w:pPr>
      <w:r>
        <w:rPr>
          <w:rFonts w:hint="eastAsia"/>
          <w:bCs/>
          <w:sz w:val="24"/>
        </w:rPr>
        <w:t>根据上述分析，项目营运期间产生的污染物均得以有效处理，资源回收利用指标满足清洁生产要求。</w:t>
      </w:r>
    </w:p>
    <w:p>
      <w:pPr>
        <w:pStyle w:val="4"/>
        <w:rPr>
          <w:rFonts w:hint="eastAsia"/>
        </w:rPr>
      </w:pPr>
      <w:bookmarkStart w:id="93" w:name="_Toc31185"/>
      <w:bookmarkStart w:id="94" w:name="_Toc8461"/>
      <w:r>
        <w:rPr>
          <w:rFonts w:hint="eastAsia"/>
        </w:rPr>
        <w:t>清洁生产管理要求</w:t>
      </w:r>
      <w:bookmarkEnd w:id="93"/>
      <w:bookmarkEnd w:id="94"/>
    </w:p>
    <w:p>
      <w:pPr>
        <w:pStyle w:val="5"/>
        <w:ind w:firstLine="562"/>
        <w:rPr>
          <w:rFonts w:hint="eastAsia"/>
          <w:lang w:eastAsia="zh-CN"/>
        </w:rPr>
      </w:pPr>
      <w:r>
        <w:rPr>
          <w:rFonts w:hint="eastAsia"/>
          <w:lang w:eastAsia="zh-CN"/>
        </w:rPr>
        <w:t>清洁生产、生产管理和环境管理一体</w:t>
      </w:r>
    </w:p>
    <w:p>
      <w:pPr>
        <w:pStyle w:val="8"/>
        <w:jc w:val="both"/>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将清洁生产管理制度和环境管理体系认证纳入生产管理和环境保护管理制度中，在实施清洁生产过程中将制度不断加以完善，其制度的宗旨是保证生产过程中合理利用水资源、电灯能源，减少各种资源的浪费，在源头防治各类污染物的产生，以实现生产和环保的协调发展。</w:t>
      </w:r>
    </w:p>
    <w:p>
      <w:pPr>
        <w:pStyle w:val="5"/>
        <w:ind w:firstLine="562"/>
        <w:rPr>
          <w:rFonts w:hint="eastAsia"/>
          <w:lang w:eastAsia="zh-CN"/>
        </w:rPr>
      </w:pPr>
      <w:r>
        <w:rPr>
          <w:rFonts w:hint="eastAsia"/>
          <w:lang w:eastAsia="zh-CN"/>
        </w:rPr>
        <w:t>清洁生产指标融入制度管理中</w:t>
      </w:r>
    </w:p>
    <w:p>
      <w:pPr>
        <w:pStyle w:val="8"/>
        <w:jc w:val="both"/>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生产管理的各项规章制度中均纳入环保和清洁生产指标，例如各生产环节的废气、废水、噪声和固废的排放，实施浓度和总量双重控制，管理部门必须随时掌握生产过程中污染物的排放情况，把环保列入生产调度内容中，定时对环保情况、清洁生产指标进行检查和考核，对生产过程中产生的污染事故要及时组织、妥善处理。</w:t>
      </w:r>
    </w:p>
    <w:p>
      <w:pPr>
        <w:pStyle w:val="5"/>
        <w:ind w:firstLine="562"/>
        <w:rPr>
          <w:rFonts w:hint="eastAsia"/>
          <w:lang w:eastAsia="zh-CN"/>
        </w:rPr>
      </w:pPr>
      <w:r>
        <w:rPr>
          <w:rFonts w:hint="eastAsia"/>
          <w:lang w:eastAsia="zh-CN"/>
        </w:rPr>
        <w:t>确保环保装置稳定运转</w:t>
      </w:r>
    </w:p>
    <w:p>
      <w:pPr>
        <w:pStyle w:val="8"/>
        <w:jc w:val="both"/>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根据各环保设施的工艺特点，注定定期检查、保养、维修制度，并且落实到人，定期通报环境保护管理情况，包括装置检修及环保工程运行情况，提高装置的稳定性和完好率，确保其正常稳定运转。</w:t>
      </w:r>
    </w:p>
    <w:p>
      <w:pPr>
        <w:pStyle w:val="5"/>
        <w:ind w:firstLine="562"/>
        <w:rPr>
          <w:rFonts w:hint="eastAsia"/>
          <w:lang w:eastAsia="zh-CN"/>
        </w:rPr>
      </w:pPr>
      <w:r>
        <w:rPr>
          <w:rFonts w:hint="eastAsia"/>
          <w:lang w:eastAsia="zh-CN"/>
        </w:rPr>
        <w:t>实行清洁生产宣传教育</w:t>
      </w:r>
    </w:p>
    <w:p>
      <w:pPr>
        <w:pStyle w:val="8"/>
        <w:jc w:val="both"/>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积极向员工进行清洁生产方面的宣传教育，根据清洁生产生产计划定期对各有关管理人员和技术人员进行清洁生产方面的岗位培训，确保厂区环境清洁和尽量使污染物排放量降到最低。</w:t>
      </w:r>
    </w:p>
    <w:p>
      <w:pPr>
        <w:pStyle w:val="4"/>
        <w:rPr>
          <w:rFonts w:hint="eastAsia"/>
        </w:rPr>
      </w:pPr>
      <w:bookmarkStart w:id="95" w:name="_Toc16732"/>
      <w:bookmarkStart w:id="96" w:name="_Toc4001"/>
      <w:r>
        <w:rPr>
          <w:rFonts w:hint="eastAsia"/>
        </w:rPr>
        <w:t>清洁生产分析结论</w:t>
      </w:r>
      <w:bookmarkEnd w:id="95"/>
      <w:bookmarkEnd w:id="96"/>
    </w:p>
    <w:p>
      <w:pPr>
        <w:pStyle w:val="8"/>
        <w:jc w:val="both"/>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综合上述分析，本项目营运期间清洁生产分析结论如下：</w:t>
      </w:r>
    </w:p>
    <w:p>
      <w:pPr>
        <w:pStyle w:val="9"/>
        <w:keepNext w:val="0"/>
        <w:keepLines w:val="0"/>
        <w:pageBreakBefore w:val="0"/>
        <w:widowControl w:val="0"/>
        <w:kinsoku/>
        <w:wordWrap/>
        <w:overflowPunct/>
        <w:topLinePunct w:val="0"/>
        <w:autoSpaceDE w:val="0"/>
        <w:autoSpaceDN w:val="0"/>
        <w:bidi w:val="0"/>
        <w:adjustRightInd/>
        <w:snapToGrid/>
        <w:textAlignment w:val="auto"/>
        <w:rPr>
          <w:b/>
          <w:bCs/>
        </w:rPr>
      </w:pPr>
      <w:r>
        <w:rPr>
          <w:rFonts w:hint="default" w:ascii="Times New Roman" w:hAnsi="Times New Roman" w:cs="Times New Roman"/>
          <w:color w:val="auto"/>
          <w:sz w:val="24"/>
          <w:lang w:val="en-US" w:eastAsia="zh-CN"/>
        </w:rPr>
        <w:t>项目养殖期间使用先进的养殖工艺和设备，污染产生指标较低，废物综合利用率高，依照《中华人民共和国清洁生产促进法》中的相关要求分析，拟建项目的清洁生产水平为二级，处于国内先进水平，符合清洁生产要求。</w:t>
      </w:r>
    </w:p>
    <w:p>
      <w:pPr>
        <w:pStyle w:val="9"/>
        <w:keepNext w:val="0"/>
        <w:keepLines w:val="0"/>
        <w:pageBreakBefore w:val="0"/>
        <w:widowControl w:val="0"/>
        <w:kinsoku/>
        <w:wordWrap/>
        <w:overflowPunct/>
        <w:topLinePunct w:val="0"/>
        <w:autoSpaceDE w:val="0"/>
        <w:autoSpaceDN w:val="0"/>
        <w:bidi w:val="0"/>
        <w:adjustRightInd/>
        <w:snapToGrid/>
        <w:textAlignment w:val="auto"/>
        <w:rPr>
          <w:b/>
          <w:bCs/>
        </w:rPr>
      </w:pPr>
    </w:p>
    <w:p>
      <w:pPr>
        <w:pStyle w:val="9"/>
        <w:keepNext w:val="0"/>
        <w:keepLines w:val="0"/>
        <w:pageBreakBefore w:val="0"/>
        <w:widowControl w:val="0"/>
        <w:kinsoku/>
        <w:wordWrap/>
        <w:overflowPunct/>
        <w:topLinePunct w:val="0"/>
        <w:autoSpaceDE w:val="0"/>
        <w:autoSpaceDN w:val="0"/>
        <w:bidi w:val="0"/>
        <w:adjustRightInd/>
        <w:snapToGrid/>
        <w:textAlignment w:val="auto"/>
        <w:rPr>
          <w:b/>
          <w:bCs/>
        </w:rPr>
      </w:pPr>
    </w:p>
    <w:p>
      <w:pPr>
        <w:pStyle w:val="9"/>
        <w:keepNext w:val="0"/>
        <w:keepLines w:val="0"/>
        <w:pageBreakBefore w:val="0"/>
        <w:widowControl w:val="0"/>
        <w:kinsoku/>
        <w:wordWrap/>
        <w:overflowPunct/>
        <w:topLinePunct w:val="0"/>
        <w:autoSpaceDE w:val="0"/>
        <w:autoSpaceDN w:val="0"/>
        <w:bidi w:val="0"/>
        <w:adjustRightInd/>
        <w:snapToGrid/>
        <w:ind w:left="0" w:leftChars="0" w:firstLine="0" w:firstLineChars="0"/>
        <w:textAlignment w:val="auto"/>
        <w:sectPr>
          <w:footerReference r:id="rId11"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3"/>
        <w:jc w:val="center"/>
      </w:pPr>
      <w:bookmarkStart w:id="97" w:name="_Toc16888"/>
      <w:bookmarkStart w:id="98" w:name="_Toc14295"/>
      <w:r>
        <w:rPr>
          <w:rFonts w:hint="eastAsia"/>
        </w:rPr>
        <w:t>环境影响经济损益分析</w:t>
      </w:r>
      <w:bookmarkEnd w:id="97"/>
      <w:bookmarkEnd w:id="98"/>
    </w:p>
    <w:p>
      <w:pPr>
        <w:pStyle w:val="8"/>
        <w:rPr>
          <w:rFonts w:hint="eastAsia"/>
        </w:rPr>
      </w:pPr>
      <w:r>
        <w:rPr>
          <w:rFonts w:hint="eastAsia"/>
        </w:rPr>
        <w:t>关于建设项目的环境经济损益分析，国内目前尚无统一标准。此外，项目所排污染物作用于自然环境而造成的经济损失，其过程和机理是十分复杂的，其中有许多不确定因素；而且，许多因环境污染而造成的经济损失和由于污染防治而带来的环境收益，较难计量或是很难准确以货币形式来表达。为此，本报告在环境损益分析中，对于可计量部分给予定量表达，其它则采用类比分析方法予以估算，或者是给予忽略。因此，本章节分析的结果，只能反映一种趋势，谨供参考。</w:t>
      </w:r>
    </w:p>
    <w:p>
      <w:pPr>
        <w:pStyle w:val="4"/>
      </w:pPr>
      <w:bookmarkStart w:id="99" w:name="_Toc29185"/>
      <w:bookmarkStart w:id="100" w:name="_Toc12848"/>
      <w:r>
        <w:rPr>
          <w:rFonts w:hint="eastAsia"/>
          <w:lang w:eastAsia="zh-CN"/>
        </w:rPr>
        <w:t>经济效益分析</w:t>
      </w:r>
      <w:bookmarkEnd w:id="99"/>
      <w:bookmarkEnd w:id="100"/>
    </w:p>
    <w:p>
      <w:pPr>
        <w:pStyle w:val="8"/>
        <w:rPr>
          <w:rFonts w:hint="eastAsia" w:eastAsia="宋体"/>
          <w:lang w:eastAsia="zh-CN"/>
        </w:rPr>
      </w:pPr>
      <w:r>
        <w:rPr>
          <w:rFonts w:hint="eastAsia"/>
          <w:lang w:eastAsia="zh-CN"/>
        </w:rPr>
        <w:t>（</w:t>
      </w:r>
      <w:r>
        <w:rPr>
          <w:rFonts w:hint="eastAsia"/>
          <w:lang w:val="en-US" w:eastAsia="zh-CN"/>
        </w:rPr>
        <w:t>1</w:t>
      </w:r>
      <w:r>
        <w:rPr>
          <w:rFonts w:hint="eastAsia"/>
          <w:lang w:eastAsia="zh-CN"/>
        </w:rPr>
        <w:t>）直接经济效益</w:t>
      </w:r>
    </w:p>
    <w:p>
      <w:pPr>
        <w:pStyle w:val="8"/>
        <w:rPr>
          <w:rFonts w:hint="default" w:eastAsia="宋体"/>
          <w:lang w:val="en-US" w:eastAsia="zh-CN"/>
        </w:rPr>
      </w:pPr>
      <w:r>
        <w:rPr>
          <w:rFonts w:hint="eastAsia"/>
          <w:lang w:eastAsia="zh-CN"/>
        </w:rPr>
        <w:t>根据建设单位规划，项目建成后可年出栏商品猪</w:t>
      </w:r>
      <w:r>
        <w:rPr>
          <w:rFonts w:hint="eastAsia"/>
          <w:lang w:val="en-US" w:eastAsia="zh-CN"/>
        </w:rPr>
        <w:t>18000头，销售收入4800万元，总生产经营成本2900万元，利润总额可达1900万元。</w:t>
      </w:r>
    </w:p>
    <w:p>
      <w:pPr>
        <w:pStyle w:val="8"/>
        <w:rPr>
          <w:rFonts w:hint="eastAsia" w:eastAsia="宋体"/>
          <w:lang w:eastAsia="zh-CN"/>
        </w:rPr>
      </w:pPr>
      <w:r>
        <w:rPr>
          <w:rFonts w:hint="eastAsia"/>
          <w:lang w:eastAsia="zh-CN"/>
        </w:rPr>
        <w:t>项目产生的粪污经异位发酵床工艺处理后制成有机肥外售。猪粪作为肥料，可以改良土壤质量，改善农作物生长环境，提高农作物产量，做到了资源的综合利用。</w:t>
      </w:r>
    </w:p>
    <w:p>
      <w:pPr>
        <w:pStyle w:val="8"/>
        <w:rPr>
          <w:rFonts w:hint="eastAsia" w:eastAsia="宋体"/>
          <w:lang w:eastAsia="zh-CN"/>
        </w:rPr>
      </w:pPr>
      <w:r>
        <w:rPr>
          <w:rFonts w:hint="eastAsia"/>
          <w:lang w:eastAsia="zh-CN"/>
        </w:rPr>
        <w:t>（</w:t>
      </w:r>
      <w:r>
        <w:rPr>
          <w:rFonts w:hint="eastAsia"/>
          <w:lang w:val="en-US" w:eastAsia="zh-CN"/>
        </w:rPr>
        <w:t>2</w:t>
      </w:r>
      <w:r>
        <w:rPr>
          <w:rFonts w:hint="eastAsia"/>
          <w:lang w:eastAsia="zh-CN"/>
        </w:rPr>
        <w:t>）废水处理和利用的经济效益</w:t>
      </w:r>
    </w:p>
    <w:p>
      <w:pPr>
        <w:pStyle w:val="8"/>
        <w:rPr>
          <w:rFonts w:hint="eastAsia" w:eastAsia="宋体"/>
          <w:lang w:eastAsia="zh-CN"/>
        </w:rPr>
      </w:pPr>
      <w:r>
        <w:rPr>
          <w:rFonts w:hint="eastAsia"/>
          <w:lang w:eastAsia="zh-CN"/>
        </w:rPr>
        <w:t>本项目产生的生产废水与猪舍粪污一起经异位发酵床工艺处理后制成有机肥料外售，不外排。</w:t>
      </w:r>
    </w:p>
    <w:p>
      <w:pPr>
        <w:pStyle w:val="8"/>
        <w:rPr>
          <w:rFonts w:hint="eastAsia"/>
          <w:lang w:eastAsia="zh-CN"/>
        </w:rPr>
      </w:pPr>
      <w:r>
        <w:rPr>
          <w:rFonts w:hint="eastAsia"/>
          <w:lang w:eastAsia="zh-CN"/>
        </w:rPr>
        <w:t>本项目产生的生活污水经地埋式一体化污水处理设施处理达到《畜禽养殖业污染物排放标准》（</w:t>
      </w:r>
      <w:r>
        <w:rPr>
          <w:rFonts w:hint="eastAsia"/>
          <w:lang w:val="en-US" w:eastAsia="zh-CN"/>
        </w:rPr>
        <w:t>DB44-613-2009</w:t>
      </w:r>
      <w:r>
        <w:rPr>
          <w:rFonts w:hint="eastAsia"/>
          <w:lang w:eastAsia="zh-CN"/>
        </w:rPr>
        <w:t>）中集约化畜禽养殖业污染物最高允许日排放浓度和</w:t>
      </w:r>
      <w:r>
        <w:rPr>
          <w:rFonts w:hint="eastAsia" w:cs="Times New Roman"/>
          <w:kern w:val="0"/>
          <w:sz w:val="24"/>
          <w:szCs w:val="24"/>
          <w:lang w:val="en-US" w:eastAsia="zh-CN" w:bidi="ar-SA"/>
        </w:rPr>
        <w:t>《农田灌溉水质标准》（GB5084-2005）中旱作标准的较严值后全部回用附近林场灌溉，不外排。</w:t>
      </w:r>
    </w:p>
    <w:p>
      <w:pPr>
        <w:pStyle w:val="8"/>
        <w:rPr>
          <w:rFonts w:hint="eastAsia"/>
          <w:lang w:eastAsia="zh-CN"/>
        </w:rPr>
      </w:pPr>
      <w:r>
        <w:rPr>
          <w:rFonts w:hint="eastAsia"/>
          <w:lang w:eastAsia="zh-CN"/>
        </w:rPr>
        <w:t>（</w:t>
      </w:r>
      <w:r>
        <w:rPr>
          <w:rFonts w:hint="eastAsia"/>
          <w:lang w:val="en-US" w:eastAsia="zh-CN"/>
        </w:rPr>
        <w:t>3</w:t>
      </w:r>
      <w:r>
        <w:rPr>
          <w:rFonts w:hint="eastAsia"/>
          <w:lang w:eastAsia="zh-CN"/>
        </w:rPr>
        <w:t>）项目投入一定的资金用于环保措施及维持各项环保措施正常运转，实现各污染物达标排放。每年减少了向环境中排放大量的污染物，保护当地的水、气、声等自然环境。同时也保障了工人的健康安全，有有利于企业自身的发展，具有良好的环境经济效益。</w:t>
      </w:r>
    </w:p>
    <w:p>
      <w:pPr>
        <w:pStyle w:val="4"/>
      </w:pPr>
      <w:bookmarkStart w:id="101" w:name="_Toc7138"/>
      <w:bookmarkStart w:id="102" w:name="_Toc1926"/>
      <w:r>
        <w:rPr>
          <w:rFonts w:hint="eastAsia"/>
          <w:lang w:eastAsia="zh-CN"/>
        </w:rPr>
        <w:t>社会效益分析</w:t>
      </w:r>
      <w:bookmarkEnd w:id="101"/>
      <w:bookmarkEnd w:id="102"/>
    </w:p>
    <w:p>
      <w:pPr>
        <w:pStyle w:val="8"/>
        <w:rPr>
          <w:rFonts w:hint="eastAsia"/>
        </w:rPr>
      </w:pPr>
      <w:r>
        <w:rPr>
          <w:rFonts w:hint="eastAsia"/>
        </w:rPr>
        <w:t xml:space="preserve">该项目建成后，将进一步优化区域养殖结构。该项目实施也增加当地就业机会，使社会稳定，在促进该地区的经济发展的同时会带来良好的社会效益，其产生的社会效益主要体现在以下几个方面： </w:t>
      </w:r>
    </w:p>
    <w:p>
      <w:pPr>
        <w:pStyle w:val="8"/>
        <w:numPr>
          <w:ilvl w:val="0"/>
          <w:numId w:val="27"/>
        </w:numPr>
        <w:rPr>
          <w:rFonts w:hint="eastAsia"/>
        </w:rPr>
      </w:pPr>
      <w:r>
        <w:rPr>
          <w:rFonts w:hint="eastAsia"/>
        </w:rPr>
        <w:t xml:space="preserve">本项目的建设可有效利用本地资源，发展规模化养殖业，促进区域养殖产业升级。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firstLine="480" w:firstLineChars="200"/>
        <w:textAlignment w:val="auto"/>
        <w:rPr>
          <w:rFonts w:hint="eastAsia"/>
        </w:rPr>
      </w:pPr>
      <w:r>
        <w:rPr>
          <w:rFonts w:hint="eastAsia"/>
        </w:rPr>
        <w:t xml:space="preserve">（2）项目运营后，将带动本地区经济发展，给财政增加税收，给地方经济带来繁荣。 </w:t>
      </w:r>
    </w:p>
    <w:p>
      <w:pPr>
        <w:pStyle w:val="8"/>
        <w:rPr>
          <w:rFonts w:hint="eastAsia" w:eastAsia="宋体"/>
          <w:lang w:eastAsia="zh-CN"/>
        </w:rPr>
      </w:pPr>
      <w:r>
        <w:rPr>
          <w:rFonts w:hint="eastAsia"/>
        </w:rPr>
        <w:t>（3）项目可以提供就业机会，缓解劳动力就业的矛盾，有利于维护安定团结、社会稳定</w:t>
      </w:r>
      <w:r>
        <w:rPr>
          <w:rFonts w:hint="eastAsia"/>
          <w:lang w:eastAsia="zh-CN"/>
        </w:rPr>
        <w:t>。</w:t>
      </w:r>
    </w:p>
    <w:p>
      <w:pPr>
        <w:pStyle w:val="4"/>
      </w:pPr>
      <w:bookmarkStart w:id="103" w:name="_Toc8824"/>
      <w:bookmarkStart w:id="104" w:name="_Toc16783"/>
      <w:r>
        <w:rPr>
          <w:rFonts w:hint="eastAsia"/>
          <w:lang w:eastAsia="zh-CN"/>
        </w:rPr>
        <w:t>环境效益分析</w:t>
      </w:r>
      <w:bookmarkEnd w:id="103"/>
      <w:bookmarkEnd w:id="104"/>
    </w:p>
    <w:p>
      <w:pPr>
        <w:pStyle w:val="5"/>
        <w:ind w:firstLine="562"/>
      </w:pPr>
      <w:r>
        <w:rPr>
          <w:rFonts w:hint="eastAsia"/>
          <w:lang w:eastAsia="zh-CN"/>
        </w:rPr>
        <w:t xml:space="preserve">环保投资估算 </w:t>
      </w:r>
    </w:p>
    <w:p>
      <w:pPr>
        <w:pStyle w:val="9"/>
        <w:keepNext w:val="0"/>
        <w:keepLines w:val="0"/>
        <w:pageBreakBefore w:val="0"/>
        <w:widowControl w:val="0"/>
        <w:kinsoku/>
        <w:wordWrap/>
        <w:overflowPunct/>
        <w:topLinePunct w:val="0"/>
        <w:autoSpaceDE w:val="0"/>
        <w:autoSpaceDN w:val="0"/>
        <w:bidi w:val="0"/>
        <w:adjustRightInd/>
        <w:snapToGrid/>
        <w:textAlignment w:val="auto"/>
      </w:pPr>
      <w:r>
        <w:rPr>
          <w:rFonts w:hint="eastAsia"/>
          <w:lang w:eastAsia="zh-CN"/>
        </w:rPr>
        <w:t>项目环保投资总额为</w:t>
      </w:r>
      <w:r>
        <w:rPr>
          <w:rFonts w:hint="eastAsia"/>
          <w:lang w:val="en-US" w:eastAsia="zh-CN"/>
        </w:rPr>
        <w:t>106万元，占项目总投资</w:t>
      </w:r>
      <w:r>
        <w:rPr>
          <w:rFonts w:hint="eastAsia"/>
          <w:sz w:val="24"/>
          <w:szCs w:val="24"/>
          <w:lang w:val="en-US" w:eastAsia="zh-CN"/>
        </w:rPr>
        <w:t>1280的8.28</w:t>
      </w:r>
      <w:r>
        <w:rPr>
          <w:rFonts w:hint="eastAsia"/>
          <w:sz w:val="24"/>
          <w:szCs w:val="24"/>
          <w:lang w:eastAsia="zh-CN"/>
        </w:rPr>
        <w:t>%</w:t>
      </w:r>
    </w:p>
    <w:p>
      <w:pPr>
        <w:pStyle w:val="5"/>
        <w:ind w:firstLine="562"/>
      </w:pPr>
      <w:r>
        <w:rPr>
          <w:rFonts w:hint="eastAsia"/>
          <w:lang w:eastAsia="zh-CN"/>
        </w:rPr>
        <w:t xml:space="preserve">环保设施运行成本费用估算  </w:t>
      </w:r>
    </w:p>
    <w:p>
      <w:pPr>
        <w:pStyle w:val="8"/>
        <w:numPr>
          <w:ilvl w:val="0"/>
          <w:numId w:val="28"/>
        </w:numPr>
        <w:rPr>
          <w:rFonts w:hint="eastAsia"/>
        </w:rPr>
      </w:pPr>
      <w:r>
        <w:rPr>
          <w:rFonts w:hint="eastAsia"/>
        </w:rPr>
        <w:t>环保设施折旧费本项目环保措施直接环保投资为</w:t>
      </w:r>
      <w:r>
        <w:rPr>
          <w:rFonts w:hint="eastAsia"/>
          <w:lang w:val="en-US" w:eastAsia="zh-CN"/>
        </w:rPr>
        <w:t>106</w:t>
      </w:r>
      <w:r>
        <w:rPr>
          <w:rFonts w:hint="eastAsia"/>
        </w:rPr>
        <w:t>万元，设备折旧费按投资的5%计，则环保设施折旧费为</w:t>
      </w:r>
      <w:r>
        <w:rPr>
          <w:rFonts w:hint="eastAsia"/>
          <w:lang w:val="en-US" w:eastAsia="zh-CN"/>
        </w:rPr>
        <w:t>5.3</w:t>
      </w:r>
      <w:r>
        <w:rPr>
          <w:rFonts w:hint="eastAsia"/>
        </w:rPr>
        <w:t xml:space="preserve">万元/年。 </w:t>
      </w:r>
    </w:p>
    <w:p>
      <w:pPr>
        <w:pStyle w:val="8"/>
        <w:numPr>
          <w:ilvl w:val="0"/>
          <w:numId w:val="28"/>
        </w:numPr>
        <w:ind w:left="0" w:leftChars="0" w:firstLine="480" w:firstLineChars="200"/>
        <w:rPr>
          <w:rFonts w:hint="eastAsia"/>
        </w:rPr>
      </w:pPr>
      <w:r>
        <w:rPr>
          <w:rFonts w:hint="eastAsia"/>
        </w:rPr>
        <w:t>环保设施运行费环保设施运行费按环保投资的10%计，本项目环保设施运行费为</w:t>
      </w:r>
      <w:r>
        <w:rPr>
          <w:rFonts w:hint="eastAsia"/>
          <w:lang w:val="en-US" w:eastAsia="zh-CN"/>
        </w:rPr>
        <w:t>10.6</w:t>
      </w:r>
      <w:r>
        <w:rPr>
          <w:rFonts w:hint="eastAsia"/>
        </w:rPr>
        <w:t xml:space="preserve">万元/年。 </w:t>
      </w:r>
    </w:p>
    <w:p>
      <w:pPr>
        <w:pStyle w:val="8"/>
        <w:numPr>
          <w:ilvl w:val="0"/>
          <w:numId w:val="28"/>
        </w:numPr>
        <w:ind w:left="0" w:leftChars="0" w:firstLine="480" w:firstLineChars="200"/>
        <w:rPr>
          <w:rFonts w:hint="eastAsia"/>
        </w:rPr>
      </w:pPr>
      <w:r>
        <w:rPr>
          <w:rFonts w:hint="eastAsia"/>
        </w:rPr>
        <w:t>环保设施维修费环保设施维修费取环保投资的2% ，则每年维修约</w:t>
      </w:r>
      <w:r>
        <w:rPr>
          <w:rFonts w:hint="eastAsia"/>
          <w:lang w:val="en-US" w:eastAsia="zh-CN"/>
        </w:rPr>
        <w:t>2.12</w:t>
      </w:r>
      <w:r>
        <w:rPr>
          <w:rFonts w:hint="eastAsia"/>
        </w:rPr>
        <w:t xml:space="preserve">万元。 </w:t>
      </w:r>
    </w:p>
    <w:p>
      <w:pPr>
        <w:pStyle w:val="8"/>
        <w:numPr>
          <w:ilvl w:val="0"/>
          <w:numId w:val="28"/>
        </w:numPr>
        <w:ind w:left="0" w:leftChars="0" w:firstLine="480" w:firstLineChars="200"/>
        <w:rPr>
          <w:rFonts w:hint="eastAsia"/>
        </w:rPr>
      </w:pPr>
      <w:r>
        <w:rPr>
          <w:rFonts w:hint="eastAsia"/>
        </w:rPr>
        <w:t>环保工人工资预计工程环保人员约1人，按生产人员工资及附加费为1.2万元/人•年，则工资费用为1.2万元。</w:t>
      </w:r>
    </w:p>
    <w:p>
      <w:pPr>
        <w:pStyle w:val="9"/>
        <w:keepNext w:val="0"/>
        <w:keepLines w:val="0"/>
        <w:pageBreakBefore w:val="0"/>
        <w:widowControl w:val="0"/>
        <w:kinsoku/>
        <w:wordWrap/>
        <w:overflowPunct/>
        <w:topLinePunct w:val="0"/>
        <w:autoSpaceDE w:val="0"/>
        <w:autoSpaceDN w:val="0"/>
        <w:bidi w:val="0"/>
        <w:adjustRightInd/>
        <w:snapToGrid/>
        <w:textAlignment w:val="auto"/>
        <w:rPr>
          <w:rFonts w:hint="eastAsia"/>
        </w:rPr>
      </w:pPr>
      <w:r>
        <w:rPr>
          <w:rFonts w:hint="eastAsia"/>
        </w:rPr>
        <w:t xml:space="preserve"> 综上所述，该项目的环保设施运行总费用为</w:t>
      </w:r>
      <w:r>
        <w:rPr>
          <w:rFonts w:hint="eastAsia"/>
          <w:lang w:val="en-US" w:eastAsia="zh-CN"/>
        </w:rPr>
        <w:t>19.22</w:t>
      </w:r>
      <w:r>
        <w:rPr>
          <w:rFonts w:hint="eastAsia"/>
        </w:rPr>
        <w:t>万元。</w:t>
      </w:r>
    </w:p>
    <w:p>
      <w:pPr>
        <w:pStyle w:val="5"/>
        <w:ind w:firstLine="562"/>
      </w:pPr>
      <w:r>
        <w:rPr>
          <w:rFonts w:hint="eastAsia"/>
          <w:lang w:eastAsia="zh-CN"/>
        </w:rPr>
        <w:t xml:space="preserve"> 环保投资经济效益  </w:t>
      </w:r>
    </w:p>
    <w:p>
      <w:pPr>
        <w:pStyle w:val="8"/>
        <w:numPr>
          <w:ilvl w:val="0"/>
          <w:numId w:val="29"/>
        </w:numPr>
        <w:rPr>
          <w:rFonts w:hint="default" w:ascii="Times New Roman" w:hAnsi="Times New Roman" w:eastAsia="宋体" w:cs="Times New Roman"/>
          <w:color w:val="000000"/>
          <w:sz w:val="24"/>
          <w:szCs w:val="24"/>
        </w:rPr>
      </w:pPr>
      <w:r>
        <w:rPr>
          <w:rFonts w:hint="default" w:ascii="Times New Roman" w:hAnsi="Times New Roman" w:eastAsia="宋体" w:cs="Times New Roman"/>
          <w:color w:val="000000"/>
          <w:sz w:val="24"/>
          <w:szCs w:val="24"/>
        </w:rPr>
        <w:t>废水治理设施效益</w:t>
      </w:r>
    </w:p>
    <w:p>
      <w:pPr>
        <w:pStyle w:val="9"/>
        <w:keepNext w:val="0"/>
        <w:keepLines w:val="0"/>
        <w:pageBreakBefore w:val="0"/>
        <w:widowControl w:val="0"/>
        <w:kinsoku/>
        <w:wordWrap/>
        <w:overflowPunct/>
        <w:topLinePunct w:val="0"/>
        <w:autoSpaceDE w:val="0"/>
        <w:autoSpaceDN w:val="0"/>
        <w:bidi w:val="0"/>
        <w:adjustRightInd/>
        <w:snapToGrid/>
        <w:textAlignment w:val="auto"/>
        <w:rPr>
          <w:rFonts w:hint="eastAsia"/>
        </w:rPr>
      </w:pPr>
      <w:r>
        <w:rPr>
          <w:rFonts w:hint="default" w:ascii="Times New Roman" w:hAnsi="Times New Roman" w:eastAsia="宋体" w:cs="Times New Roman"/>
          <w:color w:val="000000"/>
          <w:sz w:val="24"/>
          <w:szCs w:val="24"/>
        </w:rPr>
        <w:t>项目产生的</w:t>
      </w:r>
      <w:r>
        <w:rPr>
          <w:rFonts w:hint="eastAsia" w:ascii="Times New Roman" w:hAnsi="Times New Roman" w:eastAsia="宋体" w:cs="Times New Roman"/>
          <w:color w:val="000000"/>
          <w:sz w:val="24"/>
          <w:szCs w:val="24"/>
          <w:lang w:eastAsia="zh-CN"/>
        </w:rPr>
        <w:t>养殖废水</w:t>
      </w:r>
      <w:r>
        <w:rPr>
          <w:rFonts w:hint="default" w:ascii="Times New Roman" w:hAnsi="Times New Roman" w:eastAsia="宋体" w:cs="Times New Roman"/>
          <w:color w:val="000000"/>
          <w:sz w:val="24"/>
          <w:szCs w:val="24"/>
        </w:rPr>
        <w:t>经场区</w:t>
      </w:r>
      <w:r>
        <w:rPr>
          <w:rFonts w:hint="eastAsia" w:ascii="Times New Roman" w:hAnsi="Times New Roman" w:eastAsia="宋体" w:cs="Times New Roman"/>
          <w:color w:val="000000"/>
          <w:sz w:val="24"/>
          <w:szCs w:val="24"/>
          <w:lang w:eastAsia="zh-CN"/>
        </w:rPr>
        <w:t>异位发酵床</w:t>
      </w:r>
      <w:r>
        <w:rPr>
          <w:rFonts w:hint="default" w:ascii="Times New Roman" w:hAnsi="Times New Roman" w:eastAsia="宋体" w:cs="Times New Roman"/>
          <w:color w:val="000000"/>
          <w:sz w:val="24"/>
          <w:szCs w:val="24"/>
        </w:rPr>
        <w:t>处理</w:t>
      </w:r>
      <w:r>
        <w:rPr>
          <w:rFonts w:hint="eastAsia" w:ascii="Times New Roman" w:hAnsi="Times New Roman" w:eastAsia="宋体" w:cs="Times New Roman"/>
          <w:color w:val="000000"/>
          <w:sz w:val="24"/>
          <w:szCs w:val="24"/>
          <w:lang w:eastAsia="zh-CN"/>
        </w:rPr>
        <w:t>后制成有机肥</w:t>
      </w:r>
      <w:r>
        <w:rPr>
          <w:rFonts w:hint="default" w:ascii="Times New Roman" w:hAnsi="Times New Roman" w:eastAsia="宋体" w:cs="Times New Roman"/>
          <w:color w:val="000000"/>
          <w:sz w:val="24"/>
          <w:szCs w:val="24"/>
        </w:rPr>
        <w:t>，本项目</w:t>
      </w:r>
      <w:r>
        <w:rPr>
          <w:rFonts w:hint="eastAsia" w:ascii="Times New Roman" w:hAnsi="Times New Roman" w:eastAsia="宋体" w:cs="Times New Roman"/>
          <w:color w:val="000000"/>
          <w:sz w:val="24"/>
          <w:szCs w:val="24"/>
          <w:lang w:eastAsia="zh-CN"/>
        </w:rPr>
        <w:t>养殖废水</w:t>
      </w:r>
      <w:r>
        <w:rPr>
          <w:rFonts w:hint="default" w:ascii="Times New Roman" w:hAnsi="Times New Roman" w:eastAsia="宋体" w:cs="Times New Roman"/>
          <w:color w:val="000000"/>
          <w:sz w:val="24"/>
          <w:szCs w:val="24"/>
        </w:rPr>
        <w:t>产生量</w:t>
      </w:r>
      <w:r>
        <w:rPr>
          <w:rFonts w:hint="default" w:ascii="Times New Roman" w:hAnsi="Times New Roman" w:eastAsia="宋体" w:cs="Times New Roman"/>
          <w:color w:val="000000"/>
          <w:sz w:val="24"/>
          <w:szCs w:val="24"/>
          <w:lang w:val="en-US" w:eastAsia="zh-CN"/>
        </w:rPr>
        <w:t>9159.47</w:t>
      </w:r>
      <w:r>
        <w:rPr>
          <w:rFonts w:hint="default" w:ascii="Times New Roman" w:hAnsi="Times New Roman" w:eastAsia="宋体" w:cs="Times New Roman"/>
          <w:color w:val="000000"/>
          <w:sz w:val="24"/>
          <w:szCs w:val="24"/>
        </w:rPr>
        <w:t>t/a，废水综合利用收益按60元/t计，则废水综合利用收益为</w:t>
      </w:r>
      <w:r>
        <w:rPr>
          <w:rFonts w:hint="eastAsia" w:cs="Times New Roman"/>
          <w:color w:val="000000"/>
          <w:sz w:val="24"/>
          <w:szCs w:val="24"/>
          <w:lang w:val="en-US" w:eastAsia="zh-CN"/>
        </w:rPr>
        <w:t>54.96</w:t>
      </w:r>
      <w:r>
        <w:rPr>
          <w:rFonts w:hint="default" w:ascii="Times New Roman" w:hAnsi="Times New Roman" w:eastAsia="宋体" w:cs="Times New Roman"/>
          <w:color w:val="000000"/>
          <w:sz w:val="24"/>
          <w:szCs w:val="24"/>
        </w:rPr>
        <w:t xml:space="preserve">万元/年。 </w:t>
      </w:r>
    </w:p>
    <w:p>
      <w:pPr>
        <w:pStyle w:val="8"/>
        <w:numPr>
          <w:ilvl w:val="0"/>
          <w:numId w:val="29"/>
        </w:numPr>
        <w:ind w:left="0" w:leftChars="0" w:firstLine="480" w:firstLineChars="200"/>
        <w:rPr>
          <w:rFonts w:hint="eastAsia"/>
        </w:rPr>
      </w:pPr>
      <w:r>
        <w:rPr>
          <w:rFonts w:hint="eastAsia"/>
        </w:rPr>
        <w:t xml:space="preserve">固体废物治理设施效益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Chars="0" w:firstLine="480" w:firstLineChars="200"/>
        <w:textAlignment w:val="auto"/>
        <w:rPr>
          <w:rFonts w:hint="eastAsia"/>
        </w:rPr>
      </w:pPr>
      <w:r>
        <w:rPr>
          <w:rFonts w:hint="eastAsia"/>
        </w:rPr>
        <w:t>项目产生的猪粪经发酵处理后，外售给有机肥生产厂家，经处理后猪粪便为</w:t>
      </w:r>
      <w:r>
        <w:rPr>
          <w:rFonts w:hint="eastAsia"/>
          <w:lang w:val="en-US" w:eastAsia="zh-CN"/>
        </w:rPr>
        <w:t>4319.775</w:t>
      </w:r>
      <w:r>
        <w:rPr>
          <w:rFonts w:hint="eastAsia"/>
        </w:rPr>
        <w:t>t/a，销售价格按600元/t，则猪粪便处理可增加收益为</w:t>
      </w:r>
      <w:r>
        <w:rPr>
          <w:rFonts w:hint="eastAsia"/>
          <w:lang w:val="en-US" w:eastAsia="zh-CN"/>
        </w:rPr>
        <w:t>257.18</w:t>
      </w:r>
      <w:r>
        <w:rPr>
          <w:rFonts w:hint="eastAsia"/>
        </w:rPr>
        <w:t xml:space="preserve">万元/年。 </w:t>
      </w:r>
    </w:p>
    <w:p>
      <w:pPr>
        <w:pStyle w:val="9"/>
        <w:keepNext w:val="0"/>
        <w:keepLines w:val="0"/>
        <w:pageBreakBefore w:val="0"/>
        <w:widowControl w:val="0"/>
        <w:kinsoku/>
        <w:wordWrap/>
        <w:overflowPunct/>
        <w:topLinePunct w:val="0"/>
        <w:autoSpaceDE w:val="0"/>
        <w:autoSpaceDN w:val="0"/>
        <w:bidi w:val="0"/>
        <w:adjustRightInd/>
        <w:snapToGrid/>
        <w:textAlignment w:val="auto"/>
        <w:rPr>
          <w:rFonts w:hint="eastAsia"/>
        </w:rPr>
      </w:pPr>
      <w:r>
        <w:rPr>
          <w:rFonts w:hint="eastAsia"/>
        </w:rPr>
        <w:t>综上所述，项目投资建设的废水、废气、固体废物等治理设施，废水污染物达标排放，废水和固体废物综合利用，可增加</w:t>
      </w:r>
      <w:r>
        <w:rPr>
          <w:rFonts w:hint="eastAsia"/>
          <w:lang w:val="en-US" w:eastAsia="zh-CN"/>
        </w:rPr>
        <w:t>312.14</w:t>
      </w:r>
      <w:r>
        <w:rPr>
          <w:rFonts w:hint="eastAsia"/>
        </w:rPr>
        <w:t>万元/年。</w:t>
      </w:r>
    </w:p>
    <w:bookmarkEnd w:id="57"/>
    <w:p>
      <w:pPr>
        <w:pStyle w:val="4"/>
      </w:pPr>
      <w:bookmarkStart w:id="105" w:name="_Toc8524"/>
      <w:bookmarkStart w:id="106" w:name="_Toc6645"/>
      <w:r>
        <w:rPr>
          <w:rFonts w:hint="eastAsia"/>
          <w:lang w:eastAsia="zh-CN"/>
        </w:rPr>
        <w:t>小结</w:t>
      </w:r>
      <w:bookmarkEnd w:id="105"/>
      <w:bookmarkEnd w:id="106"/>
    </w:p>
    <w:p>
      <w:pPr>
        <w:pStyle w:val="8"/>
        <w:keepNext w:val="0"/>
        <w:keepLines w:val="0"/>
        <w:pageBreakBefore w:val="0"/>
        <w:widowControl w:val="0"/>
        <w:kinsoku/>
        <w:wordWrap/>
        <w:overflowPunct/>
        <w:topLinePunct w:val="0"/>
        <w:bidi w:val="0"/>
        <w:adjustRightInd/>
        <w:snapToGrid/>
        <w:spacing w:line="360" w:lineRule="auto"/>
        <w:ind w:leftChars="0" w:firstLine="480" w:firstLineChars="200"/>
        <w:jc w:val="both"/>
        <w:textAlignment w:val="auto"/>
        <w:outlineLvl w:val="9"/>
        <w:rPr>
          <w:rFonts w:hint="default" w:ascii="Times New Roman" w:hAnsi="Times New Roman" w:eastAsia="宋体" w:cs="Times New Roman"/>
          <w:sz w:val="24"/>
          <w:szCs w:val="24"/>
        </w:rPr>
      </w:pPr>
      <w:r>
        <w:rPr>
          <w:rFonts w:hint="eastAsia"/>
        </w:rPr>
        <w:t>项目预计环保投资共</w:t>
      </w:r>
      <w:r>
        <w:rPr>
          <w:rFonts w:hint="eastAsia"/>
          <w:lang w:val="en-US" w:eastAsia="zh-CN"/>
        </w:rPr>
        <w:t>106</w:t>
      </w:r>
      <w:r>
        <w:rPr>
          <w:rFonts w:hint="eastAsia"/>
        </w:rPr>
        <w:t>万元，占总投资</w:t>
      </w:r>
      <w:r>
        <w:rPr>
          <w:rFonts w:hint="eastAsia"/>
          <w:lang w:val="en-US" w:eastAsia="zh-CN"/>
        </w:rPr>
        <w:t>1280</w:t>
      </w:r>
      <w:r>
        <w:rPr>
          <w:rFonts w:hint="eastAsia"/>
        </w:rPr>
        <w:t>万元的</w:t>
      </w:r>
      <w:r>
        <w:rPr>
          <w:rFonts w:hint="eastAsia"/>
          <w:lang w:val="en-US" w:eastAsia="zh-CN"/>
        </w:rPr>
        <w:t>8.28</w:t>
      </w:r>
      <w:r>
        <w:rPr>
          <w:rFonts w:hint="eastAsia"/>
        </w:rPr>
        <w:t>%，环保资金到位、各项环保措施落实后，本项目投产后产生良好的经济、环境、社会效益，虽然对当地环境产生一定影响，但影响不大，效益远远大于项目的环境成本，因此本项目具有一定的环境经济可行性。</w:t>
      </w:r>
    </w:p>
    <w:p>
      <w:pPr>
        <w:pStyle w:val="8"/>
        <w:keepNext w:val="0"/>
        <w:keepLines w:val="0"/>
        <w:pageBreakBefore w:val="0"/>
        <w:widowControl w:val="0"/>
        <w:kinsoku/>
        <w:wordWrap/>
        <w:overflowPunct/>
        <w:topLinePunct w:val="0"/>
        <w:bidi w:val="0"/>
        <w:adjustRightInd/>
        <w:snapToGrid/>
        <w:spacing w:line="360" w:lineRule="auto"/>
        <w:ind w:leftChars="0" w:firstLine="480" w:firstLineChars="200"/>
        <w:jc w:val="both"/>
        <w:textAlignment w:val="auto"/>
        <w:outlineLvl w:val="9"/>
        <w:sectPr>
          <w:footerReference r:id="rId12"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3"/>
        <w:jc w:val="center"/>
      </w:pPr>
      <w:bookmarkStart w:id="107" w:name="_Toc8121"/>
      <w:bookmarkStart w:id="108" w:name="_Toc20215"/>
      <w:r>
        <w:rPr>
          <w:rFonts w:hint="eastAsia"/>
        </w:rPr>
        <w:t>环境管理与监测计划</w:t>
      </w:r>
      <w:bookmarkEnd w:id="107"/>
      <w:bookmarkEnd w:id="108"/>
    </w:p>
    <w:p>
      <w:pPr>
        <w:pStyle w:val="8"/>
      </w:pPr>
      <w:r>
        <w:rPr>
          <w:rFonts w:hint="eastAsia"/>
          <w:sz w:val="24"/>
          <w:szCs w:val="24"/>
        </w:rPr>
        <w:t>由于建设项目在运行过程中会产出一定数量的污染物，对当地水、空气环境质量可能造成一定的影响。因此，为保证建设项目的所有环保措施都能正常运行，本评价报告根据建设单位拟采取的环境管理和监测的措施，对照有关的标准和规范进行评述，提出合理化建议供建设单位参考，并利于环境保护管理部门的监督和管理。</w:t>
      </w:r>
    </w:p>
    <w:p>
      <w:pPr>
        <w:pStyle w:val="4"/>
        <w:rPr>
          <w:rFonts w:hint="eastAsia"/>
        </w:rPr>
      </w:pPr>
      <w:bookmarkStart w:id="109" w:name="_Toc16437"/>
      <w:bookmarkStart w:id="110" w:name="_Toc23471"/>
      <w:r>
        <w:rPr>
          <w:rFonts w:hint="eastAsia"/>
          <w:lang w:eastAsia="zh-CN"/>
        </w:rPr>
        <w:t>环境管理要求</w:t>
      </w:r>
      <w:bookmarkEnd w:id="109"/>
      <w:bookmarkEnd w:id="110"/>
    </w:p>
    <w:p>
      <w:pPr>
        <w:pStyle w:val="5"/>
        <w:ind w:firstLine="562"/>
        <w:rPr>
          <w:rFonts w:hint="eastAsia"/>
        </w:rPr>
      </w:pPr>
      <w:r>
        <w:rPr>
          <w:rFonts w:hint="eastAsia"/>
          <w:lang w:eastAsia="zh-CN"/>
        </w:rPr>
        <w:t>施工期环境管理要求</w:t>
      </w:r>
    </w:p>
    <w:p>
      <w:pPr>
        <w:pStyle w:val="8"/>
        <w:keepNext w:val="0"/>
        <w:keepLines w:val="0"/>
        <w:pageBreakBefore w:val="0"/>
        <w:widowControl w:val="0"/>
        <w:numPr>
          <w:ilvl w:val="0"/>
          <w:numId w:val="30"/>
        </w:numPr>
        <w:kinsoku/>
        <w:wordWrap/>
        <w:overflowPunct/>
        <w:topLinePunct w:val="0"/>
        <w:autoSpaceDE w:val="0"/>
        <w:autoSpaceDN w:val="0"/>
        <w:bidi w:val="0"/>
        <w:adjustRightInd/>
        <w:snapToGrid/>
        <w:ind w:leftChars="0" w:firstLine="480" w:firstLineChars="200"/>
        <w:textAlignment w:val="auto"/>
        <w:rPr>
          <w:rFonts w:hint="eastAsia"/>
        </w:rPr>
      </w:pPr>
      <w:r>
        <w:rPr>
          <w:rFonts w:hint="eastAsia"/>
        </w:rPr>
        <w:t xml:space="preserve">建设单位应与本项目施工单位协商，将施工期环境保护措施列入合同文本，要求施工单位严格执行，并实行奖惩制度。 </w:t>
      </w:r>
    </w:p>
    <w:p>
      <w:pPr>
        <w:pStyle w:val="8"/>
        <w:keepNext w:val="0"/>
        <w:keepLines w:val="0"/>
        <w:pageBreakBefore w:val="0"/>
        <w:widowControl w:val="0"/>
        <w:numPr>
          <w:ilvl w:val="0"/>
          <w:numId w:val="30"/>
        </w:numPr>
        <w:kinsoku/>
        <w:wordWrap/>
        <w:overflowPunct/>
        <w:topLinePunct w:val="0"/>
        <w:autoSpaceDE w:val="0"/>
        <w:autoSpaceDN w:val="0"/>
        <w:bidi w:val="0"/>
        <w:adjustRightInd/>
        <w:snapToGrid/>
        <w:ind w:left="0" w:leftChars="0" w:firstLine="480" w:firstLineChars="200"/>
        <w:textAlignment w:val="auto"/>
        <w:rPr>
          <w:rFonts w:hint="eastAsia"/>
        </w:rPr>
      </w:pPr>
      <w:r>
        <w:rPr>
          <w:rFonts w:hint="eastAsia"/>
        </w:rPr>
        <w:t xml:space="preserve">施工单位应按照工程合同的要求，并遵照国家和地方政府制度的各项环保法规组织施工，并切实落实本报告建议的各项环境保护措施和对策，真正做到科学文明施工。 </w:t>
      </w:r>
    </w:p>
    <w:p>
      <w:pPr>
        <w:pStyle w:val="8"/>
        <w:keepNext w:val="0"/>
        <w:keepLines w:val="0"/>
        <w:pageBreakBefore w:val="0"/>
        <w:widowControl w:val="0"/>
        <w:numPr>
          <w:ilvl w:val="0"/>
          <w:numId w:val="30"/>
        </w:numPr>
        <w:kinsoku/>
        <w:wordWrap/>
        <w:overflowPunct/>
        <w:topLinePunct w:val="0"/>
        <w:autoSpaceDE w:val="0"/>
        <w:autoSpaceDN w:val="0"/>
        <w:bidi w:val="0"/>
        <w:adjustRightInd/>
        <w:snapToGrid/>
        <w:ind w:left="0" w:leftChars="0" w:firstLine="480" w:firstLineChars="200"/>
        <w:textAlignment w:val="auto"/>
        <w:rPr>
          <w:rFonts w:hint="eastAsia"/>
        </w:rPr>
      </w:pPr>
      <w:r>
        <w:rPr>
          <w:rFonts w:hint="eastAsia"/>
        </w:rPr>
        <w:t xml:space="preserve">委托具有相应资质的监理部门，监督施工单位落实施工期应采取的各项环境保护措施。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ind w:leftChars="0" w:firstLine="480" w:firstLineChars="200"/>
        <w:textAlignment w:val="auto"/>
        <w:rPr>
          <w:rFonts w:hint="eastAsia"/>
        </w:rPr>
      </w:pPr>
      <w:r>
        <w:rPr>
          <w:rFonts w:hint="eastAsia"/>
        </w:rPr>
        <w:t xml:space="preserve">（4）施工单位应在各施工场地配环境管理人员，负责各类污染源现场控制与管理，尤其对高噪声、高振动施工设备应严格控制其施工时间，并采取一定防治措施。 </w:t>
      </w:r>
    </w:p>
    <w:p>
      <w:pPr>
        <w:pStyle w:val="8"/>
        <w:rPr>
          <w:rFonts w:hint="eastAsia"/>
        </w:rPr>
      </w:pPr>
      <w:r>
        <w:rPr>
          <w:rFonts w:hint="eastAsia"/>
        </w:rPr>
        <w:t xml:space="preserve">（5）做好宣传工作。由于技术条件和施工环境的限制，即使采取了污染控制措施，施工时带来的环境污染仍是无法避免的，因此要向施工场地周围受影响对象做好宣传工作，以提高周边群众对不利环境影响的心理承受力，取得理解，克服暂时困难，配合施工单位顺利完成施工任务。 </w:t>
      </w:r>
    </w:p>
    <w:p>
      <w:pPr>
        <w:pStyle w:val="8"/>
        <w:ind w:firstLine="482"/>
        <w:rPr>
          <w:rFonts w:hint="eastAsia" w:eastAsia="宋体"/>
          <w:b/>
          <w:lang w:eastAsia="zh-CN"/>
        </w:rPr>
      </w:pPr>
      <w:r>
        <w:rPr>
          <w:rFonts w:hint="eastAsia"/>
        </w:rPr>
        <w:t>（6）施工单位必须主动接受环境保护主管部门的监督指导，主动配合环境保护专业部门共同做好本项目施工期环境保护工作</w:t>
      </w:r>
      <w:r>
        <w:rPr>
          <w:rFonts w:hint="eastAsia"/>
          <w:lang w:eastAsia="zh-CN"/>
        </w:rPr>
        <w:t>。</w:t>
      </w:r>
    </w:p>
    <w:p>
      <w:pPr>
        <w:pStyle w:val="5"/>
        <w:ind w:firstLine="562"/>
        <w:rPr>
          <w:rFonts w:hint="eastAsia"/>
        </w:rPr>
      </w:pPr>
      <w:r>
        <w:rPr>
          <w:rFonts w:hint="eastAsia"/>
          <w:lang w:eastAsia="zh-CN"/>
        </w:rPr>
        <w:t>营运期环境管理要求</w:t>
      </w:r>
    </w:p>
    <w:p>
      <w:pPr>
        <w:pStyle w:val="8"/>
        <w:rPr>
          <w:rFonts w:hint="eastAsia"/>
        </w:rPr>
      </w:pPr>
      <w:r>
        <w:rPr>
          <w:rFonts w:hint="eastAsia"/>
        </w:rPr>
        <w:t xml:space="preserve">营运期环境管理重点是各项环境保护措施的落实，环保设施运行的管理和维护，日常监测及污染事故的防范和应急处理。 </w:t>
      </w:r>
    </w:p>
    <w:p>
      <w:pPr>
        <w:pStyle w:val="8"/>
        <w:rPr>
          <w:rFonts w:hint="eastAsia"/>
        </w:rPr>
      </w:pPr>
      <w:r>
        <w:rPr>
          <w:rFonts w:hint="eastAsia"/>
        </w:rPr>
        <w:t xml:space="preserve">（1）建设单位应当按期及时申报污染物排放情况，及时办理排污许可证；超标排放，应及时处理。 </w:t>
      </w:r>
    </w:p>
    <w:p>
      <w:pPr>
        <w:pStyle w:val="8"/>
        <w:rPr>
          <w:rFonts w:hint="eastAsia"/>
        </w:rPr>
      </w:pPr>
      <w:r>
        <w:rPr>
          <w:rFonts w:hint="eastAsia"/>
        </w:rPr>
        <w:t xml:space="preserve">（2）根据环保部门、安全部门对环保设施验收报告的批复意见进行补充完善。 </w:t>
      </w:r>
    </w:p>
    <w:p>
      <w:pPr>
        <w:pStyle w:val="8"/>
        <w:rPr>
          <w:rFonts w:hint="eastAsia"/>
        </w:rPr>
      </w:pPr>
      <w:r>
        <w:rPr>
          <w:rFonts w:hint="eastAsia"/>
        </w:rPr>
        <w:t xml:space="preserve">（3）根据企业的环境保护目标考核计划，结合生产过程各环节的不同环境要求，把资源和能源消耗、资源回收利用、污染物排放量的反映环保工作水平的生产环境质量等环保指标，纳入各级生产作业计划，同其它生产指标一同组织实施和考核。 </w:t>
      </w:r>
    </w:p>
    <w:p>
      <w:pPr>
        <w:pStyle w:val="8"/>
        <w:rPr>
          <w:rFonts w:hint="eastAsia"/>
        </w:rPr>
      </w:pPr>
      <w:r>
        <w:rPr>
          <w:rFonts w:hint="eastAsia"/>
        </w:rPr>
        <w:t xml:space="preserve">（4）按环保设施的操作规程，定期对环保设施进行保养和检修，保证环保设施的正常运行和污染物的达标排放。一旦环保设施出现故障，应立即停产检修，并上报环保法定责任人，严禁环保设施带病运行和事故性排放。建立运行记录并制定考核指标。 </w:t>
      </w:r>
    </w:p>
    <w:p>
      <w:pPr>
        <w:pStyle w:val="8"/>
        <w:rPr>
          <w:rFonts w:hint="eastAsia"/>
        </w:rPr>
      </w:pPr>
      <w:r>
        <w:rPr>
          <w:rFonts w:hint="eastAsia"/>
        </w:rPr>
        <w:t xml:space="preserve">（5）要加强设备、管道、阀门、仪器、仪表的检查、维护、检修，保证设备完好运行，防止跑、冒、滴、漏对环境的污染。 </w:t>
      </w:r>
    </w:p>
    <w:p>
      <w:pPr>
        <w:pStyle w:val="8"/>
        <w:rPr>
          <w:rFonts w:hint="eastAsia"/>
        </w:rPr>
      </w:pPr>
      <w:r>
        <w:rPr>
          <w:rFonts w:hint="eastAsia"/>
        </w:rPr>
        <w:t xml:space="preserve">（6）加强各猪舍环境卫生管理：保持猪舍的通风、整洁。 </w:t>
      </w:r>
    </w:p>
    <w:p>
      <w:pPr>
        <w:pStyle w:val="8"/>
        <w:rPr>
          <w:rFonts w:hint="eastAsia"/>
        </w:rPr>
      </w:pPr>
      <w:r>
        <w:rPr>
          <w:rFonts w:hint="eastAsia"/>
        </w:rPr>
        <w:t xml:space="preserve">（7）做好绿化的建设和维护工作。绿色植物不仅能涵养水份，保持水土，而且能挡尘降噪，调节小气候，有利于改善生态环境。 </w:t>
      </w:r>
    </w:p>
    <w:p>
      <w:pPr>
        <w:pStyle w:val="8"/>
        <w:ind w:firstLine="482"/>
        <w:rPr>
          <w:b/>
        </w:rPr>
      </w:pPr>
      <w:r>
        <w:rPr>
          <w:rFonts w:hint="eastAsia"/>
        </w:rPr>
        <w:t xml:space="preserve">（8）接受环保主管部门的监督检查。主要内容有：污染物排放情况、环保设施运行管理情况、环境监测及污染物监测情况、环境事故的调查和有关记录、污染源建档记录等。 </w:t>
      </w:r>
    </w:p>
    <w:p>
      <w:pPr>
        <w:pStyle w:val="4"/>
        <w:rPr>
          <w:rFonts w:hint="eastAsia"/>
        </w:rPr>
      </w:pPr>
      <w:bookmarkStart w:id="111" w:name="_Toc21404"/>
      <w:bookmarkStart w:id="112" w:name="_Toc4486"/>
      <w:r>
        <w:rPr>
          <w:rFonts w:hint="eastAsia"/>
          <w:lang w:eastAsia="zh-CN"/>
        </w:rPr>
        <w:t>污染源排放清单</w:t>
      </w:r>
      <w:bookmarkEnd w:id="111"/>
      <w:bookmarkEnd w:id="112"/>
    </w:p>
    <w:p>
      <w:pPr>
        <w:pStyle w:val="8"/>
        <w:rPr>
          <w:color w:val="auto"/>
        </w:rPr>
      </w:pPr>
      <w:r>
        <w:rPr>
          <w:rFonts w:hint="eastAsia"/>
        </w:rPr>
        <w:t>项目营运期大气污染物主要来源于猪舍及污水处理</w:t>
      </w:r>
      <w:r>
        <w:rPr>
          <w:rFonts w:hint="eastAsia"/>
          <w:lang w:eastAsia="zh-CN"/>
        </w:rPr>
        <w:t>设施</w:t>
      </w:r>
      <w:r>
        <w:rPr>
          <w:rFonts w:hint="eastAsia"/>
        </w:rPr>
        <w:t>产生的恶臭气体，员工食堂产生的油烟废气以及柴油发电机产生的尾气等；废水包括生产废水、职工办公生活污水；固体废物主要有猪粪便、病死猪、废疫苗瓶、医疗废物、员工生活垃圾等。</w:t>
      </w:r>
      <w:r>
        <w:rPr>
          <w:rFonts w:hint="eastAsia"/>
          <w:lang w:eastAsia="zh-CN"/>
        </w:rPr>
        <w:t>生活污水经地埋式一体化处理设施处理后回用周边林地灌溉；生产废水及猪粪尿一起经异位发酵床处理制成有机肥料外售。猪舍、污水处理设施等产生恶臭为无组织排放，</w:t>
      </w:r>
      <w:r>
        <w:rPr>
          <w:rFonts w:hint="eastAsia"/>
          <w:color w:val="auto"/>
        </w:rPr>
        <w:t xml:space="preserve">可不需要申请大气污染物总量控制指标。 </w:t>
      </w:r>
    </w:p>
    <w:p>
      <w:pPr>
        <w:pStyle w:val="8"/>
        <w:ind w:firstLine="482"/>
        <w:rPr>
          <w:rFonts w:hint="eastAsia" w:eastAsia="宋体"/>
          <w:b/>
          <w:lang w:eastAsia="zh-CN"/>
        </w:rPr>
      </w:pPr>
      <w:r>
        <w:rPr>
          <w:rFonts w:hint="eastAsia"/>
        </w:rPr>
        <w:t>项目采取的环保措施及主要污染物排放的管理要求见下表</w:t>
      </w:r>
      <w:r>
        <w:rPr>
          <w:rFonts w:hint="eastAsia"/>
          <w:lang w:val="en-US" w:eastAsia="zh-CN"/>
        </w:rPr>
        <w:t>10</w:t>
      </w:r>
      <w:r>
        <w:rPr>
          <w:rFonts w:hint="eastAsia"/>
        </w:rPr>
        <w:t>.2-1</w:t>
      </w:r>
      <w:r>
        <w:rPr>
          <w:rFonts w:hint="eastAsia"/>
          <w:lang w:eastAsia="zh-CN"/>
        </w:rPr>
        <w:t>。</w:t>
      </w:r>
    </w:p>
    <w:p>
      <w:pPr>
        <w:pStyle w:val="8"/>
        <w:ind w:firstLine="482"/>
        <w:rPr>
          <w:b/>
        </w:rPr>
      </w:pPr>
    </w:p>
    <w:p>
      <w:pPr>
        <w:pStyle w:val="8"/>
        <w:ind w:firstLine="482"/>
        <w:rPr>
          <w:b/>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表</w:t>
      </w:r>
      <w:r>
        <w:rPr>
          <w:rFonts w:hint="eastAsia" w:cs="Times New Roman"/>
          <w:b/>
          <w:bCs/>
          <w:sz w:val="21"/>
          <w:szCs w:val="21"/>
          <w:lang w:val="en-US" w:eastAsia="zh-CN"/>
        </w:rPr>
        <w:t>10</w:t>
      </w:r>
      <w:r>
        <w:rPr>
          <w:rFonts w:hint="default" w:ascii="Times New Roman" w:hAnsi="Times New Roman" w:eastAsia="宋体" w:cs="Times New Roman"/>
          <w:b/>
          <w:bCs/>
          <w:sz w:val="21"/>
          <w:szCs w:val="21"/>
        </w:rPr>
        <w:t>.2-1 项目主要污染物排放清单</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1"/>
        <w:gridCol w:w="1065"/>
        <w:gridCol w:w="4035"/>
        <w:gridCol w:w="25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1" w:type="dxa"/>
            <w:tcBorders>
              <w:top w:val="single" w:color="auto" w:sz="12" w:space="0"/>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污染物</w:t>
            </w:r>
          </w:p>
        </w:tc>
        <w:tc>
          <w:tcPr>
            <w:tcW w:w="1065" w:type="dxa"/>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污染源</w:t>
            </w:r>
          </w:p>
        </w:tc>
        <w:tc>
          <w:tcPr>
            <w:tcW w:w="4035" w:type="dxa"/>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排放情况</w:t>
            </w:r>
          </w:p>
        </w:tc>
        <w:tc>
          <w:tcPr>
            <w:tcW w:w="2551" w:type="dxa"/>
            <w:tcBorders>
              <w:top w:val="single" w:color="auto" w:sz="12" w:space="0"/>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管理要求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1" w:type="dxa"/>
            <w:vMerge w:val="restart"/>
            <w:tcBorders>
              <w:top w:val="single" w:color="auto" w:sz="12" w:space="0"/>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废气</w:t>
            </w:r>
          </w:p>
        </w:tc>
        <w:tc>
          <w:tcPr>
            <w:tcW w:w="1065" w:type="dxa"/>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猪舍恶臭</w:t>
            </w:r>
          </w:p>
        </w:tc>
        <w:tc>
          <w:tcPr>
            <w:tcW w:w="4035" w:type="dxa"/>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b w:val="0"/>
                <w:bCs/>
                <w:color w:val="auto"/>
                <w:sz w:val="21"/>
                <w:szCs w:val="21"/>
                <w:vertAlign w:val="baseline"/>
                <w:lang w:val="en-US" w:eastAsia="zh-CN"/>
              </w:rPr>
              <w:t>NH</w:t>
            </w:r>
            <w:r>
              <w:rPr>
                <w:rFonts w:hint="default" w:ascii="Times New Roman" w:hAnsi="Times New Roman" w:eastAsia="宋体" w:cs="Times New Roman"/>
                <w:b w:val="0"/>
                <w:bCs/>
                <w:color w:val="auto"/>
                <w:sz w:val="21"/>
                <w:szCs w:val="21"/>
                <w:vertAlign w:val="subscript"/>
                <w:lang w:val="en-US" w:eastAsia="zh-CN"/>
              </w:rPr>
              <w:t>3</w:t>
            </w:r>
            <w:r>
              <w:rPr>
                <w:rFonts w:hint="default" w:ascii="Times New Roman" w:hAnsi="Times New Roman" w:eastAsia="宋体" w:cs="Times New Roman"/>
                <w:color w:val="auto"/>
                <w:sz w:val="21"/>
                <w:szCs w:val="21"/>
                <w:vertAlign w:val="baseline"/>
                <w:lang w:eastAsia="zh-CN"/>
              </w:rPr>
              <w:t>、</w:t>
            </w:r>
            <w:r>
              <w:rPr>
                <w:rFonts w:hint="default" w:ascii="Times New Roman" w:hAnsi="Times New Roman" w:eastAsia="宋体" w:cs="Times New Roman"/>
                <w:b w:val="0"/>
                <w:bCs/>
                <w:color w:val="auto"/>
                <w:sz w:val="21"/>
                <w:szCs w:val="21"/>
                <w:vertAlign w:val="baseline"/>
                <w:lang w:val="en-US" w:eastAsia="zh-CN"/>
              </w:rPr>
              <w:t>H</w:t>
            </w:r>
            <w:r>
              <w:rPr>
                <w:rFonts w:hint="default" w:ascii="Times New Roman" w:hAnsi="Times New Roman" w:eastAsia="宋体" w:cs="Times New Roman"/>
                <w:b w:val="0"/>
                <w:bCs/>
                <w:color w:val="auto"/>
                <w:sz w:val="21"/>
                <w:szCs w:val="21"/>
                <w:vertAlign w:val="subscript"/>
                <w:lang w:val="en-US" w:eastAsia="zh-CN"/>
              </w:rPr>
              <w:t>2</w:t>
            </w:r>
            <w:r>
              <w:rPr>
                <w:rFonts w:hint="default" w:ascii="Times New Roman" w:hAnsi="Times New Roman" w:eastAsia="宋体" w:cs="Times New Roman"/>
                <w:b w:val="0"/>
                <w:bCs/>
                <w:color w:val="auto"/>
                <w:sz w:val="21"/>
                <w:szCs w:val="21"/>
                <w:vertAlign w:val="baseline"/>
                <w:lang w:val="en-US" w:eastAsia="zh-CN"/>
              </w:rPr>
              <w:t>S排放量分别为</w:t>
            </w:r>
            <w:r>
              <w:rPr>
                <w:rFonts w:hint="default" w:ascii="Times New Roman" w:hAnsi="Times New Roman" w:eastAsia="宋体" w:cs="Times New Roman"/>
                <w:color w:val="auto"/>
                <w:kern w:val="0"/>
                <w:sz w:val="21"/>
                <w:szCs w:val="21"/>
                <w:lang w:val="en-US" w:eastAsia="zh-CN" w:bidi="ar-SA"/>
              </w:rPr>
              <w:t>0.044</w:t>
            </w:r>
            <w:r>
              <w:rPr>
                <w:rFonts w:hint="default" w:ascii="Times New Roman" w:hAnsi="Times New Roman" w:eastAsia="宋体" w:cs="Times New Roman"/>
                <w:b w:val="0"/>
                <w:bCs/>
                <w:color w:val="auto"/>
                <w:sz w:val="21"/>
                <w:szCs w:val="21"/>
                <w:vertAlign w:val="baseline"/>
                <w:lang w:val="en-US" w:eastAsia="zh-CN"/>
              </w:rPr>
              <w:t>t/a、0.003t/a</w:t>
            </w:r>
          </w:p>
        </w:tc>
        <w:tc>
          <w:tcPr>
            <w:tcW w:w="2551" w:type="dxa"/>
            <w:vMerge w:val="restart"/>
            <w:tcBorders>
              <w:top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rPr>
              <w:t>排放浓度达到《恶臭污染物排放标准》GB14554-93）表1中的二级新扩改建标准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1" w:type="dxa"/>
            <w:vMerge w:val="continue"/>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c>
          <w:tcPr>
            <w:tcW w:w="106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b w:val="0"/>
                <w:bCs w:val="0"/>
                <w:kern w:val="0"/>
                <w:sz w:val="21"/>
                <w:szCs w:val="21"/>
                <w:vertAlign w:val="baseline"/>
                <w:lang w:val="en-US" w:eastAsia="zh-CN" w:bidi="ar-SA"/>
              </w:rPr>
              <w:t>污水处理设施恶臭</w:t>
            </w:r>
          </w:p>
        </w:tc>
        <w:tc>
          <w:tcPr>
            <w:tcW w:w="403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vertAlign w:val="baseline"/>
              </w:rPr>
            </w:pPr>
            <w:r>
              <w:rPr>
                <w:rFonts w:hint="default" w:ascii="Times New Roman" w:hAnsi="Times New Roman" w:eastAsia="宋体" w:cs="Times New Roman"/>
                <w:b w:val="0"/>
                <w:bCs/>
                <w:color w:val="auto"/>
                <w:sz w:val="21"/>
                <w:szCs w:val="21"/>
                <w:vertAlign w:val="baseline"/>
                <w:lang w:val="en-US" w:eastAsia="zh-CN"/>
              </w:rPr>
              <w:t>NH</w:t>
            </w:r>
            <w:r>
              <w:rPr>
                <w:rFonts w:hint="default" w:ascii="Times New Roman" w:hAnsi="Times New Roman" w:eastAsia="宋体" w:cs="Times New Roman"/>
                <w:b w:val="0"/>
                <w:bCs/>
                <w:color w:val="auto"/>
                <w:sz w:val="21"/>
                <w:szCs w:val="21"/>
                <w:vertAlign w:val="subscript"/>
                <w:lang w:val="en-US" w:eastAsia="zh-CN"/>
              </w:rPr>
              <w:t>3</w:t>
            </w:r>
            <w:r>
              <w:rPr>
                <w:rFonts w:hint="default" w:ascii="Times New Roman" w:hAnsi="Times New Roman" w:eastAsia="宋体" w:cs="Times New Roman"/>
                <w:color w:val="auto"/>
                <w:sz w:val="21"/>
                <w:szCs w:val="21"/>
                <w:vertAlign w:val="baseline"/>
                <w:lang w:eastAsia="zh-CN"/>
              </w:rPr>
              <w:t>、</w:t>
            </w:r>
            <w:r>
              <w:rPr>
                <w:rFonts w:hint="default" w:ascii="Times New Roman" w:hAnsi="Times New Roman" w:eastAsia="宋体" w:cs="Times New Roman"/>
                <w:b w:val="0"/>
                <w:bCs/>
                <w:color w:val="auto"/>
                <w:sz w:val="21"/>
                <w:szCs w:val="21"/>
                <w:vertAlign w:val="baseline"/>
                <w:lang w:val="en-US" w:eastAsia="zh-CN"/>
              </w:rPr>
              <w:t>H</w:t>
            </w:r>
            <w:r>
              <w:rPr>
                <w:rFonts w:hint="default" w:ascii="Times New Roman" w:hAnsi="Times New Roman" w:eastAsia="宋体" w:cs="Times New Roman"/>
                <w:b w:val="0"/>
                <w:bCs/>
                <w:color w:val="auto"/>
                <w:sz w:val="21"/>
                <w:szCs w:val="21"/>
                <w:vertAlign w:val="subscript"/>
                <w:lang w:val="en-US" w:eastAsia="zh-CN"/>
              </w:rPr>
              <w:t>2</w:t>
            </w:r>
            <w:r>
              <w:rPr>
                <w:rFonts w:hint="default" w:ascii="Times New Roman" w:hAnsi="Times New Roman" w:eastAsia="宋体" w:cs="Times New Roman"/>
                <w:b w:val="0"/>
                <w:bCs/>
                <w:color w:val="auto"/>
                <w:sz w:val="21"/>
                <w:szCs w:val="21"/>
                <w:vertAlign w:val="baseline"/>
                <w:lang w:val="en-US" w:eastAsia="zh-CN"/>
              </w:rPr>
              <w:t>S排放量分别为0.012t/a、0.0006t/a</w:t>
            </w:r>
          </w:p>
        </w:tc>
        <w:tc>
          <w:tcPr>
            <w:tcW w:w="2551" w:type="dxa"/>
            <w:vMerge w:val="continue"/>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71" w:type="dxa"/>
            <w:vMerge w:val="continue"/>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c>
          <w:tcPr>
            <w:tcW w:w="1065" w:type="dxa"/>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b w:val="0"/>
                <w:bCs w:val="0"/>
                <w:kern w:val="0"/>
                <w:sz w:val="21"/>
                <w:szCs w:val="21"/>
                <w:vertAlign w:val="baseline"/>
                <w:lang w:val="en-US" w:eastAsia="zh-CN" w:bidi="ar-SA"/>
              </w:rPr>
              <w:t>异位发酵床恶臭</w:t>
            </w:r>
          </w:p>
        </w:tc>
        <w:tc>
          <w:tcPr>
            <w:tcW w:w="403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vertAlign w:val="baseline"/>
              </w:rPr>
            </w:pPr>
            <w:r>
              <w:rPr>
                <w:rFonts w:hint="default" w:ascii="Times New Roman" w:hAnsi="Times New Roman" w:eastAsia="宋体" w:cs="Times New Roman"/>
                <w:b w:val="0"/>
                <w:bCs/>
                <w:color w:val="auto"/>
                <w:sz w:val="21"/>
                <w:szCs w:val="21"/>
                <w:vertAlign w:val="baseline"/>
                <w:lang w:val="en-US" w:eastAsia="zh-CN"/>
              </w:rPr>
              <w:t>NH</w:t>
            </w:r>
            <w:r>
              <w:rPr>
                <w:rFonts w:hint="default" w:ascii="Times New Roman" w:hAnsi="Times New Roman" w:eastAsia="宋体" w:cs="Times New Roman"/>
                <w:b w:val="0"/>
                <w:bCs/>
                <w:color w:val="auto"/>
                <w:sz w:val="21"/>
                <w:szCs w:val="21"/>
                <w:vertAlign w:val="subscript"/>
                <w:lang w:val="en-US" w:eastAsia="zh-CN"/>
              </w:rPr>
              <w:t>3</w:t>
            </w:r>
            <w:r>
              <w:rPr>
                <w:rFonts w:hint="default" w:ascii="Times New Roman" w:hAnsi="Times New Roman" w:eastAsia="宋体" w:cs="Times New Roman"/>
                <w:color w:val="auto"/>
                <w:sz w:val="21"/>
                <w:szCs w:val="21"/>
                <w:vertAlign w:val="baseline"/>
                <w:lang w:eastAsia="zh-CN"/>
              </w:rPr>
              <w:t>、</w:t>
            </w:r>
            <w:r>
              <w:rPr>
                <w:rFonts w:hint="default" w:ascii="Times New Roman" w:hAnsi="Times New Roman" w:eastAsia="宋体" w:cs="Times New Roman"/>
                <w:b w:val="0"/>
                <w:bCs/>
                <w:color w:val="auto"/>
                <w:sz w:val="21"/>
                <w:szCs w:val="21"/>
                <w:vertAlign w:val="baseline"/>
                <w:lang w:val="en-US" w:eastAsia="zh-CN"/>
              </w:rPr>
              <w:t>H</w:t>
            </w:r>
            <w:r>
              <w:rPr>
                <w:rFonts w:hint="default" w:ascii="Times New Roman" w:hAnsi="Times New Roman" w:eastAsia="宋体" w:cs="Times New Roman"/>
                <w:b w:val="0"/>
                <w:bCs/>
                <w:color w:val="auto"/>
                <w:sz w:val="21"/>
                <w:szCs w:val="21"/>
                <w:vertAlign w:val="subscript"/>
                <w:lang w:val="en-US" w:eastAsia="zh-CN"/>
              </w:rPr>
              <w:t>2</w:t>
            </w:r>
            <w:r>
              <w:rPr>
                <w:rFonts w:hint="default" w:ascii="Times New Roman" w:hAnsi="Times New Roman" w:eastAsia="宋体" w:cs="Times New Roman"/>
                <w:b w:val="0"/>
                <w:bCs/>
                <w:color w:val="auto"/>
                <w:sz w:val="21"/>
                <w:szCs w:val="21"/>
                <w:vertAlign w:val="baseline"/>
                <w:lang w:val="en-US" w:eastAsia="zh-CN"/>
              </w:rPr>
              <w:t>S排放量分别为0.0</w:t>
            </w:r>
            <w:r>
              <w:rPr>
                <w:rFonts w:hint="eastAsia" w:cs="Times New Roman"/>
                <w:b w:val="0"/>
                <w:bCs/>
                <w:color w:val="auto"/>
                <w:sz w:val="21"/>
                <w:szCs w:val="21"/>
                <w:vertAlign w:val="baseline"/>
                <w:lang w:val="en-US" w:eastAsia="zh-CN"/>
              </w:rPr>
              <w:t>24</w:t>
            </w:r>
            <w:r>
              <w:rPr>
                <w:rFonts w:hint="default" w:ascii="Times New Roman" w:hAnsi="Times New Roman" w:eastAsia="宋体" w:cs="Times New Roman"/>
                <w:b w:val="0"/>
                <w:bCs/>
                <w:color w:val="auto"/>
                <w:sz w:val="21"/>
                <w:szCs w:val="21"/>
                <w:vertAlign w:val="baseline"/>
                <w:lang w:val="en-US" w:eastAsia="zh-CN"/>
              </w:rPr>
              <w:t>t/a、0.00</w:t>
            </w:r>
            <w:r>
              <w:rPr>
                <w:rFonts w:hint="eastAsia" w:cs="Times New Roman"/>
                <w:b w:val="0"/>
                <w:bCs/>
                <w:color w:val="auto"/>
                <w:sz w:val="21"/>
                <w:szCs w:val="21"/>
                <w:vertAlign w:val="baseline"/>
                <w:lang w:val="en-US" w:eastAsia="zh-CN"/>
              </w:rPr>
              <w:t>12</w:t>
            </w:r>
            <w:r>
              <w:rPr>
                <w:rFonts w:hint="default" w:ascii="Times New Roman" w:hAnsi="Times New Roman" w:eastAsia="宋体" w:cs="Times New Roman"/>
                <w:b w:val="0"/>
                <w:bCs/>
                <w:color w:val="auto"/>
                <w:sz w:val="21"/>
                <w:szCs w:val="21"/>
                <w:vertAlign w:val="baseline"/>
                <w:lang w:val="en-US" w:eastAsia="zh-CN"/>
              </w:rPr>
              <w:t>t/a</w:t>
            </w:r>
          </w:p>
        </w:tc>
        <w:tc>
          <w:tcPr>
            <w:tcW w:w="2551" w:type="dxa"/>
            <w:vMerge w:val="continue"/>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1" w:type="dxa"/>
            <w:vMerge w:val="continue"/>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c>
          <w:tcPr>
            <w:tcW w:w="106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食堂厨房</w:t>
            </w:r>
          </w:p>
        </w:tc>
        <w:tc>
          <w:tcPr>
            <w:tcW w:w="403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vertAlign w:val="baseline"/>
                <w:lang w:eastAsia="zh-CN"/>
              </w:rPr>
            </w:pPr>
            <w:r>
              <w:rPr>
                <w:rFonts w:hint="default" w:ascii="Times New Roman" w:hAnsi="Times New Roman" w:eastAsia="宋体" w:cs="Times New Roman"/>
                <w:color w:val="auto"/>
                <w:sz w:val="21"/>
                <w:szCs w:val="21"/>
                <w:vertAlign w:val="baseline"/>
                <w:lang w:eastAsia="zh-CN"/>
              </w:rPr>
              <w:t>排放量为</w:t>
            </w:r>
            <w:r>
              <w:rPr>
                <w:rFonts w:hint="default" w:ascii="Times New Roman" w:hAnsi="Times New Roman" w:eastAsia="宋体" w:cs="Times New Roman"/>
                <w:b w:val="0"/>
                <w:bCs/>
                <w:color w:val="auto"/>
                <w:sz w:val="21"/>
                <w:szCs w:val="21"/>
                <w:vertAlign w:val="baseline"/>
                <w:lang w:val="en-US" w:eastAsia="zh-CN"/>
              </w:rPr>
              <w:t>0.00</w:t>
            </w:r>
            <w:r>
              <w:rPr>
                <w:rFonts w:hint="eastAsia" w:cs="Times New Roman"/>
                <w:b w:val="0"/>
                <w:bCs/>
                <w:color w:val="auto"/>
                <w:sz w:val="21"/>
                <w:szCs w:val="21"/>
                <w:vertAlign w:val="baseline"/>
                <w:lang w:val="en-US" w:eastAsia="zh-CN"/>
              </w:rPr>
              <w:t>8</w:t>
            </w:r>
            <w:r>
              <w:rPr>
                <w:rFonts w:hint="default" w:ascii="Times New Roman" w:hAnsi="Times New Roman" w:eastAsia="宋体" w:cs="Times New Roman"/>
                <w:b w:val="0"/>
                <w:bCs/>
                <w:color w:val="auto"/>
                <w:sz w:val="21"/>
                <w:szCs w:val="21"/>
                <w:vertAlign w:val="baseline"/>
                <w:lang w:val="en-US" w:eastAsia="zh-CN"/>
              </w:rPr>
              <w:t>t/a</w:t>
            </w:r>
          </w:p>
        </w:tc>
        <w:tc>
          <w:tcPr>
            <w:tcW w:w="2551" w:type="dxa"/>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color w:val="000000"/>
                <w:sz w:val="21"/>
                <w:szCs w:val="21"/>
              </w:rPr>
              <w:t>排放浓度达到《饮食业油烟排放标准（试行）》（GB18483-2001）表2中的中型规模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1" w:type="dxa"/>
            <w:vMerge w:val="restar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废水</w:t>
            </w:r>
          </w:p>
        </w:tc>
        <w:tc>
          <w:tcPr>
            <w:tcW w:w="106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养殖废水</w:t>
            </w:r>
          </w:p>
        </w:tc>
        <w:tc>
          <w:tcPr>
            <w:tcW w:w="403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vertAlign w:val="baseline"/>
                <w:lang w:val="en-US" w:eastAsia="zh-CN"/>
              </w:rPr>
            </w:pPr>
            <w:r>
              <w:rPr>
                <w:rFonts w:hint="default" w:ascii="Times New Roman" w:hAnsi="Times New Roman" w:eastAsia="宋体" w:cs="Times New Roman"/>
                <w:color w:val="auto"/>
                <w:sz w:val="21"/>
                <w:szCs w:val="21"/>
                <w:vertAlign w:val="baseline"/>
                <w:lang w:eastAsia="zh-CN"/>
              </w:rPr>
              <w:t>产生量为</w:t>
            </w:r>
            <w:r>
              <w:rPr>
                <w:rFonts w:hint="eastAsia" w:cs="Times New Roman"/>
                <w:b w:val="0"/>
                <w:bCs w:val="0"/>
                <w:color w:val="auto"/>
                <w:kern w:val="0"/>
                <w:sz w:val="21"/>
                <w:szCs w:val="21"/>
                <w:vertAlign w:val="baseline"/>
                <w:lang w:val="en-US" w:eastAsia="zh-CN" w:bidi="ar-SA"/>
              </w:rPr>
              <w:t>9159.47</w:t>
            </w:r>
            <w:r>
              <w:rPr>
                <w:rFonts w:hint="default" w:ascii="Times New Roman" w:hAnsi="Times New Roman" w:eastAsia="宋体" w:cs="Times New Roman"/>
                <w:b w:val="0"/>
                <w:bCs w:val="0"/>
                <w:color w:val="auto"/>
                <w:kern w:val="0"/>
                <w:sz w:val="21"/>
                <w:szCs w:val="21"/>
                <w:vertAlign w:val="baseline"/>
                <w:lang w:val="en-US" w:eastAsia="zh-CN" w:bidi="ar-SA"/>
              </w:rPr>
              <w:t>t/a，排放量为0</w:t>
            </w:r>
          </w:p>
        </w:tc>
        <w:tc>
          <w:tcPr>
            <w:tcW w:w="2551" w:type="dxa"/>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经异位发酵床处理，得到有机肥料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1" w:type="dxa"/>
            <w:vMerge w:val="continue"/>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c>
          <w:tcPr>
            <w:tcW w:w="106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生活污水</w:t>
            </w:r>
          </w:p>
        </w:tc>
        <w:tc>
          <w:tcPr>
            <w:tcW w:w="403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vertAlign w:val="baseline"/>
              </w:rPr>
            </w:pPr>
            <w:r>
              <w:rPr>
                <w:rFonts w:hint="default" w:ascii="Times New Roman" w:hAnsi="Times New Roman" w:eastAsia="宋体" w:cs="Times New Roman"/>
                <w:color w:val="auto"/>
                <w:sz w:val="21"/>
                <w:szCs w:val="21"/>
                <w:vertAlign w:val="baseline"/>
                <w:lang w:eastAsia="zh-CN"/>
              </w:rPr>
              <w:t>产生量为</w:t>
            </w:r>
            <w:r>
              <w:rPr>
                <w:rFonts w:hint="default" w:ascii="Times New Roman" w:hAnsi="Times New Roman" w:eastAsia="宋体" w:cs="Times New Roman"/>
                <w:color w:val="auto"/>
                <w:sz w:val="21"/>
                <w:szCs w:val="21"/>
                <w:vertAlign w:val="baseline"/>
                <w:lang w:val="en-US" w:eastAsia="zh-CN"/>
              </w:rPr>
              <w:t>1752</w:t>
            </w:r>
            <w:r>
              <w:rPr>
                <w:rFonts w:hint="default" w:ascii="Times New Roman" w:hAnsi="Times New Roman" w:eastAsia="宋体" w:cs="Times New Roman"/>
                <w:b w:val="0"/>
                <w:bCs w:val="0"/>
                <w:color w:val="auto"/>
                <w:kern w:val="0"/>
                <w:sz w:val="21"/>
                <w:szCs w:val="21"/>
                <w:vertAlign w:val="baseline"/>
                <w:lang w:val="en-US" w:eastAsia="zh-CN" w:bidi="ar-SA"/>
              </w:rPr>
              <w:t>t/a，排放量为0</w:t>
            </w:r>
          </w:p>
        </w:tc>
        <w:tc>
          <w:tcPr>
            <w:tcW w:w="2551" w:type="dxa"/>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val="en-US"/>
              </w:rPr>
            </w:pPr>
            <w:r>
              <w:rPr>
                <w:rFonts w:hint="default" w:ascii="Times New Roman" w:hAnsi="Times New Roman" w:eastAsia="宋体" w:cs="Times New Roman"/>
                <w:kern w:val="0"/>
                <w:sz w:val="21"/>
                <w:szCs w:val="21"/>
                <w:vertAlign w:val="baseline"/>
                <w:lang w:val="en-US" w:eastAsia="zh-CN" w:bidi="ar-SA"/>
              </w:rPr>
              <w:t>经地埋式一体化生化处理后全部回用于场内绿化</w:t>
            </w:r>
            <w:r>
              <w:rPr>
                <w:rFonts w:hint="eastAsia" w:cs="Times New Roman"/>
                <w:kern w:val="0"/>
                <w:sz w:val="21"/>
                <w:szCs w:val="21"/>
                <w:vertAlign w:val="baseline"/>
                <w:lang w:val="en-US" w:eastAsia="zh-CN" w:bidi="ar-SA"/>
              </w:rPr>
              <w:t>和附近林场灌溉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71" w:type="dxa"/>
            <w:vMerge w:val="restart"/>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固废</w:t>
            </w:r>
          </w:p>
        </w:tc>
        <w:tc>
          <w:tcPr>
            <w:tcW w:w="106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rPr>
              <w:t>干清猪粪</w:t>
            </w:r>
          </w:p>
        </w:tc>
        <w:tc>
          <w:tcPr>
            <w:tcW w:w="403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vertAlign w:val="baseline"/>
              </w:rPr>
            </w:pPr>
            <w:r>
              <w:rPr>
                <w:rFonts w:hint="default" w:ascii="Times New Roman" w:hAnsi="Times New Roman" w:eastAsia="宋体" w:cs="Times New Roman"/>
                <w:color w:val="auto"/>
                <w:sz w:val="21"/>
                <w:szCs w:val="21"/>
                <w:vertAlign w:val="baseline"/>
                <w:lang w:eastAsia="zh-CN"/>
              </w:rPr>
              <w:t>产生量为</w:t>
            </w:r>
            <w:r>
              <w:rPr>
                <w:rFonts w:hint="default" w:ascii="Times New Roman" w:hAnsi="Times New Roman" w:eastAsia="宋体" w:cs="Times New Roman"/>
                <w:color w:val="auto"/>
                <w:sz w:val="21"/>
                <w:szCs w:val="21"/>
                <w:vertAlign w:val="baseline"/>
                <w:lang w:val="en-US" w:eastAsia="zh-CN"/>
              </w:rPr>
              <w:t>4319.775</w:t>
            </w:r>
            <w:r>
              <w:rPr>
                <w:rFonts w:hint="default" w:ascii="Times New Roman" w:hAnsi="Times New Roman" w:eastAsia="宋体" w:cs="Times New Roman"/>
                <w:b w:val="0"/>
                <w:bCs w:val="0"/>
                <w:color w:val="auto"/>
                <w:kern w:val="0"/>
                <w:sz w:val="21"/>
                <w:szCs w:val="21"/>
                <w:vertAlign w:val="baseline"/>
                <w:lang w:val="en-US" w:eastAsia="zh-CN" w:bidi="ar-SA"/>
              </w:rPr>
              <w:t>t/a，排放量为0</w:t>
            </w:r>
          </w:p>
        </w:tc>
        <w:tc>
          <w:tcPr>
            <w:tcW w:w="2551" w:type="dxa"/>
            <w:vMerge w:val="restart"/>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lang w:eastAsia="zh-CN"/>
              </w:rPr>
            </w:pPr>
            <w:r>
              <w:rPr>
                <w:rFonts w:hint="default" w:ascii="Times New Roman" w:hAnsi="Times New Roman" w:eastAsia="宋体" w:cs="Times New Roman"/>
                <w:sz w:val="21"/>
                <w:szCs w:val="21"/>
                <w:vertAlign w:val="baseline"/>
                <w:lang w:eastAsia="zh-CN"/>
              </w:rPr>
              <w:t>无害化处理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1" w:type="dxa"/>
            <w:vMerge w:val="continue"/>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c>
          <w:tcPr>
            <w:tcW w:w="106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医疗废物</w:t>
            </w:r>
          </w:p>
        </w:tc>
        <w:tc>
          <w:tcPr>
            <w:tcW w:w="403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vertAlign w:val="baseline"/>
              </w:rPr>
            </w:pPr>
            <w:r>
              <w:rPr>
                <w:rFonts w:hint="default" w:ascii="Times New Roman" w:hAnsi="Times New Roman" w:eastAsia="宋体" w:cs="Times New Roman"/>
                <w:color w:val="auto"/>
                <w:sz w:val="21"/>
                <w:szCs w:val="21"/>
                <w:vertAlign w:val="baseline"/>
                <w:lang w:eastAsia="zh-CN"/>
              </w:rPr>
              <w:t>产生量为</w:t>
            </w:r>
            <w:r>
              <w:rPr>
                <w:rFonts w:hint="eastAsia" w:cs="Times New Roman"/>
                <w:color w:val="auto"/>
                <w:sz w:val="21"/>
                <w:szCs w:val="21"/>
                <w:vertAlign w:val="baseline"/>
                <w:lang w:val="en-US" w:eastAsia="zh-CN"/>
              </w:rPr>
              <w:t>0.7</w:t>
            </w:r>
            <w:r>
              <w:rPr>
                <w:rFonts w:hint="default" w:ascii="Times New Roman" w:hAnsi="Times New Roman" w:eastAsia="宋体" w:cs="Times New Roman"/>
                <w:b w:val="0"/>
                <w:bCs w:val="0"/>
                <w:color w:val="auto"/>
                <w:kern w:val="0"/>
                <w:sz w:val="21"/>
                <w:szCs w:val="21"/>
                <w:vertAlign w:val="baseline"/>
                <w:lang w:val="en-US" w:eastAsia="zh-CN" w:bidi="ar-SA"/>
              </w:rPr>
              <w:t>t/a，排放量为0</w:t>
            </w:r>
          </w:p>
        </w:tc>
        <w:tc>
          <w:tcPr>
            <w:tcW w:w="2551" w:type="dxa"/>
            <w:vMerge w:val="continue"/>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1" w:type="dxa"/>
            <w:vMerge w:val="continue"/>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c>
          <w:tcPr>
            <w:tcW w:w="106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病死猪</w:t>
            </w:r>
          </w:p>
        </w:tc>
        <w:tc>
          <w:tcPr>
            <w:tcW w:w="403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vertAlign w:val="baseline"/>
              </w:rPr>
            </w:pPr>
            <w:r>
              <w:rPr>
                <w:rFonts w:hint="default" w:ascii="Times New Roman" w:hAnsi="Times New Roman" w:eastAsia="宋体" w:cs="Times New Roman"/>
                <w:color w:val="auto"/>
                <w:sz w:val="21"/>
                <w:szCs w:val="21"/>
                <w:vertAlign w:val="baseline"/>
                <w:lang w:eastAsia="zh-CN"/>
              </w:rPr>
              <w:t>产生量为</w:t>
            </w:r>
            <w:r>
              <w:rPr>
                <w:rFonts w:hint="eastAsia" w:cs="Times New Roman"/>
                <w:color w:val="auto"/>
                <w:sz w:val="21"/>
                <w:szCs w:val="21"/>
                <w:vertAlign w:val="baseline"/>
                <w:lang w:val="en-US" w:eastAsia="zh-CN"/>
              </w:rPr>
              <w:t>6.43</w:t>
            </w:r>
            <w:r>
              <w:rPr>
                <w:rFonts w:hint="default" w:ascii="Times New Roman" w:hAnsi="Times New Roman" w:eastAsia="宋体" w:cs="Times New Roman"/>
                <w:b w:val="0"/>
                <w:bCs w:val="0"/>
                <w:color w:val="auto"/>
                <w:kern w:val="0"/>
                <w:sz w:val="21"/>
                <w:szCs w:val="21"/>
                <w:vertAlign w:val="baseline"/>
                <w:lang w:val="en-US" w:eastAsia="zh-CN" w:bidi="ar-SA"/>
              </w:rPr>
              <w:t>t/a，排放量为0</w:t>
            </w:r>
          </w:p>
        </w:tc>
        <w:tc>
          <w:tcPr>
            <w:tcW w:w="2551" w:type="dxa"/>
            <w:vMerge w:val="continue"/>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1" w:type="dxa"/>
            <w:vMerge w:val="continue"/>
            <w:tcBorders>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c>
          <w:tcPr>
            <w:tcW w:w="1065" w:type="dxa"/>
            <w:tcBorders>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rPr>
              <w:t>生活垃圾</w:t>
            </w:r>
          </w:p>
        </w:tc>
        <w:tc>
          <w:tcPr>
            <w:tcW w:w="4035" w:type="dxa"/>
            <w:tcBorders>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vertAlign w:val="baseline"/>
              </w:rPr>
            </w:pPr>
            <w:r>
              <w:rPr>
                <w:rFonts w:hint="default" w:ascii="Times New Roman" w:hAnsi="Times New Roman" w:eastAsia="宋体" w:cs="Times New Roman"/>
                <w:color w:val="auto"/>
                <w:sz w:val="21"/>
                <w:szCs w:val="21"/>
                <w:vertAlign w:val="baseline"/>
                <w:lang w:eastAsia="zh-CN"/>
              </w:rPr>
              <w:t>产生量为</w:t>
            </w:r>
            <w:r>
              <w:rPr>
                <w:rFonts w:hint="eastAsia" w:cs="Times New Roman"/>
                <w:color w:val="auto"/>
                <w:sz w:val="21"/>
                <w:szCs w:val="21"/>
                <w:vertAlign w:val="baseline"/>
                <w:lang w:val="en-US" w:eastAsia="zh-CN"/>
              </w:rPr>
              <w:t>10.95</w:t>
            </w:r>
            <w:r>
              <w:rPr>
                <w:rFonts w:hint="default" w:ascii="Times New Roman" w:hAnsi="Times New Roman" w:eastAsia="宋体" w:cs="Times New Roman"/>
                <w:b w:val="0"/>
                <w:bCs w:val="0"/>
                <w:color w:val="auto"/>
                <w:kern w:val="0"/>
                <w:sz w:val="21"/>
                <w:szCs w:val="21"/>
                <w:vertAlign w:val="baseline"/>
                <w:lang w:val="en-US" w:eastAsia="zh-CN" w:bidi="ar-SA"/>
              </w:rPr>
              <w:t>t/a，排放量为0</w:t>
            </w:r>
          </w:p>
        </w:tc>
        <w:tc>
          <w:tcPr>
            <w:tcW w:w="2551" w:type="dxa"/>
            <w:vMerge w:val="continue"/>
            <w:tcBorders>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ascii="Times New Roman" w:hAnsi="Times New Roman" w:eastAsia="宋体" w:cs="Times New Roman"/>
                <w:sz w:val="21"/>
                <w:szCs w:val="21"/>
                <w:vertAlign w:val="baseline"/>
              </w:rPr>
            </w:pPr>
          </w:p>
        </w:tc>
      </w:tr>
    </w:tbl>
    <w:p>
      <w:pPr>
        <w:pStyle w:val="4"/>
        <w:rPr>
          <w:rFonts w:hint="eastAsia"/>
        </w:rPr>
      </w:pPr>
      <w:bookmarkStart w:id="113" w:name="_Toc17543"/>
      <w:bookmarkStart w:id="114" w:name="_Toc23606"/>
      <w:r>
        <w:rPr>
          <w:rFonts w:hint="eastAsia"/>
          <w:lang w:eastAsia="zh-CN"/>
        </w:rPr>
        <w:t>环境管理制度</w:t>
      </w:r>
      <w:bookmarkEnd w:id="113"/>
      <w:bookmarkEnd w:id="114"/>
    </w:p>
    <w:p>
      <w:pPr>
        <w:pStyle w:val="5"/>
        <w:ind w:firstLine="562"/>
        <w:rPr>
          <w:rFonts w:hint="eastAsia"/>
        </w:rPr>
      </w:pPr>
      <w:r>
        <w:rPr>
          <w:rFonts w:hint="eastAsia"/>
          <w:lang w:eastAsia="zh-CN"/>
        </w:rPr>
        <w:t>环境管理机构</w:t>
      </w:r>
    </w:p>
    <w:p>
      <w:pPr>
        <w:pStyle w:val="8"/>
        <w:keepNext w:val="0"/>
        <w:keepLines w:val="0"/>
        <w:pageBreakBefore w:val="0"/>
        <w:widowControl w:val="0"/>
        <w:kinsoku/>
        <w:wordWrap/>
        <w:overflowPunct/>
        <w:topLinePunct w:val="0"/>
        <w:autoSpaceDE w:val="0"/>
        <w:autoSpaceDN w:val="0"/>
        <w:bidi w:val="0"/>
        <w:adjustRightInd/>
        <w:snapToGrid/>
        <w:ind w:left="0" w:leftChars="0" w:firstLine="481" w:firstLineChars="200"/>
        <w:textAlignment w:val="auto"/>
        <w:rPr>
          <w:rFonts w:hint="eastAsia" w:eastAsia="宋体"/>
          <w:b/>
          <w:bCs/>
          <w:lang w:val="en-US" w:eastAsia="zh-CN"/>
        </w:rPr>
      </w:pPr>
      <w:r>
        <w:rPr>
          <w:rFonts w:hint="eastAsia"/>
          <w:b/>
          <w:bCs/>
          <w:lang w:val="en-US" w:eastAsia="zh-CN"/>
        </w:rPr>
        <w:t>1、监督管理部门</w:t>
      </w:r>
    </w:p>
    <w:p>
      <w:pPr>
        <w:pStyle w:val="8"/>
        <w:ind w:firstLine="482"/>
        <w:rPr>
          <w:b/>
        </w:rPr>
      </w:pPr>
      <w:r>
        <w:rPr>
          <w:rFonts w:hint="eastAsia"/>
        </w:rPr>
        <w:t>当地生态环境部门负责本项目营运期环境管理监督工作，以保证环保管理制度的落实，包括负责对项目环境保护工作实施管理；组织和协调有关机构为项目环境保护工作服务；根据有关法规及项目环境影响报告书的要求，监测项目环境保护措施的实施；负责项目环境设施的竣工验收；确认项目应执行的环境管理法规和标准；指导监督部门对项目营运期的环境监测管理。</w:t>
      </w:r>
    </w:p>
    <w:p>
      <w:pPr>
        <w:pStyle w:val="8"/>
        <w:keepNext w:val="0"/>
        <w:keepLines w:val="0"/>
        <w:pageBreakBefore w:val="0"/>
        <w:widowControl w:val="0"/>
        <w:kinsoku/>
        <w:wordWrap/>
        <w:overflowPunct/>
        <w:topLinePunct w:val="0"/>
        <w:autoSpaceDE w:val="0"/>
        <w:autoSpaceDN w:val="0"/>
        <w:bidi w:val="0"/>
        <w:adjustRightInd/>
        <w:snapToGrid/>
        <w:ind w:firstLine="481" w:firstLineChars="200"/>
        <w:textAlignment w:val="auto"/>
        <w:rPr>
          <w:rFonts w:hint="eastAsia" w:eastAsia="宋体"/>
          <w:lang w:val="en-US" w:eastAsia="zh-CN"/>
        </w:rPr>
      </w:pPr>
      <w:r>
        <w:rPr>
          <w:rFonts w:hint="eastAsia"/>
          <w:b/>
          <w:bCs/>
          <w:lang w:val="en-US" w:eastAsia="zh-CN"/>
        </w:rPr>
        <w:t>2、建设单位</w:t>
      </w:r>
    </w:p>
    <w:p>
      <w:pPr>
        <w:pStyle w:val="8"/>
        <w:keepNext w:val="0"/>
        <w:keepLines w:val="0"/>
        <w:pageBreakBefore w:val="0"/>
        <w:widowControl w:val="0"/>
        <w:kinsoku/>
        <w:wordWrap/>
        <w:overflowPunct/>
        <w:topLinePunct w:val="0"/>
        <w:autoSpaceDE w:val="0"/>
        <w:autoSpaceDN w:val="0"/>
        <w:bidi w:val="0"/>
        <w:adjustRightInd/>
        <w:snapToGrid/>
        <w:ind w:firstLine="480" w:firstLineChars="200"/>
        <w:textAlignment w:val="auto"/>
      </w:pPr>
      <w:r>
        <w:rPr>
          <w:rFonts w:hint="eastAsia"/>
        </w:rPr>
        <w:t>本项目属于对区域环境有一定影响的建设项目，为实现</w:t>
      </w:r>
      <w:r>
        <w:rPr>
          <w:rFonts w:hint="eastAsia" w:ascii="宋体" w:hAnsi="宋体" w:eastAsia="宋体" w:cs="宋体"/>
        </w:rPr>
        <w:t>“三废”</w:t>
      </w:r>
      <w:r>
        <w:rPr>
          <w:rFonts w:hint="eastAsia"/>
        </w:rPr>
        <w:t xml:space="preserve">的达标排放及保护区域生态景观环境，企业应设置专门的环保机构及相应的管理体系，负责组织、落实、监督本企业的环境保护工作，具体做法是： </w:t>
      </w:r>
    </w:p>
    <w:p>
      <w:pPr>
        <w:pStyle w:val="8"/>
        <w:rPr>
          <w:rFonts w:hint="eastAsia" w:eastAsia="宋体"/>
          <w:b/>
          <w:bCs/>
          <w:snapToGrid w:val="0"/>
          <w:lang w:eastAsia="zh-CN"/>
        </w:rPr>
      </w:pPr>
      <w:r>
        <w:rPr>
          <w:rFonts w:hint="eastAsia"/>
          <w:b/>
          <w:bCs/>
          <w:snapToGrid w:val="0"/>
          <w:lang w:eastAsia="zh-CN"/>
        </w:rPr>
        <w:t>（</w:t>
      </w:r>
      <w:r>
        <w:rPr>
          <w:rFonts w:hint="eastAsia"/>
          <w:b/>
          <w:bCs/>
          <w:snapToGrid w:val="0"/>
          <w:lang w:val="en-US" w:eastAsia="zh-CN"/>
        </w:rPr>
        <w:t>1</w:t>
      </w:r>
      <w:r>
        <w:rPr>
          <w:rFonts w:hint="eastAsia"/>
          <w:b/>
          <w:bCs/>
          <w:snapToGrid w:val="0"/>
          <w:lang w:eastAsia="zh-CN"/>
        </w:rPr>
        <w:t>）由一名公司领导直接分管环保工作</w:t>
      </w:r>
    </w:p>
    <w:p>
      <w:pPr>
        <w:pStyle w:val="8"/>
        <w:ind w:firstLine="482"/>
        <w:rPr>
          <w:b/>
        </w:rPr>
      </w:pPr>
      <w:r>
        <w:rPr>
          <w:rFonts w:hint="eastAsia"/>
          <w:snapToGrid w:val="0"/>
        </w:rPr>
        <w:t>主管分管领导的职责是：掌握企业生产和环保工作的全面动态情况；负责审批企业的环保岗位制度、工作和年度计划；指挥环保工作的实施，协调企业内外各有关部门和组织间的关系。</w:t>
      </w:r>
    </w:p>
    <w:p>
      <w:pPr>
        <w:pStyle w:val="8"/>
        <w:rPr>
          <w:b/>
          <w:bCs/>
          <w:snapToGrid w:val="0"/>
        </w:rPr>
      </w:pPr>
      <w:r>
        <w:rPr>
          <w:rFonts w:hint="eastAsia"/>
          <w:b/>
          <w:bCs/>
          <w:snapToGrid w:val="0"/>
          <w:lang w:eastAsia="zh-CN"/>
        </w:rPr>
        <w:t>（</w:t>
      </w:r>
      <w:r>
        <w:rPr>
          <w:rFonts w:hint="eastAsia"/>
          <w:b/>
          <w:bCs/>
          <w:snapToGrid w:val="0"/>
          <w:lang w:val="en-US" w:eastAsia="zh-CN"/>
        </w:rPr>
        <w:t>2</w:t>
      </w:r>
      <w:r>
        <w:rPr>
          <w:rFonts w:hint="eastAsia"/>
          <w:b/>
          <w:bCs/>
          <w:snapToGrid w:val="0"/>
          <w:lang w:eastAsia="zh-CN"/>
        </w:rPr>
        <w:t>）设专门的环保科</w:t>
      </w:r>
    </w:p>
    <w:p>
      <w:pPr>
        <w:pStyle w:val="8"/>
        <w:rPr>
          <w:rFonts w:hint="eastAsia" w:eastAsia="宋体"/>
          <w:lang w:eastAsia="zh-CN"/>
        </w:rPr>
      </w:pPr>
      <w:r>
        <w:rPr>
          <w:rFonts w:hint="eastAsia"/>
          <w:snapToGrid w:val="0"/>
        </w:rPr>
        <w:t>环保科由公司领导直接分管，其主要职责是：贯彻执行环境保护法律法规和标准；根据上级环保行政主管部门的意见制定出严格的环境管理和环境监测制度，督察企业的环境管理，检查制度落实情况；负责</w:t>
      </w:r>
      <w:r>
        <w:rPr>
          <w:rFonts w:hint="eastAsia" w:ascii="宋体" w:hAnsi="宋体" w:eastAsia="宋体" w:cs="宋体"/>
          <w:snapToGrid w:val="0"/>
        </w:rPr>
        <w:t>“三废”</w:t>
      </w:r>
      <w:r>
        <w:rPr>
          <w:rFonts w:hint="eastAsia"/>
          <w:snapToGrid w:val="0"/>
        </w:rPr>
        <w:t>处理工作，检查监督企业环保设施的运行；实施企业的环境监测管理工作，汇总各产污环节排污、环保设施运行状态及环境质量情况；组织委托进行例行的环境监测，协助上级环境管理和监测部门对企业进行环保设施检查；调查、处理企业内外污染事故与污染纠纷；负责组织突发性事故的应急处理及善后事宜，如发生事故应及时报告主管环境部门；建立污染源档案，做好环境统计工作，填报上级环境管理部门的有关环境报表，定期向上级环保行政主管部门报告监测结果，定期进行排污申报；组织开展企业的环保专业技术培训，提高全体职员素质；建立联系网络，及时了解当前污染防治的先进技术，以利于及时对企业进行技术改造，减少污染；提出环保设施运行管理计划及改进建议，推广应用环保先进技术和经验</w:t>
      </w:r>
      <w:r>
        <w:rPr>
          <w:rFonts w:hint="eastAsia"/>
          <w:snapToGrid w:val="0"/>
          <w:lang w:eastAsia="zh-CN"/>
        </w:rPr>
        <w:t>。</w:t>
      </w:r>
    </w:p>
    <w:p>
      <w:pPr>
        <w:pStyle w:val="8"/>
        <w:rPr>
          <w:b/>
          <w:bCs/>
          <w:snapToGrid w:val="0"/>
        </w:rPr>
      </w:pPr>
      <w:r>
        <w:rPr>
          <w:rFonts w:hint="eastAsia"/>
          <w:b/>
          <w:bCs/>
          <w:snapToGrid w:val="0"/>
          <w:lang w:eastAsia="zh-CN"/>
        </w:rPr>
        <w:t>（</w:t>
      </w:r>
      <w:r>
        <w:rPr>
          <w:rFonts w:hint="eastAsia"/>
          <w:b/>
          <w:bCs/>
          <w:snapToGrid w:val="0"/>
          <w:lang w:val="en-US" w:eastAsia="zh-CN"/>
        </w:rPr>
        <w:t>3</w:t>
      </w:r>
      <w:r>
        <w:rPr>
          <w:rFonts w:hint="eastAsia"/>
          <w:b/>
          <w:bCs/>
          <w:snapToGrid w:val="0"/>
          <w:lang w:eastAsia="zh-CN"/>
        </w:rPr>
        <w:t>）环保设施的日常运行要求</w:t>
      </w:r>
    </w:p>
    <w:p>
      <w:pPr>
        <w:pStyle w:val="8"/>
        <w:rPr>
          <w:snapToGrid w:val="0"/>
        </w:rPr>
      </w:pPr>
      <w:r>
        <w:rPr>
          <w:rFonts w:hint="eastAsia"/>
          <w:snapToGrid w:val="0"/>
        </w:rPr>
        <w:t xml:space="preserve">环保设施日常维修保养是在专门环保科的组织下对环保设施进行全面检修，确保环保设施正常运行；环保管理人员须经过岗位培训，遵守操作规程；实行岗位与经济效益挂钩制度，严格控制生产用水量，避免浪费水资源；对污染物的综合利用进行研究，为今后进行的技术改造提出意见。 </w:t>
      </w:r>
    </w:p>
    <w:p>
      <w:pPr>
        <w:pStyle w:val="8"/>
        <w:rPr>
          <w:b/>
          <w:bCs/>
          <w:snapToGrid w:val="0"/>
        </w:rPr>
      </w:pPr>
      <w:r>
        <w:rPr>
          <w:rFonts w:hint="eastAsia"/>
          <w:b/>
          <w:bCs/>
          <w:snapToGrid w:val="0"/>
          <w:lang w:eastAsia="zh-CN"/>
        </w:rPr>
        <w:t>（</w:t>
      </w:r>
      <w:r>
        <w:rPr>
          <w:rFonts w:hint="eastAsia"/>
          <w:b/>
          <w:bCs/>
          <w:snapToGrid w:val="0"/>
          <w:lang w:val="en-US" w:eastAsia="zh-CN"/>
        </w:rPr>
        <w:t>4</w:t>
      </w:r>
      <w:r>
        <w:rPr>
          <w:rFonts w:hint="eastAsia"/>
          <w:b/>
          <w:bCs/>
          <w:snapToGrid w:val="0"/>
          <w:lang w:eastAsia="zh-CN"/>
        </w:rPr>
        <w:t>）环保制度的制定</w:t>
      </w:r>
    </w:p>
    <w:p>
      <w:pPr>
        <w:pStyle w:val="8"/>
        <w:rPr>
          <w:rFonts w:hint="eastAsia" w:eastAsia="宋体"/>
          <w:lang w:eastAsia="zh-CN"/>
        </w:rPr>
      </w:pPr>
      <w:r>
        <w:rPr>
          <w:rFonts w:hint="eastAsia"/>
          <w:snapToGrid w:val="0"/>
        </w:rPr>
        <w:t>为了落实各项污染防治措施，加强环境保护管理工作，应根据实际特点，制定各项环境保护制度，并以文件形式规定，形成一套环境管理制度体系。制订的管理制度体系主要为：制订环境保护职责管理规定，明确各岗位的环境保护职责；制订建设项目</w:t>
      </w:r>
      <w:r>
        <w:rPr>
          <w:rFonts w:hint="eastAsia" w:ascii="宋体" w:hAnsi="宋体" w:eastAsia="宋体" w:cs="宋体"/>
          <w:snapToGrid w:val="0"/>
        </w:rPr>
        <w:t>“三同时”</w:t>
      </w:r>
      <w:r>
        <w:rPr>
          <w:rFonts w:hint="eastAsia"/>
          <w:snapToGrid w:val="0"/>
        </w:rPr>
        <w:t>管理制度，保证环保设施与主体工程的同步、正常运行；制订环境保护工作实施计划；制订环境保护定期培训计划，以提高职工环境意识</w:t>
      </w:r>
      <w:r>
        <w:rPr>
          <w:rFonts w:hint="eastAsia"/>
          <w:snapToGrid w:val="0"/>
          <w:lang w:eastAsia="zh-CN"/>
        </w:rPr>
        <w:t>。</w:t>
      </w:r>
    </w:p>
    <w:p>
      <w:pPr>
        <w:pStyle w:val="5"/>
        <w:ind w:firstLine="562"/>
        <w:rPr>
          <w:rFonts w:hint="eastAsia"/>
        </w:rPr>
      </w:pPr>
      <w:r>
        <w:rPr>
          <w:rFonts w:hint="eastAsia"/>
          <w:lang w:eastAsia="zh-CN"/>
        </w:rPr>
        <w:t xml:space="preserve">环境管理台账相关要求 </w:t>
      </w:r>
    </w:p>
    <w:p>
      <w:pPr>
        <w:pStyle w:val="8"/>
      </w:pPr>
      <w:r>
        <w:rPr>
          <w:rFonts w:hint="eastAsia"/>
          <w:snapToGrid w:val="0"/>
        </w:rPr>
        <w:t xml:space="preserve">必须建立生产运行台帐，按日记录污染物产生量与处置情况、主要设备运行状况等，按月记录用电量、运行成本等，运行台帐必须妥善保管，随时接受各级环保部门核查，确保废水和废气处理工艺设备的正常运行和废水、废气达标。建立危险废物的相关台账，产生的危险废物都有转移四联单：产生单位、运输单位、接收单位、环保部门各一份。 </w:t>
      </w:r>
    </w:p>
    <w:p>
      <w:pPr>
        <w:pStyle w:val="4"/>
        <w:rPr>
          <w:rFonts w:hint="eastAsia"/>
        </w:rPr>
      </w:pPr>
      <w:bookmarkStart w:id="115" w:name="_Toc14563"/>
      <w:bookmarkStart w:id="116" w:name="_Toc20841"/>
      <w:r>
        <w:rPr>
          <w:rFonts w:hint="eastAsia"/>
          <w:lang w:eastAsia="zh-CN"/>
        </w:rPr>
        <w:t>环境监测计划</w:t>
      </w:r>
      <w:bookmarkEnd w:id="115"/>
      <w:bookmarkEnd w:id="116"/>
    </w:p>
    <w:p>
      <w:pPr>
        <w:pStyle w:val="5"/>
        <w:ind w:firstLine="562"/>
        <w:rPr>
          <w:rFonts w:hint="eastAsia"/>
        </w:rPr>
      </w:pPr>
      <w:r>
        <w:rPr>
          <w:rFonts w:hint="eastAsia"/>
          <w:lang w:eastAsia="zh-CN"/>
        </w:rPr>
        <w:t xml:space="preserve">营运期环境监测计划 </w:t>
      </w:r>
    </w:p>
    <w:p>
      <w:pPr>
        <w:pStyle w:val="8"/>
        <w:rPr>
          <w:rFonts w:hint="eastAsia"/>
          <w:snapToGrid w:val="0"/>
        </w:rPr>
      </w:pPr>
      <w:r>
        <w:rPr>
          <w:rFonts w:hint="eastAsia"/>
          <w:snapToGrid w:val="0"/>
        </w:rPr>
        <w:t>项目建成后，必须贯彻执行国家有关方针、政策、法律和法规，必须配备专管环保的工作人员，特别注意对废气、污水和工业固废的监督管理，保证达标排放和符合环保要求。统一安排，积极贯彻</w:t>
      </w:r>
      <w:r>
        <w:rPr>
          <w:rFonts w:hint="eastAsia" w:ascii="宋体" w:hAnsi="宋体" w:eastAsia="宋体" w:cs="宋体"/>
          <w:snapToGrid w:val="0"/>
        </w:rPr>
        <w:t>“预防为主、防治结合”</w:t>
      </w:r>
      <w:r>
        <w:rPr>
          <w:rFonts w:hint="eastAsia"/>
          <w:snapToGrid w:val="0"/>
        </w:rPr>
        <w:t xml:space="preserve">的方针，形成环境管理经常化、制度化；对运行中产生的问题需即时制定相应对策，加强与环境保护部门的联系与配合，结合环境监测的结果，及时掌握环境质量的变化状况，采取有效措施把污染控制在国家标准允许的范围内。一旦发生环保污染事故、人身健康危害，要速与当地环保、环卫等部门密切结合，及时消除影响，防治环境污染，保证人员的安全。环境污染要及时做出应急处理。以下几项具体工作应特别注意抓好。 </w:t>
      </w:r>
    </w:p>
    <w:p>
      <w:pPr>
        <w:pStyle w:val="8"/>
        <w:rPr>
          <w:rFonts w:hint="eastAsia" w:eastAsia="宋体"/>
          <w:b/>
          <w:bCs/>
          <w:snapToGrid w:val="0"/>
          <w:lang w:val="en-US" w:eastAsia="zh-CN"/>
        </w:rPr>
      </w:pPr>
      <w:r>
        <w:rPr>
          <w:rFonts w:hint="eastAsia"/>
          <w:b/>
          <w:bCs/>
          <w:snapToGrid w:val="0"/>
          <w:lang w:val="en-US" w:eastAsia="zh-CN"/>
        </w:rPr>
        <w:t>（1）监测方案</w:t>
      </w:r>
    </w:p>
    <w:p>
      <w:pPr>
        <w:pStyle w:val="8"/>
        <w:rPr>
          <w:snapToGrid w:val="0"/>
        </w:rPr>
      </w:pPr>
      <w:r>
        <w:rPr>
          <w:rFonts w:hint="eastAsia"/>
          <w:snapToGrid w:val="0"/>
        </w:rPr>
        <w:t>根据项目特点，营运期污染源监测包括废气、废水和噪声监测，正常营运情况的监测计划见表</w:t>
      </w:r>
      <w:r>
        <w:rPr>
          <w:rFonts w:hint="eastAsia"/>
          <w:snapToGrid w:val="0"/>
          <w:lang w:val="en-US" w:eastAsia="zh-CN"/>
        </w:rPr>
        <w:t>10</w:t>
      </w:r>
      <w:r>
        <w:rPr>
          <w:rFonts w:hint="eastAsia"/>
          <w:snapToGrid w:val="0"/>
        </w:rPr>
        <w:t xml:space="preserve">.4-1。 </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ascii="Times New Roman" w:hAnsi="Times New Roman" w:eastAsia="宋体" w:cs="Times New Roman"/>
          <w:b/>
          <w:bCs/>
          <w:snapToGrid w:val="0"/>
          <w:sz w:val="21"/>
          <w:szCs w:val="21"/>
          <w:lang w:val="en-US" w:eastAsia="zh-CN"/>
        </w:rPr>
      </w:pPr>
      <w:r>
        <w:rPr>
          <w:rFonts w:hint="default" w:ascii="Times New Roman" w:hAnsi="Times New Roman" w:eastAsia="宋体" w:cs="Times New Roman"/>
          <w:b/>
          <w:bCs/>
          <w:snapToGrid w:val="0"/>
          <w:sz w:val="21"/>
          <w:szCs w:val="21"/>
          <w:lang w:eastAsia="zh-CN"/>
        </w:rPr>
        <w:t>表</w:t>
      </w:r>
      <w:r>
        <w:rPr>
          <w:rFonts w:hint="eastAsia" w:cs="Times New Roman"/>
          <w:b/>
          <w:bCs/>
          <w:snapToGrid w:val="0"/>
          <w:sz w:val="21"/>
          <w:szCs w:val="21"/>
          <w:lang w:val="en-US" w:eastAsia="zh-CN"/>
        </w:rPr>
        <w:t>10</w:t>
      </w:r>
      <w:r>
        <w:rPr>
          <w:rFonts w:hint="default" w:ascii="Times New Roman" w:hAnsi="Times New Roman" w:eastAsia="宋体" w:cs="Times New Roman"/>
          <w:b/>
          <w:bCs/>
          <w:snapToGrid w:val="0"/>
          <w:sz w:val="21"/>
          <w:szCs w:val="21"/>
          <w:lang w:val="en-US" w:eastAsia="zh-CN"/>
        </w:rPr>
        <w:t>4-1   营运期项目日常监测方案</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1"/>
        <w:gridCol w:w="3405"/>
        <w:gridCol w:w="2463"/>
        <w:gridCol w:w="19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1" w:type="dxa"/>
            <w:tcBorders>
              <w:top w:val="single" w:color="auto" w:sz="12" w:space="0"/>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要素</w:t>
            </w:r>
          </w:p>
        </w:tc>
        <w:tc>
          <w:tcPr>
            <w:tcW w:w="3405" w:type="dxa"/>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监测点位</w:t>
            </w:r>
          </w:p>
        </w:tc>
        <w:tc>
          <w:tcPr>
            <w:tcW w:w="2463" w:type="dxa"/>
            <w:tcBorders>
              <w:top w:val="single" w:color="auto" w:sz="12" w:space="0"/>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监测项目</w:t>
            </w:r>
          </w:p>
        </w:tc>
        <w:tc>
          <w:tcPr>
            <w:tcW w:w="1993" w:type="dxa"/>
            <w:tcBorders>
              <w:top w:val="single" w:color="auto" w:sz="12" w:space="0"/>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监测频次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661" w:type="dxa"/>
            <w:vMerge w:val="restart"/>
            <w:tcBorders>
              <w:top w:val="single" w:color="auto" w:sz="12" w:space="0"/>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废气</w:t>
            </w:r>
          </w:p>
        </w:tc>
        <w:tc>
          <w:tcPr>
            <w:tcW w:w="3405" w:type="dxa"/>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r>
              <w:rPr>
                <w:rFonts w:hint="eastAsia" w:ascii="宋体" w:hAnsi="宋体"/>
                <w:color w:val="auto"/>
                <w:sz w:val="21"/>
                <w:szCs w:val="21"/>
                <w:lang w:eastAsia="zh-CN"/>
              </w:rPr>
              <w:t>场界</w:t>
            </w:r>
            <w:r>
              <w:rPr>
                <w:rFonts w:hint="eastAsia" w:ascii="宋体" w:hAnsi="宋体" w:eastAsia="宋体"/>
                <w:color w:val="auto"/>
                <w:sz w:val="21"/>
                <w:szCs w:val="21"/>
              </w:rPr>
              <w:t>上风向设</w:t>
            </w:r>
            <w:r>
              <w:rPr>
                <w:rFonts w:hint="eastAsia" w:ascii="Times New Roman" w:hAnsi="Times New Roman" w:eastAsia="Times New Roman"/>
                <w:color w:val="auto"/>
                <w:sz w:val="21"/>
                <w:szCs w:val="21"/>
              </w:rPr>
              <w:t>1</w:t>
            </w:r>
            <w:r>
              <w:rPr>
                <w:rFonts w:hint="eastAsia" w:ascii="宋体" w:hAnsi="宋体" w:eastAsia="宋体"/>
                <w:color w:val="auto"/>
                <w:sz w:val="21"/>
                <w:szCs w:val="21"/>
              </w:rPr>
              <w:t>个测点，下风向场界外</w:t>
            </w:r>
            <w:r>
              <w:rPr>
                <w:rFonts w:hint="eastAsia" w:ascii="Times New Roman" w:hAnsi="Times New Roman" w:eastAsia="Times New Roman"/>
                <w:color w:val="auto"/>
                <w:sz w:val="21"/>
                <w:szCs w:val="21"/>
              </w:rPr>
              <w:t>20m</w:t>
            </w:r>
            <w:r>
              <w:rPr>
                <w:rFonts w:hint="eastAsia" w:ascii="宋体" w:hAnsi="宋体" w:eastAsia="宋体"/>
                <w:color w:val="auto"/>
                <w:sz w:val="21"/>
                <w:szCs w:val="21"/>
              </w:rPr>
              <w:t>范围内设</w:t>
            </w:r>
            <w:r>
              <w:rPr>
                <w:rFonts w:hint="eastAsia" w:eastAsia="宋体"/>
                <w:color w:val="auto"/>
                <w:sz w:val="21"/>
                <w:szCs w:val="21"/>
                <w:lang w:val="en-US" w:eastAsia="zh-CN"/>
              </w:rPr>
              <w:t>2</w:t>
            </w:r>
            <w:r>
              <w:rPr>
                <w:rFonts w:hint="eastAsia" w:ascii="宋体" w:hAnsi="宋体" w:eastAsia="宋体"/>
                <w:color w:val="auto"/>
                <w:sz w:val="21"/>
                <w:szCs w:val="21"/>
              </w:rPr>
              <w:t>个测点</w:t>
            </w:r>
          </w:p>
        </w:tc>
        <w:tc>
          <w:tcPr>
            <w:tcW w:w="2463" w:type="dxa"/>
            <w:tcBorders>
              <w:top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r>
              <w:rPr>
                <w:rFonts w:hint="eastAsia" w:ascii="宋体" w:hAnsi="宋体" w:eastAsia="宋体"/>
                <w:color w:val="auto"/>
                <w:sz w:val="21"/>
                <w:szCs w:val="21"/>
              </w:rPr>
              <w:t>硫化氢、氨、臭气强度</w:t>
            </w:r>
          </w:p>
        </w:tc>
        <w:tc>
          <w:tcPr>
            <w:tcW w:w="1993" w:type="dxa"/>
            <w:vMerge w:val="restart"/>
            <w:tcBorders>
              <w:top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r>
              <w:rPr>
                <w:rFonts w:hint="eastAsia" w:ascii="宋体" w:hAnsi="宋体" w:eastAsia="宋体"/>
                <w:color w:val="auto"/>
                <w:sz w:val="21"/>
                <w:szCs w:val="21"/>
              </w:rPr>
              <w:t>每季度</w:t>
            </w:r>
            <w:r>
              <w:rPr>
                <w:rFonts w:hint="eastAsia" w:ascii="Times New Roman" w:hAnsi="Times New Roman" w:eastAsia="Times New Roman"/>
                <w:color w:val="auto"/>
                <w:sz w:val="21"/>
                <w:szCs w:val="21"/>
              </w:rPr>
              <w:t>1</w:t>
            </w:r>
            <w:r>
              <w:rPr>
                <w:rFonts w:hint="eastAsia" w:ascii="宋体" w:hAnsi="宋体" w:eastAsia="宋体"/>
                <w:color w:val="auto"/>
                <w:sz w:val="21"/>
                <w:szCs w:val="21"/>
              </w:rPr>
              <w:t>次，每次连续监测</w:t>
            </w:r>
            <w:r>
              <w:rPr>
                <w:rFonts w:hint="eastAsia" w:ascii="Times New Roman" w:hAnsi="Times New Roman" w:eastAsia="Times New Roman"/>
                <w:color w:val="auto"/>
                <w:sz w:val="21"/>
                <w:szCs w:val="21"/>
              </w:rPr>
              <w:t>2</w:t>
            </w:r>
            <w:r>
              <w:rPr>
                <w:rFonts w:hint="eastAsia" w:ascii="宋体" w:hAnsi="宋体" w:eastAsia="宋体"/>
                <w:color w:val="auto"/>
                <w:sz w:val="21"/>
                <w:szCs w:val="21"/>
              </w:rPr>
              <w:t>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1" w:type="dxa"/>
            <w:vMerge w:val="continue"/>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sz w:val="21"/>
                <w:szCs w:val="21"/>
                <w:vertAlign w:val="baseline"/>
              </w:rPr>
            </w:pPr>
          </w:p>
        </w:tc>
        <w:tc>
          <w:tcPr>
            <w:tcW w:w="340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color w:val="auto"/>
                <w:sz w:val="21"/>
                <w:szCs w:val="21"/>
                <w:vertAlign w:val="baseline"/>
                <w:lang w:eastAsia="zh-CN"/>
              </w:rPr>
            </w:pPr>
            <w:r>
              <w:rPr>
                <w:rFonts w:hint="eastAsia"/>
                <w:snapToGrid w:val="0"/>
                <w:color w:val="auto"/>
                <w:sz w:val="21"/>
                <w:szCs w:val="21"/>
                <w:vertAlign w:val="baseline"/>
                <w:lang w:eastAsia="zh-CN"/>
              </w:rPr>
              <w:t>食堂油烟排放口</w:t>
            </w:r>
          </w:p>
        </w:tc>
        <w:tc>
          <w:tcPr>
            <w:tcW w:w="2463"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color w:val="auto"/>
                <w:sz w:val="21"/>
                <w:szCs w:val="21"/>
                <w:vertAlign w:val="baseline"/>
                <w:lang w:eastAsia="zh-CN"/>
              </w:rPr>
            </w:pPr>
            <w:r>
              <w:rPr>
                <w:rFonts w:hint="eastAsia"/>
                <w:snapToGrid w:val="0"/>
                <w:color w:val="auto"/>
                <w:sz w:val="21"/>
                <w:szCs w:val="21"/>
                <w:vertAlign w:val="baseline"/>
                <w:lang w:eastAsia="zh-CN"/>
              </w:rPr>
              <w:t>油烟</w:t>
            </w:r>
          </w:p>
        </w:tc>
        <w:tc>
          <w:tcPr>
            <w:tcW w:w="1993" w:type="dxa"/>
            <w:vMerge w:val="continue"/>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8" w:hRule="atLeast"/>
        </w:trPr>
        <w:tc>
          <w:tcPr>
            <w:tcW w:w="661" w:type="dxa"/>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废水</w:t>
            </w:r>
          </w:p>
        </w:tc>
        <w:tc>
          <w:tcPr>
            <w:tcW w:w="340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r>
              <w:rPr>
                <w:rFonts w:hint="eastAsia" w:ascii="宋体" w:hAnsi="宋体" w:eastAsia="宋体"/>
                <w:color w:val="auto"/>
                <w:sz w:val="21"/>
                <w:szCs w:val="21"/>
              </w:rPr>
              <w:t>污水处理站进口、出口</w:t>
            </w:r>
          </w:p>
        </w:tc>
        <w:tc>
          <w:tcPr>
            <w:tcW w:w="2463"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r>
              <w:rPr>
                <w:rFonts w:hint="eastAsia" w:ascii="Times New Roman" w:hAnsi="Times New Roman" w:eastAsia="Times New Roman"/>
                <w:color w:val="auto"/>
                <w:sz w:val="21"/>
                <w:szCs w:val="21"/>
              </w:rPr>
              <w:t>p</w:t>
            </w:r>
            <w:r>
              <w:rPr>
                <w:rFonts w:hint="default" w:ascii="Times New Roman" w:hAnsi="Times New Roman" w:eastAsia="Times New Roman" w:cs="Times New Roman"/>
                <w:color w:val="auto"/>
                <w:sz w:val="21"/>
                <w:szCs w:val="21"/>
              </w:rPr>
              <w:t>H</w:t>
            </w:r>
            <w:r>
              <w:rPr>
                <w:rFonts w:hint="default" w:ascii="Times New Roman" w:hAnsi="Times New Roman" w:eastAsia="宋体" w:cs="Times New Roman"/>
                <w:color w:val="auto"/>
                <w:sz w:val="21"/>
                <w:szCs w:val="21"/>
              </w:rPr>
              <w:t>值、</w:t>
            </w:r>
            <w:r>
              <w:rPr>
                <w:rFonts w:hint="default" w:ascii="Times New Roman" w:hAnsi="Times New Roman" w:eastAsia="Times New Roman" w:cs="Times New Roman"/>
                <w:color w:val="auto"/>
                <w:sz w:val="21"/>
                <w:szCs w:val="21"/>
              </w:rPr>
              <w:t>COD</w:t>
            </w:r>
            <w:r>
              <w:rPr>
                <w:rFonts w:hint="default" w:ascii="Times New Roman" w:hAnsi="Times New Roman" w:eastAsia="宋体" w:cs="Times New Roman"/>
                <w:color w:val="auto"/>
                <w:sz w:val="21"/>
                <w:szCs w:val="21"/>
              </w:rPr>
              <w:t>、</w:t>
            </w:r>
            <w:r>
              <w:rPr>
                <w:rFonts w:hint="default" w:ascii="Times New Roman" w:hAnsi="Times New Roman" w:eastAsia="Times New Roman" w:cs="Times New Roman"/>
                <w:color w:val="auto"/>
                <w:sz w:val="21"/>
                <w:szCs w:val="21"/>
              </w:rPr>
              <w:t>BOD</w:t>
            </w:r>
            <w:r>
              <w:rPr>
                <w:rFonts w:hint="default" w:ascii="Times New Roman" w:hAnsi="Times New Roman" w:eastAsia="Times New Roman" w:cs="Times New Roman"/>
                <w:color w:val="auto"/>
                <w:sz w:val="21"/>
                <w:szCs w:val="21"/>
                <w:vertAlign w:val="subscript"/>
              </w:rPr>
              <w:t>5</w:t>
            </w:r>
            <w:r>
              <w:rPr>
                <w:rFonts w:hint="default" w:ascii="Times New Roman" w:hAnsi="Times New Roman" w:eastAsia="宋体" w:cs="Times New Roman"/>
                <w:color w:val="auto"/>
                <w:sz w:val="21"/>
                <w:szCs w:val="21"/>
              </w:rPr>
              <w:t>、</w:t>
            </w:r>
            <w:r>
              <w:rPr>
                <w:rFonts w:hint="default" w:ascii="Times New Roman" w:hAnsi="Times New Roman" w:cs="Times New Roman"/>
                <w:color w:val="auto"/>
                <w:sz w:val="21"/>
                <w:szCs w:val="21"/>
                <w:lang w:val="en-US" w:eastAsia="zh-CN"/>
              </w:rPr>
              <w:t>NH</w:t>
            </w:r>
            <w:r>
              <w:rPr>
                <w:rFonts w:hint="default" w:ascii="Times New Roman" w:hAnsi="Times New Roman" w:cs="Times New Roman"/>
                <w:color w:val="auto"/>
                <w:sz w:val="21"/>
                <w:szCs w:val="21"/>
                <w:vertAlign w:val="subscript"/>
                <w:lang w:val="en-US" w:eastAsia="zh-CN"/>
              </w:rPr>
              <w:t>3</w:t>
            </w:r>
            <w:r>
              <w:rPr>
                <w:rFonts w:hint="default" w:ascii="Times New Roman" w:hAnsi="Times New Roman" w:cs="Times New Roman"/>
                <w:color w:val="auto"/>
                <w:sz w:val="21"/>
                <w:szCs w:val="21"/>
                <w:lang w:val="en-US" w:eastAsia="zh-CN"/>
              </w:rPr>
              <w:t>-N</w:t>
            </w:r>
            <w:r>
              <w:rPr>
                <w:rFonts w:hint="default" w:ascii="Times New Roman" w:hAnsi="Times New Roman" w:eastAsia="宋体" w:cs="Times New Roman"/>
                <w:color w:val="auto"/>
                <w:sz w:val="21"/>
                <w:szCs w:val="21"/>
              </w:rPr>
              <w:t>、</w:t>
            </w:r>
            <w:r>
              <w:rPr>
                <w:rFonts w:hint="default" w:ascii="Times New Roman" w:hAnsi="Times New Roman" w:eastAsia="Times New Roman" w:cs="Times New Roman"/>
                <w:color w:val="auto"/>
                <w:sz w:val="21"/>
                <w:szCs w:val="21"/>
              </w:rPr>
              <w:t>SS</w:t>
            </w:r>
            <w:r>
              <w:rPr>
                <w:rFonts w:hint="default" w:ascii="Times New Roman" w:hAnsi="Times New Roman" w:eastAsia="宋体" w:cs="Times New Roman"/>
                <w:color w:val="auto"/>
                <w:sz w:val="21"/>
                <w:szCs w:val="21"/>
              </w:rPr>
              <w:t>、</w:t>
            </w:r>
            <w:r>
              <w:rPr>
                <w:rFonts w:hint="default" w:ascii="Times New Roman" w:hAnsi="Times New Roman" w:cs="Times New Roman"/>
                <w:color w:val="auto"/>
                <w:sz w:val="21"/>
                <w:szCs w:val="21"/>
                <w:lang w:val="en-US" w:eastAsia="zh-CN"/>
              </w:rPr>
              <w:t>TP</w:t>
            </w:r>
            <w:r>
              <w:rPr>
                <w:rFonts w:hint="default" w:ascii="Times New Roman" w:hAnsi="Times New Roman" w:eastAsia="宋体" w:cs="Times New Roman"/>
                <w:color w:val="auto"/>
                <w:sz w:val="21"/>
                <w:szCs w:val="21"/>
              </w:rPr>
              <w:t>、粪大肠菌群、蛔虫卵、流量</w:t>
            </w:r>
          </w:p>
        </w:tc>
        <w:tc>
          <w:tcPr>
            <w:tcW w:w="1993" w:type="dxa"/>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r>
              <w:rPr>
                <w:rFonts w:hint="eastAsia" w:ascii="宋体" w:hAnsi="宋体" w:eastAsia="宋体"/>
                <w:color w:val="auto"/>
                <w:sz w:val="21"/>
                <w:szCs w:val="21"/>
              </w:rPr>
              <w:t>每季度</w:t>
            </w:r>
            <w:r>
              <w:rPr>
                <w:rFonts w:hint="eastAsia" w:ascii="Times New Roman" w:hAnsi="Times New Roman" w:eastAsia="Times New Roman"/>
                <w:color w:val="auto"/>
                <w:sz w:val="21"/>
                <w:szCs w:val="21"/>
              </w:rPr>
              <w:t>1</w:t>
            </w:r>
            <w:r>
              <w:rPr>
                <w:rFonts w:hint="eastAsia" w:ascii="宋体" w:hAnsi="宋体" w:eastAsia="宋体"/>
                <w:color w:val="auto"/>
                <w:sz w:val="21"/>
                <w:szCs w:val="21"/>
              </w:rPr>
              <w:t>次，每次连续监测</w:t>
            </w:r>
            <w:r>
              <w:rPr>
                <w:rFonts w:hint="eastAsia" w:ascii="Times New Roman" w:hAnsi="Times New Roman" w:eastAsia="Times New Roman"/>
                <w:color w:val="auto"/>
                <w:sz w:val="21"/>
                <w:szCs w:val="21"/>
              </w:rPr>
              <w:t>2</w:t>
            </w:r>
            <w:r>
              <w:rPr>
                <w:rFonts w:hint="eastAsia" w:ascii="宋体" w:hAnsi="宋体" w:eastAsia="宋体"/>
                <w:color w:val="auto"/>
                <w:sz w:val="21"/>
                <w:szCs w:val="21"/>
              </w:rPr>
              <w:t>天，每天采样</w:t>
            </w:r>
            <w:r>
              <w:rPr>
                <w:rFonts w:hint="eastAsia" w:ascii="Times New Roman" w:hAnsi="Times New Roman" w:eastAsia="Times New Roman"/>
                <w:color w:val="auto"/>
                <w:sz w:val="21"/>
                <w:szCs w:val="21"/>
              </w:rPr>
              <w:t>4</w:t>
            </w:r>
            <w:r>
              <w:rPr>
                <w:rFonts w:hint="eastAsia" w:ascii="宋体" w:hAnsi="宋体" w:eastAsia="宋体"/>
                <w:color w:val="auto"/>
                <w:sz w:val="21"/>
                <w:szCs w:val="21"/>
              </w:rPr>
              <w:t xml:space="preserve">次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0" w:hRule="atLeast"/>
        </w:trPr>
        <w:tc>
          <w:tcPr>
            <w:tcW w:w="661" w:type="dxa"/>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噪声</w:t>
            </w:r>
          </w:p>
        </w:tc>
        <w:tc>
          <w:tcPr>
            <w:tcW w:w="340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color w:val="auto"/>
                <w:sz w:val="21"/>
                <w:szCs w:val="21"/>
                <w:vertAlign w:val="baseline"/>
                <w:lang w:eastAsia="zh-CN"/>
              </w:rPr>
            </w:pPr>
            <w:r>
              <w:rPr>
                <w:rFonts w:hint="eastAsia" w:ascii="宋体" w:hAnsi="宋体" w:eastAsia="宋体"/>
                <w:color w:val="auto"/>
                <w:sz w:val="21"/>
                <w:szCs w:val="21"/>
              </w:rPr>
              <w:t>厂界外</w:t>
            </w:r>
            <w:r>
              <w:rPr>
                <w:rFonts w:hint="eastAsia" w:ascii="Times New Roman" w:hAnsi="Times New Roman" w:eastAsia="Times New Roman"/>
                <w:color w:val="auto"/>
                <w:sz w:val="21"/>
                <w:szCs w:val="21"/>
              </w:rPr>
              <w:t>1m</w:t>
            </w:r>
            <w:r>
              <w:rPr>
                <w:rFonts w:hint="eastAsia" w:ascii="宋体" w:hAnsi="宋体" w:eastAsia="宋体"/>
                <w:color w:val="auto"/>
                <w:sz w:val="21"/>
                <w:szCs w:val="21"/>
              </w:rPr>
              <w:t>处于主要源声（猪舍、粪污处理区、病死猪无害化处理设备）附近布设适当监测点（</w:t>
            </w:r>
            <w:r>
              <w:rPr>
                <w:rFonts w:hint="eastAsia" w:ascii="Times New Roman" w:hAnsi="Times New Roman" w:eastAsia="Times New Roman"/>
                <w:color w:val="auto"/>
                <w:sz w:val="21"/>
                <w:szCs w:val="21"/>
              </w:rPr>
              <w:t>4</w:t>
            </w:r>
            <w:r>
              <w:rPr>
                <w:rFonts w:hint="eastAsia" w:ascii="宋体" w:hAnsi="宋体" w:eastAsia="宋体"/>
                <w:color w:val="auto"/>
                <w:sz w:val="21"/>
                <w:szCs w:val="21"/>
              </w:rPr>
              <w:t>个以上</w:t>
            </w:r>
            <w:r>
              <w:rPr>
                <w:rFonts w:hint="eastAsia" w:ascii="宋体" w:hAnsi="宋体"/>
                <w:color w:val="auto"/>
                <w:sz w:val="21"/>
                <w:szCs w:val="21"/>
                <w:lang w:eastAsia="zh-CN"/>
              </w:rPr>
              <w:t>）</w:t>
            </w:r>
          </w:p>
        </w:tc>
        <w:tc>
          <w:tcPr>
            <w:tcW w:w="2463"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r>
              <w:rPr>
                <w:rFonts w:hint="eastAsia"/>
                <w:snapToGrid w:val="0"/>
                <w:color w:val="auto"/>
                <w:sz w:val="21"/>
                <w:szCs w:val="21"/>
                <w:vertAlign w:val="baseline"/>
              </w:rPr>
              <w:t>连续等效A声级</w:t>
            </w:r>
          </w:p>
        </w:tc>
        <w:tc>
          <w:tcPr>
            <w:tcW w:w="1993" w:type="dxa"/>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r>
              <w:rPr>
                <w:rFonts w:hint="eastAsia"/>
                <w:snapToGrid w:val="0"/>
                <w:color w:val="auto"/>
                <w:sz w:val="21"/>
                <w:szCs w:val="21"/>
                <w:vertAlign w:val="baseline"/>
              </w:rPr>
              <w:t>每年2次，每次连续监测2天，每天昼、夜间各1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1" w:type="dxa"/>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地下水</w:t>
            </w:r>
          </w:p>
        </w:tc>
        <w:tc>
          <w:tcPr>
            <w:tcW w:w="3405"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r>
              <w:rPr>
                <w:rFonts w:hint="eastAsia" w:ascii="宋体" w:hAnsi="宋体" w:eastAsia="宋体"/>
                <w:color w:val="auto"/>
                <w:sz w:val="21"/>
                <w:szCs w:val="21"/>
              </w:rPr>
              <w:t>场区水井</w:t>
            </w:r>
          </w:p>
        </w:tc>
        <w:tc>
          <w:tcPr>
            <w:tcW w:w="2463" w:type="dxa"/>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r>
              <w:rPr>
                <w:rFonts w:hint="eastAsia" w:ascii="Times New Roman" w:hAnsi="Times New Roman" w:eastAsia="Times New Roman"/>
                <w:color w:val="auto"/>
                <w:sz w:val="21"/>
                <w:szCs w:val="21"/>
              </w:rPr>
              <w:t>pH</w:t>
            </w:r>
            <w:r>
              <w:rPr>
                <w:rFonts w:hint="eastAsia" w:ascii="宋体" w:hAnsi="宋体" w:eastAsia="宋体"/>
                <w:color w:val="auto"/>
                <w:sz w:val="21"/>
                <w:szCs w:val="21"/>
              </w:rPr>
              <w:t>、总硬度、溶解性总固体、高锰酸盐指数、氨氮、硝酸盐、亚酸盐、硫酸盐、总大肠菌群</w:t>
            </w:r>
          </w:p>
        </w:tc>
        <w:tc>
          <w:tcPr>
            <w:tcW w:w="1993" w:type="dxa"/>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r>
              <w:rPr>
                <w:rFonts w:hint="eastAsia"/>
                <w:snapToGrid w:val="0"/>
                <w:color w:val="auto"/>
                <w:sz w:val="21"/>
                <w:szCs w:val="21"/>
                <w:vertAlign w:val="baseline"/>
              </w:rPr>
              <w:t>每年2次，每次连续监测3天，每天采样1次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1" w:type="dxa"/>
            <w:tcBorders>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土壤</w:t>
            </w:r>
          </w:p>
        </w:tc>
        <w:tc>
          <w:tcPr>
            <w:tcW w:w="3405" w:type="dxa"/>
            <w:tcBorders>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r>
              <w:rPr>
                <w:rFonts w:hint="eastAsia" w:ascii="宋体" w:hAnsi="宋体" w:eastAsia="宋体"/>
                <w:color w:val="auto"/>
                <w:sz w:val="21"/>
                <w:szCs w:val="21"/>
              </w:rPr>
              <w:t>场区</w:t>
            </w:r>
          </w:p>
        </w:tc>
        <w:tc>
          <w:tcPr>
            <w:tcW w:w="2463" w:type="dxa"/>
            <w:tcBorders>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r>
              <w:rPr>
                <w:rFonts w:hint="eastAsia" w:ascii="Times New Roman" w:hAnsi="Times New Roman" w:eastAsia="Times New Roman"/>
                <w:color w:val="auto"/>
                <w:sz w:val="21"/>
                <w:szCs w:val="21"/>
              </w:rPr>
              <w:t>pH</w:t>
            </w:r>
            <w:r>
              <w:rPr>
                <w:rFonts w:hint="eastAsia" w:ascii="宋体" w:hAnsi="宋体" w:eastAsia="宋体"/>
                <w:color w:val="auto"/>
                <w:sz w:val="21"/>
                <w:szCs w:val="21"/>
              </w:rPr>
              <w:t>值、镉、汞、铜、砷、锌等重金属及氮、磷、钾等土壤养分的跟踪监测</w:t>
            </w:r>
          </w:p>
        </w:tc>
        <w:tc>
          <w:tcPr>
            <w:tcW w:w="1993" w:type="dxa"/>
            <w:tcBorders>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snapToGrid w:val="0"/>
                <w:color w:val="auto"/>
                <w:sz w:val="21"/>
                <w:szCs w:val="21"/>
                <w:vertAlign w:val="baseline"/>
              </w:rPr>
            </w:pPr>
            <w:r>
              <w:rPr>
                <w:rFonts w:hint="eastAsia" w:ascii="宋体" w:hAnsi="宋体" w:eastAsia="宋体"/>
                <w:color w:val="auto"/>
                <w:sz w:val="21"/>
                <w:szCs w:val="21"/>
              </w:rPr>
              <w:t>每个季度监测</w:t>
            </w:r>
            <w:r>
              <w:rPr>
                <w:rFonts w:hint="eastAsia" w:ascii="Times New Roman" w:hAnsi="Times New Roman" w:eastAsia="Times New Roman"/>
                <w:color w:val="auto"/>
                <w:sz w:val="21"/>
                <w:szCs w:val="21"/>
              </w:rPr>
              <w:t>1</w:t>
            </w:r>
            <w:r>
              <w:rPr>
                <w:rFonts w:hint="eastAsia" w:ascii="宋体" w:hAnsi="宋体" w:eastAsia="宋体"/>
                <w:color w:val="auto"/>
                <w:sz w:val="21"/>
                <w:szCs w:val="21"/>
              </w:rPr>
              <w:t>次，每次监测</w:t>
            </w:r>
            <w:r>
              <w:rPr>
                <w:rFonts w:hint="eastAsia" w:ascii="Times New Roman" w:hAnsi="Times New Roman" w:eastAsia="Times New Roman"/>
                <w:color w:val="auto"/>
                <w:sz w:val="21"/>
                <w:szCs w:val="21"/>
              </w:rPr>
              <w:t>1</w:t>
            </w:r>
            <w:r>
              <w:rPr>
                <w:rFonts w:hint="eastAsia" w:ascii="宋体" w:hAnsi="宋体" w:eastAsia="宋体"/>
                <w:color w:val="auto"/>
                <w:sz w:val="21"/>
                <w:szCs w:val="21"/>
              </w:rPr>
              <w:t xml:space="preserve">天 </w:t>
            </w:r>
          </w:p>
        </w:tc>
      </w:tr>
    </w:tbl>
    <w:p>
      <w:pPr>
        <w:pStyle w:val="8"/>
        <w:rPr>
          <w:b/>
          <w:bCs/>
          <w:snapToGrid w:val="0"/>
        </w:rPr>
      </w:pPr>
      <w:r>
        <w:rPr>
          <w:rFonts w:hint="eastAsia"/>
          <w:b/>
          <w:bCs/>
          <w:snapToGrid w:val="0"/>
          <w:lang w:eastAsia="zh-CN"/>
        </w:rPr>
        <w:t>（</w:t>
      </w:r>
      <w:r>
        <w:rPr>
          <w:rFonts w:hint="eastAsia"/>
          <w:b/>
          <w:bCs/>
          <w:snapToGrid w:val="0"/>
          <w:lang w:val="en-US" w:eastAsia="zh-CN"/>
        </w:rPr>
        <w:t>2</w:t>
      </w:r>
      <w:r>
        <w:rPr>
          <w:rFonts w:hint="eastAsia"/>
          <w:b/>
          <w:bCs/>
          <w:snapToGrid w:val="0"/>
          <w:lang w:eastAsia="zh-CN"/>
        </w:rPr>
        <w:t>）分析方法</w:t>
      </w:r>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jc w:val="left"/>
        <w:textAlignment w:val="auto"/>
      </w:pPr>
      <w:r>
        <w:rPr>
          <w:rFonts w:hint="eastAsia"/>
          <w:snapToGrid w:val="0"/>
        </w:rPr>
        <w:t>采用国家规定的监测采样和分析化验方法，评价标准执行本次评价经批复的国家标准。废气监测按国家环保局发布的《空气和废气监测分析方法》等技术规范进行；废水监测按国家环保总局发布的</w:t>
      </w:r>
      <w:r>
        <w:rPr>
          <w:rFonts w:hint="eastAsia"/>
        </w:rPr>
        <w:t>《地表水和污水监测技术规范》</w:t>
      </w:r>
      <w:r>
        <w:rPr>
          <w:rFonts w:hint="eastAsia"/>
          <w:lang w:eastAsia="zh-CN"/>
        </w:rPr>
        <w:t>、《污水监测技术规范》</w:t>
      </w:r>
      <w:r>
        <w:rPr>
          <w:rFonts w:hint="eastAsia"/>
          <w:snapToGrid w:val="0"/>
        </w:rPr>
        <w:t>等技术规范进行；噪声监测按《声环境质量标准》（GB3096-2008）等技术规范进行；土壤监测按《土壤环境质量农用地土壤污染风险管控标准》（GB15618-2018）等技术规范进行。</w:t>
      </w:r>
    </w:p>
    <w:p>
      <w:pPr>
        <w:pStyle w:val="8"/>
        <w:rPr>
          <w:b/>
          <w:bCs/>
          <w:snapToGrid w:val="0"/>
        </w:rPr>
      </w:pPr>
      <w:r>
        <w:rPr>
          <w:rFonts w:hint="eastAsia"/>
          <w:b/>
          <w:bCs/>
          <w:snapToGrid w:val="0"/>
          <w:lang w:eastAsia="zh-CN"/>
        </w:rPr>
        <w:t>（</w:t>
      </w:r>
      <w:r>
        <w:rPr>
          <w:rFonts w:hint="eastAsia"/>
          <w:b/>
          <w:bCs/>
          <w:snapToGrid w:val="0"/>
          <w:lang w:val="en-US" w:eastAsia="zh-CN"/>
        </w:rPr>
        <w:t>3</w:t>
      </w:r>
      <w:r>
        <w:rPr>
          <w:rFonts w:hint="eastAsia"/>
          <w:b/>
          <w:bCs/>
          <w:snapToGrid w:val="0"/>
          <w:lang w:eastAsia="zh-CN"/>
        </w:rPr>
        <w:t>）</w:t>
      </w:r>
      <w:r>
        <w:rPr>
          <w:rFonts w:hint="eastAsia"/>
          <w:b/>
          <w:bCs/>
          <w:snapToGrid w:val="0"/>
        </w:rPr>
        <w:t xml:space="preserve">监测工作保障措施 </w:t>
      </w:r>
    </w:p>
    <w:p>
      <w:pPr>
        <w:pStyle w:val="8"/>
        <w:rPr>
          <w:rFonts w:hint="eastAsia"/>
          <w:snapToGrid w:val="0"/>
        </w:rPr>
      </w:pPr>
      <w:r>
        <w:rPr>
          <w:rFonts w:hint="eastAsia"/>
          <w:snapToGrid w:val="0"/>
        </w:rPr>
        <w:t>1）组织领导实施</w:t>
      </w:r>
    </w:p>
    <w:p>
      <w:pPr>
        <w:pStyle w:val="8"/>
        <w:rPr>
          <w:rFonts w:hint="eastAsia"/>
          <w:snapToGrid w:val="0"/>
        </w:rPr>
      </w:pPr>
      <w:r>
        <w:rPr>
          <w:rFonts w:hint="eastAsia"/>
          <w:snapToGrid w:val="0"/>
        </w:rPr>
        <w:t xml:space="preserve">建设单位可根据监测计划委托有资质的环境监测单位进行环境监测工作，监测单位负责完成建设单位委托的监测任务，确保环境监测工作能按监测计划顺利完成。 </w:t>
      </w:r>
    </w:p>
    <w:p>
      <w:pPr>
        <w:pStyle w:val="8"/>
        <w:numPr>
          <w:ilvl w:val="0"/>
          <w:numId w:val="0"/>
        </w:numPr>
        <w:ind w:leftChars="200"/>
        <w:rPr>
          <w:rFonts w:hint="eastAsia"/>
          <w:snapToGrid w:val="0"/>
        </w:rPr>
      </w:pPr>
      <w:r>
        <w:rPr>
          <w:rFonts w:hint="eastAsia"/>
          <w:snapToGrid w:val="0"/>
          <w:lang w:val="en-US" w:eastAsia="zh-CN"/>
        </w:rPr>
        <w:t>2</w:t>
      </w:r>
      <w:r>
        <w:rPr>
          <w:rFonts w:hint="eastAsia"/>
          <w:snapToGrid w:val="0"/>
          <w:lang w:eastAsia="zh-CN"/>
        </w:rPr>
        <w:t>）</w:t>
      </w:r>
      <w:r>
        <w:rPr>
          <w:rFonts w:hint="eastAsia"/>
          <w:snapToGrid w:val="0"/>
        </w:rPr>
        <w:t>技术保证措施</w:t>
      </w:r>
    </w:p>
    <w:p>
      <w:pPr>
        <w:pStyle w:val="8"/>
        <w:numPr>
          <w:ilvl w:val="0"/>
          <w:numId w:val="0"/>
        </w:numPr>
        <w:ind w:leftChars="200"/>
        <w:rPr>
          <w:rFonts w:hint="eastAsia"/>
          <w:snapToGrid w:val="0"/>
        </w:rPr>
      </w:pPr>
      <w:r>
        <w:rPr>
          <w:rFonts w:hint="eastAsia"/>
          <w:snapToGrid w:val="0"/>
        </w:rPr>
        <w:t xml:space="preserve">为了确保监测质量，监测人员必须有相应的资格证书或上岗证书。 </w:t>
      </w:r>
    </w:p>
    <w:p>
      <w:pPr>
        <w:pStyle w:val="8"/>
        <w:numPr>
          <w:ilvl w:val="0"/>
          <w:numId w:val="0"/>
        </w:numPr>
        <w:ind w:leftChars="200"/>
        <w:rPr>
          <w:rFonts w:hint="eastAsia"/>
          <w:snapToGrid w:val="0"/>
        </w:rPr>
      </w:pPr>
      <w:r>
        <w:rPr>
          <w:rFonts w:hint="eastAsia"/>
          <w:snapToGrid w:val="0"/>
          <w:lang w:val="en-US" w:eastAsia="zh-CN"/>
        </w:rPr>
        <w:t>3</w:t>
      </w:r>
      <w:r>
        <w:rPr>
          <w:rFonts w:hint="eastAsia"/>
          <w:snapToGrid w:val="0"/>
          <w:lang w:eastAsia="zh-CN"/>
        </w:rPr>
        <w:t>）</w:t>
      </w:r>
      <w:r>
        <w:rPr>
          <w:rFonts w:hint="eastAsia"/>
          <w:snapToGrid w:val="0"/>
        </w:rPr>
        <w:t xml:space="preserve">资金保证措施 </w:t>
      </w:r>
    </w:p>
    <w:p>
      <w:pPr>
        <w:pStyle w:val="8"/>
        <w:numPr>
          <w:ilvl w:val="0"/>
          <w:numId w:val="0"/>
        </w:numPr>
        <w:ind w:leftChars="200"/>
        <w:rPr>
          <w:snapToGrid w:val="0"/>
        </w:rPr>
      </w:pPr>
      <w:r>
        <w:rPr>
          <w:rFonts w:hint="eastAsia"/>
          <w:snapToGrid w:val="0"/>
        </w:rPr>
        <w:t>监测费用由建设单位支付，该费用专款专用，保证监测工作的顺利进行。</w:t>
      </w:r>
    </w:p>
    <w:p>
      <w:pPr>
        <w:pStyle w:val="5"/>
        <w:ind w:firstLine="562"/>
        <w:rPr>
          <w:rFonts w:hint="eastAsia"/>
        </w:rPr>
      </w:pPr>
      <w:r>
        <w:rPr>
          <w:rFonts w:hint="eastAsia"/>
          <w:lang w:eastAsia="zh-CN"/>
        </w:rPr>
        <w:t xml:space="preserve">项目排污许可证申请 </w:t>
      </w:r>
    </w:p>
    <w:p>
      <w:pPr>
        <w:pStyle w:val="8"/>
        <w:rPr>
          <w:snapToGrid w:val="0"/>
        </w:rPr>
      </w:pPr>
      <w:r>
        <w:rPr>
          <w:rFonts w:hint="eastAsia"/>
          <w:snapToGrid w:val="0"/>
        </w:rPr>
        <w:t>根据《排污许可管理办法（试行）》、《排污许可证申请与核发技术规范 畜禽养殖行业》（HJ1029-2019），建设单位应当在投入生产或使用并产生实际排污行为之前，依法按照排污许可证申请与核发技术规范提交排污许可证申请，申报排放污染物种类、排放浓度等，计算并申报污染物排放量，申请领取排污许可证。根据《排污许可证申请与核发技术规范 畜禽养殖行业》（HJ1029-2019）中附录A环境管理台账记录、附录B排污许可证执行报告表格进行项目日常环境管理及排污许可证申报。</w:t>
      </w:r>
    </w:p>
    <w:p>
      <w:pPr>
        <w:pStyle w:val="5"/>
        <w:ind w:firstLine="562"/>
        <w:rPr>
          <w:rFonts w:hint="eastAsia"/>
        </w:rPr>
      </w:pPr>
      <w:r>
        <w:rPr>
          <w:rFonts w:hint="eastAsia"/>
          <w:lang w:eastAsia="zh-CN"/>
        </w:rPr>
        <w:t xml:space="preserve">项目竣工验收监测  </w:t>
      </w:r>
    </w:p>
    <w:p>
      <w:pPr>
        <w:pStyle w:val="8"/>
        <w:rPr>
          <w:rFonts w:hint="eastAsia" w:ascii="宋体" w:hAnsi="宋体" w:eastAsia="宋体" w:cs="宋体"/>
          <w:snapToGrid w:val="0"/>
        </w:rPr>
      </w:pPr>
      <w:r>
        <w:rPr>
          <w:rFonts w:hint="eastAsia" w:ascii="宋体" w:hAnsi="宋体" w:eastAsia="宋体" w:cs="宋体"/>
          <w:snapToGrid w:val="0"/>
        </w:rPr>
        <w:t>根据《建设项目环境保护管理条例》（2017年7月16日修订）第十七条“编制环境影响报告书、环境影响报告表的建设项目竣工后，建设单位应当按照国务院环境保护行政主管部门规定的标准和程序，对配套建设的环境保护设施进行验收，编制验收报告”。因此，本项目竣工后，建设单位按照相关规定开展本项目验收工作，项目“三同时”环保设施验收项目见表</w:t>
      </w:r>
      <w:r>
        <w:rPr>
          <w:rFonts w:hint="eastAsia" w:cs="Times New Roman"/>
          <w:snapToGrid w:val="0"/>
          <w:lang w:val="en-US" w:eastAsia="zh-CN"/>
        </w:rPr>
        <w:t>10</w:t>
      </w:r>
      <w:r>
        <w:rPr>
          <w:rFonts w:hint="default" w:ascii="Times New Roman" w:hAnsi="Times New Roman" w:eastAsia="宋体" w:cs="Times New Roman"/>
          <w:snapToGrid w:val="0"/>
        </w:rPr>
        <w:t>.4-2。</w:t>
      </w:r>
      <w:r>
        <w:rPr>
          <w:rFonts w:hint="eastAsia" w:ascii="宋体" w:hAnsi="宋体" w:eastAsia="宋体" w:cs="宋体"/>
          <w:snapToGrid w:val="0"/>
        </w:rPr>
        <w:t xml:space="preserve"> </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rPr>
          <w:rFonts w:hint="default" w:eastAsia="宋体"/>
          <w:b/>
          <w:bCs/>
          <w:snapToGrid w:val="0"/>
          <w:sz w:val="21"/>
          <w:szCs w:val="21"/>
          <w:lang w:val="en-US" w:eastAsia="zh-CN"/>
        </w:rPr>
      </w:pPr>
      <w:r>
        <w:rPr>
          <w:rFonts w:hint="eastAsia"/>
          <w:b/>
          <w:bCs/>
          <w:snapToGrid w:val="0"/>
          <w:sz w:val="21"/>
          <w:szCs w:val="21"/>
          <w:lang w:eastAsia="zh-CN"/>
        </w:rPr>
        <w:t>表</w:t>
      </w:r>
      <w:r>
        <w:rPr>
          <w:rFonts w:hint="eastAsia"/>
          <w:b/>
          <w:bCs/>
          <w:snapToGrid w:val="0"/>
          <w:sz w:val="21"/>
          <w:szCs w:val="21"/>
          <w:lang w:val="en-US" w:eastAsia="zh-CN"/>
        </w:rPr>
        <w:t>10.4-2  项目“三同时”环保设施验收一览表</w:t>
      </w:r>
    </w:p>
    <w:tbl>
      <w:tblPr>
        <w:tblStyle w:val="6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1"/>
        <w:gridCol w:w="3300"/>
        <w:gridCol w:w="33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1" w:type="dxa"/>
            <w:tcBorders>
              <w:top w:val="single" w:color="auto" w:sz="12" w:space="0"/>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环保设施建设</w:t>
            </w:r>
          </w:p>
        </w:tc>
        <w:tc>
          <w:tcPr>
            <w:tcW w:w="3300" w:type="dxa"/>
            <w:tcBorders>
              <w:top w:val="single" w:color="auto" w:sz="12" w:space="0"/>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验收内容</w:t>
            </w:r>
          </w:p>
        </w:tc>
        <w:tc>
          <w:tcPr>
            <w:tcW w:w="3301" w:type="dxa"/>
            <w:tcBorders>
              <w:top w:val="single" w:color="auto" w:sz="12" w:space="0"/>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default"/>
                <w:snapToGrid w:val="0"/>
                <w:sz w:val="21"/>
                <w:szCs w:val="21"/>
                <w:vertAlign w:val="baseline"/>
                <w:lang w:val="en-US" w:eastAsia="zh-CN"/>
              </w:rPr>
            </w:pPr>
            <w:r>
              <w:rPr>
                <w:rFonts w:hint="eastAsia"/>
                <w:snapToGrid w:val="0"/>
                <w:sz w:val="21"/>
                <w:szCs w:val="21"/>
                <w:vertAlign w:val="baseline"/>
                <w:lang w:val="en-US" w:eastAsia="zh-CN"/>
              </w:rPr>
              <w:t>治理效率及效果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1" w:type="dxa"/>
            <w:tcBorders>
              <w:top w:val="single" w:color="auto" w:sz="12" w:space="0"/>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大气污染防治措施</w:t>
            </w:r>
          </w:p>
        </w:tc>
        <w:tc>
          <w:tcPr>
            <w:tcW w:w="3300" w:type="dxa"/>
            <w:tcBorders>
              <w:top w:val="single" w:color="auto" w:sz="12" w:space="0"/>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left"/>
              <w:textAlignment w:val="auto"/>
              <w:rPr>
                <w:rFonts w:hint="eastAsia" w:ascii="宋体" w:hAnsi="宋体"/>
                <w:color w:val="000000"/>
                <w:sz w:val="21"/>
                <w:lang w:eastAsia="zh-CN"/>
              </w:rPr>
            </w:pPr>
            <w:r>
              <w:rPr>
                <w:rFonts w:hint="eastAsia" w:ascii="宋体" w:hAnsi="宋体"/>
                <w:color w:val="000000"/>
                <w:sz w:val="21"/>
                <w:lang w:eastAsia="zh-CN"/>
              </w:rPr>
              <w:t>（</w:t>
            </w:r>
            <w:r>
              <w:rPr>
                <w:rFonts w:hint="eastAsia" w:ascii="宋体" w:hAnsi="宋体"/>
                <w:color w:val="000000"/>
                <w:sz w:val="21"/>
                <w:lang w:val="en-US" w:eastAsia="zh-CN"/>
              </w:rPr>
              <w:t>1</w:t>
            </w:r>
            <w:r>
              <w:rPr>
                <w:rFonts w:hint="eastAsia" w:ascii="宋体" w:hAnsi="宋体"/>
                <w:color w:val="000000"/>
                <w:sz w:val="21"/>
                <w:lang w:eastAsia="zh-CN"/>
              </w:rPr>
              <w:t>）喷洒除臭剂</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left"/>
              <w:textAlignment w:val="auto"/>
              <w:rPr>
                <w:rFonts w:hint="eastAsia" w:ascii="宋体" w:hAnsi="宋体" w:eastAsia="宋体"/>
                <w:color w:val="000000"/>
                <w:sz w:val="21"/>
              </w:rPr>
            </w:pPr>
            <w:r>
              <w:rPr>
                <w:rFonts w:hint="eastAsia" w:ascii="宋体" w:hAnsi="宋体"/>
                <w:color w:val="000000"/>
                <w:sz w:val="21"/>
                <w:lang w:eastAsia="zh-CN"/>
              </w:rPr>
              <w:t>（</w:t>
            </w:r>
            <w:r>
              <w:rPr>
                <w:rFonts w:hint="eastAsia" w:ascii="宋体" w:hAnsi="宋体"/>
                <w:color w:val="000000"/>
                <w:sz w:val="21"/>
                <w:lang w:val="en-US" w:eastAsia="zh-CN"/>
              </w:rPr>
              <w:t>2</w:t>
            </w:r>
            <w:r>
              <w:rPr>
                <w:rFonts w:hint="eastAsia" w:ascii="宋体" w:hAnsi="宋体"/>
                <w:color w:val="000000"/>
                <w:sz w:val="21"/>
                <w:lang w:eastAsia="zh-CN"/>
              </w:rPr>
              <w:t>）</w:t>
            </w:r>
            <w:r>
              <w:rPr>
                <w:rFonts w:hint="eastAsia" w:ascii="宋体" w:hAnsi="宋体" w:eastAsia="宋体"/>
                <w:color w:val="000000"/>
                <w:sz w:val="21"/>
              </w:rPr>
              <w:t>污水处理站各处理池采用密封方式。</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left"/>
              <w:textAlignment w:val="auto"/>
              <w:rPr>
                <w:rFonts w:hint="eastAsia" w:ascii="宋体" w:hAnsi="宋体" w:eastAsia="宋体"/>
                <w:color w:val="000000"/>
                <w:sz w:val="21"/>
              </w:rPr>
            </w:pPr>
            <w:r>
              <w:rPr>
                <w:rFonts w:hint="eastAsia" w:ascii="宋体" w:hAnsi="宋体"/>
                <w:color w:val="000000"/>
                <w:sz w:val="21"/>
                <w:lang w:eastAsia="zh-CN"/>
              </w:rPr>
              <w:t>（</w:t>
            </w:r>
            <w:r>
              <w:rPr>
                <w:rFonts w:hint="eastAsia" w:ascii="宋体" w:hAnsi="宋体"/>
                <w:color w:val="000000"/>
                <w:sz w:val="21"/>
                <w:lang w:val="en-US" w:eastAsia="zh-CN"/>
              </w:rPr>
              <w:t>3</w:t>
            </w:r>
            <w:r>
              <w:rPr>
                <w:rFonts w:hint="eastAsia" w:ascii="宋体" w:hAnsi="宋体"/>
                <w:color w:val="000000"/>
                <w:sz w:val="21"/>
                <w:lang w:eastAsia="zh-CN"/>
              </w:rPr>
              <w:t>）</w:t>
            </w:r>
            <w:r>
              <w:rPr>
                <w:rFonts w:hint="eastAsia" w:ascii="宋体" w:hAnsi="宋体" w:eastAsia="宋体"/>
                <w:color w:val="000000"/>
                <w:sz w:val="21"/>
              </w:rPr>
              <w:t>防护绿化带建设。</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jc w:val="left"/>
              <w:textAlignment w:val="auto"/>
              <w:rPr>
                <w:rFonts w:hint="default" w:ascii="宋体" w:hAnsi="宋体" w:eastAsia="宋体"/>
                <w:color w:val="000000"/>
                <w:sz w:val="21"/>
                <w:lang w:val="en-US" w:eastAsia="zh-CN"/>
              </w:rPr>
            </w:pPr>
            <w:r>
              <w:rPr>
                <w:rFonts w:hint="eastAsia" w:ascii="宋体" w:hAnsi="宋体"/>
                <w:color w:val="000000"/>
                <w:sz w:val="21"/>
                <w:lang w:eastAsia="zh-CN"/>
              </w:rPr>
              <w:t>（</w:t>
            </w:r>
            <w:r>
              <w:rPr>
                <w:rFonts w:hint="eastAsia" w:ascii="宋体" w:hAnsi="宋体"/>
                <w:color w:val="000000"/>
                <w:sz w:val="21"/>
                <w:lang w:val="en-US" w:eastAsia="zh-CN"/>
              </w:rPr>
              <w:t>4</w:t>
            </w:r>
            <w:r>
              <w:rPr>
                <w:rFonts w:hint="eastAsia" w:ascii="宋体" w:hAnsi="宋体"/>
                <w:color w:val="000000"/>
                <w:sz w:val="21"/>
                <w:lang w:eastAsia="zh-CN"/>
              </w:rPr>
              <w:t>）</w:t>
            </w:r>
            <w:r>
              <w:rPr>
                <w:rFonts w:hint="eastAsia" w:ascii="宋体" w:hAnsi="宋体"/>
                <w:color w:val="000000"/>
                <w:sz w:val="21"/>
                <w:lang w:val="en-US" w:eastAsia="zh-CN"/>
              </w:rPr>
              <w:t>异位发酵床</w:t>
            </w:r>
          </w:p>
        </w:tc>
        <w:tc>
          <w:tcPr>
            <w:tcW w:w="3301" w:type="dxa"/>
            <w:tcBorders>
              <w:top w:val="single" w:color="auto" w:sz="12" w:space="0"/>
              <w:right w:val="nil"/>
            </w:tcBorders>
            <w:vAlign w:val="center"/>
          </w:tcPr>
          <w:p>
            <w:pPr>
              <w:rPr>
                <w:rFonts w:hint="default" w:ascii="宋体" w:hAnsi="宋体"/>
                <w:color w:val="000000"/>
                <w:sz w:val="21"/>
                <w:lang w:val="en-US" w:eastAsia="zh-CN"/>
              </w:rPr>
            </w:pPr>
            <w:r>
              <w:rPr>
                <w:rFonts w:hint="eastAsia"/>
                <w:color w:val="auto"/>
              </w:rPr>
              <w:t>H</w:t>
            </w:r>
            <w:r>
              <w:rPr>
                <w:rFonts w:hint="eastAsia"/>
                <w:color w:val="auto"/>
                <w:vertAlign w:val="subscript"/>
              </w:rPr>
              <w:t>2</w:t>
            </w:r>
            <w:r>
              <w:rPr>
                <w:rFonts w:hint="eastAsia"/>
                <w:color w:val="auto"/>
              </w:rPr>
              <w:t>S、NH</w:t>
            </w:r>
            <w:r>
              <w:rPr>
                <w:rFonts w:hint="eastAsia"/>
                <w:color w:val="auto"/>
                <w:vertAlign w:val="subscript"/>
              </w:rPr>
              <w:t>3</w:t>
            </w:r>
            <w:r>
              <w:rPr>
                <w:rFonts w:hint="eastAsia"/>
                <w:color w:val="auto"/>
              </w:rPr>
              <w:t>执行《恶臭污染物排放标准》（GB14554-93）标准；臭气浓度执行《畜禽养殖业污染物排放标准》（DB44/613-2009）标准；食堂油烟执行《饮食业油烟排放标准（试行）》（GB18483-2001）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1" w:type="dxa"/>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水污染防治措施</w:t>
            </w:r>
          </w:p>
        </w:tc>
        <w:tc>
          <w:tcPr>
            <w:tcW w:w="3300" w:type="dxa"/>
            <w:tcBorders>
              <w:right w:val="nil"/>
            </w:tcBorders>
            <w:vAlign w:val="center"/>
          </w:tcPr>
          <w:p>
            <w:pPr>
              <w:pStyle w:val="8"/>
              <w:keepNext w:val="0"/>
              <w:keepLines w:val="0"/>
              <w:pageBreakBefore w:val="0"/>
              <w:widowControl w:val="0"/>
              <w:numPr>
                <w:ilvl w:val="0"/>
                <w:numId w:val="31"/>
              </w:numPr>
              <w:kinsoku/>
              <w:wordWrap/>
              <w:overflowPunct/>
              <w:topLinePunct w:val="0"/>
              <w:autoSpaceDE w:val="0"/>
              <w:autoSpaceDN w:val="0"/>
              <w:bidi w:val="0"/>
              <w:adjustRightInd/>
              <w:snapToGrid/>
              <w:spacing w:line="240" w:lineRule="auto"/>
              <w:ind w:firstLine="0" w:firstLineChars="0"/>
              <w:jc w:val="left"/>
              <w:textAlignment w:val="auto"/>
              <w:rPr>
                <w:rFonts w:hint="eastAsia" w:ascii="宋体" w:hAnsi="宋体" w:eastAsia="宋体"/>
                <w:color w:val="000000"/>
                <w:sz w:val="21"/>
              </w:rPr>
            </w:pPr>
            <w:r>
              <w:rPr>
                <w:rFonts w:hint="eastAsia" w:ascii="宋体" w:hAnsi="宋体" w:eastAsia="宋体"/>
                <w:color w:val="000000"/>
                <w:sz w:val="21"/>
              </w:rPr>
              <w:t xml:space="preserve">采用干清粪工艺，设置完善的雨水、污水收集管网。 </w:t>
            </w:r>
          </w:p>
          <w:p>
            <w:pPr>
              <w:pStyle w:val="8"/>
              <w:keepNext w:val="0"/>
              <w:keepLines w:val="0"/>
              <w:pageBreakBefore w:val="0"/>
              <w:widowControl w:val="0"/>
              <w:numPr>
                <w:ilvl w:val="0"/>
                <w:numId w:val="31"/>
              </w:numPr>
              <w:kinsoku/>
              <w:wordWrap/>
              <w:overflowPunct/>
              <w:topLinePunct w:val="0"/>
              <w:autoSpaceDE w:val="0"/>
              <w:autoSpaceDN w:val="0"/>
              <w:bidi w:val="0"/>
              <w:adjustRightInd/>
              <w:snapToGrid/>
              <w:spacing w:line="240" w:lineRule="auto"/>
              <w:ind w:left="0" w:leftChars="0" w:firstLine="0" w:firstLineChars="0"/>
              <w:jc w:val="left"/>
              <w:textAlignment w:val="auto"/>
              <w:rPr>
                <w:rFonts w:hint="eastAsia" w:ascii="宋体" w:hAnsi="宋体" w:eastAsia="宋体"/>
                <w:color w:val="000000"/>
                <w:sz w:val="21"/>
              </w:rPr>
            </w:pPr>
            <w:r>
              <w:rPr>
                <w:rFonts w:hint="eastAsia" w:ascii="宋体" w:hAnsi="宋体" w:eastAsia="宋体"/>
                <w:color w:val="000000"/>
                <w:sz w:val="21"/>
              </w:rPr>
              <w:t>污水处理</w:t>
            </w:r>
            <w:r>
              <w:rPr>
                <w:rFonts w:hint="eastAsia" w:ascii="宋体" w:hAnsi="宋体"/>
                <w:color w:val="000000"/>
                <w:sz w:val="21"/>
                <w:lang w:eastAsia="zh-CN"/>
              </w:rPr>
              <w:t>设施</w:t>
            </w:r>
            <w:r>
              <w:rPr>
                <w:rFonts w:hint="eastAsia" w:ascii="宋体" w:hAnsi="宋体" w:eastAsia="宋体"/>
                <w:color w:val="000000"/>
                <w:sz w:val="21"/>
              </w:rPr>
              <w:t xml:space="preserve">规模能满足项目污水处理需要。 </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Chars="0"/>
              <w:jc w:val="left"/>
              <w:textAlignment w:val="auto"/>
              <w:rPr>
                <w:snapToGrid w:val="0"/>
                <w:sz w:val="21"/>
                <w:szCs w:val="21"/>
                <w:vertAlign w:val="baseline"/>
              </w:rPr>
            </w:pPr>
            <w:r>
              <w:rPr>
                <w:rFonts w:hint="eastAsia" w:ascii="宋体" w:hAnsi="宋体" w:eastAsia="宋体"/>
                <w:color w:val="000000"/>
                <w:sz w:val="21"/>
              </w:rPr>
              <w:t>（</w:t>
            </w:r>
            <w:r>
              <w:rPr>
                <w:rFonts w:hint="eastAsia" w:ascii="Times New Roman" w:hAnsi="Times New Roman" w:eastAsia="Times New Roman"/>
                <w:color w:val="000000"/>
                <w:sz w:val="21"/>
              </w:rPr>
              <w:t>3</w:t>
            </w:r>
            <w:r>
              <w:rPr>
                <w:rFonts w:hint="eastAsia" w:ascii="宋体" w:hAnsi="宋体" w:eastAsia="宋体"/>
                <w:color w:val="000000"/>
                <w:sz w:val="21"/>
              </w:rPr>
              <w:t>）猪舍区、粪污处理区、污水管网布设区、生活区厕所、备用柴油库房等区域采用防渗措施。</w:t>
            </w:r>
          </w:p>
        </w:tc>
        <w:tc>
          <w:tcPr>
            <w:tcW w:w="3301" w:type="dxa"/>
            <w:tcBorders>
              <w:right w:val="nil"/>
            </w:tcBorders>
            <w:vAlign w:val="center"/>
          </w:tcPr>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240" w:lineRule="auto"/>
              <w:ind w:leftChars="0"/>
              <w:jc w:val="left"/>
              <w:textAlignment w:val="auto"/>
              <w:rPr>
                <w:rFonts w:hint="default" w:ascii="宋体" w:hAnsi="宋体" w:eastAsia="宋体"/>
                <w:color w:val="000000"/>
                <w:sz w:val="21"/>
                <w:lang w:val="en-US"/>
              </w:rPr>
            </w:pPr>
            <w:r>
              <w:rPr>
                <w:rFonts w:hint="eastAsia" w:ascii="宋体" w:hAnsi="宋体" w:eastAsia="宋体"/>
                <w:color w:val="000000"/>
                <w:sz w:val="21"/>
                <w:lang w:val="en-US" w:eastAsia="zh-CN"/>
              </w:rPr>
              <w:t>生活污水执行《畜禽养殖业污染物排放标准》（DB44/613-2009）中集约化畜禽养殖业水污染物最高允许日排放浓度和《农田灌溉水质标准》（GB5084-2005）中旱作标准后用于附近林业和农田的灌溉，不外排</w:t>
            </w:r>
            <w:r>
              <w:rPr>
                <w:rFonts w:hint="eastAsia" w:ascii="宋体" w:hAnsi="宋体"/>
                <w:color w:val="000000"/>
                <w:sz w:val="21"/>
                <w:lang w:val="en-US" w:eastAsia="zh-CN"/>
              </w:rPr>
              <w:t>；猪尿急生产废水经异位发酵床处理后制得有机肥外售，不外排。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921" w:type="dxa"/>
            <w:tcBorders>
              <w:lef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噪声污染防治措施</w:t>
            </w:r>
          </w:p>
        </w:tc>
        <w:tc>
          <w:tcPr>
            <w:tcW w:w="3300" w:type="dxa"/>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eastAsia" w:eastAsia="宋体"/>
                <w:snapToGrid w:val="0"/>
                <w:sz w:val="21"/>
                <w:szCs w:val="21"/>
                <w:vertAlign w:val="baseline"/>
                <w:lang w:eastAsia="zh-CN"/>
              </w:rPr>
            </w:pPr>
            <w:r>
              <w:rPr>
                <w:rFonts w:hint="eastAsia" w:ascii="宋体" w:hAnsi="宋体" w:eastAsia="宋体"/>
                <w:color w:val="000000"/>
                <w:sz w:val="21"/>
              </w:rPr>
              <w:t>选用低噪声设备，高噪声设备加装减振、消音</w:t>
            </w:r>
            <w:r>
              <w:rPr>
                <w:rFonts w:hint="eastAsia" w:ascii="宋体" w:hAnsi="宋体"/>
                <w:color w:val="000000"/>
                <w:sz w:val="21"/>
                <w:lang w:eastAsia="zh-CN"/>
              </w:rPr>
              <w:t>措施</w:t>
            </w:r>
          </w:p>
        </w:tc>
        <w:tc>
          <w:tcPr>
            <w:tcW w:w="3301" w:type="dxa"/>
            <w:tcBorders>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eastAsia" w:ascii="宋体" w:hAnsi="宋体" w:eastAsia="宋体"/>
                <w:color w:val="000000"/>
                <w:sz w:val="21"/>
              </w:rPr>
            </w:pPr>
            <w:r>
              <w:rPr>
                <w:rFonts w:hint="eastAsia" w:ascii="宋体" w:hAnsi="宋体" w:eastAsia="宋体"/>
                <w:color w:val="000000"/>
                <w:sz w:val="21"/>
              </w:rPr>
              <w:t>营运期厂界噪声执行《工业企业厂界环境噪声排放标准》</w:t>
            </w:r>
            <w:r>
              <w:rPr>
                <w:rFonts w:hint="eastAsia" w:ascii="宋体" w:hAnsi="宋体" w:eastAsia="宋体"/>
                <w:color w:val="000000"/>
                <w:sz w:val="21"/>
                <w:lang w:eastAsia="zh-CN"/>
              </w:rPr>
              <w:t>（</w:t>
            </w:r>
            <w:r>
              <w:rPr>
                <w:rFonts w:hint="eastAsia" w:ascii="宋体" w:hAnsi="宋体" w:eastAsia="宋体"/>
                <w:color w:val="000000"/>
                <w:sz w:val="21"/>
              </w:rPr>
              <w:t>GB12348-2008</w:t>
            </w:r>
            <w:r>
              <w:rPr>
                <w:rFonts w:hint="eastAsia" w:ascii="宋体" w:hAnsi="宋体" w:eastAsia="宋体"/>
                <w:color w:val="000000"/>
                <w:sz w:val="21"/>
                <w:lang w:eastAsia="zh-CN"/>
              </w:rPr>
              <w:t>）</w:t>
            </w:r>
            <w:r>
              <w:rPr>
                <w:rFonts w:hint="eastAsia" w:ascii="宋体" w:hAnsi="宋体" w:eastAsia="宋体"/>
                <w:color w:val="000000"/>
                <w:sz w:val="21"/>
              </w:rPr>
              <w:t>1类标准：昼间≤55dB</w:t>
            </w:r>
            <w:r>
              <w:rPr>
                <w:rFonts w:hint="eastAsia" w:ascii="宋体" w:hAnsi="宋体" w:eastAsia="宋体"/>
                <w:color w:val="000000"/>
                <w:sz w:val="21"/>
                <w:lang w:eastAsia="zh-CN"/>
              </w:rPr>
              <w:t>（</w:t>
            </w:r>
            <w:r>
              <w:rPr>
                <w:rFonts w:hint="eastAsia" w:ascii="宋体" w:hAnsi="宋体" w:eastAsia="宋体"/>
                <w:color w:val="000000"/>
                <w:sz w:val="21"/>
                <w:lang w:val="en-US" w:eastAsia="zh-CN"/>
              </w:rPr>
              <w:t>A</w:t>
            </w:r>
            <w:r>
              <w:rPr>
                <w:rFonts w:hint="eastAsia" w:ascii="宋体" w:hAnsi="宋体" w:eastAsia="宋体"/>
                <w:color w:val="000000"/>
                <w:sz w:val="21"/>
                <w:lang w:eastAsia="zh-CN"/>
              </w:rPr>
              <w:t>）</w:t>
            </w:r>
            <w:r>
              <w:rPr>
                <w:rFonts w:hint="eastAsia" w:ascii="宋体" w:hAnsi="宋体" w:eastAsia="宋体"/>
                <w:color w:val="000000"/>
                <w:sz w:val="21"/>
              </w:rPr>
              <w:t>，夜间≤45dB</w:t>
            </w:r>
            <w:r>
              <w:rPr>
                <w:rFonts w:hint="eastAsia" w:ascii="宋体" w:hAnsi="宋体" w:eastAsia="宋体"/>
                <w:color w:val="000000"/>
                <w:sz w:val="21"/>
                <w:lang w:eastAsia="zh-CN"/>
              </w:rPr>
              <w:t>（</w:t>
            </w:r>
            <w:r>
              <w:rPr>
                <w:rFonts w:hint="eastAsia" w:ascii="宋体" w:hAnsi="宋体" w:eastAsia="宋体"/>
                <w:color w:val="000000"/>
                <w:sz w:val="21"/>
                <w:lang w:val="en-US" w:eastAsia="zh-CN"/>
              </w:rPr>
              <w:t>A</w:t>
            </w:r>
            <w:r>
              <w:rPr>
                <w:rFonts w:hint="eastAsia" w:ascii="宋体" w:hAnsi="宋体" w:eastAsia="宋体"/>
                <w:color w:val="000000"/>
                <w:sz w:val="21"/>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1" w:type="dxa"/>
            <w:tcBorders>
              <w:left w:val="nil"/>
              <w:bottom w:val="single" w:color="auto" w:sz="12" w:space="0"/>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rPr>
                <w:rFonts w:hint="eastAsia" w:eastAsia="宋体"/>
                <w:snapToGrid w:val="0"/>
                <w:sz w:val="21"/>
                <w:szCs w:val="21"/>
                <w:vertAlign w:val="baseline"/>
                <w:lang w:eastAsia="zh-CN"/>
              </w:rPr>
            </w:pPr>
            <w:r>
              <w:rPr>
                <w:rFonts w:hint="eastAsia"/>
                <w:snapToGrid w:val="0"/>
                <w:sz w:val="21"/>
                <w:szCs w:val="21"/>
                <w:vertAlign w:val="baseline"/>
                <w:lang w:eastAsia="zh-CN"/>
              </w:rPr>
              <w:t>固体废物防治措施</w:t>
            </w:r>
          </w:p>
        </w:tc>
        <w:tc>
          <w:tcPr>
            <w:tcW w:w="3300" w:type="dxa"/>
            <w:tcBorders>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eastAsia" w:eastAsia="宋体"/>
                <w:snapToGrid w:val="0"/>
                <w:sz w:val="21"/>
                <w:szCs w:val="21"/>
                <w:vertAlign w:val="baseline"/>
                <w:lang w:eastAsia="zh-CN"/>
              </w:rPr>
            </w:pPr>
            <w:r>
              <w:rPr>
                <w:rFonts w:hint="eastAsia" w:ascii="宋体" w:hAnsi="宋体" w:eastAsia="宋体"/>
                <w:color w:val="000000"/>
                <w:sz w:val="21"/>
              </w:rPr>
              <w:t>设置粪便处理与暂存场所、无害化处理间、生活垃圾收集点等设施</w:t>
            </w:r>
            <w:r>
              <w:rPr>
                <w:rFonts w:hint="eastAsia" w:ascii="宋体" w:hAnsi="宋体"/>
                <w:color w:val="000000"/>
                <w:sz w:val="21"/>
                <w:lang w:eastAsia="zh-CN"/>
              </w:rPr>
              <w:t>。</w:t>
            </w:r>
          </w:p>
        </w:tc>
        <w:tc>
          <w:tcPr>
            <w:tcW w:w="3301" w:type="dxa"/>
            <w:tcBorders>
              <w:bottom w:val="single" w:color="auto" w:sz="12" w:space="0"/>
              <w:right w:val="nil"/>
            </w:tcBorders>
            <w:vAlign w:val="center"/>
          </w:tcPr>
          <w:p>
            <w:pPr>
              <w:pStyle w:val="8"/>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left"/>
              <w:textAlignment w:val="auto"/>
              <w:rPr>
                <w:rFonts w:hint="eastAsia" w:ascii="宋体" w:hAnsi="宋体" w:eastAsia="宋体"/>
                <w:color w:val="000000"/>
                <w:sz w:val="21"/>
                <w:lang w:val="en-US" w:eastAsia="zh-CN"/>
              </w:rPr>
            </w:pPr>
            <w:r>
              <w:rPr>
                <w:rFonts w:hint="eastAsia" w:ascii="宋体" w:hAnsi="宋体"/>
                <w:color w:val="000000"/>
                <w:sz w:val="21"/>
                <w:lang w:val="en-US" w:eastAsia="zh-CN"/>
              </w:rPr>
              <w:t>不外排</w:t>
            </w:r>
          </w:p>
        </w:tc>
      </w:tr>
    </w:tbl>
    <w:p>
      <w:pPr>
        <w:pStyle w:val="5"/>
        <w:ind w:firstLine="562"/>
        <w:rPr>
          <w:rFonts w:hint="eastAsia"/>
        </w:rPr>
      </w:pPr>
      <w:r>
        <w:rPr>
          <w:rFonts w:hint="eastAsia"/>
          <w:lang w:eastAsia="zh-CN"/>
        </w:rPr>
        <w:t xml:space="preserve">排污口规范化管理  </w:t>
      </w:r>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textAlignment w:val="auto"/>
        <w:rPr>
          <w:rFonts w:hint="default" w:ascii="Times New Roman" w:hAnsi="Times New Roman" w:eastAsia="宋体" w:cs="Times New Roman"/>
          <w:snapToGrid w:val="0"/>
        </w:rPr>
      </w:pPr>
      <w:r>
        <w:rPr>
          <w:rFonts w:hint="default" w:ascii="Times New Roman" w:hAnsi="Times New Roman" w:eastAsia="宋体" w:cs="Times New Roman"/>
          <w:snapToGrid w:val="0"/>
        </w:rPr>
        <w:t>根据国家标准《环境保护图形标志—排放口（源）》（GB15562.1-1995）、国家环境保护总局《水污染物排放总量监测技术规范》(HJ/T 92-2002)、《排污口规范化整治技术要求(试行)》（环监〔1996〕470号文），项目建设应进行排污口规范化建设工作。排污口规范化应遵循便于采集样品，便于计量监测，便于日常现场监督检查的原则。 项目区所有排放口（源）（含废水、废气、固体废弃物、噪声），在排污单位申报登记的基础上，由环境监察部门会同环境监测部门共同确定，各级环境保护行政主管部门认定的原则。</w:t>
      </w:r>
    </w:p>
    <w:p>
      <w:pPr>
        <w:pStyle w:val="6"/>
      </w:pPr>
      <w:r>
        <w:rPr>
          <w:rFonts w:hint="eastAsia"/>
          <w:lang w:eastAsia="zh-CN"/>
        </w:rPr>
        <w:t>废气排污口规范化</w:t>
      </w:r>
    </w:p>
    <w:p>
      <w:pPr>
        <w:pStyle w:val="8"/>
        <w:rPr>
          <w:snapToGrid w:val="0"/>
        </w:rPr>
      </w:pPr>
      <w:r>
        <w:rPr>
          <w:rFonts w:hint="eastAsia"/>
          <w:snapToGrid w:val="0"/>
        </w:rPr>
        <w:t xml:space="preserve">本项目恶臭为面源无组织排放，不设置专门的排气口。 </w:t>
      </w:r>
    </w:p>
    <w:p>
      <w:pPr>
        <w:pStyle w:val="6"/>
      </w:pPr>
      <w:r>
        <w:rPr>
          <w:rFonts w:hint="eastAsia"/>
          <w:lang w:eastAsia="zh-CN"/>
        </w:rPr>
        <w:t>废水排污口规范化</w:t>
      </w:r>
    </w:p>
    <w:p>
      <w:pPr>
        <w:pStyle w:val="8"/>
        <w:rPr>
          <w:snapToGrid w:val="0"/>
        </w:rPr>
      </w:pPr>
      <w:r>
        <w:rPr>
          <w:rFonts w:hint="eastAsia"/>
          <w:snapToGrid w:val="0"/>
        </w:rPr>
        <w:t>项目实行雨污分流，其</w:t>
      </w:r>
      <w:r>
        <w:rPr>
          <w:rFonts w:hint="eastAsia"/>
          <w:snapToGrid w:val="0"/>
          <w:lang w:eastAsia="zh-CN"/>
        </w:rPr>
        <w:t>生活污水</w:t>
      </w:r>
      <w:r>
        <w:rPr>
          <w:rFonts w:hint="eastAsia"/>
          <w:snapToGrid w:val="0"/>
        </w:rPr>
        <w:t>经场区污水处理</w:t>
      </w:r>
      <w:r>
        <w:rPr>
          <w:rFonts w:hint="eastAsia"/>
          <w:snapToGrid w:val="0"/>
          <w:lang w:eastAsia="zh-CN"/>
        </w:rPr>
        <w:t>设施</w:t>
      </w:r>
      <w:r>
        <w:rPr>
          <w:rFonts w:hint="eastAsia"/>
          <w:snapToGrid w:val="0"/>
        </w:rPr>
        <w:t xml:space="preserve">处理达标后综合利用，不外排。因此，在废水进入沉淀池前应设置便于废水测速的平直堰槽（可采用暗槽并预留测流孔）：堰槽平直段长至少3m，堰槽截面底部硬质平滑、截面形状为长方形，设计水深不小于0.1m，流速不小于0.05m/s，符合流速仪法测流要求。 </w:t>
      </w:r>
    </w:p>
    <w:p>
      <w:pPr>
        <w:pStyle w:val="6"/>
      </w:pPr>
      <w:r>
        <w:rPr>
          <w:rFonts w:hint="eastAsia"/>
          <w:lang w:eastAsia="zh-CN"/>
        </w:rPr>
        <w:t>固废贮存规范化</w:t>
      </w:r>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jc w:val="left"/>
        <w:textAlignment w:val="auto"/>
      </w:pPr>
      <w:r>
        <w:rPr>
          <w:rFonts w:hint="eastAsia"/>
          <w:snapToGrid w:val="0"/>
        </w:rPr>
        <w:t>本项目危险固体废物由有资质单位统一处理；一般固体废物和生活垃圾按《一般工业固体废物贮存、处置场污染控制标准》设置专用贮存、堆放场，分类管理。暂存堆场需设置防雨、防渗设施和渗滤液回收装置。</w:t>
      </w:r>
    </w:p>
    <w:p>
      <w:pPr>
        <w:pStyle w:val="6"/>
      </w:pPr>
      <w:r>
        <w:rPr>
          <w:rFonts w:hint="eastAsia"/>
          <w:lang w:eastAsia="zh-CN"/>
        </w:rPr>
        <w:t xml:space="preserve">噪声源规范化管理要求 </w:t>
      </w:r>
    </w:p>
    <w:p>
      <w:pPr>
        <w:pStyle w:val="8"/>
        <w:rPr>
          <w:rFonts w:hint="eastAsia"/>
          <w:snapToGrid w:val="0"/>
        </w:rPr>
      </w:pPr>
      <w:r>
        <w:rPr>
          <w:rFonts w:hint="eastAsia"/>
          <w:snapToGrid w:val="0"/>
        </w:rPr>
        <w:t xml:space="preserve">在固定噪声排放源场界噪声敏感、且对外界影响最大处设置噪声源的测监点，并设立标志。 </w:t>
      </w:r>
    </w:p>
    <w:p>
      <w:pPr>
        <w:pStyle w:val="6"/>
      </w:pPr>
      <w:r>
        <w:rPr>
          <w:rFonts w:hint="eastAsia"/>
          <w:lang w:eastAsia="zh-CN"/>
        </w:rPr>
        <w:t xml:space="preserve">排污口设置标志牌 </w:t>
      </w:r>
    </w:p>
    <w:p>
      <w:pPr>
        <w:pStyle w:val="8"/>
        <w:pageBreakBefore w:val="0"/>
        <w:widowControl w:val="0"/>
        <w:kinsoku/>
        <w:wordWrap/>
        <w:overflowPunct/>
        <w:topLinePunct w:val="0"/>
        <w:bidi w:val="0"/>
        <w:adjustRightInd/>
        <w:snapToGrid/>
        <w:spacing w:line="360" w:lineRule="auto"/>
        <w:ind w:firstLine="480" w:firstLineChars="200"/>
        <w:jc w:val="both"/>
        <w:textAlignment w:val="auto"/>
        <w:outlineLvl w:val="9"/>
        <w:rPr>
          <w:rFonts w:hint="eastAsia"/>
          <w:snapToGrid w:val="0"/>
          <w:sz w:val="24"/>
          <w:szCs w:val="24"/>
        </w:rPr>
      </w:pPr>
      <w:r>
        <w:rPr>
          <w:rFonts w:hint="eastAsia"/>
          <w:snapToGrid w:val="0"/>
          <w:sz w:val="24"/>
          <w:szCs w:val="24"/>
        </w:rPr>
        <w:t xml:space="preserve">（1）项目的污染物排放口（源）和固体废物暂存场所，必须按国家标准《环境保护图形标志》（GB15562.1-1995、GB15562.2-1995）的规定，设置与之相适应的环境保护图形标志牌。环境保护图形标志牌由国家环保部统一定点制作，由当地环境监理部门根据企业排污情况统一向国家环保部订购。建设单位排污口分布图由当地环境监理部门统一绘制。 </w:t>
      </w:r>
    </w:p>
    <w:p>
      <w:pPr>
        <w:pStyle w:val="8"/>
        <w:pageBreakBefore w:val="0"/>
        <w:widowControl w:val="0"/>
        <w:kinsoku/>
        <w:wordWrap/>
        <w:overflowPunct/>
        <w:topLinePunct w:val="0"/>
        <w:bidi w:val="0"/>
        <w:adjustRightInd/>
        <w:snapToGrid/>
        <w:spacing w:line="360" w:lineRule="auto"/>
        <w:ind w:firstLine="480" w:firstLineChars="200"/>
        <w:jc w:val="both"/>
        <w:textAlignment w:val="auto"/>
        <w:outlineLvl w:val="9"/>
        <w:rPr>
          <w:rFonts w:hint="eastAsia" w:ascii="宋体" w:hAnsi="宋体" w:eastAsia="宋体"/>
          <w:color w:val="000000"/>
          <w:sz w:val="24"/>
          <w:szCs w:val="24"/>
        </w:rPr>
      </w:pPr>
      <w:r>
        <w:rPr>
          <w:rFonts w:hint="eastAsia" w:ascii="宋体" w:hAnsi="宋体" w:eastAsia="宋体"/>
          <w:color w:val="000000"/>
          <w:sz w:val="24"/>
          <w:szCs w:val="24"/>
        </w:rPr>
        <w:t xml:space="preserve"> （2）环境保护标志牌设置位置应在排污口（采样点）附近且醒目处，并能长久保留，其中，在噪声排放源标志牌应设置在距选定的监测点较近且醒目处。设置高度为：标志牌上缘离地面</w:t>
      </w:r>
      <w:r>
        <w:rPr>
          <w:rFonts w:hint="default" w:ascii="Times New Roman" w:hAnsi="Times New Roman" w:eastAsia="宋体" w:cs="Times New Roman"/>
          <w:color w:val="000000"/>
          <w:sz w:val="24"/>
          <w:szCs w:val="24"/>
        </w:rPr>
        <w:t>2m。排污口附近1m范围内</w:t>
      </w:r>
      <w:r>
        <w:rPr>
          <w:rFonts w:hint="eastAsia" w:ascii="宋体" w:hAnsi="宋体" w:eastAsia="宋体"/>
          <w:color w:val="000000"/>
          <w:sz w:val="24"/>
          <w:szCs w:val="24"/>
        </w:rPr>
        <w:t xml:space="preserve">有建筑物的，设置平面式标志牌，无建筑物的设立式标志牌。 </w:t>
      </w:r>
    </w:p>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jc w:val="left"/>
        <w:textAlignment w:val="auto"/>
        <w:rPr>
          <w:rFonts w:hint="eastAsia" w:eastAsia="宋体"/>
          <w:lang w:eastAsia="zh-CN"/>
        </w:rPr>
      </w:pPr>
      <w:r>
        <w:rPr>
          <w:rFonts w:hint="eastAsia" w:ascii="宋体" w:hAnsi="宋体" w:eastAsia="宋体"/>
          <w:color w:val="000000"/>
          <w:sz w:val="24"/>
          <w:szCs w:val="24"/>
        </w:rPr>
        <w:t>（3）一般污染物排污口（源）设置提示式标志牌，排放有毒有害等污染物的排污口设置警告式标志牌，图形符号设置按执</w:t>
      </w:r>
      <w:r>
        <w:rPr>
          <w:rFonts w:hint="default" w:ascii="Times New Roman" w:hAnsi="Times New Roman" w:eastAsia="宋体" w:cs="Times New Roman"/>
          <w:color w:val="000000"/>
          <w:sz w:val="24"/>
          <w:szCs w:val="24"/>
        </w:rPr>
        <w:t>行GB15562.1-1995，具体见表</w:t>
      </w:r>
      <w:r>
        <w:rPr>
          <w:rFonts w:hint="eastAsia" w:cs="Times New Roman"/>
          <w:color w:val="000000"/>
          <w:sz w:val="24"/>
          <w:szCs w:val="24"/>
          <w:lang w:val="en-US" w:eastAsia="zh-CN"/>
        </w:rPr>
        <w:t>10</w:t>
      </w:r>
      <w:r>
        <w:rPr>
          <w:rFonts w:hint="default" w:ascii="Times New Roman" w:hAnsi="Times New Roman" w:eastAsia="宋体" w:cs="Times New Roman"/>
          <w:color w:val="000000"/>
          <w:sz w:val="24"/>
          <w:szCs w:val="24"/>
        </w:rPr>
        <w:t>.4-3</w:t>
      </w:r>
      <w:r>
        <w:rPr>
          <w:rFonts w:hint="eastAsia" w:cs="Times New Roman"/>
          <w:color w:val="000000"/>
          <w:sz w:val="24"/>
          <w:szCs w:val="24"/>
          <w:lang w:eastAsia="zh-CN"/>
        </w:rPr>
        <w:t>。</w:t>
      </w: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eastAsia"/>
          <w:b/>
          <w:bCs/>
          <w:snapToGrid w:val="0"/>
          <w:sz w:val="21"/>
          <w:szCs w:val="21"/>
          <w:lang w:eastAsia="zh-CN"/>
        </w:rPr>
      </w:pPr>
    </w:p>
    <w:p>
      <w:pPr>
        <w:pStyle w:val="8"/>
        <w:keepNext w:val="0"/>
        <w:keepLines w:val="0"/>
        <w:pageBreakBefore w:val="0"/>
        <w:widowControl w:val="0"/>
        <w:kinsoku/>
        <w:wordWrap/>
        <w:overflowPunct/>
        <w:topLinePunct w:val="0"/>
        <w:autoSpaceDE w:val="0"/>
        <w:autoSpaceDN w:val="0"/>
        <w:bidi w:val="0"/>
        <w:adjustRightInd/>
        <w:snapToGrid/>
        <w:spacing w:line="240" w:lineRule="auto"/>
        <w:ind w:left="0" w:leftChars="0" w:firstLine="0" w:firstLineChars="0"/>
        <w:jc w:val="center"/>
        <w:textAlignment w:val="auto"/>
        <w:outlineLvl w:val="9"/>
        <w:rPr>
          <w:rFonts w:hint="default" w:eastAsia="宋体"/>
          <w:b/>
          <w:bCs/>
          <w:snapToGrid w:val="0"/>
          <w:sz w:val="21"/>
          <w:szCs w:val="21"/>
          <w:lang w:val="en-US" w:eastAsia="zh-CN"/>
        </w:rPr>
      </w:pPr>
      <w:r>
        <w:rPr>
          <w:rFonts w:hint="eastAsia"/>
          <w:b/>
          <w:bCs/>
          <w:snapToGrid w:val="0"/>
          <w:sz w:val="21"/>
          <w:szCs w:val="21"/>
          <w:lang w:eastAsia="zh-CN"/>
        </w:rPr>
        <w:t>表</w:t>
      </w:r>
      <w:r>
        <w:rPr>
          <w:rFonts w:hint="eastAsia"/>
          <w:b/>
          <w:bCs/>
          <w:snapToGrid w:val="0"/>
          <w:sz w:val="21"/>
          <w:szCs w:val="21"/>
          <w:lang w:val="en-US" w:eastAsia="zh-CN"/>
        </w:rPr>
        <w:t>10.4-3   排放口规范化图形标志</w:t>
      </w:r>
    </w:p>
    <w:tbl>
      <w:tblPr>
        <w:tblStyle w:val="64"/>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09"/>
        <w:gridCol w:w="2507"/>
        <w:gridCol w:w="2497"/>
        <w:gridCol w:w="1274"/>
        <w:gridCol w:w="16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7" w:type="pct"/>
            <w:tcBorders>
              <w:top w:val="single" w:color="auto" w:sz="12" w:space="0"/>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序号</w:t>
            </w:r>
          </w:p>
        </w:tc>
        <w:tc>
          <w:tcPr>
            <w:tcW w:w="1481"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提示图像符号背景颜色：</w:t>
            </w:r>
          </w:p>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绿色图形颜色：白色</w:t>
            </w:r>
          </w:p>
        </w:tc>
        <w:tc>
          <w:tcPr>
            <w:tcW w:w="1426"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警告图像符号背景颜色：</w:t>
            </w:r>
          </w:p>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绿色图形颜色：黑色</w:t>
            </w:r>
          </w:p>
        </w:tc>
        <w:tc>
          <w:tcPr>
            <w:tcW w:w="757" w:type="pct"/>
            <w:tcBorders>
              <w:top w:val="single" w:color="auto" w:sz="12" w:space="0"/>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名称</w:t>
            </w:r>
          </w:p>
        </w:tc>
        <w:tc>
          <w:tcPr>
            <w:tcW w:w="967" w:type="pct"/>
            <w:tcBorders>
              <w:top w:val="single" w:color="auto" w:sz="12" w:space="0"/>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7" w:type="pct"/>
            <w:tcBorders>
              <w:top w:val="single" w:color="auto" w:sz="12" w:space="0"/>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sz w:val="21"/>
                <w:szCs w:val="21"/>
                <w:vertAlign w:val="baseline"/>
                <w:lang w:val="en-US" w:eastAsia="zh-CN"/>
              </w:rPr>
            </w:pPr>
            <w:r>
              <w:rPr>
                <w:rFonts w:hint="eastAsia"/>
                <w:sz w:val="21"/>
                <w:szCs w:val="21"/>
                <w:vertAlign w:val="baseline"/>
                <w:lang w:val="en-US" w:eastAsia="zh-CN"/>
              </w:rPr>
              <w:t>1</w:t>
            </w:r>
          </w:p>
        </w:tc>
        <w:tc>
          <w:tcPr>
            <w:tcW w:w="1481"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drawing>
                <wp:inline distT="0" distB="0" distL="114300" distR="114300">
                  <wp:extent cx="1076325" cy="895350"/>
                  <wp:effectExtent l="0" t="0" r="9525" b="0"/>
                  <wp:docPr id="7"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1"/>
                          <pic:cNvPicPr>
                            <a:picLocks noChangeAspect="1"/>
                          </pic:cNvPicPr>
                        </pic:nvPicPr>
                        <pic:blipFill>
                          <a:blip r:embed="rId106"/>
                          <a:stretch>
                            <a:fillRect/>
                          </a:stretch>
                        </pic:blipFill>
                        <pic:spPr>
                          <a:xfrm>
                            <a:off x="0" y="0"/>
                            <a:ext cx="1076325" cy="895350"/>
                          </a:xfrm>
                          <a:prstGeom prst="rect">
                            <a:avLst/>
                          </a:prstGeom>
                          <a:noFill/>
                          <a:ln>
                            <a:noFill/>
                          </a:ln>
                        </pic:spPr>
                      </pic:pic>
                    </a:graphicData>
                  </a:graphic>
                </wp:inline>
              </w:drawing>
            </w:r>
          </w:p>
        </w:tc>
        <w:tc>
          <w:tcPr>
            <w:tcW w:w="1426"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drawing>
                <wp:inline distT="0" distB="0" distL="114300" distR="114300">
                  <wp:extent cx="1266825" cy="914400"/>
                  <wp:effectExtent l="0" t="0" r="9525" b="0"/>
                  <wp:docPr id="16"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2"/>
                          <pic:cNvPicPr>
                            <a:picLocks noChangeAspect="1"/>
                          </pic:cNvPicPr>
                        </pic:nvPicPr>
                        <pic:blipFill>
                          <a:blip r:embed="rId107"/>
                          <a:stretch>
                            <a:fillRect/>
                          </a:stretch>
                        </pic:blipFill>
                        <pic:spPr>
                          <a:xfrm>
                            <a:off x="0" y="0"/>
                            <a:ext cx="1266825" cy="914400"/>
                          </a:xfrm>
                          <a:prstGeom prst="rect">
                            <a:avLst/>
                          </a:prstGeom>
                          <a:noFill/>
                          <a:ln>
                            <a:noFill/>
                          </a:ln>
                        </pic:spPr>
                      </pic:pic>
                    </a:graphicData>
                  </a:graphic>
                </wp:inline>
              </w:drawing>
            </w:r>
          </w:p>
        </w:tc>
        <w:tc>
          <w:tcPr>
            <w:tcW w:w="757" w:type="pct"/>
            <w:tcBorders>
              <w:top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污水排放口</w:t>
            </w:r>
          </w:p>
        </w:tc>
        <w:tc>
          <w:tcPr>
            <w:tcW w:w="967" w:type="pct"/>
            <w:tcBorders>
              <w:top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表示污水向水体排放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7" w:type="pc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sz w:val="21"/>
                <w:szCs w:val="21"/>
                <w:vertAlign w:val="baseline"/>
                <w:lang w:val="en-US" w:eastAsia="zh-CN"/>
              </w:rPr>
            </w:pPr>
            <w:r>
              <w:rPr>
                <w:rFonts w:hint="eastAsia"/>
                <w:sz w:val="21"/>
                <w:szCs w:val="21"/>
                <w:vertAlign w:val="baseline"/>
                <w:lang w:val="en-US" w:eastAsia="zh-CN"/>
              </w:rPr>
              <w:t>2</w:t>
            </w:r>
          </w:p>
        </w:tc>
        <w:tc>
          <w:tcPr>
            <w:tcW w:w="1481"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drawing>
                <wp:inline distT="0" distB="0" distL="114300" distR="114300">
                  <wp:extent cx="1171575" cy="895350"/>
                  <wp:effectExtent l="0" t="0" r="9525" b="0"/>
                  <wp:docPr id="17"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3"/>
                          <pic:cNvPicPr>
                            <a:picLocks noChangeAspect="1"/>
                          </pic:cNvPicPr>
                        </pic:nvPicPr>
                        <pic:blipFill>
                          <a:blip r:embed="rId108"/>
                          <a:stretch>
                            <a:fillRect/>
                          </a:stretch>
                        </pic:blipFill>
                        <pic:spPr>
                          <a:xfrm>
                            <a:off x="0" y="0"/>
                            <a:ext cx="1171575" cy="895350"/>
                          </a:xfrm>
                          <a:prstGeom prst="rect">
                            <a:avLst/>
                          </a:prstGeom>
                          <a:noFill/>
                          <a:ln>
                            <a:noFill/>
                          </a:ln>
                        </pic:spPr>
                      </pic:pic>
                    </a:graphicData>
                  </a:graphic>
                </wp:inline>
              </w:drawing>
            </w:r>
          </w:p>
        </w:tc>
        <w:tc>
          <w:tcPr>
            <w:tcW w:w="1426"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drawing>
                <wp:inline distT="0" distB="0" distL="114300" distR="114300">
                  <wp:extent cx="1390650" cy="1009650"/>
                  <wp:effectExtent l="0" t="0" r="0" b="0"/>
                  <wp:docPr id="18"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4"/>
                          <pic:cNvPicPr>
                            <a:picLocks noChangeAspect="1"/>
                          </pic:cNvPicPr>
                        </pic:nvPicPr>
                        <pic:blipFill>
                          <a:blip r:embed="rId109"/>
                          <a:stretch>
                            <a:fillRect/>
                          </a:stretch>
                        </pic:blipFill>
                        <pic:spPr>
                          <a:xfrm>
                            <a:off x="0" y="0"/>
                            <a:ext cx="1390650" cy="1009650"/>
                          </a:xfrm>
                          <a:prstGeom prst="rect">
                            <a:avLst/>
                          </a:prstGeom>
                          <a:noFill/>
                          <a:ln>
                            <a:noFill/>
                          </a:ln>
                        </pic:spPr>
                      </pic:pic>
                    </a:graphicData>
                  </a:graphic>
                </wp:inline>
              </w:drawing>
            </w:r>
          </w:p>
        </w:tc>
        <w:tc>
          <w:tcPr>
            <w:tcW w:w="757"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废气排放口</w:t>
            </w:r>
          </w:p>
        </w:tc>
        <w:tc>
          <w:tcPr>
            <w:tcW w:w="967"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表示废气向大气排放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67" w:type="pct"/>
            <w:vMerge w:val="restart"/>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sz w:val="21"/>
                <w:szCs w:val="21"/>
                <w:vertAlign w:val="baseline"/>
                <w:lang w:val="en-US" w:eastAsia="zh-CN"/>
              </w:rPr>
            </w:pPr>
            <w:r>
              <w:rPr>
                <w:rFonts w:hint="eastAsia"/>
                <w:sz w:val="21"/>
                <w:szCs w:val="21"/>
                <w:vertAlign w:val="baseline"/>
                <w:lang w:val="en-US" w:eastAsia="zh-CN"/>
              </w:rPr>
              <w:t>3</w:t>
            </w:r>
          </w:p>
        </w:tc>
        <w:tc>
          <w:tcPr>
            <w:tcW w:w="1481"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p>
        </w:tc>
        <w:tc>
          <w:tcPr>
            <w:tcW w:w="1426"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drawing>
                <wp:inline distT="0" distB="0" distL="114300" distR="114300">
                  <wp:extent cx="1440180" cy="777875"/>
                  <wp:effectExtent l="0" t="0" r="7620" b="3175"/>
                  <wp:docPr id="19"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5"/>
                          <pic:cNvPicPr>
                            <a:picLocks noChangeAspect="1"/>
                          </pic:cNvPicPr>
                        </pic:nvPicPr>
                        <pic:blipFill>
                          <a:blip r:embed="rId110"/>
                          <a:stretch>
                            <a:fillRect/>
                          </a:stretch>
                        </pic:blipFill>
                        <pic:spPr>
                          <a:xfrm>
                            <a:off x="0" y="0"/>
                            <a:ext cx="1440180" cy="777875"/>
                          </a:xfrm>
                          <a:prstGeom prst="rect">
                            <a:avLst/>
                          </a:prstGeom>
                          <a:noFill/>
                          <a:ln>
                            <a:noFill/>
                          </a:ln>
                        </pic:spPr>
                      </pic:pic>
                    </a:graphicData>
                  </a:graphic>
                </wp:inline>
              </w:drawing>
            </w:r>
          </w:p>
        </w:tc>
        <w:tc>
          <w:tcPr>
            <w:tcW w:w="757"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一般固体废物储存</w:t>
            </w:r>
          </w:p>
        </w:tc>
        <w:tc>
          <w:tcPr>
            <w:tcW w:w="967"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表示固废储存处置场所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7" w:type="pct"/>
            <w:vMerge w:val="continue"/>
            <w:tcBorders>
              <w:lef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p>
        </w:tc>
        <w:tc>
          <w:tcPr>
            <w:tcW w:w="1481"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p>
        </w:tc>
        <w:tc>
          <w:tcPr>
            <w:tcW w:w="1426"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drawing>
                <wp:inline distT="0" distB="0" distL="114300" distR="114300">
                  <wp:extent cx="1381125" cy="1076325"/>
                  <wp:effectExtent l="0" t="0" r="9525" b="9525"/>
                  <wp:docPr id="21"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6"/>
                          <pic:cNvPicPr>
                            <a:picLocks noChangeAspect="1"/>
                          </pic:cNvPicPr>
                        </pic:nvPicPr>
                        <pic:blipFill>
                          <a:blip r:embed="rId111"/>
                          <a:stretch>
                            <a:fillRect/>
                          </a:stretch>
                        </pic:blipFill>
                        <pic:spPr>
                          <a:xfrm>
                            <a:off x="0" y="0"/>
                            <a:ext cx="1381125" cy="1076325"/>
                          </a:xfrm>
                          <a:prstGeom prst="rect">
                            <a:avLst/>
                          </a:prstGeom>
                          <a:noFill/>
                          <a:ln>
                            <a:noFill/>
                          </a:ln>
                        </pic:spPr>
                      </pic:pic>
                    </a:graphicData>
                  </a:graphic>
                </wp:inline>
              </w:drawing>
            </w:r>
          </w:p>
        </w:tc>
        <w:tc>
          <w:tcPr>
            <w:tcW w:w="757" w:type="pct"/>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危险固体废物储存</w:t>
            </w:r>
          </w:p>
        </w:tc>
        <w:tc>
          <w:tcPr>
            <w:tcW w:w="967" w:type="pct"/>
            <w:tcBorders>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表示固废储存处置场所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7" w:type="pct"/>
            <w:tcBorders>
              <w:left w:val="nil"/>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default"/>
                <w:sz w:val="21"/>
                <w:szCs w:val="21"/>
                <w:vertAlign w:val="baseline"/>
                <w:lang w:val="en-US" w:eastAsia="zh-CN"/>
              </w:rPr>
            </w:pPr>
            <w:r>
              <w:rPr>
                <w:rFonts w:hint="eastAsia"/>
                <w:sz w:val="21"/>
                <w:szCs w:val="21"/>
                <w:vertAlign w:val="baseline"/>
                <w:lang w:val="en-US" w:eastAsia="zh-CN"/>
              </w:rPr>
              <w:t>4</w:t>
            </w:r>
          </w:p>
        </w:tc>
        <w:tc>
          <w:tcPr>
            <w:tcW w:w="1481"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drawing>
                <wp:inline distT="0" distB="0" distL="114300" distR="114300">
                  <wp:extent cx="1190625" cy="933450"/>
                  <wp:effectExtent l="0" t="0" r="9525" b="0"/>
                  <wp:docPr id="35"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7"/>
                          <pic:cNvPicPr>
                            <a:picLocks noChangeAspect="1"/>
                          </pic:cNvPicPr>
                        </pic:nvPicPr>
                        <pic:blipFill>
                          <a:blip r:embed="rId112"/>
                          <a:stretch>
                            <a:fillRect/>
                          </a:stretch>
                        </pic:blipFill>
                        <pic:spPr>
                          <a:xfrm>
                            <a:off x="0" y="0"/>
                            <a:ext cx="1190625" cy="933450"/>
                          </a:xfrm>
                          <a:prstGeom prst="rect">
                            <a:avLst/>
                          </a:prstGeom>
                          <a:noFill/>
                          <a:ln>
                            <a:noFill/>
                          </a:ln>
                        </pic:spPr>
                      </pic:pic>
                    </a:graphicData>
                  </a:graphic>
                </wp:inline>
              </w:drawing>
            </w:r>
          </w:p>
        </w:tc>
        <w:tc>
          <w:tcPr>
            <w:tcW w:w="1426"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drawing>
                <wp:inline distT="0" distB="0" distL="114300" distR="114300">
                  <wp:extent cx="1200150" cy="971550"/>
                  <wp:effectExtent l="0" t="0" r="0" b="0"/>
                  <wp:docPr id="41"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58"/>
                          <pic:cNvPicPr>
                            <a:picLocks noChangeAspect="1"/>
                          </pic:cNvPicPr>
                        </pic:nvPicPr>
                        <pic:blipFill>
                          <a:blip r:embed="rId113"/>
                          <a:stretch>
                            <a:fillRect/>
                          </a:stretch>
                        </pic:blipFill>
                        <pic:spPr>
                          <a:xfrm>
                            <a:off x="0" y="0"/>
                            <a:ext cx="1200150" cy="971550"/>
                          </a:xfrm>
                          <a:prstGeom prst="rect">
                            <a:avLst/>
                          </a:prstGeom>
                          <a:noFill/>
                          <a:ln>
                            <a:noFill/>
                          </a:ln>
                        </pic:spPr>
                      </pic:pic>
                    </a:graphicData>
                  </a:graphic>
                </wp:inline>
              </w:drawing>
            </w:r>
          </w:p>
        </w:tc>
        <w:tc>
          <w:tcPr>
            <w:tcW w:w="757" w:type="pct"/>
            <w:tcBorders>
              <w:bottom w:val="single" w:color="auto" w:sz="12" w:space="0"/>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噪声源</w:t>
            </w:r>
          </w:p>
        </w:tc>
        <w:tc>
          <w:tcPr>
            <w:tcW w:w="967" w:type="pct"/>
            <w:tcBorders>
              <w:bottom w:val="single" w:color="auto" w:sz="12" w:space="0"/>
              <w:right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line="240" w:lineRule="auto"/>
              <w:ind w:firstLine="0" w:firstLineChars="0"/>
              <w:jc w:val="center"/>
              <w:textAlignment w:val="auto"/>
              <w:outlineLvl w:val="9"/>
              <w:rPr>
                <w:rFonts w:hint="eastAsia"/>
                <w:sz w:val="21"/>
                <w:szCs w:val="21"/>
                <w:vertAlign w:val="baseline"/>
                <w:lang w:eastAsia="zh-CN"/>
              </w:rPr>
            </w:pPr>
            <w:r>
              <w:rPr>
                <w:rFonts w:hint="eastAsia"/>
                <w:sz w:val="21"/>
                <w:szCs w:val="21"/>
                <w:vertAlign w:val="baseline"/>
                <w:lang w:eastAsia="zh-CN"/>
              </w:rPr>
              <w:t>表示噪声向外环境排放</w:t>
            </w:r>
          </w:p>
        </w:tc>
      </w:tr>
    </w:tbl>
    <w:p>
      <w:pPr>
        <w:pStyle w:val="8"/>
        <w:keepNext w:val="0"/>
        <w:keepLines w:val="0"/>
        <w:pageBreakBefore w:val="0"/>
        <w:widowControl w:val="0"/>
        <w:kinsoku/>
        <w:wordWrap/>
        <w:overflowPunct/>
        <w:topLinePunct w:val="0"/>
        <w:autoSpaceDE w:val="0"/>
        <w:autoSpaceDN w:val="0"/>
        <w:bidi w:val="0"/>
        <w:adjustRightInd/>
        <w:snapToGrid/>
        <w:ind w:left="0" w:leftChars="0" w:firstLine="480" w:firstLineChars="200"/>
        <w:jc w:val="left"/>
        <w:textAlignment w:val="auto"/>
      </w:pPr>
      <w:r>
        <w:rPr>
          <w:rFonts w:hint="eastAsia"/>
          <w:sz w:val="24"/>
          <w:szCs w:val="24"/>
          <w:lang w:eastAsia="zh-CN"/>
        </w:rPr>
        <w:t>（4）规范化排污口的有关设置（如图形标志牌、计量装置、监控装置等）属环保设施，排污单位必须负责日常的维护保养，任何单位和个人不得擅自拆除，如需要变更的需报环境监理部门同意并办理变更手续。</w:t>
      </w:r>
    </w:p>
    <w:p>
      <w:pPr>
        <w:pStyle w:val="3"/>
      </w:pPr>
      <w:bookmarkStart w:id="117" w:name="_Toc21222"/>
      <w:r>
        <w:t>评价结论</w:t>
      </w:r>
      <w:bookmarkEnd w:id="117"/>
    </w:p>
    <w:p>
      <w:pPr>
        <w:pStyle w:val="4"/>
      </w:pPr>
      <w:bookmarkStart w:id="118" w:name="_Toc524"/>
      <w:r>
        <w:rPr>
          <w:rFonts w:hint="eastAsia"/>
          <w:lang w:val="en-US" w:eastAsia="zh-CN"/>
        </w:rPr>
        <w:t>项目概况</w:t>
      </w:r>
      <w:bookmarkEnd w:id="118"/>
    </w:p>
    <w:p>
      <w:pPr>
        <w:keepNext/>
        <w:keepLines/>
        <w:pageBreakBefore w:val="0"/>
        <w:widowControl w:val="0"/>
        <w:numPr>
          <w:ilvl w:val="0"/>
          <w:numId w:val="0"/>
        </w:numPr>
        <w:tabs>
          <w:tab w:val="left" w:pos="0"/>
          <w:tab w:val="left" w:pos="709"/>
        </w:tabs>
        <w:kinsoku/>
        <w:wordWrap/>
        <w:overflowPunct/>
        <w:topLinePunct w:val="0"/>
        <w:autoSpaceDE/>
        <w:autoSpaceDN/>
        <w:bidi w:val="0"/>
        <w:adjustRightInd/>
        <w:snapToGrid/>
        <w:spacing w:line="360" w:lineRule="auto"/>
        <w:ind w:leftChars="0" w:firstLine="480" w:firstLineChars="200"/>
        <w:textAlignment w:val="auto"/>
        <w:outlineLvl w:val="9"/>
        <w:rPr>
          <w:rFonts w:hint="eastAsia"/>
          <w:b w:val="0"/>
          <w:bCs w:val="0"/>
          <w:sz w:val="24"/>
          <w:szCs w:val="24"/>
        </w:rPr>
      </w:pPr>
      <w:r>
        <w:rPr>
          <w:rFonts w:hint="eastAsia"/>
          <w:b w:val="0"/>
          <w:bCs w:val="0"/>
          <w:sz w:val="24"/>
          <w:szCs w:val="24"/>
          <w:lang w:val="en-US" w:eastAsia="zh-CN"/>
        </w:rPr>
        <w:t>韶关市仁化县三佳畜牧有限公司高联村寨下组现代高效化养猪场建设项目</w:t>
      </w:r>
      <w:r>
        <w:rPr>
          <w:rFonts w:hint="eastAsia"/>
          <w:b w:val="0"/>
          <w:bCs w:val="0"/>
          <w:sz w:val="24"/>
          <w:szCs w:val="24"/>
        </w:rPr>
        <w:t>位于广东省韶关市</w:t>
      </w:r>
      <w:r>
        <w:rPr>
          <w:rFonts w:hint="eastAsia"/>
          <w:b w:val="0"/>
          <w:bCs w:val="0"/>
          <w:sz w:val="24"/>
          <w:szCs w:val="24"/>
          <w:lang w:val="en-US" w:eastAsia="zh-CN"/>
        </w:rPr>
        <w:t>仁化县丹霞街道高联村寨下组</w:t>
      </w:r>
      <w:r>
        <w:rPr>
          <w:rFonts w:hint="eastAsia"/>
          <w:b w:val="0"/>
          <w:bCs w:val="0"/>
          <w:sz w:val="24"/>
          <w:szCs w:val="24"/>
        </w:rPr>
        <w:t>。项目总占地</w:t>
      </w:r>
      <w:r>
        <w:rPr>
          <w:rFonts w:hint="eastAsia"/>
          <w:b w:val="0"/>
          <w:bCs w:val="0"/>
          <w:sz w:val="24"/>
          <w:szCs w:val="24"/>
          <w:lang w:val="en-US" w:eastAsia="zh-CN"/>
        </w:rPr>
        <w:t>107</w:t>
      </w:r>
      <w:r>
        <w:rPr>
          <w:rFonts w:hint="eastAsia"/>
          <w:b w:val="0"/>
          <w:bCs w:val="0"/>
          <w:sz w:val="24"/>
          <w:szCs w:val="24"/>
        </w:rPr>
        <w:t>亩，项目建设保育舍、育肥舍、连廊、入场用房及入舍用房等，配套建设职工宿舍、道路、猪场室外给排水及电、围墙、料塔基础、机井和水塔等设施。项目建成后，年出栏商品猪</w:t>
      </w:r>
      <w:r>
        <w:rPr>
          <w:rFonts w:hint="eastAsia"/>
          <w:b w:val="0"/>
          <w:bCs w:val="0"/>
          <w:sz w:val="24"/>
          <w:szCs w:val="24"/>
          <w:lang w:val="en-US" w:eastAsia="zh-CN"/>
        </w:rPr>
        <w:t>18000</w:t>
      </w:r>
      <w:r>
        <w:rPr>
          <w:rFonts w:hint="eastAsia"/>
          <w:b w:val="0"/>
          <w:bCs w:val="0"/>
          <w:sz w:val="24"/>
          <w:szCs w:val="24"/>
        </w:rPr>
        <w:t xml:space="preserve">头。 </w:t>
      </w:r>
    </w:p>
    <w:p>
      <w:pPr>
        <w:keepNext/>
        <w:keepLines/>
        <w:pageBreakBefore w:val="0"/>
        <w:widowControl w:val="0"/>
        <w:numPr>
          <w:ilvl w:val="0"/>
          <w:numId w:val="0"/>
        </w:numPr>
        <w:tabs>
          <w:tab w:val="left" w:pos="0"/>
          <w:tab w:val="left" w:pos="709"/>
        </w:tabs>
        <w:kinsoku/>
        <w:wordWrap/>
        <w:overflowPunct/>
        <w:topLinePunct w:val="0"/>
        <w:autoSpaceDE/>
        <w:autoSpaceDN/>
        <w:bidi w:val="0"/>
        <w:adjustRightInd/>
        <w:snapToGrid/>
        <w:spacing w:line="360" w:lineRule="auto"/>
        <w:ind w:leftChars="0" w:firstLine="480" w:firstLineChars="200"/>
        <w:textAlignment w:val="auto"/>
        <w:outlineLvl w:val="9"/>
        <w:rPr>
          <w:rFonts w:hint="eastAsia"/>
          <w:b w:val="0"/>
          <w:bCs w:val="0"/>
          <w:sz w:val="24"/>
          <w:szCs w:val="24"/>
        </w:rPr>
      </w:pPr>
      <w:r>
        <w:rPr>
          <w:rFonts w:hint="eastAsia"/>
          <w:b w:val="0"/>
          <w:bCs w:val="0"/>
          <w:sz w:val="24"/>
          <w:szCs w:val="24"/>
        </w:rPr>
        <w:t>项目</w:t>
      </w:r>
      <w:r>
        <w:rPr>
          <w:rFonts w:hint="eastAsia"/>
          <w:b w:val="0"/>
          <w:bCs w:val="0"/>
          <w:sz w:val="24"/>
          <w:szCs w:val="24"/>
          <w:lang w:eastAsia="zh-CN"/>
        </w:rPr>
        <w:t>施工期</w:t>
      </w:r>
      <w:r>
        <w:rPr>
          <w:rFonts w:hint="eastAsia"/>
          <w:b w:val="0"/>
          <w:bCs w:val="0"/>
          <w:sz w:val="24"/>
          <w:szCs w:val="24"/>
          <w:lang w:val="en-US" w:eastAsia="zh-CN"/>
        </w:rPr>
        <w:t>8个月，</w:t>
      </w:r>
      <w:r>
        <w:rPr>
          <w:rFonts w:hint="eastAsia"/>
          <w:b w:val="0"/>
          <w:bCs w:val="0"/>
          <w:sz w:val="24"/>
          <w:szCs w:val="24"/>
        </w:rPr>
        <w:t>总投资</w:t>
      </w:r>
      <w:r>
        <w:rPr>
          <w:rFonts w:hint="eastAsia"/>
          <w:b w:val="0"/>
          <w:bCs w:val="0"/>
          <w:sz w:val="24"/>
          <w:szCs w:val="24"/>
          <w:lang w:val="en-US" w:eastAsia="zh-CN"/>
        </w:rPr>
        <w:t>1280</w:t>
      </w:r>
      <w:r>
        <w:rPr>
          <w:rFonts w:hint="eastAsia"/>
          <w:b w:val="0"/>
          <w:bCs w:val="0"/>
          <w:sz w:val="24"/>
          <w:szCs w:val="24"/>
        </w:rPr>
        <w:t>万元，其中环保投资</w:t>
      </w:r>
      <w:r>
        <w:rPr>
          <w:rFonts w:hint="eastAsia"/>
          <w:b w:val="0"/>
          <w:bCs w:val="0"/>
          <w:sz w:val="24"/>
          <w:szCs w:val="24"/>
          <w:lang w:val="en-US" w:eastAsia="zh-CN"/>
        </w:rPr>
        <w:t>106</w:t>
      </w:r>
      <w:r>
        <w:rPr>
          <w:rFonts w:hint="eastAsia"/>
          <w:b w:val="0"/>
          <w:bCs w:val="0"/>
          <w:sz w:val="24"/>
          <w:szCs w:val="24"/>
        </w:rPr>
        <w:t>万元，环保投资占总投资的</w:t>
      </w:r>
      <w:r>
        <w:rPr>
          <w:rFonts w:hint="eastAsia"/>
          <w:b w:val="0"/>
          <w:bCs w:val="0"/>
          <w:sz w:val="24"/>
          <w:szCs w:val="24"/>
          <w:lang w:val="en-US" w:eastAsia="zh-CN"/>
        </w:rPr>
        <w:t>8.28</w:t>
      </w:r>
      <w:r>
        <w:rPr>
          <w:rFonts w:hint="eastAsia"/>
          <w:b w:val="0"/>
          <w:bCs w:val="0"/>
          <w:sz w:val="24"/>
          <w:szCs w:val="24"/>
        </w:rPr>
        <w:t xml:space="preserve">%。 </w:t>
      </w:r>
    </w:p>
    <w:p>
      <w:pPr>
        <w:pStyle w:val="4"/>
      </w:pPr>
      <w:bookmarkStart w:id="119" w:name="_Toc5566"/>
      <w:r>
        <w:rPr>
          <w:rFonts w:hint="eastAsia"/>
          <w:lang w:eastAsia="zh-CN"/>
        </w:rPr>
        <w:t>区域环境质量</w:t>
      </w:r>
      <w:r>
        <w:rPr>
          <w:rFonts w:hint="eastAsia"/>
        </w:rPr>
        <w:t>境现状</w:t>
      </w:r>
      <w:bookmarkEnd w:id="119"/>
    </w:p>
    <w:p>
      <w:pPr>
        <w:pStyle w:val="6"/>
        <w:rPr>
          <w:color w:val="auto"/>
        </w:rPr>
      </w:pPr>
      <w:r>
        <w:rPr>
          <w:rFonts w:hint="eastAsia"/>
          <w:color w:val="auto"/>
        </w:rPr>
        <w:t>环境空气</w:t>
      </w:r>
    </w:p>
    <w:p>
      <w:pPr>
        <w:pStyle w:val="8"/>
        <w:rPr>
          <w:rFonts w:hint="eastAsia"/>
          <w:color w:val="auto"/>
          <w:highlight w:val="none"/>
          <w:lang w:val="en-US" w:eastAsia="zh-CN"/>
        </w:rPr>
      </w:pPr>
      <w:r>
        <w:rPr>
          <w:rFonts w:hint="eastAsia"/>
          <w:color w:val="auto"/>
          <w:highlight w:val="none"/>
          <w:lang w:eastAsia="zh-CN"/>
        </w:rPr>
        <w:t>根据韶关市生态环境局（http://epb.sg.gov.cn</w:t>
      </w:r>
      <w:r>
        <w:rPr>
          <w:rFonts w:hint="eastAsia"/>
          <w:color w:val="auto"/>
          <w:highlight w:val="none"/>
          <w:lang w:val="en-US" w:eastAsia="zh-CN"/>
        </w:rPr>
        <w:t>/</w:t>
      </w:r>
      <w:r>
        <w:rPr>
          <w:rFonts w:hint="eastAsia"/>
          <w:color w:val="auto"/>
          <w:highlight w:val="none"/>
          <w:lang w:eastAsia="zh-CN"/>
        </w:rPr>
        <w:t>）</w:t>
      </w:r>
      <w:r>
        <w:rPr>
          <w:rFonts w:hint="eastAsia"/>
          <w:color w:val="auto"/>
          <w:highlight w:val="none"/>
          <w:lang w:val="en-US" w:eastAsia="zh-CN"/>
        </w:rPr>
        <w:t>2019年5月发布的《2018年韶关市环境状况公报》，项目区SO</w:t>
      </w:r>
      <w:r>
        <w:rPr>
          <w:rFonts w:hint="eastAsia"/>
          <w:color w:val="auto"/>
          <w:highlight w:val="none"/>
          <w:vertAlign w:val="subscript"/>
          <w:lang w:val="en-US" w:eastAsia="zh-CN"/>
        </w:rPr>
        <w:t>2</w:t>
      </w:r>
      <w:r>
        <w:rPr>
          <w:rFonts w:hint="eastAsia"/>
          <w:color w:val="auto"/>
          <w:highlight w:val="none"/>
          <w:lang w:val="en-US" w:eastAsia="zh-CN"/>
        </w:rPr>
        <w:t>、NO</w:t>
      </w:r>
      <w:r>
        <w:rPr>
          <w:rFonts w:hint="eastAsia"/>
          <w:color w:val="auto"/>
          <w:highlight w:val="none"/>
          <w:vertAlign w:val="subscript"/>
          <w:lang w:val="en-US" w:eastAsia="zh-CN"/>
        </w:rPr>
        <w:t>2</w:t>
      </w:r>
      <w:r>
        <w:rPr>
          <w:rFonts w:hint="eastAsia"/>
          <w:color w:val="auto"/>
          <w:highlight w:val="none"/>
          <w:lang w:val="en-US" w:eastAsia="zh-CN"/>
        </w:rPr>
        <w:t>、PM</w:t>
      </w:r>
      <w:r>
        <w:rPr>
          <w:rFonts w:hint="eastAsia"/>
          <w:color w:val="auto"/>
          <w:highlight w:val="none"/>
          <w:vertAlign w:val="subscript"/>
          <w:lang w:val="en-US" w:eastAsia="zh-CN"/>
        </w:rPr>
        <w:t>10</w:t>
      </w:r>
      <w:r>
        <w:rPr>
          <w:rFonts w:hint="eastAsia"/>
          <w:color w:val="auto"/>
          <w:highlight w:val="none"/>
          <w:lang w:val="en-US" w:eastAsia="zh-CN"/>
        </w:rPr>
        <w:t>、PM</w:t>
      </w:r>
      <w:r>
        <w:rPr>
          <w:rFonts w:hint="eastAsia"/>
          <w:color w:val="auto"/>
          <w:highlight w:val="none"/>
          <w:vertAlign w:val="subscript"/>
          <w:lang w:val="en-US" w:eastAsia="zh-CN"/>
        </w:rPr>
        <w:t>2.5</w:t>
      </w:r>
      <w:r>
        <w:rPr>
          <w:rFonts w:hint="eastAsia"/>
          <w:color w:val="auto"/>
          <w:highlight w:val="none"/>
          <w:lang w:val="en-US" w:eastAsia="zh-CN"/>
        </w:rPr>
        <w:t>、O</w:t>
      </w:r>
      <w:r>
        <w:rPr>
          <w:rFonts w:hint="eastAsia"/>
          <w:color w:val="auto"/>
          <w:highlight w:val="none"/>
          <w:vertAlign w:val="subscript"/>
          <w:lang w:val="en-US" w:eastAsia="zh-CN"/>
        </w:rPr>
        <w:t>3</w:t>
      </w:r>
      <w:r>
        <w:rPr>
          <w:rFonts w:hint="eastAsia"/>
          <w:color w:val="auto"/>
          <w:highlight w:val="none"/>
          <w:lang w:val="en-US" w:eastAsia="zh-CN"/>
        </w:rPr>
        <w:t>、CO均达到《环境空气质量标准》（GB3095-2012）及2018年修改单中的二级标准要求，说明项目区域环境空气质量较好，属于环境空气质量达标区。</w:t>
      </w:r>
    </w:p>
    <w:p>
      <w:pPr>
        <w:pStyle w:val="8"/>
        <w:rPr>
          <w:rFonts w:hint="eastAsia"/>
          <w:color w:val="auto"/>
          <w:highlight w:val="none"/>
          <w:lang w:val="en-US" w:eastAsia="zh-CN"/>
        </w:rPr>
      </w:pPr>
      <w:r>
        <w:rPr>
          <w:rFonts w:hint="eastAsia"/>
          <w:color w:val="auto"/>
          <w:highlight w:val="none"/>
          <w:lang w:val="en-US" w:eastAsia="zh-CN"/>
        </w:rPr>
        <w:t>根据补充监测结果可知，NH</w:t>
      </w:r>
      <w:r>
        <w:rPr>
          <w:rFonts w:hint="eastAsia"/>
          <w:color w:val="auto"/>
          <w:highlight w:val="none"/>
          <w:vertAlign w:val="subscript"/>
          <w:lang w:val="en-US" w:eastAsia="zh-CN"/>
        </w:rPr>
        <w:t>3</w:t>
      </w:r>
      <w:r>
        <w:rPr>
          <w:rFonts w:hint="eastAsia"/>
          <w:color w:val="auto"/>
          <w:highlight w:val="none"/>
          <w:lang w:val="en-US" w:eastAsia="zh-CN"/>
        </w:rPr>
        <w:t>、H</w:t>
      </w:r>
      <w:r>
        <w:rPr>
          <w:rFonts w:hint="eastAsia"/>
          <w:color w:val="auto"/>
          <w:highlight w:val="none"/>
          <w:vertAlign w:val="subscript"/>
          <w:lang w:val="en-US" w:eastAsia="zh-CN"/>
        </w:rPr>
        <w:t>2</w:t>
      </w:r>
      <w:r>
        <w:rPr>
          <w:rFonts w:hint="eastAsia"/>
          <w:color w:val="auto"/>
          <w:highlight w:val="none"/>
          <w:lang w:val="en-US" w:eastAsia="zh-CN"/>
        </w:rPr>
        <w:t xml:space="preserve">S符合《环境影响评价技术导则 大气环境》（HJ2.2-2018）附录D标准限值要求、臭气浓度符合《恶臭污染物排放标准》（GB14554-93）标准要求。各环境空气监测因子能够符合环境功能区要求，本项目所在区域环境空气质量较好。 </w:t>
      </w:r>
    </w:p>
    <w:p>
      <w:pPr>
        <w:pStyle w:val="6"/>
        <w:rPr>
          <w:color w:val="auto"/>
        </w:rPr>
      </w:pPr>
      <w:r>
        <w:rPr>
          <w:rFonts w:hint="eastAsia"/>
          <w:color w:val="auto"/>
        </w:rPr>
        <w:t>地表水环境</w:t>
      </w:r>
    </w:p>
    <w:p>
      <w:pPr>
        <w:pStyle w:val="9"/>
        <w:rPr>
          <w:rFonts w:hint="default"/>
          <w:lang w:val="en-US" w:eastAsia="zh-CN"/>
        </w:rPr>
      </w:pPr>
      <w:r>
        <w:rPr>
          <w:rFonts w:hint="eastAsia"/>
          <w:lang w:val="en-US" w:eastAsia="zh-CN"/>
        </w:rPr>
        <w:t>根据《2018年韶关市环境状况公报》，本项目附近地表水锦江</w:t>
      </w:r>
      <w:r>
        <w:rPr>
          <w:rFonts w:hint="eastAsia"/>
          <w:color w:val="auto"/>
        </w:rPr>
        <w:t>监测因子均可满足《地表水环境质量标准》（GB3838-2002）</w:t>
      </w:r>
      <w:r>
        <w:rPr>
          <w:rFonts w:hint="eastAsia"/>
          <w:color w:val="auto"/>
          <w:lang w:eastAsia="zh-CN"/>
        </w:rPr>
        <w:t>Ⅲ</w:t>
      </w:r>
      <w:r>
        <w:rPr>
          <w:rFonts w:hint="eastAsia"/>
          <w:color w:val="auto"/>
        </w:rPr>
        <w:t>类水标准</w:t>
      </w:r>
      <w:r>
        <w:rPr>
          <w:rFonts w:hint="eastAsia"/>
          <w:color w:val="auto"/>
          <w:lang w:eastAsia="zh-CN"/>
        </w:rPr>
        <w:t>，</w:t>
      </w:r>
      <w:r>
        <w:rPr>
          <w:rFonts w:hint="eastAsia"/>
          <w:color w:val="auto"/>
          <w:lang w:val="en-US" w:eastAsia="zh-CN"/>
        </w:rPr>
        <w:t>附近地表水</w:t>
      </w:r>
      <w:r>
        <w:rPr>
          <w:rFonts w:hint="eastAsia"/>
          <w:lang w:val="en-US" w:eastAsia="zh-CN"/>
        </w:rPr>
        <w:t>环境质量现状良好。</w:t>
      </w:r>
    </w:p>
    <w:p>
      <w:pPr>
        <w:pStyle w:val="6"/>
        <w:rPr>
          <w:color w:val="auto"/>
        </w:rPr>
      </w:pPr>
      <w:r>
        <w:rPr>
          <w:rFonts w:hint="eastAsia"/>
          <w:color w:val="auto"/>
        </w:rPr>
        <w:t>地下水环境</w:t>
      </w:r>
    </w:p>
    <w:p>
      <w:pPr>
        <w:pStyle w:val="9"/>
      </w:pPr>
      <w:r>
        <w:rPr>
          <w:rFonts w:hint="eastAsia"/>
          <w:color w:val="auto"/>
        </w:rPr>
        <w:t>从监测结果可以看出，地下水水质各监测因子均能满足《地下水质量标准》（GB/T14848-2017）Ⅲ类标准。监测结果表明，项目所在地及附近敏感点地下水水质良好。</w:t>
      </w:r>
    </w:p>
    <w:p>
      <w:pPr>
        <w:pStyle w:val="6"/>
        <w:rPr>
          <w:color w:val="auto"/>
        </w:rPr>
      </w:pPr>
      <w:r>
        <w:rPr>
          <w:rFonts w:hint="eastAsia"/>
          <w:color w:val="auto"/>
        </w:rPr>
        <w:t>声环境</w:t>
      </w:r>
    </w:p>
    <w:p>
      <w:pPr>
        <w:pStyle w:val="9"/>
        <w:rPr>
          <w:rFonts w:hint="eastAsia"/>
        </w:rPr>
      </w:pPr>
      <w:r>
        <w:rPr>
          <w:rFonts w:hint="eastAsia"/>
        </w:rPr>
        <w:t>本项目四周边界执行《声环境质量标准》（GB3096-2008）1类标准。从监测结果可知，本项目所在地的声环境质量现状均能满足《声环境质量标准》（GB3096-2008）1类标准的要求，即噪声昼间≤55dB(A)、夜间≤45dB(A)。可见，本项目所在地的声环境现状良好。</w:t>
      </w:r>
    </w:p>
    <w:p>
      <w:pPr>
        <w:pStyle w:val="6"/>
        <w:rPr>
          <w:color w:val="auto"/>
        </w:rPr>
      </w:pPr>
      <w:r>
        <w:rPr>
          <w:rFonts w:hint="eastAsia"/>
          <w:color w:val="auto"/>
        </w:rPr>
        <w:t>土壤环境</w:t>
      </w:r>
    </w:p>
    <w:p>
      <w:pPr>
        <w:pStyle w:val="8"/>
        <w:rPr>
          <w:color w:val="auto"/>
          <w:shd w:val="pct10" w:color="auto" w:fill="FFFFFF"/>
        </w:rPr>
      </w:pPr>
      <w:r>
        <w:rPr>
          <w:rFonts w:hint="eastAsia"/>
          <w:color w:val="auto"/>
        </w:rPr>
        <w:t xml:space="preserve">从监测结果可知，本次监测的所有土壤样点中，所有监测因子均满足《土壤环境质量 农用地土壤污染风险管控标准（试行）》（GB15618-2018）筛选值标准，说明本项目所在地土壤环境质量满足相关标准要求。 </w:t>
      </w:r>
    </w:p>
    <w:p>
      <w:pPr>
        <w:pStyle w:val="6"/>
        <w:rPr>
          <w:color w:val="auto"/>
        </w:rPr>
      </w:pPr>
      <w:r>
        <w:rPr>
          <w:rFonts w:hint="eastAsia"/>
          <w:color w:val="auto"/>
        </w:rPr>
        <w:t>生态环境</w:t>
      </w:r>
    </w:p>
    <w:p>
      <w:pPr>
        <w:pStyle w:val="9"/>
        <w:rPr>
          <w:rFonts w:hint="eastAsia"/>
        </w:rPr>
      </w:pPr>
      <w:r>
        <w:rPr>
          <w:rFonts w:hint="eastAsia"/>
          <w:color w:val="auto"/>
        </w:rPr>
        <w:t>项目生态环境评价范围主要为林地、耕地等，经调查不存在野生动植物的栖息地，评价范围内无国家保护的珍稀濒危动、植物种类和自然保护区等特殊生态敏感区，因此项目建设对区域生态系统及生物多样性的影响较小。</w:t>
      </w:r>
    </w:p>
    <w:p>
      <w:pPr>
        <w:pStyle w:val="4"/>
        <w:rPr>
          <w:color w:val="auto"/>
        </w:rPr>
      </w:pPr>
      <w:bookmarkStart w:id="120" w:name="_Toc12284"/>
      <w:bookmarkStart w:id="121" w:name="_Toc27945"/>
      <w:r>
        <w:rPr>
          <w:rFonts w:hint="eastAsia"/>
          <w:color w:val="auto"/>
        </w:rPr>
        <w:t>环境影响</w:t>
      </w:r>
      <w:r>
        <w:rPr>
          <w:rFonts w:hint="eastAsia"/>
          <w:color w:val="auto"/>
          <w:lang w:eastAsia="zh-CN"/>
        </w:rPr>
        <w:t>分析结论</w:t>
      </w:r>
      <w:bookmarkEnd w:id="120"/>
      <w:bookmarkEnd w:id="121"/>
    </w:p>
    <w:p>
      <w:pPr>
        <w:pStyle w:val="5"/>
        <w:ind w:firstLine="562"/>
        <w:rPr>
          <w:color w:val="auto"/>
        </w:rPr>
      </w:pPr>
      <w:r>
        <w:rPr>
          <w:rFonts w:hint="eastAsia"/>
          <w:color w:val="auto"/>
        </w:rPr>
        <w:t>大气环境影响评价</w:t>
      </w:r>
    </w:p>
    <w:p>
      <w:pPr>
        <w:pStyle w:val="8"/>
        <w:rPr>
          <w:rFonts w:hint="eastAsia"/>
          <w:color w:val="auto"/>
        </w:rPr>
      </w:pPr>
      <w:r>
        <w:rPr>
          <w:rFonts w:hint="eastAsia"/>
          <w:color w:val="auto"/>
        </w:rPr>
        <w:t>根据《环境影响评价技术导则 大气环境》（HJ2.2-2018）“8.1.2 二级评价项目不进行进一步预测与评价，只对污染物排放量较小核算”。因此，本项目的大气环境影响分析不进行进一步预测与评价，只对污染物排放量进行核算。 项目组成生产情况下，项目排放的污染物量较少，不需进一步计算项目的大气环境防护距离。</w:t>
      </w:r>
    </w:p>
    <w:p>
      <w:pPr>
        <w:pStyle w:val="8"/>
        <w:rPr>
          <w:rFonts w:hint="eastAsia"/>
          <w:color w:val="auto"/>
        </w:rPr>
      </w:pPr>
      <w:r>
        <w:rPr>
          <w:rFonts w:hint="eastAsia"/>
          <w:color w:val="auto"/>
        </w:rPr>
        <w:t xml:space="preserve">综上所述，项目营运期废气排放对周围大气环境质量影响不大，对周边敏感保护目标影响不大。 </w:t>
      </w:r>
    </w:p>
    <w:p>
      <w:pPr>
        <w:pStyle w:val="5"/>
        <w:ind w:firstLine="562"/>
        <w:rPr>
          <w:color w:val="auto"/>
        </w:rPr>
      </w:pPr>
      <w:r>
        <w:rPr>
          <w:rFonts w:hint="eastAsia"/>
          <w:color w:val="auto"/>
        </w:rPr>
        <w:t>水环境影响评价</w:t>
      </w:r>
    </w:p>
    <w:p>
      <w:pPr>
        <w:pStyle w:val="8"/>
        <w:jc w:val="both"/>
        <w:rPr>
          <w:rFonts w:hint="default" w:ascii="Times New Roman" w:hAnsi="Times New Roman" w:cs="Times New Roman"/>
          <w:color w:val="auto"/>
          <w:sz w:val="24"/>
          <w:lang w:val="en-US" w:eastAsia="zh-CN"/>
        </w:rPr>
      </w:pPr>
      <w:r>
        <w:rPr>
          <w:rFonts w:hint="eastAsia" w:ascii="Times New Roman" w:hAnsi="Times New Roman" w:cs="Times New Roman"/>
          <w:color w:val="auto"/>
          <w:sz w:val="24"/>
          <w:lang w:val="en-US" w:eastAsia="zh-CN"/>
        </w:rPr>
        <w:t>本项目产生的生产废水与猪粪污一起经异位发酵床工艺处理后制成有机肥料外售，不外排。</w:t>
      </w:r>
    </w:p>
    <w:p>
      <w:pPr>
        <w:pStyle w:val="8"/>
        <w:jc w:val="both"/>
        <w:rPr>
          <w:rFonts w:hint="default" w:ascii="Times New Roman" w:hAnsi="Times New Roman" w:cs="Times New Roman"/>
          <w:color w:val="auto"/>
          <w:sz w:val="24"/>
          <w:lang w:val="en-US" w:eastAsia="zh-CN"/>
        </w:rPr>
      </w:pPr>
      <w:r>
        <w:rPr>
          <w:rFonts w:hint="eastAsia" w:ascii="Times New Roman" w:hAnsi="Times New Roman" w:cs="Times New Roman"/>
          <w:color w:val="auto"/>
          <w:sz w:val="24"/>
          <w:lang w:val="en-US" w:eastAsia="zh-CN"/>
        </w:rPr>
        <w:t>本项目产生的生活污水经地埋式一体化污水处理设施处理达到《畜禽养殖业污染物排放标准》（DB44/613-2009）中集约化畜禽养殖业水污染最高允许日排放浓度和《农田灌溉水质标准》（GB5084-2005）旱作水质标准较严者后全部回用于场内绿化</w:t>
      </w:r>
      <w:r>
        <w:rPr>
          <w:rFonts w:hint="eastAsia" w:cs="Times New Roman"/>
          <w:color w:val="auto"/>
          <w:sz w:val="24"/>
          <w:lang w:val="en-US" w:eastAsia="zh-CN"/>
        </w:rPr>
        <w:t>和附近林场灌溉</w:t>
      </w:r>
      <w:r>
        <w:rPr>
          <w:rFonts w:hint="eastAsia" w:ascii="Times New Roman" w:hAnsi="Times New Roman" w:cs="Times New Roman"/>
          <w:color w:val="auto"/>
          <w:sz w:val="24"/>
          <w:lang w:val="en-US" w:eastAsia="zh-CN"/>
        </w:rPr>
        <w:t>，不外排。</w:t>
      </w:r>
    </w:p>
    <w:p>
      <w:pPr>
        <w:pStyle w:val="9"/>
        <w:rPr>
          <w:rFonts w:hint="eastAsia"/>
        </w:rPr>
      </w:pPr>
      <w:r>
        <w:rPr>
          <w:rFonts w:hint="eastAsia" w:ascii="宋体" w:hAnsi="宋体"/>
          <w:color w:val="auto"/>
          <w:sz w:val="24"/>
          <w:lang w:val="en-US" w:eastAsia="zh-CN"/>
        </w:rPr>
        <w:t>综上所述</w:t>
      </w:r>
      <w:r>
        <w:rPr>
          <w:rFonts w:hint="eastAsia" w:ascii="Times New Roman" w:hAnsi="Times New Roman" w:cs="Times New Roman"/>
          <w:color w:val="auto"/>
          <w:sz w:val="24"/>
          <w:lang w:val="en-US" w:eastAsia="zh-CN"/>
        </w:rPr>
        <w:t>，本项目无生产及生活污水外排，对地表水环境影响较小。</w:t>
      </w:r>
    </w:p>
    <w:p>
      <w:pPr>
        <w:pStyle w:val="5"/>
        <w:ind w:firstLine="562"/>
        <w:rPr>
          <w:color w:val="auto"/>
        </w:rPr>
      </w:pPr>
      <w:r>
        <w:rPr>
          <w:rFonts w:hint="eastAsia"/>
          <w:color w:val="auto"/>
        </w:rPr>
        <w:t>地下水环境影响</w:t>
      </w:r>
    </w:p>
    <w:p>
      <w:pPr>
        <w:pStyle w:val="8"/>
        <w:rPr>
          <w:rFonts w:hint="eastAsia" w:eastAsia="宋体"/>
          <w:color w:val="auto"/>
          <w:lang w:eastAsia="zh-CN"/>
        </w:rPr>
      </w:pPr>
      <w:r>
        <w:rPr>
          <w:rFonts w:hint="eastAsia"/>
          <w:color w:val="auto"/>
          <w:lang w:eastAsia="zh-CN"/>
        </w:rPr>
        <w:t>本项目所在区域为不敏感区，影响范围主要为项目场界内，由污染途径及对应措施分析可知，项目生活区及生产区对可能产生地下水影响的各项途径均进行有效预防，在确保各项防渗措施得以落实，并加强维护和场内环境管理的前提下，可有效控制项目产生的污染物下渗现象，故本项目不存在无组织排放面源，不会产生地表径流，对地下水环境影响较小。</w:t>
      </w:r>
    </w:p>
    <w:p>
      <w:pPr>
        <w:pStyle w:val="5"/>
        <w:ind w:firstLine="562"/>
        <w:rPr>
          <w:color w:val="auto"/>
        </w:rPr>
      </w:pPr>
      <w:r>
        <w:rPr>
          <w:rFonts w:hint="eastAsia"/>
          <w:color w:val="auto"/>
          <w:lang w:eastAsia="zh-CN"/>
        </w:rPr>
        <w:t>声</w:t>
      </w:r>
      <w:r>
        <w:rPr>
          <w:rFonts w:hint="eastAsia"/>
          <w:color w:val="auto"/>
        </w:rPr>
        <w:t>环境影响</w:t>
      </w:r>
    </w:p>
    <w:p>
      <w:pPr>
        <w:pStyle w:val="8"/>
        <w:rPr>
          <w:rFonts w:hint="eastAsia"/>
          <w:color w:val="auto"/>
        </w:rPr>
      </w:pPr>
      <w:r>
        <w:rPr>
          <w:rFonts w:hint="eastAsia"/>
          <w:color w:val="auto"/>
        </w:rPr>
        <w:t xml:space="preserve">由预测结果可以看出，项目运营后，厂界昼间、夜间均达到《声质量标准》（GB3096-2008）、《工业企业厂界环境噪声排放标准》（GB12348-2008）中的1类标准。根据噪声预测结果，在正常工况下，本项目采取降噪措施后，对敏感点的影响不大，预测值可满足《声环境质量标准》（GB3096－2008）中的1类标准。 项目噪声对区域声环境质量影响不大。 </w:t>
      </w:r>
    </w:p>
    <w:p>
      <w:pPr>
        <w:pStyle w:val="5"/>
        <w:ind w:firstLine="562"/>
        <w:rPr>
          <w:color w:val="auto"/>
        </w:rPr>
      </w:pPr>
      <w:r>
        <w:rPr>
          <w:rFonts w:hint="eastAsia"/>
          <w:color w:val="auto"/>
        </w:rPr>
        <w:t>固废环境影响</w:t>
      </w:r>
    </w:p>
    <w:p>
      <w:pPr>
        <w:pStyle w:val="8"/>
        <w:rPr>
          <w:rFonts w:hint="eastAsia"/>
          <w:color w:val="auto"/>
          <w:lang w:eastAsia="zh-CN"/>
        </w:rPr>
      </w:pPr>
      <w:r>
        <w:rPr>
          <w:rFonts w:hint="eastAsia"/>
          <w:color w:val="auto"/>
          <w:lang w:eastAsia="zh-CN"/>
        </w:rPr>
        <w:t>养殖场的粪污经异位发酵床工艺处理制成有机肥料外售，病死猪采用无害化方式处理，得到的产物经异位发酵床工艺处理后制成有机肥料外售。生活垃圾由环卫部门运走统一进行处理。疫苗针头等医疗废物应设置专用储存容器，并存放于隔离间，收集后交由资质的单位进行安全处理。综上处理后，本项目产生的固体废物不会对周围环境产生明显影响。</w:t>
      </w:r>
    </w:p>
    <w:p>
      <w:pPr>
        <w:pStyle w:val="8"/>
        <w:rPr>
          <w:rFonts w:hint="default"/>
          <w:color w:val="auto"/>
          <w:lang w:val="en-US" w:eastAsia="zh-CN"/>
        </w:rPr>
      </w:pPr>
      <w:r>
        <w:rPr>
          <w:rFonts w:hint="eastAsia"/>
          <w:color w:val="auto"/>
          <w:lang w:eastAsia="zh-CN"/>
        </w:rPr>
        <w:t>猪粪废渣的处理处置执行《畜禽养殖业污染物排放标准》（</w:t>
      </w:r>
      <w:r>
        <w:rPr>
          <w:rFonts w:hint="eastAsia"/>
          <w:color w:val="auto"/>
          <w:lang w:val="en-US" w:eastAsia="zh-CN"/>
        </w:rPr>
        <w:t>DB44/613-2009</w:t>
      </w:r>
      <w:r>
        <w:rPr>
          <w:rFonts w:hint="eastAsia"/>
          <w:color w:val="auto"/>
          <w:lang w:eastAsia="zh-CN"/>
        </w:rPr>
        <w:t>）和《猪粪无害化卫生标准》。固废暂存间按照《一般工业固体废物贮存、处置现场污染控制标准》（</w:t>
      </w:r>
      <w:r>
        <w:rPr>
          <w:rFonts w:hint="eastAsia"/>
          <w:color w:val="auto"/>
          <w:lang w:val="en-US" w:eastAsia="zh-CN"/>
        </w:rPr>
        <w:t>GB18599-2001</w:t>
      </w:r>
      <w:r>
        <w:rPr>
          <w:rFonts w:hint="eastAsia"/>
          <w:color w:val="auto"/>
          <w:lang w:eastAsia="zh-CN"/>
        </w:rPr>
        <w:t>）规范建设和维护使用。危废暂存间按照《危险废物贮存污染控制标准》（</w:t>
      </w:r>
      <w:r>
        <w:rPr>
          <w:rFonts w:hint="eastAsia"/>
          <w:color w:val="auto"/>
          <w:lang w:val="en-US" w:eastAsia="zh-CN"/>
        </w:rPr>
        <w:t>GB18597-2001</w:t>
      </w:r>
      <w:r>
        <w:rPr>
          <w:rFonts w:hint="eastAsia"/>
          <w:color w:val="auto"/>
          <w:lang w:eastAsia="zh-CN"/>
        </w:rPr>
        <w:t>）规范建设和维护使用。</w:t>
      </w:r>
    </w:p>
    <w:p>
      <w:pPr>
        <w:pStyle w:val="5"/>
        <w:ind w:firstLine="562"/>
        <w:rPr>
          <w:color w:val="auto"/>
        </w:rPr>
      </w:pPr>
      <w:r>
        <w:rPr>
          <w:rFonts w:hint="eastAsia"/>
          <w:color w:val="auto"/>
          <w:lang w:eastAsia="zh-CN"/>
        </w:rPr>
        <w:t>土壤</w:t>
      </w:r>
      <w:r>
        <w:rPr>
          <w:rFonts w:hint="eastAsia"/>
          <w:color w:val="auto"/>
        </w:rPr>
        <w:t>环境影响</w:t>
      </w:r>
    </w:p>
    <w:p>
      <w:pPr>
        <w:pStyle w:val="8"/>
        <w:rPr>
          <w:color w:val="auto"/>
        </w:rPr>
      </w:pPr>
      <w:r>
        <w:rPr>
          <w:rFonts w:hint="eastAsia"/>
          <w:color w:val="auto"/>
        </w:rPr>
        <w:t>根据现场调查分析以及预测结果可知，项目的实施对建设项目场地及周边土壤环境中的评价因子均低于《土壤环境质量 农用地土壤污染风险管控标准（试行）》（GB15618-2018）筛选值标准，表明项目建设对土壤环境影响是可接受的。</w:t>
      </w:r>
    </w:p>
    <w:p>
      <w:pPr>
        <w:pStyle w:val="5"/>
        <w:ind w:firstLine="562"/>
        <w:rPr>
          <w:color w:val="auto"/>
        </w:rPr>
      </w:pPr>
      <w:r>
        <w:rPr>
          <w:rFonts w:hint="eastAsia"/>
          <w:color w:val="auto"/>
          <w:lang w:eastAsia="zh-CN"/>
        </w:rPr>
        <w:t>风险</w:t>
      </w:r>
      <w:r>
        <w:rPr>
          <w:rFonts w:hint="eastAsia"/>
          <w:color w:val="auto"/>
        </w:rPr>
        <w:t>环境影响</w:t>
      </w:r>
    </w:p>
    <w:p>
      <w:pPr>
        <w:pStyle w:val="8"/>
        <w:rPr>
          <w:color w:val="auto"/>
        </w:rPr>
      </w:pPr>
      <w:r>
        <w:rPr>
          <w:rFonts w:hint="eastAsia" w:ascii="宋体" w:hAnsi="宋体" w:eastAsia="宋体"/>
          <w:color w:val="auto"/>
          <w:sz w:val="23"/>
        </w:rPr>
        <w:t>本项目的环境风险主要是项目原材料贮存、生产等过程发生的泄漏、火灾爆炸等风险事故所引发的环境污染，由上文分析结果可知，本项目事故性排放的污染物对周围环境的影响不明显。</w:t>
      </w:r>
    </w:p>
    <w:p>
      <w:pPr>
        <w:pStyle w:val="5"/>
        <w:ind w:firstLine="562"/>
        <w:rPr>
          <w:color w:val="auto"/>
        </w:rPr>
      </w:pPr>
      <w:r>
        <w:rPr>
          <w:rFonts w:hint="eastAsia"/>
          <w:color w:val="auto"/>
          <w:lang w:eastAsia="zh-CN"/>
        </w:rPr>
        <w:t>生态</w:t>
      </w:r>
      <w:r>
        <w:rPr>
          <w:rFonts w:hint="eastAsia"/>
          <w:color w:val="auto"/>
        </w:rPr>
        <w:t>环境影响</w:t>
      </w:r>
    </w:p>
    <w:p>
      <w:pPr>
        <w:pStyle w:val="8"/>
        <w:rPr>
          <w:rFonts w:hint="eastAsia"/>
          <w:color w:val="auto"/>
        </w:rPr>
      </w:pPr>
      <w:r>
        <w:rPr>
          <w:rFonts w:hint="eastAsia"/>
          <w:color w:val="auto"/>
          <w:lang w:eastAsia="zh-CN"/>
        </w:rPr>
        <w:t xml:space="preserve">项目所在地植被覆盖率较高，不存在明显的水土流失现象，因此，项目的建设不会对当地生态环境带来明显不利影响。由于评价区以林地、农田为主，林地生态系统的连通性、阻抗稳定性和整体生态稳定性较好，评价区整体生态环境良好。项目营运期对生态环境的影响不大。 </w:t>
      </w:r>
    </w:p>
    <w:p>
      <w:pPr>
        <w:pStyle w:val="4"/>
        <w:rPr>
          <w:color w:val="auto"/>
        </w:rPr>
      </w:pPr>
      <w:bookmarkStart w:id="122" w:name="_Toc3474"/>
      <w:bookmarkStart w:id="123" w:name="_Toc32127"/>
      <w:r>
        <w:rPr>
          <w:rFonts w:hint="eastAsia" w:ascii="宋体" w:hAnsi="宋体" w:eastAsia="宋体"/>
          <w:color w:val="auto"/>
          <w:sz w:val="30"/>
        </w:rPr>
        <w:t>项目拟采取的主要环保措施</w:t>
      </w:r>
      <w:bookmarkEnd w:id="122"/>
      <w:bookmarkEnd w:id="123"/>
      <w:r>
        <w:rPr>
          <w:rFonts w:hint="eastAsia" w:ascii="宋体" w:hAnsi="宋体" w:eastAsia="宋体"/>
          <w:color w:val="auto"/>
          <w:sz w:val="30"/>
        </w:rPr>
        <w:t xml:space="preserve"> </w:t>
      </w:r>
    </w:p>
    <w:p>
      <w:pPr>
        <w:pStyle w:val="5"/>
        <w:ind w:firstLine="562"/>
        <w:rPr>
          <w:rFonts w:hint="eastAsia"/>
          <w:color w:val="auto"/>
        </w:rPr>
      </w:pPr>
      <w:r>
        <w:rPr>
          <w:rFonts w:hint="eastAsia"/>
          <w:color w:val="auto"/>
          <w:lang w:eastAsia="zh-CN"/>
        </w:rPr>
        <w:t>废气污染防治措施</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 xml:space="preserve">猪舍恶臭气体，通过及时清理猪粪、喷洒除臭剂等措施，可有效降低猪舍恶臭气体的产生量，减少无组织排放的恶臭气体对环境的大气影响。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污水处理工程的臭气，产生部位主要是厌氧池，主要污染物为H</w:t>
      </w:r>
      <w:r>
        <w:rPr>
          <w:rFonts w:hint="eastAsia"/>
          <w:sz w:val="24"/>
          <w:szCs w:val="24"/>
          <w:vertAlign w:val="subscript"/>
          <w:lang w:eastAsia="zh-CN"/>
        </w:rPr>
        <w:t>2</w:t>
      </w:r>
      <w:r>
        <w:rPr>
          <w:rFonts w:hint="eastAsia"/>
          <w:sz w:val="24"/>
          <w:szCs w:val="24"/>
          <w:lang w:eastAsia="zh-CN"/>
        </w:rPr>
        <w:t>S和NH</w:t>
      </w:r>
      <w:r>
        <w:rPr>
          <w:rFonts w:hint="eastAsia"/>
          <w:sz w:val="24"/>
          <w:szCs w:val="24"/>
          <w:vertAlign w:val="subscript"/>
          <w:lang w:eastAsia="zh-CN"/>
        </w:rPr>
        <w:t>3</w:t>
      </w:r>
      <w:r>
        <w:rPr>
          <w:rFonts w:hint="eastAsia"/>
          <w:sz w:val="24"/>
          <w:szCs w:val="24"/>
          <w:lang w:eastAsia="zh-CN"/>
        </w:rPr>
        <w:t xml:space="preserve">。对污水处理站产生恶臭的池子喷洒除臭剂，并在污水处理站和养殖区内加强绿化建设，减少恶臭的产生。 </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异位发酵床恶臭主要H</w:t>
      </w:r>
      <w:r>
        <w:rPr>
          <w:rFonts w:hint="eastAsia"/>
          <w:sz w:val="24"/>
          <w:szCs w:val="24"/>
          <w:vertAlign w:val="subscript"/>
          <w:lang w:eastAsia="zh-CN"/>
        </w:rPr>
        <w:t>2</w:t>
      </w:r>
      <w:r>
        <w:rPr>
          <w:rFonts w:hint="eastAsia"/>
          <w:sz w:val="24"/>
          <w:szCs w:val="24"/>
          <w:lang w:eastAsia="zh-CN"/>
        </w:rPr>
        <w:t>S和NH</w:t>
      </w:r>
      <w:r>
        <w:rPr>
          <w:rFonts w:hint="eastAsia"/>
          <w:sz w:val="24"/>
          <w:szCs w:val="24"/>
          <w:vertAlign w:val="subscript"/>
          <w:lang w:eastAsia="zh-CN"/>
        </w:rPr>
        <w:t>3</w:t>
      </w:r>
      <w:r>
        <w:rPr>
          <w:rFonts w:hint="eastAsia"/>
          <w:sz w:val="24"/>
          <w:szCs w:val="24"/>
          <w:lang w:eastAsia="zh-CN"/>
        </w:rPr>
        <w:t>，通过喷洒除臭剂等措施有效降低异位发酵床恶臭气体的产生量，减少无组织排放的恶臭气体对环境的大气影响。</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食堂油烟，烹饪过程产生的油烟废气经油烟净化装置处理后经专用烟道排放，其排放满足《饮食业油烟排放标准（试行）》（GB18483-2001）规定的限值2mg/m</w:t>
      </w:r>
      <w:r>
        <w:rPr>
          <w:rFonts w:hint="eastAsia"/>
          <w:sz w:val="24"/>
          <w:szCs w:val="24"/>
          <w:vertAlign w:val="superscript"/>
          <w:lang w:eastAsia="zh-CN"/>
        </w:rPr>
        <w:t>3</w:t>
      </w:r>
      <w:r>
        <w:rPr>
          <w:rFonts w:hint="eastAsia"/>
          <w:sz w:val="24"/>
          <w:szCs w:val="24"/>
          <w:lang w:eastAsia="zh-CN"/>
        </w:rPr>
        <w:t xml:space="preserve">要求。 </w:t>
      </w:r>
    </w:p>
    <w:p>
      <w:pPr>
        <w:pStyle w:val="9"/>
        <w:rPr>
          <w:rFonts w:hint="eastAsia"/>
        </w:rPr>
      </w:pPr>
      <w:r>
        <w:rPr>
          <w:rFonts w:hint="eastAsia"/>
          <w:sz w:val="24"/>
          <w:szCs w:val="24"/>
          <w:lang w:eastAsia="zh-CN"/>
        </w:rPr>
        <w:t>本项目大气污染物防治措施具体流程如下：</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1" w:firstLineChars="200"/>
        <w:jc w:val="both"/>
        <w:textAlignment w:val="auto"/>
        <w:rPr>
          <w:rFonts w:hint="eastAsia" w:eastAsia="宋体"/>
          <w:sz w:val="24"/>
          <w:szCs w:val="24"/>
          <w:lang w:eastAsia="zh-CN"/>
        </w:rPr>
      </w:pPr>
      <w:r>
        <w:rPr>
          <w:rFonts w:hint="eastAsia"/>
          <w:b/>
          <w:bCs/>
          <w:sz w:val="24"/>
          <w:szCs w:val="24"/>
          <w:lang w:eastAsia="zh-CN"/>
        </w:rPr>
        <w:t>（</w:t>
      </w:r>
      <w:r>
        <w:rPr>
          <w:rFonts w:hint="eastAsia"/>
          <w:b/>
          <w:bCs/>
          <w:sz w:val="24"/>
          <w:szCs w:val="24"/>
          <w:lang w:val="en-US" w:eastAsia="zh-CN"/>
        </w:rPr>
        <w:t>1</w:t>
      </w:r>
      <w:r>
        <w:rPr>
          <w:rFonts w:hint="eastAsia"/>
          <w:b/>
          <w:bCs/>
          <w:sz w:val="24"/>
          <w:szCs w:val="24"/>
          <w:lang w:eastAsia="zh-CN"/>
        </w:rPr>
        <w:t>）猪舍</w:t>
      </w:r>
      <w:r>
        <w:rPr>
          <w:rFonts w:hint="eastAsia"/>
          <w:sz w:val="24"/>
          <w:szCs w:val="24"/>
          <w:lang w:eastAsia="zh-CN"/>
        </w:rPr>
        <w:t>：抽风机抽风→抽风出口处喷洒除臭剂→面源排放；</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1" w:firstLineChars="200"/>
        <w:jc w:val="both"/>
        <w:textAlignment w:val="auto"/>
        <w:rPr>
          <w:rFonts w:hint="eastAsia"/>
          <w:sz w:val="24"/>
          <w:szCs w:val="24"/>
        </w:rPr>
      </w:pPr>
      <w:r>
        <w:rPr>
          <w:rFonts w:hint="eastAsia"/>
          <w:b/>
          <w:bCs/>
          <w:sz w:val="24"/>
          <w:szCs w:val="24"/>
          <w:lang w:eastAsia="zh-CN"/>
        </w:rPr>
        <w:t>（</w:t>
      </w:r>
      <w:r>
        <w:rPr>
          <w:rFonts w:hint="eastAsia"/>
          <w:b/>
          <w:bCs/>
          <w:sz w:val="24"/>
          <w:szCs w:val="24"/>
          <w:lang w:val="en-US" w:eastAsia="zh-CN"/>
        </w:rPr>
        <w:t>2</w:t>
      </w:r>
      <w:r>
        <w:rPr>
          <w:rFonts w:hint="eastAsia"/>
          <w:b/>
          <w:bCs/>
          <w:sz w:val="24"/>
          <w:szCs w:val="24"/>
          <w:lang w:eastAsia="zh-CN"/>
        </w:rPr>
        <w:t>）地埋式一体化污水处理设施</w:t>
      </w:r>
      <w:r>
        <w:rPr>
          <w:rFonts w:hint="eastAsia"/>
          <w:sz w:val="24"/>
          <w:szCs w:val="24"/>
          <w:lang w:eastAsia="zh-CN"/>
        </w:rPr>
        <w:t>：喷洒除臭剂→面源排放；</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1" w:firstLineChars="200"/>
        <w:jc w:val="both"/>
        <w:textAlignment w:val="auto"/>
        <w:rPr>
          <w:rFonts w:hint="eastAsia" w:eastAsia="宋体"/>
          <w:sz w:val="24"/>
          <w:szCs w:val="24"/>
          <w:lang w:eastAsia="zh-CN"/>
        </w:rPr>
      </w:pPr>
      <w:r>
        <w:rPr>
          <w:rFonts w:hint="eastAsia"/>
          <w:b/>
          <w:bCs/>
          <w:sz w:val="24"/>
          <w:szCs w:val="24"/>
          <w:lang w:eastAsia="zh-CN"/>
        </w:rPr>
        <w:t>（</w:t>
      </w:r>
      <w:r>
        <w:rPr>
          <w:rFonts w:hint="eastAsia"/>
          <w:b/>
          <w:bCs/>
          <w:sz w:val="24"/>
          <w:szCs w:val="24"/>
          <w:lang w:val="en-US" w:eastAsia="zh-CN"/>
        </w:rPr>
        <w:t>3</w:t>
      </w:r>
      <w:r>
        <w:rPr>
          <w:rFonts w:hint="eastAsia"/>
          <w:b/>
          <w:bCs/>
          <w:sz w:val="24"/>
          <w:szCs w:val="24"/>
          <w:lang w:eastAsia="zh-CN"/>
        </w:rPr>
        <w:t>）异位发酵床</w:t>
      </w:r>
      <w:r>
        <w:rPr>
          <w:rFonts w:hint="eastAsia"/>
          <w:sz w:val="24"/>
          <w:szCs w:val="24"/>
          <w:lang w:eastAsia="zh-CN"/>
        </w:rPr>
        <w:t>：抽风机抽风→抽风出口处喷洒除臭剂→面源排放；</w:t>
      </w:r>
    </w:p>
    <w:p>
      <w:pPr>
        <w:pStyle w:val="8"/>
        <w:keepNext w:val="0"/>
        <w:keepLines w:val="0"/>
        <w:pageBreakBefore w:val="0"/>
        <w:widowControl w:val="0"/>
        <w:kinsoku/>
        <w:wordWrap/>
        <w:overflowPunct/>
        <w:topLinePunct w:val="0"/>
        <w:autoSpaceDE w:val="0"/>
        <w:autoSpaceDN w:val="0"/>
        <w:bidi w:val="0"/>
        <w:adjustRightInd/>
        <w:snapToGrid/>
        <w:spacing w:line="360" w:lineRule="auto"/>
        <w:ind w:firstLine="481" w:firstLineChars="200"/>
        <w:jc w:val="both"/>
        <w:textAlignment w:val="auto"/>
        <w:rPr>
          <w:rFonts w:hint="default" w:eastAsia="宋体"/>
          <w:sz w:val="24"/>
          <w:szCs w:val="24"/>
          <w:lang w:val="en-US" w:eastAsia="zh-CN"/>
        </w:rPr>
      </w:pPr>
      <w:r>
        <w:rPr>
          <w:rFonts w:hint="eastAsia"/>
          <w:b/>
          <w:bCs/>
          <w:sz w:val="24"/>
          <w:szCs w:val="24"/>
          <w:lang w:eastAsia="zh-CN"/>
        </w:rPr>
        <w:t>（</w:t>
      </w:r>
      <w:r>
        <w:rPr>
          <w:rFonts w:hint="eastAsia"/>
          <w:b/>
          <w:bCs/>
          <w:sz w:val="24"/>
          <w:szCs w:val="24"/>
          <w:lang w:val="en-US" w:eastAsia="zh-CN"/>
        </w:rPr>
        <w:t>4</w:t>
      </w:r>
      <w:r>
        <w:rPr>
          <w:rFonts w:hint="eastAsia"/>
          <w:b/>
          <w:bCs/>
          <w:sz w:val="24"/>
          <w:szCs w:val="24"/>
          <w:lang w:eastAsia="zh-CN"/>
        </w:rPr>
        <w:t>）厨房油烟</w:t>
      </w:r>
      <w:r>
        <w:rPr>
          <w:rFonts w:hint="eastAsia"/>
          <w:sz w:val="24"/>
          <w:szCs w:val="24"/>
          <w:lang w:eastAsia="zh-CN"/>
        </w:rPr>
        <w:t>：收集→高效油烟净化装置处理→</w:t>
      </w:r>
      <w:r>
        <w:rPr>
          <w:rFonts w:hint="eastAsia"/>
          <w:sz w:val="24"/>
          <w:szCs w:val="24"/>
          <w:lang w:val="en-US" w:eastAsia="zh-CN"/>
        </w:rPr>
        <w:t>烟囱排放。</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cs="Times New Roman"/>
          <w:color w:val="auto"/>
          <w:sz w:val="24"/>
          <w:lang w:eastAsia="zh-CN"/>
        </w:rPr>
      </w:pPr>
      <w:r>
        <w:rPr>
          <w:rFonts w:hint="eastAsia" w:cs="Times New Roman"/>
          <w:color w:val="auto"/>
          <w:sz w:val="24"/>
          <w:lang w:eastAsia="zh-CN"/>
        </w:rPr>
        <w:t>同时本项目通过加强猪舍管理，及时清扫粪便废物；在饲料中使用微生物或植物添加剂等；养殖场进行绿化吸附和隔离恶臭污染物的散发；将猪舍、异位发酵床、污水处理设施等主要恶臭产生源分散布局，以减轻恶臭的影响，改善场区内环境。</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cs="Times New Roman"/>
          <w:color w:val="auto"/>
          <w:sz w:val="24"/>
          <w:lang w:eastAsia="zh-CN"/>
        </w:rPr>
      </w:pPr>
      <w:r>
        <w:rPr>
          <w:rFonts w:hint="eastAsia" w:cs="Times New Roman"/>
          <w:color w:val="auto"/>
          <w:sz w:val="24"/>
          <w:lang w:eastAsia="zh-CN"/>
        </w:rPr>
        <w:t>综上所述，在落实以上大气污染防治措施之后，项目对大气环境的影响较小。</w:t>
      </w:r>
    </w:p>
    <w:p>
      <w:pPr>
        <w:pStyle w:val="5"/>
        <w:ind w:firstLine="562"/>
        <w:rPr>
          <w:rFonts w:hint="eastAsia"/>
          <w:color w:val="auto"/>
        </w:rPr>
      </w:pPr>
      <w:r>
        <w:rPr>
          <w:rFonts w:hint="eastAsia"/>
          <w:color w:val="auto"/>
          <w:lang w:eastAsia="zh-CN"/>
        </w:rPr>
        <w:t>废水污染防治措施</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cs="Times New Roman"/>
          <w:color w:val="auto"/>
          <w:sz w:val="24"/>
          <w:lang w:eastAsia="zh-CN"/>
        </w:rPr>
      </w:pPr>
      <w:r>
        <w:rPr>
          <w:rFonts w:hint="eastAsia" w:cs="Times New Roman"/>
          <w:color w:val="auto"/>
          <w:sz w:val="24"/>
          <w:lang w:eastAsia="zh-CN"/>
        </w:rPr>
        <w:t>本项目产生的废水主要有猪场工作人员生活污水和猪场养殖废水。</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cs="Times New Roman"/>
          <w:color w:val="auto"/>
          <w:sz w:val="24"/>
          <w:lang w:eastAsia="zh-CN"/>
        </w:rPr>
      </w:pPr>
      <w:r>
        <w:rPr>
          <w:rFonts w:hint="eastAsia" w:cs="Times New Roman"/>
          <w:color w:val="auto"/>
          <w:sz w:val="24"/>
          <w:lang w:eastAsia="zh-CN"/>
        </w:rPr>
        <w:t>生产废水含猪粪经集液池收集，混合均匀后喷洒至异位发酵床进行发酵</w:t>
      </w:r>
      <w:r>
        <w:rPr>
          <w:rFonts w:hint="eastAsia" w:cs="Times New Roman"/>
          <w:color w:val="auto"/>
          <w:sz w:val="24"/>
          <w:lang w:val="en-US" w:eastAsia="zh-CN"/>
        </w:rPr>
        <w:t>处理后制成有机肥料外售，不外排</w:t>
      </w:r>
      <w:r>
        <w:rPr>
          <w:rFonts w:hint="eastAsia" w:cs="Times New Roman"/>
          <w:color w:val="auto"/>
          <w:sz w:val="24"/>
          <w:lang w:eastAsia="zh-CN"/>
        </w:rPr>
        <w:t>。</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cs="Times New Roman"/>
          <w:color w:val="auto"/>
          <w:sz w:val="24"/>
          <w:lang w:eastAsia="zh-CN"/>
        </w:rPr>
      </w:pPr>
      <w:r>
        <w:rPr>
          <w:rFonts w:hint="eastAsia" w:cs="Times New Roman"/>
          <w:color w:val="auto"/>
          <w:sz w:val="24"/>
          <w:lang w:val="en-US" w:eastAsia="zh-CN"/>
        </w:rPr>
        <w:t>生活污水经地埋式一体化生化处理达到《畜禽养殖业污染物排放标准》（DB44/613-2009）中集约化畜禽养殖业水污染物最高日排放浓度和《农田灌溉水质标准》（GB5084-2005）中旱作标准的较严值后全部回用场内绿化和附近林场灌溉，不外排。</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cs="Times New Roman"/>
          <w:color w:val="auto"/>
          <w:sz w:val="24"/>
          <w:lang w:eastAsia="zh-CN"/>
        </w:rPr>
      </w:pPr>
      <w:r>
        <w:rPr>
          <w:rFonts w:hint="eastAsia" w:cs="Times New Roman"/>
          <w:color w:val="auto"/>
          <w:sz w:val="24"/>
          <w:lang w:eastAsia="zh-CN"/>
        </w:rPr>
        <w:t>经上述措施处理后，废水实现资源化利用不排入地表水体，措施可行。</w:t>
      </w:r>
    </w:p>
    <w:p>
      <w:pPr>
        <w:pStyle w:val="5"/>
        <w:ind w:firstLine="562"/>
        <w:rPr>
          <w:rFonts w:hint="eastAsia"/>
          <w:color w:val="auto"/>
        </w:rPr>
      </w:pPr>
      <w:r>
        <w:rPr>
          <w:rFonts w:hint="eastAsia"/>
          <w:color w:val="auto"/>
          <w:lang w:eastAsia="zh-CN"/>
        </w:rPr>
        <w:t>地下水污染防治措施</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cs="Times New Roman"/>
          <w:color w:val="auto"/>
          <w:sz w:val="24"/>
          <w:lang w:eastAsia="zh-CN"/>
        </w:rPr>
      </w:pPr>
      <w:r>
        <w:rPr>
          <w:rFonts w:hint="eastAsia" w:cs="Times New Roman"/>
          <w:color w:val="auto"/>
          <w:sz w:val="24"/>
          <w:lang w:eastAsia="zh-CN"/>
        </w:rPr>
        <w:t>本项目运营期做好厂区分区防渗以及确保污水处理设施正常运行，对地下水影响较小，措施可行。</w:t>
      </w:r>
    </w:p>
    <w:p>
      <w:pPr>
        <w:pStyle w:val="5"/>
        <w:ind w:firstLine="562"/>
        <w:rPr>
          <w:rFonts w:hint="eastAsia"/>
          <w:color w:val="auto"/>
        </w:rPr>
      </w:pPr>
      <w:r>
        <w:rPr>
          <w:rFonts w:hint="eastAsia"/>
          <w:color w:val="auto"/>
          <w:lang w:eastAsia="zh-CN"/>
        </w:rPr>
        <w:t>噪声污染防治措施</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cs="Times New Roman"/>
          <w:color w:val="auto"/>
          <w:sz w:val="24"/>
          <w:lang w:eastAsia="zh-CN"/>
        </w:rPr>
      </w:pPr>
      <w:r>
        <w:rPr>
          <w:rFonts w:hint="eastAsia" w:cs="Times New Roman"/>
          <w:color w:val="auto"/>
          <w:sz w:val="24"/>
          <w:lang w:eastAsia="zh-CN"/>
        </w:rPr>
        <w:t xml:space="preserve">项目营运期噪声主要来源于猪舍通风设备、水泵、猪吠叫声等。通过采用按时喂食、选用低噪声设备、优化厂区布置、加强绿化等降噪措施后，项目厂界可达到《工业企业厂界环境噪声排放标准》（GB12348-2008）1类声环境功能区排放限值要求。 </w:t>
      </w:r>
    </w:p>
    <w:p>
      <w:pPr>
        <w:pStyle w:val="5"/>
        <w:ind w:firstLine="562"/>
        <w:rPr>
          <w:rFonts w:hint="eastAsia"/>
          <w:color w:val="auto"/>
        </w:rPr>
      </w:pPr>
      <w:r>
        <w:rPr>
          <w:rFonts w:hint="eastAsia"/>
          <w:color w:val="auto"/>
          <w:lang w:eastAsia="zh-CN"/>
        </w:rPr>
        <w:t>固废污染防治措施</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default" w:cs="Times New Roman"/>
          <w:color w:val="auto"/>
          <w:sz w:val="24"/>
          <w:lang w:val="en-US" w:eastAsia="zh-CN"/>
        </w:rPr>
      </w:pPr>
      <w:r>
        <w:rPr>
          <w:rFonts w:hint="eastAsia" w:cs="Times New Roman"/>
          <w:color w:val="auto"/>
          <w:sz w:val="24"/>
          <w:lang w:eastAsia="zh-CN"/>
        </w:rPr>
        <w:t>养猪场的粪污经异位发酵床工艺处理后制成有机肥料外售。病死猪按《畜禽病害肉尸及其产品无害化处理规程》（</w:t>
      </w:r>
      <w:r>
        <w:rPr>
          <w:rFonts w:hint="eastAsia" w:cs="Times New Roman"/>
          <w:color w:val="auto"/>
          <w:sz w:val="24"/>
          <w:lang w:val="en-US" w:eastAsia="zh-CN"/>
        </w:rPr>
        <w:t>GB16548-1996</w:t>
      </w:r>
      <w:r>
        <w:rPr>
          <w:rFonts w:hint="eastAsia" w:cs="Times New Roman"/>
          <w:color w:val="auto"/>
          <w:sz w:val="24"/>
          <w:lang w:eastAsia="zh-CN"/>
        </w:rPr>
        <w:t>）、农业部关于按印发《病死及病害动物无害化处理技术规范》的通知（农医发</w:t>
      </w:r>
      <w:r>
        <w:rPr>
          <w:rFonts w:hint="eastAsia" w:ascii="宋体" w:hAnsi="宋体" w:eastAsia="宋体" w:cs="宋体"/>
          <w:color w:val="auto"/>
          <w:sz w:val="24"/>
          <w:lang w:eastAsia="zh-CN"/>
        </w:rPr>
        <w:t>〔</w:t>
      </w:r>
      <w:r>
        <w:rPr>
          <w:rFonts w:hint="eastAsia" w:cs="Times New Roman"/>
          <w:color w:val="auto"/>
          <w:sz w:val="24"/>
          <w:lang w:val="en-US" w:eastAsia="zh-CN"/>
        </w:rPr>
        <w:t>2017</w:t>
      </w:r>
      <w:r>
        <w:rPr>
          <w:rFonts w:hint="eastAsia" w:ascii="宋体" w:hAnsi="宋体" w:eastAsia="宋体" w:cs="宋体"/>
          <w:color w:val="auto"/>
          <w:sz w:val="24"/>
          <w:lang w:val="en-US" w:eastAsia="zh-CN"/>
        </w:rPr>
        <w:t>〕</w:t>
      </w:r>
      <w:r>
        <w:rPr>
          <w:rFonts w:hint="eastAsia" w:cs="Times New Roman"/>
          <w:color w:val="auto"/>
          <w:sz w:val="24"/>
          <w:lang w:val="en-US" w:eastAsia="zh-CN"/>
        </w:rPr>
        <w:t>25号</w:t>
      </w:r>
      <w:r>
        <w:rPr>
          <w:rFonts w:hint="eastAsia" w:cs="Times New Roman"/>
          <w:color w:val="auto"/>
          <w:sz w:val="24"/>
          <w:lang w:eastAsia="zh-CN"/>
        </w:rPr>
        <w:t>）、《畜禽养殖染污防治技术规范》（</w:t>
      </w:r>
      <w:r>
        <w:rPr>
          <w:rFonts w:hint="eastAsia" w:cs="Times New Roman"/>
          <w:color w:val="auto"/>
          <w:sz w:val="24"/>
          <w:lang w:val="en-US" w:eastAsia="zh-CN"/>
        </w:rPr>
        <w:t>HJ/T81-2001</w:t>
      </w:r>
      <w:r>
        <w:rPr>
          <w:rFonts w:hint="eastAsia" w:cs="Times New Roman"/>
          <w:color w:val="auto"/>
          <w:sz w:val="24"/>
          <w:lang w:eastAsia="zh-CN"/>
        </w:rPr>
        <w:t>）进行无害化处理。生活垃圾设置固废暂存间定期由环卫部门清运处理。疫苗针头等医疗废物设置专用储存容器，并存放于隔离间，收集到一定数量后交由有资质的单位进行安全处置。</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cs="Times New Roman"/>
          <w:color w:val="auto"/>
          <w:sz w:val="24"/>
          <w:lang w:eastAsia="zh-CN"/>
        </w:rPr>
      </w:pPr>
      <w:r>
        <w:rPr>
          <w:rFonts w:hint="eastAsia" w:cs="Times New Roman"/>
          <w:color w:val="auto"/>
          <w:sz w:val="24"/>
          <w:lang w:eastAsia="zh-CN"/>
        </w:rPr>
        <w:t xml:space="preserve">营运期各固体废弃物污染源经采取有效措施后均可实现资源化、无害化处置，防治措施可行。 </w:t>
      </w:r>
    </w:p>
    <w:p>
      <w:pPr>
        <w:pStyle w:val="5"/>
        <w:ind w:firstLine="562"/>
        <w:rPr>
          <w:rFonts w:hint="eastAsia"/>
          <w:color w:val="auto"/>
        </w:rPr>
      </w:pPr>
      <w:r>
        <w:rPr>
          <w:rFonts w:hint="eastAsia"/>
          <w:color w:val="auto"/>
          <w:lang w:eastAsia="zh-CN"/>
        </w:rPr>
        <w:t>土壤污染防治措施</w:t>
      </w:r>
    </w:p>
    <w:p>
      <w:pPr>
        <w:pStyle w:val="8"/>
        <w:keepNext w:val="0"/>
        <w:keepLines w:val="0"/>
        <w:pageBreakBefore w:val="0"/>
        <w:widowControl w:val="0"/>
        <w:numPr>
          <w:ilvl w:val="0"/>
          <w:numId w:val="0"/>
        </w:numPr>
        <w:kinsoku/>
        <w:wordWrap/>
        <w:overflowPunct/>
        <w:topLinePunct w:val="0"/>
        <w:autoSpaceDE w:val="0"/>
        <w:autoSpaceDN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项目外购的饲料均进行成分检测，从源头控制重金属及微生物的允许量，确保饲料中不含兴奋剂、镇静剂和各种违禁药品，保证饲料的清洁性、营养性和安全性；粪便经过处理成为腐熟的有机肥再外售，禁止将未腐熟或腐熟不够的有机肥外售；结合地下水污染防治措施建设，本项目在场地内污染区建设地面的防渗措施、泄漏污染物收集措施。</w:t>
      </w:r>
    </w:p>
    <w:p>
      <w:pPr>
        <w:pStyle w:val="9"/>
        <w:rPr>
          <w:rFonts w:hint="eastAsia"/>
        </w:rPr>
      </w:pPr>
      <w:r>
        <w:rPr>
          <w:rFonts w:hint="eastAsia"/>
          <w:sz w:val="24"/>
          <w:szCs w:val="24"/>
          <w:lang w:eastAsia="zh-CN"/>
        </w:rPr>
        <w:t>综上，通过以上工程和管理措施可有效防止土壤污染，措施可行。</w:t>
      </w:r>
    </w:p>
    <w:p>
      <w:pPr>
        <w:pStyle w:val="5"/>
        <w:ind w:firstLine="562"/>
        <w:rPr>
          <w:rFonts w:hint="eastAsia"/>
          <w:color w:val="auto"/>
        </w:rPr>
      </w:pPr>
      <w:r>
        <w:rPr>
          <w:rFonts w:hint="eastAsia"/>
          <w:color w:val="auto"/>
          <w:lang w:eastAsia="zh-CN"/>
        </w:rPr>
        <w:t>环境风险防治措施</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本项目应制定切实可行的环境风险事故应急预案，当出现事故时，要采取应急措施，以控制事故和减少对环境造成的危害。并严格按照安监、消防部门的要求，落实安全风险防患措施和应急措施后，环境风险是可控的。</w:t>
      </w:r>
    </w:p>
    <w:p>
      <w:pPr>
        <w:pStyle w:val="4"/>
        <w:rPr>
          <w:color w:val="auto"/>
        </w:rPr>
      </w:pPr>
      <w:bookmarkStart w:id="124" w:name="_Toc24006"/>
      <w:bookmarkStart w:id="125" w:name="_Toc1842"/>
      <w:r>
        <w:rPr>
          <w:rFonts w:hint="eastAsia"/>
          <w:color w:val="auto"/>
        </w:rPr>
        <w:t>环境影响经济损益分析</w:t>
      </w:r>
      <w:bookmarkEnd w:id="124"/>
      <w:bookmarkEnd w:id="125"/>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default"/>
          <w:color w:val="auto"/>
          <w:sz w:val="24"/>
          <w:szCs w:val="24"/>
          <w:lang w:val="en-US" w:eastAsia="zh-CN"/>
        </w:rPr>
      </w:pPr>
      <w:r>
        <w:rPr>
          <w:rFonts w:hint="eastAsia"/>
          <w:color w:val="auto"/>
          <w:sz w:val="24"/>
          <w:szCs w:val="24"/>
          <w:lang w:eastAsia="zh-CN"/>
        </w:rPr>
        <w:t>本项目总投资</w:t>
      </w:r>
      <w:r>
        <w:rPr>
          <w:rFonts w:hint="eastAsia"/>
          <w:color w:val="auto"/>
          <w:sz w:val="24"/>
          <w:szCs w:val="24"/>
          <w:lang w:val="en-US" w:eastAsia="zh-CN"/>
        </w:rPr>
        <w:t>1280万元，其中环保投资106万元，环保投资占项目总投资比例的8.28%。本项目在采取合理的环保措施后，对周围环境产生的影响较小。项目的建设有利于当地财政收入、居民就业机会的提升、相关产业的发展，具有良好的社会效益、经济效益和环境效益。</w:t>
      </w:r>
    </w:p>
    <w:p>
      <w:pPr>
        <w:pStyle w:val="4"/>
        <w:rPr>
          <w:color w:val="auto"/>
        </w:rPr>
      </w:pPr>
      <w:bookmarkStart w:id="126" w:name="_Toc22933"/>
      <w:bookmarkStart w:id="127" w:name="_Toc10378"/>
      <w:r>
        <w:rPr>
          <w:rFonts w:hint="eastAsia"/>
          <w:color w:val="auto"/>
        </w:rPr>
        <w:t>环境管理与环境</w:t>
      </w:r>
      <w:r>
        <w:rPr>
          <w:rFonts w:hint="eastAsia"/>
          <w:color w:val="auto"/>
          <w:lang w:eastAsia="zh-CN"/>
        </w:rPr>
        <w:t>监测</w:t>
      </w:r>
      <w:bookmarkEnd w:id="126"/>
      <w:bookmarkEnd w:id="127"/>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本项目应设置环境管理专职机构，通过加强环境管理工作，同时加强施工期环境监理和运营期环境管理，定期监测，确保污染防治设施稳定达标运行。</w:t>
      </w:r>
    </w:p>
    <w:p>
      <w:pPr>
        <w:pStyle w:val="4"/>
        <w:rPr>
          <w:color w:val="auto"/>
        </w:rPr>
      </w:pPr>
      <w:bookmarkStart w:id="128" w:name="_Toc358"/>
      <w:bookmarkStart w:id="129" w:name="_Toc26385"/>
      <w:r>
        <w:rPr>
          <w:rFonts w:hint="eastAsia"/>
          <w:color w:val="auto"/>
          <w:lang w:eastAsia="zh-CN"/>
        </w:rPr>
        <w:t>清洁生产</w:t>
      </w:r>
      <w:bookmarkEnd w:id="128"/>
      <w:bookmarkEnd w:id="129"/>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经清洁生产分析，本项目的生产工艺与设备先进性、污染控制、节能降耗、清洁生产管理水平均符合清洁生产的基本要求。经核实分析，该项目不属于国家规定的淘汰养殖能力、工艺产品的范围，符合国家产业政策。此外，原料及污染物的循环利用亦符合循环经济理念。因此，在清洁生产方面，本项目达到国内先进水平。</w:t>
      </w:r>
    </w:p>
    <w:p>
      <w:pPr>
        <w:pStyle w:val="4"/>
        <w:rPr>
          <w:color w:val="auto"/>
        </w:rPr>
      </w:pPr>
      <w:bookmarkStart w:id="130" w:name="_Toc9398"/>
      <w:bookmarkStart w:id="131" w:name="_Toc7224"/>
      <w:r>
        <w:rPr>
          <w:rFonts w:hint="eastAsia"/>
          <w:color w:val="auto"/>
          <w:lang w:eastAsia="zh-CN"/>
        </w:rPr>
        <w:t>产业政策、项目选址与平面布局合理性分析结论</w:t>
      </w:r>
      <w:bookmarkEnd w:id="130"/>
      <w:bookmarkEnd w:id="131"/>
      <w:r>
        <w:rPr>
          <w:rFonts w:hint="eastAsia"/>
          <w:color w:val="auto"/>
          <w:lang w:eastAsia="zh-CN"/>
        </w:rPr>
        <w:t xml:space="preserve"> </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本项目为规模化生猪养殖，行业类别属于A0313农林牧渔业中“畜牧业类猪的饲养”，属于《产业结构调整指导目录（2019年本）》第一类鼓励类农林业第4条“畜禽标准化规模养殖技术开发与应用”项目，不位于《市场准入负面清单（2019年版）》负面清单里面，无禁止或许可事项；</w:t>
      </w:r>
      <w:r>
        <w:rPr>
          <w:rFonts w:hint="eastAsia"/>
          <w:sz w:val="24"/>
          <w:szCs w:val="24"/>
          <w:lang w:val="en-US" w:eastAsia="zh-CN"/>
        </w:rPr>
        <w:t>本项目土地为养殖用途，用地类型为设施农用地、林地，不占基本农田，同时根据土地租赁协议、选址证明，本项目用地选址合法合理。</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 xml:space="preserve">本项目不处在依法划定的自然保护区、风景名胜区、森林公园、饮用水水源保护区、文物古迹所在地、地质遗迹保护区、基本农田保护区、地质灾害危险区、生态功能保护区、生态脆弱区等区域内，本项目用地类型为设施农用地、林地，不占基本农田，项目用地合法合理。 </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同时根据分析，本项目符合</w:t>
      </w:r>
      <w:r>
        <w:rPr>
          <w:rFonts w:hint="eastAsia"/>
          <w:sz w:val="24"/>
          <w:szCs w:val="24"/>
          <w:lang w:val="en-US" w:eastAsia="zh-CN"/>
        </w:rPr>
        <w:t>《关于做好畜禽规模养殖项目环境影响评价管理工作的通知》、《韶关市生猪和家禽生产发展规划和布局（2008-2020）》、《韶关市仁化县畜禽养殖禁养区、限养区和适养区划定方案》、《广东省饮用水源水质保护条例》、《畜禽养殖业污染防治技术规范》、《畜禽规模养殖场粪污资源化利用设施建设规范（试行）》（农办牧〔2018〕2号）、《韶关市环境保护纲要（2006-2020年）》、《韶关市国民经济和社会发展第十三个五年规划纲要》的相关政策及其“三线一单”中的相关规定。</w:t>
      </w:r>
    </w:p>
    <w:p>
      <w:pPr>
        <w:pStyle w:val="4"/>
        <w:rPr>
          <w:color w:val="auto"/>
        </w:rPr>
      </w:pPr>
      <w:bookmarkStart w:id="132" w:name="_Toc769"/>
      <w:bookmarkStart w:id="133" w:name="_Toc17265"/>
      <w:r>
        <w:rPr>
          <w:rFonts w:hint="eastAsia"/>
          <w:color w:val="auto"/>
          <w:lang w:eastAsia="zh-CN"/>
        </w:rPr>
        <w:t>公众参与采纳情况</w:t>
      </w:r>
      <w:bookmarkEnd w:id="132"/>
      <w:bookmarkEnd w:id="133"/>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本项目环评阶段进行了两次公示，公示期间项目建设单位和评价单位均未收到任何反对方面的意见。</w:t>
      </w:r>
    </w:p>
    <w:p>
      <w:pPr>
        <w:keepNext w:val="0"/>
        <w:keepLines w:val="0"/>
        <w:pageBreakBefore w:val="0"/>
        <w:widowControl w:val="0"/>
        <w:kinsoku/>
        <w:wordWrap/>
        <w:overflowPunct/>
        <w:topLinePunct w:val="0"/>
        <w:bidi w:val="0"/>
        <w:adjustRightInd/>
        <w:snapToGrid/>
        <w:spacing w:line="360" w:lineRule="auto"/>
        <w:ind w:firstLine="480" w:firstLineChars="200"/>
        <w:jc w:val="both"/>
        <w:textAlignment w:val="auto"/>
        <w:rPr>
          <w:rFonts w:hint="eastAsia"/>
          <w:sz w:val="24"/>
          <w:szCs w:val="24"/>
          <w:lang w:eastAsia="zh-CN"/>
        </w:rPr>
      </w:pPr>
      <w:r>
        <w:rPr>
          <w:rFonts w:hint="eastAsia"/>
          <w:sz w:val="24"/>
          <w:szCs w:val="24"/>
          <w:lang w:eastAsia="zh-CN"/>
        </w:rPr>
        <w:t>建设单位始终以保障环境为主，在不影响村民以及能带给村民更多便利或者就业机会的情况下，做好各项环保治理措施，确保废水、废气、噪声经过处理排放时的各项指标达到相关标准，减少对周围环境的不利影响，要求政府部门加强定期监督，把对周围居民影响降到最低。本项目拟充分采纳公众意见，接受政府的监督，做好排污控制工作，将项目各污染指数降到最低。</w:t>
      </w:r>
    </w:p>
    <w:p>
      <w:pPr>
        <w:pStyle w:val="4"/>
        <w:rPr>
          <w:color w:val="auto"/>
        </w:rPr>
      </w:pPr>
      <w:bookmarkStart w:id="134" w:name="_Toc622"/>
      <w:bookmarkStart w:id="135" w:name="_Toc29338"/>
      <w:r>
        <w:rPr>
          <w:rFonts w:hint="eastAsia"/>
          <w:color w:val="auto"/>
        </w:rPr>
        <w:t>总体评价</w:t>
      </w:r>
      <w:bookmarkEnd w:id="134"/>
      <w:bookmarkEnd w:id="135"/>
    </w:p>
    <w:p>
      <w:pPr>
        <w:pStyle w:val="9"/>
        <w:rPr>
          <w:rFonts w:hint="eastAsia"/>
        </w:rPr>
      </w:pPr>
      <w:r>
        <w:rPr>
          <w:rFonts w:hint="eastAsia"/>
          <w:color w:val="auto"/>
          <w:lang w:eastAsia="zh-CN"/>
        </w:rPr>
        <w:t>本项目属于国家产业政策中的鼓励类项目，符合国家和地方畜牧业发展规划和环境保护规划的要求，选址合理，同时公众支持本项目的建设；建设单位在切实落实本评价报告所提出的各项环保措施和对策，充分保证环保投入，认真执行环保“三同时”制度，确保污染物稳定达标排放和项目排污管道防渗措施落实的前提下，可保证区域环境质量能够满足环境目标的要求。 因此，从环保角度来说，本项目建设可行。</w:t>
      </w:r>
    </w:p>
    <w:p>
      <w:pPr>
        <w:pStyle w:val="9"/>
        <w:rPr>
          <w:rFonts w:hint="eastAsia"/>
        </w:rPr>
      </w:pPr>
    </w:p>
    <w:p>
      <w:pPr>
        <w:pStyle w:val="9"/>
        <w:rPr>
          <w:rFonts w:hint="eastAsia"/>
        </w:rPr>
      </w:pPr>
    </w:p>
    <w:p>
      <w:pPr>
        <w:pStyle w:val="9"/>
        <w:rPr>
          <w:rFonts w:hint="eastAsia"/>
        </w:rPr>
      </w:pPr>
    </w:p>
    <w:p>
      <w:pPr>
        <w:pStyle w:val="9"/>
        <w:rPr>
          <w:rFonts w:hint="eastAsia"/>
        </w:rPr>
      </w:pPr>
    </w:p>
    <w:p>
      <w:pPr>
        <w:pStyle w:val="9"/>
        <w:rPr>
          <w:rFonts w:hint="eastAsia"/>
        </w:rPr>
      </w:pPr>
    </w:p>
    <w:p>
      <w:pPr>
        <w:pStyle w:val="9"/>
      </w:pPr>
    </w:p>
    <w:p>
      <w:pPr>
        <w:pStyle w:val="9"/>
      </w:pPr>
    </w:p>
    <w:p>
      <w:pPr>
        <w:pStyle w:val="9"/>
      </w:pPr>
    </w:p>
    <w:p>
      <w:pPr>
        <w:pStyle w:val="9"/>
      </w:pPr>
    </w:p>
    <w:p>
      <w:pPr>
        <w:pStyle w:val="9"/>
      </w:pPr>
    </w:p>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Nimbus Roman No9 L"/>
    <w:panose1 w:val="02020603050405020304"/>
    <w:charset w:val="80"/>
    <w:family w:val="auto"/>
    <w:pitch w:val="default"/>
    <w:sig w:usb0="00000000" w:usb1="00000000" w:usb2="00000009" w:usb3="00000000" w:csb0="400001FF" w:csb1="FFFF0000"/>
  </w:font>
  <w:font w:name="宋体">
    <w:altName w:val="方正书宋_GBK"/>
    <w:panose1 w:val="02010600030101010101"/>
    <w:charset w:val="88"/>
    <w:family w:val="swiss"/>
    <w:pitch w:val="default"/>
    <w:sig w:usb0="00000000" w:usb1="0000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altName w:val="Nimbus Roman No9 L"/>
    <w:panose1 w:val="020B0604020202020204"/>
    <w:charset w:val="01"/>
    <w:family w:val="swiss"/>
    <w:pitch w:val="default"/>
    <w:sig w:usb0="E0002AFF" w:usb1="C0007843" w:usb2="00000009" w:usb3="00000000" w:csb0="400001FF" w:csb1="FFFF0000"/>
  </w:font>
  <w:font w:name="黑体">
    <w:altName w:val="方正黑体_GBK"/>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altName w:val="Standard Symbols PS"/>
    <w:panose1 w:val="05050102010706020507"/>
    <w:charset w:val="02"/>
    <w:family w:val="roman"/>
    <w:pitch w:val="default"/>
    <w:sig w:usb0="00000000" w:usb1="00000000" w:usb2="00000000" w:usb3="00000000" w:csb0="80000000" w:csb1="00000000"/>
  </w:font>
  <w:font w:name="Calibri">
    <w:altName w:val="DejaVu Sans"/>
    <w:panose1 w:val="020F0502020204030204"/>
    <w:charset w:val="00"/>
    <w:family w:val="swiss"/>
    <w:pitch w:val="default"/>
    <w:sig w:usb0="00000000" w:usb1="00000000" w:usb2="00000001" w:usb3="00000000" w:csb0="0000019F" w:csb1="00000000"/>
  </w:font>
  <w:font w:name="楷体_GB2312">
    <w:panose1 w:val="02010609030101010101"/>
    <w:charset w:val="86"/>
    <w:family w:val="modern"/>
    <w:pitch w:val="default"/>
    <w:sig w:usb0="00000001" w:usb1="080E0000" w:usb2="00000000" w:usb3="00000000" w:csb0="00040000" w:csb1="00000000"/>
  </w:font>
  <w:font w:name="等线">
    <w:altName w:val="华文中宋"/>
    <w:panose1 w:val="02010600030101010101"/>
    <w:charset w:val="86"/>
    <w:family w:val="auto"/>
    <w:pitch w:val="default"/>
    <w:sig w:usb0="00000000" w:usb1="00000000" w:usb2="00000016" w:usb3="00000000" w:csb0="0004000F" w:csb1="00000000"/>
  </w:font>
  <w:font w:name="华文楷体">
    <w:panose1 w:val="02010600040101010101"/>
    <w:charset w:val="86"/>
    <w:family w:val="auto"/>
    <w:pitch w:val="default"/>
    <w:sig w:usb0="00000287" w:usb1="080F0000" w:usb2="00000000" w:usb3="00000000" w:csb0="0004009F" w:csb1="DFD70000"/>
  </w:font>
  <w:font w:name="华文新魏">
    <w:panose1 w:val="02010800040101010101"/>
    <w:charset w:val="86"/>
    <w:family w:val="auto"/>
    <w:pitch w:val="default"/>
    <w:sig w:usb0="00000001" w:usb1="080F0000" w:usb2="00000000" w:usb3="00000000" w:csb0="00040000" w:csb1="00000000"/>
  </w:font>
  <w:font w:name="TimesNewRoman">
    <w:altName w:val="Nimbus Roman No9 L"/>
    <w:panose1 w:val="00000000000000000000"/>
    <w:charset w:val="00"/>
    <w:family w:val="roman"/>
    <w:pitch w:val="default"/>
    <w:sig w:usb0="00000000" w:usb1="00000000" w:usb2="00000000" w:usb3="00000000" w:csb0="00000001" w:csb1="00000000"/>
  </w:font>
  <w:font w:name="仿宋_GB2312">
    <w:panose1 w:val="02010609030101010101"/>
    <w:charset w:val="86"/>
    <w:family w:val="modern"/>
    <w:pitch w:val="default"/>
    <w:sig w:usb0="00000001" w:usb1="080E0000" w:usb2="00000000" w:usb3="00000000" w:csb0="00040000" w:csb1="00000000"/>
  </w:font>
  <w:font w:name="汉鼎简书宋">
    <w:altName w:val="方正书宋_GBK"/>
    <w:panose1 w:val="02010609010101010101"/>
    <w:charset w:val="86"/>
    <w:family w:val="modern"/>
    <w:pitch w:val="default"/>
    <w:sig w:usb0="00000000" w:usb1="00000000" w:usb2="00000000" w:usb3="00000000" w:csb0="00000000" w:csb1="00000000"/>
  </w:font>
  <w:font w:name="CG Times (W1)">
    <w:altName w:val="Nimbus Roman No9 L"/>
    <w:panose1 w:val="00000000000000000000"/>
    <w:charset w:val="00"/>
    <w:family w:val="roman"/>
    <w:pitch w:val="default"/>
    <w:sig w:usb0="00000000" w:usb1="00000000" w:usb2="00000000" w:usb3="00000000" w:csb0="00000001" w:csb1="00000000"/>
  </w:font>
  <w:font w:name="等线 Light">
    <w:altName w:val="华文中宋"/>
    <w:panose1 w:val="02010600030101010101"/>
    <w:charset w:val="86"/>
    <w:family w:val="auto"/>
    <w:pitch w:val="default"/>
    <w:sig w:usb0="00000000" w:usb1="00000000" w:usb2="00000016" w:usb3="00000000" w:csb0="0004000F" w:csb1="00000000"/>
  </w:font>
  <w:font w:name="微软雅黑">
    <w:altName w:val="方正黑体_GBK"/>
    <w:panose1 w:val="020B0503020204020204"/>
    <w:charset w:val="86"/>
    <w:family w:val="swiss"/>
    <w:pitch w:val="default"/>
    <w:sig w:usb0="00000000" w:usb1="00000000" w:usb2="00000016" w:usb3="00000000" w:csb0="0004001F" w:csb1="00000000"/>
  </w:font>
  <w:font w:name="華康細圓體">
    <w:altName w:val="方正书宋_GBK"/>
    <w:panose1 w:val="00000000000000000000"/>
    <w:charset w:val="88"/>
    <w:family w:val="modern"/>
    <w:pitch w:val="default"/>
    <w:sig w:usb0="00000000" w:usb1="00000000" w:usb2="00000010" w:usb3="00000000" w:csb0="00100000" w:csb1="00000000"/>
  </w:font>
  <w:font w:name="Tms Rmn">
    <w:altName w:val="FreeSerif"/>
    <w:panose1 w:val="02020603040505020304"/>
    <w:charset w:val="00"/>
    <w:family w:val="roman"/>
    <w:pitch w:val="default"/>
    <w:sig w:usb0="00000000" w:usb1="00000000" w:usb2="00000000" w:usb3="00000000" w:csb0="00000001" w:csb1="00000000"/>
  </w:font>
  <w:font w:name="Arial Unicode MS">
    <w:altName w:val="Nimbus Roman No9 L"/>
    <w:panose1 w:val="020B0604020202020204"/>
    <w:charset w:val="86"/>
    <w:family w:val="swiss"/>
    <w:pitch w:val="default"/>
    <w:sig w:usb0="00000000" w:usb1="00000000" w:usb2="0000003F" w:usb3="00000000" w:csb0="603F01FF" w:csb1="FFFF0000"/>
  </w:font>
  <w:font w:name="Verdana">
    <w:altName w:val="Ubuntu"/>
    <w:panose1 w:val="020B0604030504040204"/>
    <w:charset w:val="00"/>
    <w:family w:val="swiss"/>
    <w:pitch w:val="default"/>
    <w:sig w:usb0="00000000" w:usb1="00000000" w:usb2="00000010" w:usb3="00000000" w:csb0="2000019F" w:csb1="00000000"/>
  </w:font>
  <w:font w:name="Cambria Math">
    <w:altName w:val="DejaVu Math TeX Gyre"/>
    <w:panose1 w:val="02040503050406030204"/>
    <w:charset w:val="00"/>
    <w:family w:val="roman"/>
    <w:pitch w:val="default"/>
    <w:sig w:usb0="00000000" w:usb1="00000000" w:usb2="00000000" w:usb3="00000000" w:csb0="2000019F" w:csb1="00000000"/>
  </w:font>
  <w:font w:name="Tahoma">
    <w:altName w:val="DejaVu Sans"/>
    <w:panose1 w:val="020B0604030504040204"/>
    <w:charset w:val="00"/>
    <w:family w:val="swiss"/>
    <w:pitch w:val="default"/>
    <w:sig w:usb0="00000000" w:usb1="00000000" w:usb2="00000029" w:usb3="00000000" w:csb0="200101FF" w:csb1="20280000"/>
  </w:font>
  <w:font w:name="华文中宋">
    <w:panose1 w:val="02010600040101010101"/>
    <w:charset w:val="86"/>
    <w:family w:val="auto"/>
    <w:pitch w:val="default"/>
    <w:sig w:usb0="00000287" w:usb1="080F0000" w:usb2="00000000" w:usb3="00000000" w:csb0="0004009F" w:csb1="DFD70000"/>
  </w:font>
  <w:font w:name="CG Times">
    <w:altName w:val="Nimbus Roman No9 L"/>
    <w:panose1 w:val="00000000000000000000"/>
    <w:charset w:val="00"/>
    <w:family w:val="roman"/>
    <w:pitch w:val="default"/>
    <w:sig w:usb0="00000000" w:usb1="00000000" w:usb2="00000000" w:usb3="00000000" w:csb0="00000093" w:csb1="00000000"/>
  </w:font>
  <w:font w:name="幼圆">
    <w:panose1 w:val="02010509060101010101"/>
    <w:charset w:val="86"/>
    <w:family w:val="modern"/>
    <w:pitch w:val="default"/>
    <w:sig w:usb0="00000001" w:usb1="080E0000" w:usb2="00000000" w:usb3="00000000" w:csb0="00040000" w:csb1="00000000"/>
  </w:font>
  <w:font w:name="隶书">
    <w:altName w:val="方正隶书_GBK"/>
    <w:panose1 w:val="02010509060101010101"/>
    <w:charset w:val="86"/>
    <w:family w:val="modern"/>
    <w:pitch w:val="default"/>
    <w:sig w:usb0="00000000" w:usb1="00000000" w:usb2="00000000" w:usb3="00000000" w:csb0="00040000" w:csb1="00000000"/>
  </w:font>
  <w:font w:name="楷体">
    <w:altName w:val="方正楷体_GBK"/>
    <w:panose1 w:val="02010609060101010101"/>
    <w:charset w:val="86"/>
    <w:family w:val="modern"/>
    <w:pitch w:val="default"/>
    <w:sig w:usb0="00000000" w:usb1="00000000" w:usb2="00000016" w:usb3="00000000" w:csb0="00040001" w:csb1="00000000"/>
  </w:font>
  <w:font w:name="Wingdings 2">
    <w:altName w:val="Standard Symbols PS"/>
    <w:panose1 w:val="05020102010507070707"/>
    <w:charset w:val="02"/>
    <w:family w:val="auto"/>
    <w:pitch w:val="default"/>
    <w:sig w:usb0="00000000" w:usb1="00000000" w:usb2="00000000" w:usb3="00000000" w:csb0="80000000" w:csb1="00000000"/>
  </w:font>
  <w:font w:name="TimesNewRomanPSMT">
    <w:altName w:val="Nimbus Roman No9 L"/>
    <w:panose1 w:val="00000000000000000000"/>
    <w:charset w:val="80"/>
    <w:family w:val="auto"/>
    <w:pitch w:val="default"/>
    <w:sig w:usb0="00000000" w:usb1="00000000" w:usb2="00000000" w:usb3="00000000" w:csb0="00020000" w:csb1="00000000"/>
  </w:font>
  <w:font w:name="方正书宋_GBK">
    <w:panose1 w:val="02000000000000000000"/>
    <w:charset w:val="86"/>
    <w:family w:val="auto"/>
    <w:pitch w:val="default"/>
    <w:sig w:usb0="00000001" w:usb1="08000000" w:usb2="00000000" w:usb3="00000000" w:csb0="00040000" w:csb1="00000000"/>
  </w:font>
  <w:font w:name="Nimbus Roman No9 L">
    <w:panose1 w:val="00000000000000000000"/>
    <w:charset w:val="00"/>
    <w:family w:val="auto"/>
    <w:pitch w:val="default"/>
    <w:sig w:usb0="00000000" w:usb1="00000000" w:usb2="00000000" w:usb3="00000000" w:csb0="00000000" w:csb1="00000000"/>
  </w:font>
  <w:font w:name="方正黑体_GBK">
    <w:panose1 w:val="03000509000000000000"/>
    <w:charset w:val="86"/>
    <w:family w:val="auto"/>
    <w:pitch w:val="default"/>
    <w:sig w:usb0="00000001" w:usb1="080E0000" w:usb2="00000000" w:usb3="00000000" w:csb0="00040000" w:csb1="00000000"/>
  </w:font>
  <w:font w:name="方正隶书_GBK">
    <w:panose1 w:val="02000000000000000000"/>
    <w:charset w:val="86"/>
    <w:family w:val="auto"/>
    <w:pitch w:val="default"/>
    <w:sig w:usb0="00000001" w:usb1="08000000" w:usb2="00000000" w:usb3="00000000" w:csb0="00040000" w:csb1="00000000"/>
  </w:font>
  <w:font w:name="方正宋体S-超大字符集">
    <w:panose1 w:val="02000000000000000000"/>
    <w:charset w:val="86"/>
    <w:family w:val="auto"/>
    <w:pitch w:val="default"/>
    <w:sig w:usb0="00000001" w:usb1="08000000" w:usb2="00000000" w:usb3="00000000" w:csb0="00040000" w:csb1="00000000"/>
  </w:font>
  <w:font w:name="DejaVu Sans">
    <w:panose1 w:val="020B0603030804020204"/>
    <w:charset w:val="00"/>
    <w:family w:val="auto"/>
    <w:pitch w:val="default"/>
    <w:sig w:usb0="E7006EFF" w:usb1="D200FDFF" w:usb2="0A246029" w:usb3="0400200C" w:csb0="600001FF" w:csb1="DFFF0000"/>
  </w:font>
  <w:font w:name="Liberation Serif">
    <w:panose1 w:val="02020603050405020304"/>
    <w:charset w:val="00"/>
    <w:family w:val="auto"/>
    <w:pitch w:val="default"/>
    <w:sig w:usb0="A00002AF" w:usb1="500078FB" w:usb2="00000000" w:usb3="00000000" w:csb0="6000009F" w:csb1="DFD70000"/>
  </w:font>
  <w:font w:name="等线">
    <w:altName w:val="URW Bookman"/>
    <w:panose1 w:val="00000000000000000000"/>
    <w:charset w:val="00"/>
    <w:family w:val="auto"/>
    <w:pitch w:val="default"/>
    <w:sig w:usb0="00000000" w:usb1="00000000" w:usb2="00000000" w:usb3="00000000" w:csb0="00000000" w:csb1="00000000"/>
  </w:font>
  <w:font w:name="URW Bookman">
    <w:panose1 w:val="00000400000000000000"/>
    <w:charset w:val="00"/>
    <w:family w:val="auto"/>
    <w:pitch w:val="default"/>
    <w:sig w:usb0="00000287" w:usb1="00000800" w:usb2="00000000" w:usb3="00000000" w:csb0="6000009F" w:csb1="00000000"/>
  </w:font>
  <w:font w:name="Standard Symbols PS">
    <w:panose1 w:val="05050102010706020507"/>
    <w:charset w:val="00"/>
    <w:family w:val="auto"/>
    <w:pitch w:val="default"/>
    <w:sig w:usb0="00000003" w:usb1="00000000" w:usb2="00000000" w:usb3="00000000" w:csb0="00000001" w:csb1="00000000"/>
  </w:font>
  <w:font w:name="Noto Sans Symbols2">
    <w:panose1 w:val="020B0502040504020204"/>
    <w:charset w:val="00"/>
    <w:family w:val="auto"/>
    <w:pitch w:val="default"/>
    <w:sig w:usb0="80000003" w:usb1="0200E3E4" w:usb2="00040020" w:usb3="0580A048"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1"/>
      <w:pBdr>
        <w:bottom w:val="none" w:color="auto" w:sz="0" w:space="0"/>
      </w:pBd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1"/>
      <w:pBdr>
        <w:top w:val="none" w:color="auto" w:sz="0" w:space="1"/>
        <w:left w:val="none" w:color="auto" w:sz="0" w:space="0"/>
        <w:bottom w:val="none" w:color="auto" w:sz="0" w:space="0"/>
        <w:right w:val="none" w:color="auto" w:sz="0" w:space="0"/>
        <w:between w:val="none" w:color="auto" w:sz="0" w:space="0"/>
      </w:pBd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1"/>
                            <w:pBdr>
                              <w:top w:val="none" w:color="auto" w:sz="0" w:space="1"/>
                              <w:left w:val="none" w:color="auto" w:sz="0" w:space="0"/>
                              <w:bottom w:val="none" w:color="auto" w:sz="0" w:space="0"/>
                              <w:right w:val="none" w:color="auto" w:sz="0" w:space="0"/>
                              <w:between w:val="none" w:color="auto" w:sz="0" w:space="0"/>
                            </w:pBdr>
                          </w:pPr>
                          <w:r>
                            <w:fldChar w:fldCharType="begin"/>
                          </w:r>
                          <w:r>
                            <w:instrText xml:space="preserve">PAGE   \* MERGEFORMAT</w:instrText>
                          </w:r>
                          <w:r>
                            <w:fldChar w:fldCharType="separate"/>
                          </w:r>
                          <w:r>
                            <w:rPr>
                              <w:lang w:val="zh-CN"/>
                            </w:rPr>
                            <w:t>V</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FgAAAGRycy9QSwECFAAUAAAACACHTuJAs0lY&#10;7tAAAAAFAQAADwAAAAAAAAABACAAAAA4AAAAZHJzL2Rvd25yZXYueG1sUEsBAhQAFAAAAAgAh07i&#10;QF7QmRUUAgAAEwQAAA4AAAAAAAAAAQAgAAAANQEAAGRycy9lMm9Eb2MueG1sUEsFBgAAAAAGAAYA&#10;WQEAALsFAAAAAA==&#10;">
              <v:fill on="f" focussize="0,0"/>
              <v:stroke on="f" weight="0.5pt"/>
              <v:imagedata o:title=""/>
              <o:lock v:ext="edit" aspectratio="f"/>
              <v:textbox inset="0mm,0mm,0mm,0mm" style="mso-fit-shape-to-text:t;">
                <w:txbxContent>
                  <w:p>
                    <w:pPr>
                      <w:pStyle w:val="41"/>
                      <w:pBdr>
                        <w:top w:val="none" w:color="auto" w:sz="0" w:space="1"/>
                        <w:left w:val="none" w:color="auto" w:sz="0" w:space="0"/>
                        <w:bottom w:val="none" w:color="auto" w:sz="0" w:space="0"/>
                        <w:right w:val="none" w:color="auto" w:sz="0" w:space="0"/>
                        <w:between w:val="none" w:color="auto" w:sz="0" w:space="0"/>
                      </w:pBdr>
                    </w:pPr>
                    <w:r>
                      <w:fldChar w:fldCharType="begin"/>
                    </w:r>
                    <w:r>
                      <w:instrText xml:space="preserve">PAGE   \* MERGEFORMAT</w:instrText>
                    </w:r>
                    <w:r>
                      <w:fldChar w:fldCharType="separate"/>
                    </w:r>
                    <w:r>
                      <w:rPr>
                        <w:lang w:val="zh-CN"/>
                      </w:rPr>
                      <w:t>V</w:t>
                    </w:r>
                    <w:r>
                      <w:rPr>
                        <w:lang w:val="zh-CN"/>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1"/>
      <w:pBdr>
        <w:top w:val="none" w:color="auto" w:sz="0" w:space="1"/>
        <w:left w:val="none" w:color="auto" w:sz="0" w:space="0"/>
        <w:bottom w:val="none" w:color="auto" w:sz="0" w:space="0"/>
        <w:right w:val="none" w:color="auto" w:sz="0" w:space="0"/>
        <w:between w:val="none" w:color="auto" w:sz="0" w:space="0"/>
      </w:pBdr>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95" name="文本框 9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0"/>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5</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BYAAABkcnMvUEsBAhQAFAAAAAgAh07iQLNJ&#10;WO7QAAAABQEAAA8AAAAAAAAAAQAgAAAAOAAAAGRycy9kb3ducmV2LnhtbFBLAQIUABQAAAAIAIdO&#10;4kBjbQNoFQIAABUEAAAOAAAAAAAAAAEAIAAAADUBAABkcnMvZTJvRG9jLnhtbFBLBQYAAAAABgAG&#10;AFkBAAC8BQAAAAA=&#10;">
              <v:fill on="f" focussize="0,0"/>
              <v:stroke on="f" weight="0.5pt"/>
              <v:imagedata o:title=""/>
              <o:lock v:ext="edit" aspectratio="f"/>
              <v:textbox inset="0mm,0mm,0mm,0mm" style="mso-fit-shape-to-text:t;">
                <w:txbxContent>
                  <w:p>
                    <w:pPr>
                      <w:pStyle w:val="40"/>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5</w:t>
                    </w:r>
                    <w:r>
                      <w:rPr>
                        <w:rFonts w:hint="eastAsia"/>
                        <w:lang w:eastAsia="zh-CN"/>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jc w:val="cente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637843599"/>
                            <w:docPartObj>
                              <w:docPartGallery w:val="autotext"/>
                            </w:docPartObj>
                          </w:sdtPr>
                          <w:sdtContent>
                            <w:p>
                              <w:pPr>
                                <w:pStyle w:val="40"/>
                                <w:jc w:val="center"/>
                              </w:pPr>
                              <w:r>
                                <w:fldChar w:fldCharType="begin"/>
                              </w:r>
                              <w:r>
                                <w:instrText xml:space="preserve">PAGE   \* MERGEFORMAT</w:instrText>
                              </w:r>
                              <w:r>
                                <w:fldChar w:fldCharType="separate"/>
                              </w:r>
                              <w:r>
                                <w:rPr>
                                  <w:lang w:val="zh-CN"/>
                                </w:rPr>
                                <w:t>58</w:t>
                              </w:r>
                              <w:r>
                                <w:rPr>
                                  <w:lang w:val="zh-CN"/>
                                </w:rPr>
                                <w:fldChar w:fldCharType="end"/>
                              </w:r>
                            </w:p>
                          </w:sdtContent>
                        </w:sdt>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BYAAABkcnMvUEsBAhQAFAAAAAgAh07iQLNJ&#10;WO7QAAAABQEAAA8AAAAAAAAAAQAgAAAAOAAAAGRycy9kb3ducmV2LnhtbFBLAQIUABQAAAAIAIdO&#10;4kD9SaEFFQIAABUEAAAOAAAAAAAAAAEAIAAAADUBAABkcnMvZTJvRG9jLnhtbFBLBQYAAAAABgAG&#10;AFkBAAC8BQAAAAA=&#10;">
              <v:fill on="f" focussize="0,0"/>
              <v:stroke on="f" weight="0.5pt"/>
              <v:imagedata o:title=""/>
              <o:lock v:ext="edit" aspectratio="f"/>
              <v:textbox inset="0mm,0mm,0mm,0mm" style="mso-fit-shape-to-text:t;">
                <w:txbxContent>
                  <w:sdt>
                    <w:sdtPr>
                      <w:id w:val="637843599"/>
                      <w:docPartObj>
                        <w:docPartGallery w:val="autotext"/>
                      </w:docPartObj>
                    </w:sdtPr>
                    <w:sdtContent>
                      <w:p>
                        <w:pPr>
                          <w:pStyle w:val="40"/>
                          <w:jc w:val="center"/>
                        </w:pPr>
                        <w:r>
                          <w:fldChar w:fldCharType="begin"/>
                        </w:r>
                        <w:r>
                          <w:instrText xml:space="preserve">PAGE   \* MERGEFORMAT</w:instrText>
                        </w:r>
                        <w:r>
                          <w:fldChar w:fldCharType="separate"/>
                        </w:r>
                        <w:r>
                          <w:rPr>
                            <w:lang w:val="zh-CN"/>
                          </w:rPr>
                          <w:t>58</w:t>
                        </w:r>
                        <w:r>
                          <w:rPr>
                            <w:lang w:val="zh-CN"/>
                          </w:rPr>
                          <w:fldChar w:fldCharType="end"/>
                        </w:r>
                      </w:p>
                    </w:sdtContent>
                  </w:sdt>
                  <w:p/>
                </w:txbxContent>
              </v:textbox>
            </v:shape>
          </w:pict>
        </mc:Fallback>
      </mc:AlternateContent>
    </w:r>
  </w:p>
  <w:p>
    <w:pPr>
      <w:pStyle w:val="4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rPr>
        <w:sz w:val="21"/>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0"/>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31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BYAAABkcnMvUEsBAhQAFAAAAAgAh07iQLNJ&#10;WO7QAAAABQEAAA8AAAAAAAAAAQAgAAAAOAAAAGRycy9kb3ducmV2LnhtbFBLAQIUABQAAAAIAIdO&#10;4kAjyxTwFQIAABMEAAAOAAAAAAAAAAEAIAAAADUBAABkcnMvZTJvRG9jLnhtbFBLBQYAAAAABgAG&#10;AFkBAAC8BQAAAAA=&#10;">
              <v:fill on="f" focussize="0,0"/>
              <v:stroke on="f" weight="0.5pt"/>
              <v:imagedata o:title=""/>
              <o:lock v:ext="edit" aspectratio="f"/>
              <v:textbox inset="0mm,0mm,0mm,0mm" style="mso-fit-shape-to-text:t;">
                <w:txbxContent>
                  <w:p>
                    <w:pPr>
                      <w:pStyle w:val="40"/>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31</w:t>
                    </w:r>
                    <w:r>
                      <w:rPr>
                        <w:rFonts w:hint="eastAsia"/>
                        <w:lang w:eastAsia="zh-CN"/>
                      </w:rP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pPr>
    <w:r>
      <w:rPr>
        <w:sz w:val="18"/>
      </w:rPr>
      <mc:AlternateContent>
        <mc:Choice Requires="wps">
          <w:drawing>
            <wp:anchor distT="0" distB="0" distL="114300" distR="114300" simplePos="0" relativeHeight="251673600" behindDoc="0" locked="0" layoutInCell="1" allowOverlap="1">
              <wp:simplePos x="0" y="0"/>
              <wp:positionH relativeFrom="margin">
                <wp:align>center</wp:align>
              </wp:positionH>
              <wp:positionV relativeFrom="paragraph">
                <wp:posOffset>0</wp:posOffset>
              </wp:positionV>
              <wp:extent cx="1828800" cy="1828800"/>
              <wp:effectExtent l="0" t="0" r="0" b="0"/>
              <wp:wrapNone/>
              <wp:docPr id="26" name="文本框 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0"/>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180</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3600;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FgAAAGRycy9QSwECFAAUAAAACACHTuJAs0lY&#10;7tAAAAAFAQAADwAAAAAAAAABACAAAAA4AAAAZHJzL2Rvd25yZXYueG1sUEsBAhQAFAAAAAgAh07i&#10;QL/hNuoUAgAAFQQAAA4AAAAAAAAAAQAgAAAANQEAAGRycy9lMm9Eb2MueG1sUEsFBgAAAAAGAAYA&#10;WQEAALsFAAAAAA==&#10;">
              <v:fill on="f" focussize="0,0"/>
              <v:stroke on="f" weight="0.5pt"/>
              <v:imagedata o:title=""/>
              <o:lock v:ext="edit" aspectratio="f"/>
              <v:textbox inset="0mm,0mm,0mm,0mm" style="mso-fit-shape-to-text:t;">
                <w:txbxContent>
                  <w:p>
                    <w:pPr>
                      <w:pStyle w:val="40"/>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180</w:t>
                    </w:r>
                    <w:r>
                      <w:rPr>
                        <w:rFonts w:hint="eastAsia"/>
                        <w:lang w:eastAsia="zh-CN"/>
                      </w:rP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jc w:val="center"/>
    </w:pPr>
    <w:r>
      <w:rPr>
        <w:sz w:val="18"/>
      </w:rP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0"/>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173</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BYAAABkcnMvUEsBAhQAFAAAAAgAh07iQLNJ&#10;WO7QAAAABQEAAA8AAAAAAAAAAQAgAAAAOAAAAGRycy9kb3ducmV2LnhtbFBLAQIUABQAAAAIAIdO&#10;4kA4H/8BFQIAABUEAAAOAAAAAAAAAAEAIAAAADUBAABkcnMvZTJvRG9jLnhtbFBLBQYAAAAABgAG&#10;AFkBAAC8BQAAAAA=&#10;">
              <v:fill on="f" focussize="0,0"/>
              <v:stroke on="f" weight="0.5pt"/>
              <v:imagedata o:title=""/>
              <o:lock v:ext="edit" aspectratio="f"/>
              <v:textbox inset="0mm,0mm,0mm,0mm" style="mso-fit-shape-to-text:t;">
                <w:txbxContent>
                  <w:p>
                    <w:pPr>
                      <w:pStyle w:val="40"/>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173</w:t>
                    </w:r>
                    <w:r>
                      <w:rPr>
                        <w:rFonts w:hint="eastAsia"/>
                        <w:lang w:eastAsia="zh-CN"/>
                      </w:rPr>
                      <w:fldChar w:fldCharType="end"/>
                    </w:r>
                  </w:p>
                </w:txbxContent>
              </v:textbox>
            </v:shape>
          </w:pict>
        </mc:Fallback>
      </mc:AlternateContent>
    </w: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31" name="文本框 3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0"/>
                            <w:jc w:val="center"/>
                          </w:pPr>
                        </w:p>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FgAAAGRycy9QSwECFAAUAAAACACHTuJAs0lY&#10;7tAAAAAFAQAADwAAAAAAAAABACAAAAA4AAAAZHJzL2Rvd25yZXYueG1sUEsBAhQAFAAAAAgAh07i&#10;QKYFfpEUAgAAFQQAAA4AAAAAAAAAAQAgAAAANQEAAGRycy9lMm9Eb2MueG1sUEsFBgAAAAAGAAYA&#10;WQEAALsFAAAAAA==&#10;">
              <v:fill on="f" focussize="0,0"/>
              <v:stroke on="f" weight="0.5pt"/>
              <v:imagedata o:title=""/>
              <o:lock v:ext="edit" aspectratio="f"/>
              <v:textbox inset="0mm,0mm,0mm,0mm" style="mso-fit-shape-to-text:t;">
                <w:txbxContent>
                  <w:p>
                    <w:pPr>
                      <w:pStyle w:val="40"/>
                      <w:jc w:val="center"/>
                    </w:pPr>
                  </w:p>
                  <w:p/>
                </w:txbxContent>
              </v:textbox>
            </v:shape>
          </w:pict>
        </mc:Fallback>
      </mc:AlternateContent>
    </w:r>
  </w:p>
  <w:p>
    <w:pPr>
      <w:pStyle w:val="4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1"/>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1"/>
      <w:pBdr>
        <w:bottom w:val="thinThickSmallGap" w:color="auto" w:sz="12" w:space="1"/>
      </w:pBdr>
    </w:pPr>
    <w:r>
      <w:rPr>
        <w:rFonts w:hint="eastAsia"/>
        <w:lang w:val="en-US" w:eastAsia="zh-CN"/>
      </w:rPr>
      <w:t>高联村寨下组现代高效化养猪场建设项目</w:t>
    </w:r>
    <w:r>
      <w:rPr>
        <w:rFonts w:hint="eastAsia"/>
      </w:rPr>
      <w:t>境影响报告书</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1"/>
      <w:pBdr>
        <w:bottom w:val="thinThickSmallGap" w:color="auto" w:sz="12" w:space="1"/>
      </w:pBdr>
    </w:pPr>
    <w:r>
      <w:rPr>
        <w:rFonts w:hint="eastAsia"/>
        <w:lang w:val="en-US" w:eastAsia="zh-CN"/>
      </w:rPr>
      <w:t>仁化县三佳畜牧有限公司高联村寨下组现代高效化养猪场建设项目</w:t>
    </w:r>
    <w:r>
      <w:rPr>
        <w:rFonts w:hint="eastAsia"/>
      </w:rPr>
      <w:t>环境影响报告书</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D77F15D"/>
    <w:multiLevelType w:val="singleLevel"/>
    <w:tmpl w:val="8D77F15D"/>
    <w:lvl w:ilvl="0" w:tentative="0">
      <w:start w:val="1"/>
      <w:numFmt w:val="decimal"/>
      <w:suff w:val="nothing"/>
      <w:lvlText w:val="（%1）"/>
      <w:lvlJc w:val="left"/>
    </w:lvl>
  </w:abstractNum>
  <w:abstractNum w:abstractNumId="1">
    <w:nsid w:val="B35C78E4"/>
    <w:multiLevelType w:val="singleLevel"/>
    <w:tmpl w:val="B35C78E4"/>
    <w:lvl w:ilvl="0" w:tentative="0">
      <w:start w:val="1"/>
      <w:numFmt w:val="decimal"/>
      <w:suff w:val="nothing"/>
      <w:lvlText w:val="（%1）"/>
      <w:lvlJc w:val="left"/>
    </w:lvl>
  </w:abstractNum>
  <w:abstractNum w:abstractNumId="2">
    <w:nsid w:val="C959343D"/>
    <w:multiLevelType w:val="singleLevel"/>
    <w:tmpl w:val="C959343D"/>
    <w:lvl w:ilvl="0" w:tentative="0">
      <w:start w:val="1"/>
      <w:numFmt w:val="decimal"/>
      <w:suff w:val="nothing"/>
      <w:lvlText w:val="（%1）"/>
      <w:lvlJc w:val="left"/>
    </w:lvl>
  </w:abstractNum>
  <w:abstractNum w:abstractNumId="3">
    <w:nsid w:val="D2482319"/>
    <w:multiLevelType w:val="singleLevel"/>
    <w:tmpl w:val="D2482319"/>
    <w:lvl w:ilvl="0" w:tentative="0">
      <w:start w:val="1"/>
      <w:numFmt w:val="decimal"/>
      <w:suff w:val="nothing"/>
      <w:lvlText w:val="（%1）"/>
      <w:lvlJc w:val="left"/>
    </w:lvl>
  </w:abstractNum>
  <w:abstractNum w:abstractNumId="4">
    <w:nsid w:val="FFFFFF7D"/>
    <w:multiLevelType w:val="singleLevel"/>
    <w:tmpl w:val="FFFFFF7D"/>
    <w:lvl w:ilvl="0" w:tentative="0">
      <w:start w:val="1"/>
      <w:numFmt w:val="decimal"/>
      <w:pStyle w:val="34"/>
      <w:lvlText w:val="%1."/>
      <w:lvlJc w:val="left"/>
      <w:pPr>
        <w:tabs>
          <w:tab w:val="left" w:pos="1620"/>
        </w:tabs>
        <w:ind w:left="1620" w:hanging="360"/>
      </w:pPr>
    </w:lvl>
  </w:abstractNum>
  <w:abstractNum w:abstractNumId="5">
    <w:nsid w:val="FFFFFF88"/>
    <w:multiLevelType w:val="singleLevel"/>
    <w:tmpl w:val="FFFFFF88"/>
    <w:lvl w:ilvl="0" w:tentative="0">
      <w:start w:val="1"/>
      <w:numFmt w:val="decimal"/>
      <w:pStyle w:val="803"/>
      <w:lvlText w:val="%1."/>
      <w:lvlJc w:val="left"/>
      <w:pPr>
        <w:tabs>
          <w:tab w:val="left" w:pos="360"/>
        </w:tabs>
        <w:ind w:left="360" w:hanging="360"/>
      </w:pPr>
    </w:lvl>
  </w:abstractNum>
  <w:abstractNum w:abstractNumId="6">
    <w:nsid w:val="00000007"/>
    <w:multiLevelType w:val="singleLevel"/>
    <w:tmpl w:val="00000007"/>
    <w:lvl w:ilvl="0" w:tentative="0">
      <w:start w:val="1"/>
      <w:numFmt w:val="decimal"/>
      <w:suff w:val="nothing"/>
      <w:lvlText w:val="（%1）"/>
      <w:lvlJc w:val="left"/>
    </w:lvl>
  </w:abstractNum>
  <w:abstractNum w:abstractNumId="7">
    <w:nsid w:val="0000000A"/>
    <w:multiLevelType w:val="singleLevel"/>
    <w:tmpl w:val="0000000A"/>
    <w:lvl w:ilvl="0" w:tentative="0">
      <w:start w:val="1"/>
      <w:numFmt w:val="decimal"/>
      <w:suff w:val="nothing"/>
      <w:lvlText w:val="（%1）"/>
      <w:lvlJc w:val="left"/>
    </w:lvl>
  </w:abstractNum>
  <w:abstractNum w:abstractNumId="8">
    <w:nsid w:val="0000000D"/>
    <w:multiLevelType w:val="singleLevel"/>
    <w:tmpl w:val="0000000D"/>
    <w:lvl w:ilvl="0" w:tentative="0">
      <w:start w:val="1"/>
      <w:numFmt w:val="decimal"/>
      <w:suff w:val="nothing"/>
      <w:lvlText w:val="（%1）"/>
      <w:lvlJc w:val="left"/>
    </w:lvl>
  </w:abstractNum>
  <w:abstractNum w:abstractNumId="9">
    <w:nsid w:val="00000013"/>
    <w:multiLevelType w:val="singleLevel"/>
    <w:tmpl w:val="00000013"/>
    <w:lvl w:ilvl="0" w:tentative="0">
      <w:start w:val="1"/>
      <w:numFmt w:val="decimal"/>
      <w:suff w:val="nothing"/>
      <w:lvlText w:val="（%1）"/>
      <w:lvlJc w:val="left"/>
    </w:lvl>
  </w:abstractNum>
  <w:abstractNum w:abstractNumId="10">
    <w:nsid w:val="00000018"/>
    <w:multiLevelType w:val="singleLevel"/>
    <w:tmpl w:val="00000018"/>
    <w:lvl w:ilvl="0" w:tentative="0">
      <w:start w:val="1"/>
      <w:numFmt w:val="decimal"/>
      <w:suff w:val="nothing"/>
      <w:lvlText w:val="%1、"/>
      <w:lvlJc w:val="left"/>
    </w:lvl>
  </w:abstractNum>
  <w:abstractNum w:abstractNumId="11">
    <w:nsid w:val="0000001E"/>
    <w:multiLevelType w:val="singleLevel"/>
    <w:tmpl w:val="0000001E"/>
    <w:lvl w:ilvl="0" w:tentative="0">
      <w:start w:val="1"/>
      <w:numFmt w:val="decimal"/>
      <w:suff w:val="nothing"/>
      <w:lvlText w:val="（%1）"/>
      <w:lvlJc w:val="left"/>
    </w:lvl>
  </w:abstractNum>
  <w:abstractNum w:abstractNumId="12">
    <w:nsid w:val="0000001F"/>
    <w:multiLevelType w:val="singleLevel"/>
    <w:tmpl w:val="0000001F"/>
    <w:lvl w:ilvl="0" w:tentative="0">
      <w:start w:val="1"/>
      <w:numFmt w:val="decimal"/>
      <w:suff w:val="nothing"/>
      <w:lvlText w:val="（%1）"/>
      <w:lvlJc w:val="left"/>
    </w:lvl>
  </w:abstractNum>
  <w:abstractNum w:abstractNumId="13">
    <w:nsid w:val="00000027"/>
    <w:multiLevelType w:val="singleLevel"/>
    <w:tmpl w:val="00000027"/>
    <w:lvl w:ilvl="0" w:tentative="0">
      <w:start w:val="1"/>
      <w:numFmt w:val="decimal"/>
      <w:suff w:val="nothing"/>
      <w:lvlText w:val="（%1）"/>
      <w:lvlJc w:val="left"/>
    </w:lvl>
  </w:abstractNum>
  <w:abstractNum w:abstractNumId="14">
    <w:nsid w:val="00000028"/>
    <w:multiLevelType w:val="singleLevel"/>
    <w:tmpl w:val="00000028"/>
    <w:lvl w:ilvl="0" w:tentative="0">
      <w:start w:val="1"/>
      <w:numFmt w:val="decimal"/>
      <w:suff w:val="nothing"/>
      <w:lvlText w:val="（%1）"/>
      <w:lvlJc w:val="left"/>
    </w:lvl>
  </w:abstractNum>
  <w:abstractNum w:abstractNumId="15">
    <w:nsid w:val="00000029"/>
    <w:multiLevelType w:val="singleLevel"/>
    <w:tmpl w:val="00000029"/>
    <w:lvl w:ilvl="0" w:tentative="0">
      <w:start w:val="1"/>
      <w:numFmt w:val="decimal"/>
      <w:suff w:val="nothing"/>
      <w:lvlText w:val="（%1）"/>
      <w:lvlJc w:val="left"/>
    </w:lvl>
  </w:abstractNum>
  <w:abstractNum w:abstractNumId="16">
    <w:nsid w:val="04CA6E2A"/>
    <w:multiLevelType w:val="multilevel"/>
    <w:tmpl w:val="04CA6E2A"/>
    <w:lvl w:ilvl="0" w:tentative="0">
      <w:start w:val="1"/>
      <w:numFmt w:val="decimal"/>
      <w:lvlText w:val="%1、"/>
      <w:lvlJc w:val="left"/>
      <w:pPr>
        <w:tabs>
          <w:tab w:val="left" w:pos="425"/>
        </w:tabs>
        <w:ind w:left="425" w:hanging="425"/>
      </w:pPr>
      <w:rPr>
        <w:rFonts w:hint="eastAsia"/>
      </w:rPr>
    </w:lvl>
    <w:lvl w:ilvl="1" w:tentative="0">
      <w:start w:val="1"/>
      <w:numFmt w:val="decimal"/>
      <w:pStyle w:val="662"/>
      <w:lvlText w:val="%1.%2"/>
      <w:lvlJc w:val="left"/>
      <w:pPr>
        <w:tabs>
          <w:tab w:val="left" w:pos="1505"/>
        </w:tabs>
        <w:ind w:left="992" w:hanging="567"/>
      </w:pPr>
      <w:rPr>
        <w:rFonts w:hint="eastAsia"/>
      </w:rPr>
    </w:lvl>
    <w:lvl w:ilvl="2" w:tentative="0">
      <w:start w:val="1"/>
      <w:numFmt w:val="decimal"/>
      <w:pStyle w:val="635"/>
      <w:lvlText w:val="%1.%2.%3"/>
      <w:lvlJc w:val="left"/>
      <w:pPr>
        <w:tabs>
          <w:tab w:val="left" w:pos="2291"/>
        </w:tabs>
        <w:ind w:left="1418" w:hanging="567"/>
      </w:pPr>
      <w:rPr>
        <w:rFonts w:hint="eastAsia"/>
      </w:rPr>
    </w:lvl>
    <w:lvl w:ilvl="3" w:tentative="0">
      <w:start w:val="1"/>
      <w:numFmt w:val="decimal"/>
      <w:lvlText w:val="%1.%2.%3.%4"/>
      <w:lvlJc w:val="left"/>
      <w:pPr>
        <w:tabs>
          <w:tab w:val="left" w:pos="3076"/>
        </w:tabs>
        <w:ind w:left="1984" w:hanging="708"/>
      </w:pPr>
      <w:rPr>
        <w:rFonts w:hint="eastAsia"/>
      </w:rPr>
    </w:lvl>
    <w:lvl w:ilvl="4" w:tentative="0">
      <w:start w:val="1"/>
      <w:numFmt w:val="decimal"/>
      <w:lvlText w:val="%1.%2.%3.%4.%5"/>
      <w:lvlJc w:val="left"/>
      <w:pPr>
        <w:tabs>
          <w:tab w:val="left" w:pos="4221"/>
        </w:tabs>
        <w:ind w:left="2551" w:hanging="850"/>
      </w:pPr>
      <w:rPr>
        <w:rFonts w:hint="eastAsia"/>
      </w:rPr>
    </w:lvl>
    <w:lvl w:ilvl="5" w:tentative="0">
      <w:start w:val="1"/>
      <w:numFmt w:val="decimal"/>
      <w:lvlText w:val="%1.%2.%3.%4.%5.%6"/>
      <w:lvlJc w:val="left"/>
      <w:pPr>
        <w:tabs>
          <w:tab w:val="left" w:pos="5006"/>
        </w:tabs>
        <w:ind w:left="3260" w:hanging="1134"/>
      </w:pPr>
      <w:rPr>
        <w:rFonts w:hint="eastAsia"/>
      </w:rPr>
    </w:lvl>
    <w:lvl w:ilvl="6" w:tentative="0">
      <w:start w:val="1"/>
      <w:numFmt w:val="decimal"/>
      <w:lvlText w:val="%1.%2.%3.%4.%5.%6.%7"/>
      <w:lvlJc w:val="left"/>
      <w:pPr>
        <w:tabs>
          <w:tab w:val="left" w:pos="6151"/>
        </w:tabs>
        <w:ind w:left="3827" w:hanging="1276"/>
      </w:pPr>
      <w:rPr>
        <w:rFonts w:hint="eastAsia"/>
      </w:rPr>
    </w:lvl>
    <w:lvl w:ilvl="7" w:tentative="0">
      <w:start w:val="1"/>
      <w:numFmt w:val="decimal"/>
      <w:lvlText w:val="%1.%2.%3.%4.%5.%6.%7.%8"/>
      <w:lvlJc w:val="left"/>
      <w:pPr>
        <w:tabs>
          <w:tab w:val="left" w:pos="6936"/>
        </w:tabs>
        <w:ind w:left="4394" w:hanging="1418"/>
      </w:pPr>
      <w:rPr>
        <w:rFonts w:hint="eastAsia"/>
      </w:rPr>
    </w:lvl>
    <w:lvl w:ilvl="8" w:tentative="0">
      <w:start w:val="1"/>
      <w:numFmt w:val="decimal"/>
      <w:lvlText w:val="%1.%2.%3.%4.%5.%6.%7.%8.%9"/>
      <w:lvlJc w:val="left"/>
      <w:pPr>
        <w:tabs>
          <w:tab w:val="left" w:pos="8082"/>
        </w:tabs>
        <w:ind w:left="5102" w:hanging="1700"/>
      </w:pPr>
      <w:rPr>
        <w:rFonts w:hint="eastAsia"/>
      </w:rPr>
    </w:lvl>
  </w:abstractNum>
  <w:abstractNum w:abstractNumId="17">
    <w:nsid w:val="253A4F56"/>
    <w:multiLevelType w:val="multilevel"/>
    <w:tmpl w:val="253A4F56"/>
    <w:lvl w:ilvl="0" w:tentative="0">
      <w:start w:val="1"/>
      <w:numFmt w:val="decimal"/>
      <w:pStyle w:val="348"/>
      <w:lvlText w:val="%1"/>
      <w:lvlJc w:val="left"/>
      <w:pPr>
        <w:tabs>
          <w:tab w:val="left" w:pos="605"/>
        </w:tabs>
        <w:ind w:left="605" w:hanging="425"/>
      </w:pPr>
      <w:rPr>
        <w:rFonts w:hint="eastAsia"/>
      </w:rPr>
    </w:lvl>
    <w:lvl w:ilvl="1" w:tentative="0">
      <w:start w:val="1"/>
      <w:numFmt w:val="decimal"/>
      <w:pStyle w:val="349"/>
      <w:lvlText w:val="%1.%2"/>
      <w:lvlJc w:val="left"/>
      <w:pPr>
        <w:tabs>
          <w:tab w:val="left" w:pos="567"/>
        </w:tabs>
        <w:ind w:left="567" w:hanging="567"/>
      </w:pPr>
    </w:lvl>
    <w:lvl w:ilvl="2" w:tentative="0">
      <w:start w:val="1"/>
      <w:numFmt w:val="decimal"/>
      <w:pStyle w:val="351"/>
      <w:lvlText w:val="%1.%2.%3"/>
      <w:lvlJc w:val="left"/>
      <w:pPr>
        <w:tabs>
          <w:tab w:val="left" w:pos="720"/>
        </w:tabs>
        <w:ind w:left="567" w:hanging="567"/>
      </w:pPr>
      <w:rPr>
        <w:color w:val="auto"/>
      </w:rPr>
    </w:lvl>
    <w:lvl w:ilvl="3" w:tentative="0">
      <w:start w:val="1"/>
      <w:numFmt w:val="decimal"/>
      <w:pStyle w:val="352"/>
      <w:lvlText w:val="%1.%2.%3.%4"/>
      <w:lvlJc w:val="left"/>
      <w:pPr>
        <w:tabs>
          <w:tab w:val="left" w:pos="1080"/>
        </w:tabs>
        <w:ind w:left="708" w:hanging="708"/>
      </w:pPr>
      <w:rPr>
        <w:color w:val="auto"/>
        <w:lang w:val="en-US"/>
      </w:rPr>
    </w:lvl>
    <w:lvl w:ilvl="4" w:tentative="0">
      <w:start w:val="1"/>
      <w:numFmt w:val="decimal"/>
      <w:lvlText w:val="%1.%2.%3.%4.%5"/>
      <w:lvlJc w:val="left"/>
      <w:pPr>
        <w:tabs>
          <w:tab w:val="left" w:pos="2781"/>
        </w:tabs>
        <w:ind w:left="2551" w:hanging="850"/>
      </w:pPr>
    </w:lvl>
    <w:lvl w:ilvl="5" w:tentative="0">
      <w:start w:val="1"/>
      <w:numFmt w:val="decimal"/>
      <w:lvlText w:val="%1.%2.%3.%4.%5.%6"/>
      <w:lvlJc w:val="left"/>
      <w:pPr>
        <w:tabs>
          <w:tab w:val="left" w:pos="3566"/>
        </w:tabs>
        <w:ind w:left="3260" w:hanging="1134"/>
      </w:pPr>
    </w:lvl>
    <w:lvl w:ilvl="6" w:tentative="0">
      <w:start w:val="1"/>
      <w:numFmt w:val="decimal"/>
      <w:lvlText w:val="%1.%2.%3.%4.%5.%6.%7"/>
      <w:lvlJc w:val="left"/>
      <w:pPr>
        <w:tabs>
          <w:tab w:val="left" w:pos="4351"/>
        </w:tabs>
        <w:ind w:left="3827" w:hanging="1276"/>
      </w:pPr>
    </w:lvl>
    <w:lvl w:ilvl="7" w:tentative="0">
      <w:start w:val="1"/>
      <w:numFmt w:val="decimal"/>
      <w:lvlText w:val="%1.%2.%3.%4.%5.%6.%7.%8"/>
      <w:lvlJc w:val="left"/>
      <w:pPr>
        <w:tabs>
          <w:tab w:val="left" w:pos="4776"/>
        </w:tabs>
        <w:ind w:left="4394" w:hanging="1418"/>
      </w:pPr>
    </w:lvl>
    <w:lvl w:ilvl="8" w:tentative="0">
      <w:start w:val="1"/>
      <w:numFmt w:val="decimal"/>
      <w:lvlText w:val="%1.%2.%3.%4.%5.%6.%7.%8.%9"/>
      <w:lvlJc w:val="left"/>
      <w:pPr>
        <w:tabs>
          <w:tab w:val="left" w:pos="5562"/>
        </w:tabs>
        <w:ind w:left="5102" w:hanging="1700"/>
      </w:pPr>
    </w:lvl>
  </w:abstractNum>
  <w:abstractNum w:abstractNumId="18">
    <w:nsid w:val="262E6267"/>
    <w:multiLevelType w:val="singleLevel"/>
    <w:tmpl w:val="262E6267"/>
    <w:lvl w:ilvl="0" w:tentative="0">
      <w:start w:val="1"/>
      <w:numFmt w:val="decimal"/>
      <w:suff w:val="nothing"/>
      <w:lvlText w:val="（%1）"/>
      <w:lvlJc w:val="left"/>
    </w:lvl>
  </w:abstractNum>
  <w:abstractNum w:abstractNumId="19">
    <w:nsid w:val="2F3B2398"/>
    <w:multiLevelType w:val="multilevel"/>
    <w:tmpl w:val="2F3B2398"/>
    <w:lvl w:ilvl="0" w:tentative="0">
      <w:start w:val="1"/>
      <w:numFmt w:val="decimal"/>
      <w:pStyle w:val="3"/>
      <w:lvlText w:val="%1."/>
      <w:lvlJc w:val="left"/>
      <w:pPr>
        <w:ind w:left="0" w:firstLine="0"/>
      </w:pPr>
      <w:rPr>
        <w:rFonts w:hint="default"/>
        <w:b/>
      </w:rPr>
    </w:lvl>
    <w:lvl w:ilvl="1" w:tentative="0">
      <w:start w:val="1"/>
      <w:numFmt w:val="decimal"/>
      <w:pStyle w:val="4"/>
      <w:lvlText w:val="%1.%2"/>
      <w:lvlJc w:val="left"/>
      <w:pPr>
        <w:ind w:left="0" w:firstLine="0"/>
      </w:pPr>
      <w:rPr>
        <w:rFonts w:hint="eastAsia"/>
      </w:rPr>
    </w:lvl>
    <w:lvl w:ilvl="2" w:tentative="0">
      <w:start w:val="1"/>
      <w:numFmt w:val="decimal"/>
      <w:pStyle w:val="5"/>
      <w:lvlText w:val="%1.%2.%3"/>
      <w:lvlJc w:val="left"/>
      <w:pPr>
        <w:ind w:left="0" w:firstLine="0"/>
      </w:pPr>
      <w:rPr>
        <w:rFonts w:hint="eastAsia"/>
      </w:rPr>
    </w:lvl>
    <w:lvl w:ilvl="3" w:tentative="0">
      <w:start w:val="1"/>
      <w:numFmt w:val="decimal"/>
      <w:pStyle w:val="6"/>
      <w:lvlText w:val="%1.%2.%3.%4"/>
      <w:lvlJc w:val="left"/>
      <w:pPr>
        <w:ind w:left="864" w:hanging="864"/>
      </w:pPr>
      <w:rPr>
        <w:rFonts w:hint="eastAsia"/>
      </w:rPr>
    </w:lvl>
    <w:lvl w:ilvl="4" w:tentative="0">
      <w:start w:val="1"/>
      <w:numFmt w:val="decimal"/>
      <w:lvlText w:val="%1.%2.%3.%4.%5"/>
      <w:lvlJc w:val="left"/>
      <w:pPr>
        <w:ind w:left="1008" w:hanging="1008"/>
      </w:pPr>
      <w:rPr>
        <w:rFonts w:hint="eastAsia"/>
      </w:rPr>
    </w:lvl>
    <w:lvl w:ilvl="5" w:tentative="0">
      <w:start w:val="1"/>
      <w:numFmt w:val="decimal"/>
      <w:lvlText w:val="%1.%2.%3.%4.%5.%6"/>
      <w:lvlJc w:val="left"/>
      <w:pPr>
        <w:ind w:left="1152" w:hanging="1152"/>
      </w:pPr>
      <w:rPr>
        <w:rFonts w:hint="eastAsia"/>
      </w:rPr>
    </w:lvl>
    <w:lvl w:ilvl="6" w:tentative="0">
      <w:start w:val="1"/>
      <w:numFmt w:val="decimal"/>
      <w:lvlText w:val="%1.%2.%3.%4.%5.%6.%7"/>
      <w:lvlJc w:val="left"/>
      <w:pPr>
        <w:ind w:left="1296" w:hanging="1296"/>
      </w:pPr>
      <w:rPr>
        <w:rFonts w:hint="eastAsia"/>
      </w:rPr>
    </w:lvl>
    <w:lvl w:ilvl="7" w:tentative="0">
      <w:start w:val="1"/>
      <w:numFmt w:val="decimal"/>
      <w:lvlText w:val="%1.%2.%3.%4.%5.%6.%7.%8"/>
      <w:lvlJc w:val="left"/>
      <w:pPr>
        <w:ind w:left="1440" w:hanging="1440"/>
      </w:pPr>
      <w:rPr>
        <w:rFonts w:hint="eastAsia"/>
      </w:rPr>
    </w:lvl>
    <w:lvl w:ilvl="8" w:tentative="0">
      <w:start w:val="1"/>
      <w:numFmt w:val="decimal"/>
      <w:lvlText w:val="%1.%2.%3.%4.%5.%6.%7.%8.%9"/>
      <w:lvlJc w:val="left"/>
      <w:pPr>
        <w:ind w:left="1584" w:hanging="1584"/>
      </w:pPr>
      <w:rPr>
        <w:rFonts w:hint="eastAsia"/>
      </w:rPr>
    </w:lvl>
  </w:abstractNum>
  <w:abstractNum w:abstractNumId="20">
    <w:nsid w:val="2FFD2E6E"/>
    <w:multiLevelType w:val="multilevel"/>
    <w:tmpl w:val="2FFD2E6E"/>
    <w:lvl w:ilvl="0" w:tentative="0">
      <w:start w:val="1"/>
      <w:numFmt w:val="decimal"/>
      <w:lvlText w:val="%1"/>
      <w:lvlJc w:val="left"/>
      <w:pPr>
        <w:tabs>
          <w:tab w:val="left" w:pos="432"/>
        </w:tabs>
        <w:ind w:left="432" w:hanging="432"/>
      </w:pPr>
      <w:rPr>
        <w:rFonts w:hint="eastAsia"/>
      </w:rPr>
    </w:lvl>
    <w:lvl w:ilvl="1" w:tentative="0">
      <w:start w:val="1"/>
      <w:numFmt w:val="decimal"/>
      <w:lvlText w:val="%1.%2"/>
      <w:lvlJc w:val="left"/>
      <w:pPr>
        <w:tabs>
          <w:tab w:val="left" w:pos="576"/>
        </w:tabs>
        <w:ind w:left="576" w:hanging="576"/>
      </w:pPr>
      <w:rPr>
        <w:rFonts w:hint="eastAsia"/>
      </w:rPr>
    </w:lvl>
    <w:lvl w:ilvl="2" w:tentative="0">
      <w:start w:val="1"/>
      <w:numFmt w:val="decimal"/>
      <w:isLgl/>
      <w:lvlText w:val="2.%2.%3"/>
      <w:lvlJc w:val="left"/>
      <w:pPr>
        <w:tabs>
          <w:tab w:val="left" w:pos="720"/>
        </w:tabs>
        <w:ind w:left="720" w:hanging="720"/>
      </w:pPr>
      <w:rPr>
        <w:rFonts w:hint="eastAsia"/>
      </w:rPr>
    </w:lvl>
    <w:lvl w:ilvl="3" w:tentative="0">
      <w:start w:val="1"/>
      <w:numFmt w:val="decimal"/>
      <w:pStyle w:val="602"/>
      <w:lvlText w:val="%1.%2.%3.%4"/>
      <w:lvlJc w:val="left"/>
      <w:pPr>
        <w:tabs>
          <w:tab w:val="left" w:pos="864"/>
        </w:tabs>
        <w:ind w:left="864" w:hanging="864"/>
      </w:pPr>
      <w:rPr>
        <w:rFonts w:hint="eastAsia"/>
      </w:rPr>
    </w:lvl>
    <w:lvl w:ilvl="4" w:tentative="0">
      <w:start w:val="1"/>
      <w:numFmt w:val="decimal"/>
      <w:lvlText w:val="%1.%2.%3.%4.%5"/>
      <w:lvlJc w:val="left"/>
      <w:pPr>
        <w:tabs>
          <w:tab w:val="left" w:pos="1008"/>
        </w:tabs>
        <w:ind w:left="1008" w:hanging="1008"/>
      </w:pPr>
      <w:rPr>
        <w:rFonts w:hint="eastAsia"/>
      </w:rPr>
    </w:lvl>
    <w:lvl w:ilvl="5" w:tentative="0">
      <w:start w:val="1"/>
      <w:numFmt w:val="decima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21">
    <w:nsid w:val="31530301"/>
    <w:multiLevelType w:val="multilevel"/>
    <w:tmpl w:val="31530301"/>
    <w:lvl w:ilvl="0" w:tentative="0">
      <w:start w:val="1"/>
      <w:numFmt w:val="decimal"/>
      <w:pStyle w:val="740"/>
      <w:lvlText w:val="%1"/>
      <w:lvlJc w:val="left"/>
      <w:pPr>
        <w:tabs>
          <w:tab w:val="left" w:pos="432"/>
        </w:tabs>
        <w:ind w:left="432" w:hanging="432"/>
      </w:pPr>
      <w:rPr>
        <w:rFonts w:hint="eastAsia"/>
      </w:rPr>
    </w:lvl>
    <w:lvl w:ilvl="1" w:tentative="0">
      <w:start w:val="3"/>
      <w:numFmt w:val="decimal"/>
      <w:lvlText w:val="%1.%2"/>
      <w:lvlJc w:val="left"/>
      <w:pPr>
        <w:tabs>
          <w:tab w:val="left" w:pos="576"/>
        </w:tabs>
        <w:ind w:left="576" w:hanging="576"/>
      </w:pPr>
      <w:rPr>
        <w:rFonts w:hint="eastAsia"/>
      </w:rPr>
    </w:lvl>
    <w:lvl w:ilvl="2" w:tentative="0">
      <w:start w:val="1"/>
      <w:numFmt w:val="decimal"/>
      <w:lvlText w:val="%1.%2.%3"/>
      <w:lvlJc w:val="left"/>
      <w:pPr>
        <w:tabs>
          <w:tab w:val="left" w:pos="720"/>
        </w:tabs>
        <w:ind w:left="720" w:hanging="720"/>
      </w:pPr>
      <w:rPr>
        <w:rFonts w:hint="eastAsia"/>
      </w:rPr>
    </w:lvl>
    <w:lvl w:ilvl="3" w:tentative="0">
      <w:start w:val="1"/>
      <w:numFmt w:val="decimal"/>
      <w:lvlText w:val="%1.%2.%3.%4"/>
      <w:lvlJc w:val="left"/>
      <w:pPr>
        <w:tabs>
          <w:tab w:val="left" w:pos="1044"/>
        </w:tabs>
        <w:ind w:left="1044" w:hanging="864"/>
      </w:pPr>
      <w:rPr>
        <w:rFonts w:hint="eastAsia"/>
      </w:rPr>
    </w:lvl>
    <w:lvl w:ilvl="4" w:tentative="0">
      <w:start w:val="1"/>
      <w:numFmt w:val="decimal"/>
      <w:lvlText w:val="%1.%2.%3.%4.%5"/>
      <w:lvlJc w:val="left"/>
      <w:pPr>
        <w:tabs>
          <w:tab w:val="left" w:pos="1008"/>
        </w:tabs>
        <w:ind w:left="1008" w:hanging="1008"/>
      </w:pPr>
      <w:rPr>
        <w:rFonts w:hint="eastAsia"/>
      </w:rPr>
    </w:lvl>
    <w:lvl w:ilvl="5" w:tentative="0">
      <w:start w:val="1"/>
      <w:numFmt w:val="decima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22">
    <w:nsid w:val="39011F0E"/>
    <w:multiLevelType w:val="multilevel"/>
    <w:tmpl w:val="39011F0E"/>
    <w:lvl w:ilvl="0" w:tentative="0">
      <w:start w:val="1"/>
      <w:numFmt w:val="decimalEnclosedCircle"/>
      <w:lvlText w:val="%1"/>
      <w:lvlJc w:val="left"/>
      <w:pPr>
        <w:ind w:left="900" w:hanging="420"/>
      </w:pPr>
      <w:rPr>
        <w:rFonts w:hint="default"/>
      </w:rPr>
    </w:lvl>
    <w:lvl w:ilvl="1" w:tentative="0">
      <w:start w:val="1"/>
      <w:numFmt w:val="lowerLetter"/>
      <w:pStyle w:val="525"/>
      <w:lvlText w:val="%2)"/>
      <w:lvlJc w:val="left"/>
      <w:pPr>
        <w:ind w:left="1320" w:hanging="420"/>
      </w:pPr>
    </w:lvl>
    <w:lvl w:ilvl="2" w:tentative="0">
      <w:start w:val="1"/>
      <w:numFmt w:val="lowerRoman"/>
      <w:pStyle w:val="645"/>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23">
    <w:nsid w:val="3EA751B1"/>
    <w:multiLevelType w:val="multilevel"/>
    <w:tmpl w:val="3EA751B1"/>
    <w:lvl w:ilvl="0" w:tentative="0">
      <w:start w:val="1"/>
      <w:numFmt w:val="decimal"/>
      <w:pStyle w:val="553"/>
      <w:isLgl/>
      <w:lvlText w:val="%1"/>
      <w:lvlJc w:val="left"/>
      <w:pPr>
        <w:tabs>
          <w:tab w:val="left" w:pos="360"/>
        </w:tabs>
        <w:ind w:left="0" w:firstLine="0"/>
      </w:pPr>
      <w:rPr>
        <w:rFonts w:hint="eastAsia"/>
      </w:rPr>
    </w:lvl>
    <w:lvl w:ilvl="1" w:tentative="0">
      <w:start w:val="1"/>
      <w:numFmt w:val="decimal"/>
      <w:pStyle w:val="701"/>
      <w:lvlText w:val="%1.%2"/>
      <w:lvlJc w:val="left"/>
      <w:pPr>
        <w:tabs>
          <w:tab w:val="left" w:pos="720"/>
        </w:tabs>
        <w:ind w:left="0" w:firstLine="0"/>
      </w:pPr>
      <w:rPr>
        <w:rFonts w:hint="eastAsia"/>
      </w:rPr>
    </w:lvl>
    <w:lvl w:ilvl="2" w:tentative="0">
      <w:start w:val="1"/>
      <w:numFmt w:val="decimal"/>
      <w:pStyle w:val="535"/>
      <w:lvlText w:val="%1.%2.%3"/>
      <w:lvlJc w:val="left"/>
      <w:pPr>
        <w:tabs>
          <w:tab w:val="left" w:pos="720"/>
        </w:tabs>
        <w:ind w:left="0" w:firstLine="0"/>
      </w:pPr>
      <w:rPr>
        <w:rFonts w:hint="eastAsia"/>
        <w:lang w:val="en-US"/>
      </w:rPr>
    </w:lvl>
    <w:lvl w:ilvl="3" w:tentative="0">
      <w:start w:val="1"/>
      <w:numFmt w:val="decimal"/>
      <w:lvlText w:val="%1.%2.%3.%4"/>
      <w:lvlJc w:val="left"/>
      <w:pPr>
        <w:tabs>
          <w:tab w:val="left" w:pos="720"/>
        </w:tabs>
        <w:ind w:left="0" w:firstLine="0"/>
      </w:pPr>
      <w:rPr>
        <w:rFonts w:hint="eastAsia"/>
        <w:lang w:eastAsia="zh-CN"/>
      </w:rPr>
    </w:lvl>
    <w:lvl w:ilvl="4" w:tentative="0">
      <w:start w:val="1"/>
      <w:numFmt w:val="decimal"/>
      <w:lvlText w:val="%1.%2.%3.%4.%5"/>
      <w:lvlJc w:val="left"/>
      <w:pPr>
        <w:tabs>
          <w:tab w:val="left" w:pos="3501"/>
        </w:tabs>
        <w:ind w:left="2551" w:hanging="850"/>
      </w:pPr>
      <w:rPr>
        <w:rFonts w:hint="eastAsia"/>
      </w:rPr>
    </w:lvl>
    <w:lvl w:ilvl="5" w:tentative="0">
      <w:start w:val="1"/>
      <w:numFmt w:val="decimal"/>
      <w:lvlText w:val="%1.%2.%3.%4.%5.%6"/>
      <w:lvlJc w:val="left"/>
      <w:pPr>
        <w:tabs>
          <w:tab w:val="left" w:pos="4286"/>
        </w:tabs>
        <w:ind w:left="3260" w:hanging="1134"/>
      </w:pPr>
      <w:rPr>
        <w:rFonts w:hint="eastAsia"/>
      </w:rPr>
    </w:lvl>
    <w:lvl w:ilvl="6" w:tentative="0">
      <w:start w:val="1"/>
      <w:numFmt w:val="decimal"/>
      <w:lvlText w:val="%1.%2.%3.%4.%5.%6.%7"/>
      <w:lvlJc w:val="left"/>
      <w:pPr>
        <w:tabs>
          <w:tab w:val="left" w:pos="5071"/>
        </w:tabs>
        <w:ind w:left="3827" w:hanging="1276"/>
      </w:pPr>
      <w:rPr>
        <w:rFonts w:hint="eastAsia"/>
      </w:rPr>
    </w:lvl>
    <w:lvl w:ilvl="7" w:tentative="0">
      <w:start w:val="1"/>
      <w:numFmt w:val="decimal"/>
      <w:lvlText w:val="%1.%2.%3.%4.%5.%6.%7.%8"/>
      <w:lvlJc w:val="left"/>
      <w:pPr>
        <w:tabs>
          <w:tab w:val="left" w:pos="5496"/>
        </w:tabs>
        <w:ind w:left="4394" w:hanging="1418"/>
      </w:pPr>
      <w:rPr>
        <w:rFonts w:hint="eastAsia"/>
      </w:rPr>
    </w:lvl>
    <w:lvl w:ilvl="8" w:tentative="0">
      <w:start w:val="1"/>
      <w:numFmt w:val="decimal"/>
      <w:lvlText w:val="%1.%2.%3.%4.%5.%6.%7.%8.%9"/>
      <w:lvlJc w:val="left"/>
      <w:pPr>
        <w:tabs>
          <w:tab w:val="left" w:pos="6282"/>
        </w:tabs>
        <w:ind w:left="5102" w:hanging="1700"/>
      </w:pPr>
      <w:rPr>
        <w:rFonts w:hint="eastAsia"/>
      </w:rPr>
    </w:lvl>
  </w:abstractNum>
  <w:abstractNum w:abstractNumId="24">
    <w:nsid w:val="41A9432C"/>
    <w:multiLevelType w:val="multilevel"/>
    <w:tmpl w:val="41A9432C"/>
    <w:lvl w:ilvl="0" w:tentative="0">
      <w:start w:val="1"/>
      <w:numFmt w:val="decimal"/>
      <w:lvlText w:val="%1"/>
      <w:lvlJc w:val="left"/>
      <w:pPr>
        <w:tabs>
          <w:tab w:val="left" w:pos="425"/>
        </w:tabs>
        <w:ind w:left="425" w:hanging="425"/>
      </w:pPr>
      <w:rPr>
        <w:color w:val="auto"/>
      </w:rPr>
    </w:lvl>
    <w:lvl w:ilvl="1" w:tentative="0">
      <w:start w:val="1"/>
      <w:numFmt w:val="decimal"/>
      <w:lvlText w:val="%1.%2"/>
      <w:lvlJc w:val="left"/>
      <w:pPr>
        <w:tabs>
          <w:tab w:val="left" w:pos="567"/>
        </w:tabs>
        <w:ind w:left="567" w:hanging="567"/>
      </w:pPr>
    </w:lvl>
    <w:lvl w:ilvl="2" w:tentative="0">
      <w:start w:val="1"/>
      <w:numFmt w:val="decimal"/>
      <w:pStyle w:val="430"/>
      <w:lvlText w:val="%1.%2.%3"/>
      <w:lvlJc w:val="left"/>
      <w:pPr>
        <w:tabs>
          <w:tab w:val="left" w:pos="1418"/>
        </w:tabs>
        <w:ind w:left="1418" w:hanging="567"/>
      </w:pPr>
      <w:rPr>
        <w:color w:val="auto"/>
      </w:rPr>
    </w:lvl>
    <w:lvl w:ilvl="3" w:tentative="0">
      <w:start w:val="1"/>
      <w:numFmt w:val="decimal"/>
      <w:lvlText w:val="%1.%2.%3.%4"/>
      <w:lvlJc w:val="left"/>
      <w:pPr>
        <w:tabs>
          <w:tab w:val="left" w:pos="1984"/>
        </w:tabs>
        <w:ind w:left="1984" w:hanging="708"/>
      </w:pPr>
      <w:rPr>
        <w:b w:val="0"/>
      </w:r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5">
    <w:nsid w:val="43C109B0"/>
    <w:multiLevelType w:val="multilevel"/>
    <w:tmpl w:val="43C109B0"/>
    <w:lvl w:ilvl="0" w:tentative="0">
      <w:start w:val="1"/>
      <w:numFmt w:val="decimal"/>
      <w:lvlText w:val="%1"/>
      <w:lvlJc w:val="left"/>
      <w:pPr>
        <w:tabs>
          <w:tab w:val="left" w:pos="432"/>
        </w:tabs>
        <w:ind w:left="432" w:hanging="432"/>
      </w:pPr>
      <w:rPr>
        <w:rFonts w:hint="eastAsia"/>
      </w:rPr>
    </w:lvl>
    <w:lvl w:ilvl="1" w:tentative="0">
      <w:start w:val="1"/>
      <w:numFmt w:val="decimal"/>
      <w:pStyle w:val="538"/>
      <w:lvlText w:val="%1.%2"/>
      <w:lvlJc w:val="left"/>
      <w:pPr>
        <w:tabs>
          <w:tab w:val="left" w:pos="576"/>
        </w:tabs>
        <w:ind w:left="576" w:hanging="576"/>
      </w:pPr>
      <w:rPr>
        <w:rFonts w:hint="eastAsia"/>
      </w:rPr>
    </w:lvl>
    <w:lvl w:ilvl="2" w:tentative="0">
      <w:start w:val="1"/>
      <w:numFmt w:val="decimal"/>
      <w:pStyle w:val="768"/>
      <w:lvlText w:val="%1.%2.%3"/>
      <w:lvlJc w:val="left"/>
      <w:pPr>
        <w:tabs>
          <w:tab w:val="left" w:pos="720"/>
        </w:tabs>
        <w:ind w:left="720" w:hanging="720"/>
      </w:pPr>
      <w:rPr>
        <w:rFonts w:hint="eastAsia"/>
      </w:rPr>
    </w:lvl>
    <w:lvl w:ilvl="3" w:tentative="0">
      <w:start w:val="1"/>
      <w:numFmt w:val="decimal"/>
      <w:pStyle w:val="753"/>
      <w:lvlText w:val="%1.%2.%3.%4"/>
      <w:lvlJc w:val="left"/>
      <w:pPr>
        <w:tabs>
          <w:tab w:val="left" w:pos="1044"/>
        </w:tabs>
        <w:ind w:left="1044" w:hanging="864"/>
      </w:pPr>
      <w:rPr>
        <w:rFonts w:hint="eastAsia"/>
      </w:rPr>
    </w:lvl>
    <w:lvl w:ilvl="4" w:tentative="0">
      <w:start w:val="1"/>
      <w:numFmt w:val="decimal"/>
      <w:lvlText w:val="%1.%2.%3.%4.%5"/>
      <w:lvlJc w:val="left"/>
      <w:pPr>
        <w:tabs>
          <w:tab w:val="left" w:pos="1008"/>
        </w:tabs>
        <w:ind w:left="1008" w:hanging="1008"/>
      </w:pPr>
      <w:rPr>
        <w:rFonts w:hint="eastAsia"/>
      </w:rPr>
    </w:lvl>
    <w:lvl w:ilvl="5" w:tentative="0">
      <w:start w:val="1"/>
      <w:numFmt w:val="decima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26">
    <w:nsid w:val="4CEC45CD"/>
    <w:multiLevelType w:val="multilevel"/>
    <w:tmpl w:val="4CEC45CD"/>
    <w:lvl w:ilvl="0" w:tentative="0">
      <w:start w:val="1"/>
      <w:numFmt w:val="decimal"/>
      <w:lvlText w:val="%1"/>
      <w:lvlJc w:val="left"/>
      <w:pPr>
        <w:tabs>
          <w:tab w:val="left" w:pos="0"/>
        </w:tabs>
        <w:ind w:left="0" w:firstLine="0"/>
      </w:pPr>
      <w:rPr>
        <w:rFonts w:hint="eastAsia"/>
      </w:rPr>
    </w:lvl>
    <w:lvl w:ilvl="1" w:tentative="0">
      <w:start w:val="1"/>
      <w:numFmt w:val="decimal"/>
      <w:lvlText w:val="%1.%2"/>
      <w:lvlJc w:val="left"/>
      <w:pPr>
        <w:tabs>
          <w:tab w:val="left" w:pos="709"/>
        </w:tabs>
        <w:ind w:left="709" w:firstLine="0"/>
      </w:pPr>
      <w:rPr>
        <w:rFonts w:hint="eastAsia"/>
      </w:rPr>
    </w:lvl>
    <w:lvl w:ilvl="2" w:tentative="0">
      <w:start w:val="1"/>
      <w:numFmt w:val="decimal"/>
      <w:pStyle w:val="489"/>
      <w:lvlText w:val="%1.%2.%3"/>
      <w:lvlJc w:val="left"/>
      <w:pPr>
        <w:tabs>
          <w:tab w:val="left" w:pos="8221"/>
        </w:tabs>
        <w:ind w:left="6520" w:firstLine="0"/>
      </w:pPr>
      <w:rPr>
        <w:rFonts w:hint="eastAsia"/>
        <w:b w:val="0"/>
        <w:bCs w:val="0"/>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3" w:tentative="0">
      <w:start w:val="1"/>
      <w:numFmt w:val="decimal"/>
      <w:lvlText w:val="%1.%2.%3.%4"/>
      <w:lvlJc w:val="left"/>
      <w:pPr>
        <w:tabs>
          <w:tab w:val="left" w:pos="1134"/>
        </w:tabs>
        <w:ind w:left="680" w:firstLine="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shadow w14:blurRad="0" w14:dist="0" w14:dir="0" w14:sx="0" w14:sy="0" w14:kx="0" w14:ky="0" w14:algn="none">
          <w14:srgbClr w14:val="000000"/>
        </w14:shadow>
      </w:rPr>
    </w:lvl>
    <w:lvl w:ilvl="4" w:tentative="0">
      <w:start w:val="1"/>
      <w:numFmt w:val="decimal"/>
      <w:pStyle w:val="485"/>
      <w:lvlText w:val="%1.%2.%3.%4.%5"/>
      <w:lvlJc w:val="left"/>
      <w:pPr>
        <w:tabs>
          <w:tab w:val="left" w:pos="1008"/>
        </w:tabs>
        <w:ind w:left="1008" w:hanging="1008"/>
      </w:pPr>
      <w:rPr>
        <w:rFonts w:hint="eastAsia"/>
      </w:rPr>
    </w:lvl>
    <w:lvl w:ilvl="5" w:tentative="0">
      <w:start w:val="1"/>
      <w:numFmt w:val="decimal"/>
      <w:pStyle w:val="10"/>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27">
    <w:nsid w:val="5F5A5AF4"/>
    <w:multiLevelType w:val="singleLevel"/>
    <w:tmpl w:val="5F5A5AF4"/>
    <w:lvl w:ilvl="0" w:tentative="0">
      <w:start w:val="1"/>
      <w:numFmt w:val="decimal"/>
      <w:suff w:val="nothing"/>
      <w:lvlText w:val="（%1）"/>
      <w:lvlJc w:val="left"/>
    </w:lvl>
  </w:abstractNum>
  <w:abstractNum w:abstractNumId="28">
    <w:nsid w:val="62B517EA"/>
    <w:multiLevelType w:val="multilevel"/>
    <w:tmpl w:val="62B517EA"/>
    <w:lvl w:ilvl="0" w:tentative="0">
      <w:start w:val="1"/>
      <w:numFmt w:val="decimal"/>
      <w:lvlText w:val="%1）"/>
      <w:lvlJc w:val="left"/>
      <w:pPr>
        <w:ind w:left="1572" w:hanging="1005"/>
      </w:pPr>
      <w:rPr>
        <w:rFonts w:hint="default"/>
      </w:rPr>
    </w:lvl>
    <w:lvl w:ilvl="1" w:tentative="0">
      <w:start w:val="1"/>
      <w:numFmt w:val="lowerLetter"/>
      <w:lvlText w:val="%2)"/>
      <w:lvlJc w:val="left"/>
      <w:pPr>
        <w:ind w:left="1407" w:hanging="420"/>
      </w:pPr>
    </w:lvl>
    <w:lvl w:ilvl="2" w:tentative="0">
      <w:start w:val="1"/>
      <w:numFmt w:val="lowerRoman"/>
      <w:lvlText w:val="%3."/>
      <w:lvlJc w:val="right"/>
      <w:pPr>
        <w:ind w:left="1827" w:hanging="420"/>
      </w:pPr>
    </w:lvl>
    <w:lvl w:ilvl="3" w:tentative="0">
      <w:start w:val="1"/>
      <w:numFmt w:val="decimal"/>
      <w:lvlText w:val="%4."/>
      <w:lvlJc w:val="left"/>
      <w:pPr>
        <w:ind w:left="2247" w:hanging="420"/>
      </w:pPr>
    </w:lvl>
    <w:lvl w:ilvl="4" w:tentative="0">
      <w:start w:val="1"/>
      <w:numFmt w:val="lowerLetter"/>
      <w:pStyle w:val="785"/>
      <w:lvlText w:val="%5)"/>
      <w:lvlJc w:val="left"/>
      <w:pPr>
        <w:ind w:left="2667" w:hanging="420"/>
      </w:pPr>
    </w:lvl>
    <w:lvl w:ilvl="5" w:tentative="0">
      <w:start w:val="1"/>
      <w:numFmt w:val="lowerRoman"/>
      <w:pStyle w:val="698"/>
      <w:lvlText w:val="%6."/>
      <w:lvlJc w:val="right"/>
      <w:pPr>
        <w:ind w:left="3087" w:hanging="420"/>
      </w:pPr>
    </w:lvl>
    <w:lvl w:ilvl="6" w:tentative="0">
      <w:start w:val="1"/>
      <w:numFmt w:val="decimal"/>
      <w:lvlText w:val="%7."/>
      <w:lvlJc w:val="left"/>
      <w:pPr>
        <w:ind w:left="3507" w:hanging="420"/>
      </w:pPr>
    </w:lvl>
    <w:lvl w:ilvl="7" w:tentative="0">
      <w:start w:val="1"/>
      <w:numFmt w:val="lowerLetter"/>
      <w:lvlText w:val="%8)"/>
      <w:lvlJc w:val="left"/>
      <w:pPr>
        <w:ind w:left="3927" w:hanging="420"/>
      </w:pPr>
    </w:lvl>
    <w:lvl w:ilvl="8" w:tentative="0">
      <w:start w:val="1"/>
      <w:numFmt w:val="lowerRoman"/>
      <w:lvlText w:val="%9."/>
      <w:lvlJc w:val="right"/>
      <w:pPr>
        <w:ind w:left="4347" w:hanging="420"/>
      </w:pPr>
    </w:lvl>
  </w:abstractNum>
  <w:abstractNum w:abstractNumId="29">
    <w:nsid w:val="66B88F30"/>
    <w:multiLevelType w:val="singleLevel"/>
    <w:tmpl w:val="66B88F30"/>
    <w:lvl w:ilvl="0" w:tentative="0">
      <w:start w:val="1"/>
      <w:numFmt w:val="decimal"/>
      <w:suff w:val="nothing"/>
      <w:lvlText w:val="%1）"/>
      <w:lvlJc w:val="left"/>
    </w:lvl>
  </w:abstractNum>
  <w:abstractNum w:abstractNumId="30">
    <w:nsid w:val="7AE0BA82"/>
    <w:multiLevelType w:val="singleLevel"/>
    <w:tmpl w:val="7AE0BA82"/>
    <w:lvl w:ilvl="0" w:tentative="0">
      <w:start w:val="1"/>
      <w:numFmt w:val="decimal"/>
      <w:suff w:val="nothing"/>
      <w:lvlText w:val="（%1）"/>
      <w:lvlJc w:val="left"/>
    </w:lvl>
  </w:abstractNum>
  <w:num w:numId="1">
    <w:abstractNumId w:val="19"/>
  </w:num>
  <w:num w:numId="2">
    <w:abstractNumId w:val="26"/>
  </w:num>
  <w:num w:numId="3">
    <w:abstractNumId w:val="4"/>
  </w:num>
  <w:num w:numId="4">
    <w:abstractNumId w:val="17"/>
  </w:num>
  <w:num w:numId="5">
    <w:abstractNumId w:val="24"/>
  </w:num>
  <w:num w:numId="6">
    <w:abstractNumId w:val="22"/>
  </w:num>
  <w:num w:numId="7">
    <w:abstractNumId w:val="23"/>
  </w:num>
  <w:num w:numId="8">
    <w:abstractNumId w:val="25"/>
  </w:num>
  <w:num w:numId="9">
    <w:abstractNumId w:val="20"/>
  </w:num>
  <w:num w:numId="10">
    <w:abstractNumId w:val="16"/>
  </w:num>
  <w:num w:numId="11">
    <w:abstractNumId w:val="28"/>
  </w:num>
  <w:num w:numId="12">
    <w:abstractNumId w:val="21"/>
  </w:num>
  <w:num w:numId="13">
    <w:abstractNumId w:val="5"/>
  </w:num>
  <w:num w:numId="14">
    <w:abstractNumId w:val="0"/>
  </w:num>
  <w:num w:numId="15">
    <w:abstractNumId w:val="27"/>
  </w:num>
  <w:num w:numId="16">
    <w:abstractNumId w:val="29"/>
  </w:num>
  <w:num w:numId="17">
    <w:abstractNumId w:val="3"/>
  </w:num>
  <w:num w:numId="18">
    <w:abstractNumId w:val="30"/>
  </w:num>
  <w:num w:numId="19">
    <w:abstractNumId w:val="2"/>
  </w:num>
  <w:num w:numId="20">
    <w:abstractNumId w:val="12"/>
  </w:num>
  <w:num w:numId="21">
    <w:abstractNumId w:val="15"/>
  </w:num>
  <w:num w:numId="22">
    <w:abstractNumId w:val="8"/>
  </w:num>
  <w:num w:numId="23">
    <w:abstractNumId w:val="13"/>
  </w:num>
  <w:num w:numId="24">
    <w:abstractNumId w:val="9"/>
  </w:num>
  <w:num w:numId="25">
    <w:abstractNumId w:val="14"/>
  </w:num>
  <w:num w:numId="26">
    <w:abstractNumId w:val="11"/>
  </w:num>
  <w:num w:numId="27">
    <w:abstractNumId w:val="7"/>
  </w:num>
  <w:num w:numId="28">
    <w:abstractNumId w:val="6"/>
  </w:num>
  <w:num w:numId="29">
    <w:abstractNumId w:val="10"/>
  </w:num>
  <w:num w:numId="30">
    <w:abstractNumId w:val="1"/>
  </w:num>
  <w:num w:numId="31">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hideSpellingError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87E"/>
    <w:rsid w:val="00001025"/>
    <w:rsid w:val="00001765"/>
    <w:rsid w:val="000020D9"/>
    <w:rsid w:val="000026A7"/>
    <w:rsid w:val="00002816"/>
    <w:rsid w:val="00002C23"/>
    <w:rsid w:val="00002F10"/>
    <w:rsid w:val="000036FB"/>
    <w:rsid w:val="0000393B"/>
    <w:rsid w:val="000041A7"/>
    <w:rsid w:val="00004711"/>
    <w:rsid w:val="00004D6D"/>
    <w:rsid w:val="00004DE1"/>
    <w:rsid w:val="000050B3"/>
    <w:rsid w:val="000056DE"/>
    <w:rsid w:val="0000625E"/>
    <w:rsid w:val="0000652B"/>
    <w:rsid w:val="00007095"/>
    <w:rsid w:val="000076AB"/>
    <w:rsid w:val="000078D0"/>
    <w:rsid w:val="00007F10"/>
    <w:rsid w:val="000101CA"/>
    <w:rsid w:val="00010FA9"/>
    <w:rsid w:val="00011634"/>
    <w:rsid w:val="0001163E"/>
    <w:rsid w:val="00011AF2"/>
    <w:rsid w:val="00011BD1"/>
    <w:rsid w:val="0001200E"/>
    <w:rsid w:val="00012246"/>
    <w:rsid w:val="00012544"/>
    <w:rsid w:val="000134BB"/>
    <w:rsid w:val="00013992"/>
    <w:rsid w:val="00014AB5"/>
    <w:rsid w:val="0001556D"/>
    <w:rsid w:val="0001605E"/>
    <w:rsid w:val="00016377"/>
    <w:rsid w:val="00016D45"/>
    <w:rsid w:val="0001742C"/>
    <w:rsid w:val="0001783C"/>
    <w:rsid w:val="00017951"/>
    <w:rsid w:val="00020C01"/>
    <w:rsid w:val="0002155D"/>
    <w:rsid w:val="000216F6"/>
    <w:rsid w:val="00022600"/>
    <w:rsid w:val="000232D3"/>
    <w:rsid w:val="00023A2D"/>
    <w:rsid w:val="00023E0D"/>
    <w:rsid w:val="00024767"/>
    <w:rsid w:val="00024804"/>
    <w:rsid w:val="00024A0E"/>
    <w:rsid w:val="00024A1F"/>
    <w:rsid w:val="00025045"/>
    <w:rsid w:val="0002576A"/>
    <w:rsid w:val="000262CE"/>
    <w:rsid w:val="0002639D"/>
    <w:rsid w:val="00026431"/>
    <w:rsid w:val="00026DAF"/>
    <w:rsid w:val="000276C3"/>
    <w:rsid w:val="00027A18"/>
    <w:rsid w:val="00027ADC"/>
    <w:rsid w:val="0003002E"/>
    <w:rsid w:val="00030608"/>
    <w:rsid w:val="0003097A"/>
    <w:rsid w:val="00030C33"/>
    <w:rsid w:val="00031945"/>
    <w:rsid w:val="00031C83"/>
    <w:rsid w:val="000320B8"/>
    <w:rsid w:val="00032254"/>
    <w:rsid w:val="0003236B"/>
    <w:rsid w:val="00032832"/>
    <w:rsid w:val="00032CA1"/>
    <w:rsid w:val="00032EFB"/>
    <w:rsid w:val="0003354F"/>
    <w:rsid w:val="00033DCB"/>
    <w:rsid w:val="00035199"/>
    <w:rsid w:val="00036321"/>
    <w:rsid w:val="00036722"/>
    <w:rsid w:val="00037361"/>
    <w:rsid w:val="00037CA2"/>
    <w:rsid w:val="0004000D"/>
    <w:rsid w:val="00040DFA"/>
    <w:rsid w:val="0004135A"/>
    <w:rsid w:val="00041BBA"/>
    <w:rsid w:val="00041DAF"/>
    <w:rsid w:val="00041E66"/>
    <w:rsid w:val="000431E6"/>
    <w:rsid w:val="000448F3"/>
    <w:rsid w:val="00044C80"/>
    <w:rsid w:val="000451D4"/>
    <w:rsid w:val="00045397"/>
    <w:rsid w:val="000457FA"/>
    <w:rsid w:val="000467CE"/>
    <w:rsid w:val="00046F18"/>
    <w:rsid w:val="000511D5"/>
    <w:rsid w:val="00052B5A"/>
    <w:rsid w:val="000531FA"/>
    <w:rsid w:val="00053380"/>
    <w:rsid w:val="00053540"/>
    <w:rsid w:val="000537B6"/>
    <w:rsid w:val="000540D0"/>
    <w:rsid w:val="0005461D"/>
    <w:rsid w:val="00054C4E"/>
    <w:rsid w:val="00054CBD"/>
    <w:rsid w:val="00054DC7"/>
    <w:rsid w:val="00054F59"/>
    <w:rsid w:val="00055342"/>
    <w:rsid w:val="00055708"/>
    <w:rsid w:val="00055B80"/>
    <w:rsid w:val="0005610D"/>
    <w:rsid w:val="000564CA"/>
    <w:rsid w:val="000567FA"/>
    <w:rsid w:val="0005684A"/>
    <w:rsid w:val="00056C74"/>
    <w:rsid w:val="000571A2"/>
    <w:rsid w:val="000571D7"/>
    <w:rsid w:val="00057B4F"/>
    <w:rsid w:val="00057B61"/>
    <w:rsid w:val="00057E20"/>
    <w:rsid w:val="00057F13"/>
    <w:rsid w:val="00060115"/>
    <w:rsid w:val="00060766"/>
    <w:rsid w:val="00060927"/>
    <w:rsid w:val="00061162"/>
    <w:rsid w:val="000617E9"/>
    <w:rsid w:val="0006195F"/>
    <w:rsid w:val="00061BA6"/>
    <w:rsid w:val="00061F4B"/>
    <w:rsid w:val="000624EA"/>
    <w:rsid w:val="000627CB"/>
    <w:rsid w:val="00062E0E"/>
    <w:rsid w:val="00063173"/>
    <w:rsid w:val="00063C41"/>
    <w:rsid w:val="00063D5B"/>
    <w:rsid w:val="00063E3E"/>
    <w:rsid w:val="00064FCF"/>
    <w:rsid w:val="00065A09"/>
    <w:rsid w:val="00065A93"/>
    <w:rsid w:val="00065ECF"/>
    <w:rsid w:val="000660CD"/>
    <w:rsid w:val="000661DE"/>
    <w:rsid w:val="000662FB"/>
    <w:rsid w:val="00066AE0"/>
    <w:rsid w:val="00066D81"/>
    <w:rsid w:val="00067C5C"/>
    <w:rsid w:val="000702AE"/>
    <w:rsid w:val="00070649"/>
    <w:rsid w:val="0007133D"/>
    <w:rsid w:val="000722F0"/>
    <w:rsid w:val="0007285E"/>
    <w:rsid w:val="00072A6C"/>
    <w:rsid w:val="00072C63"/>
    <w:rsid w:val="000731D6"/>
    <w:rsid w:val="0007380A"/>
    <w:rsid w:val="0007383D"/>
    <w:rsid w:val="00074591"/>
    <w:rsid w:val="00074F77"/>
    <w:rsid w:val="00075C94"/>
    <w:rsid w:val="000761D8"/>
    <w:rsid w:val="000764A6"/>
    <w:rsid w:val="000764F9"/>
    <w:rsid w:val="000765CD"/>
    <w:rsid w:val="00076732"/>
    <w:rsid w:val="000800BF"/>
    <w:rsid w:val="00080C22"/>
    <w:rsid w:val="00080C7E"/>
    <w:rsid w:val="00081C7D"/>
    <w:rsid w:val="00081E6A"/>
    <w:rsid w:val="000820FC"/>
    <w:rsid w:val="00082524"/>
    <w:rsid w:val="0008284A"/>
    <w:rsid w:val="000829BE"/>
    <w:rsid w:val="000835C3"/>
    <w:rsid w:val="00084530"/>
    <w:rsid w:val="000846AD"/>
    <w:rsid w:val="000858A5"/>
    <w:rsid w:val="00085B76"/>
    <w:rsid w:val="00086460"/>
    <w:rsid w:val="000871E0"/>
    <w:rsid w:val="0008753B"/>
    <w:rsid w:val="00087B4D"/>
    <w:rsid w:val="00090126"/>
    <w:rsid w:val="00090155"/>
    <w:rsid w:val="00090330"/>
    <w:rsid w:val="000907ED"/>
    <w:rsid w:val="000921E2"/>
    <w:rsid w:val="00092E7F"/>
    <w:rsid w:val="0009313B"/>
    <w:rsid w:val="00093EF1"/>
    <w:rsid w:val="000943FC"/>
    <w:rsid w:val="0009462C"/>
    <w:rsid w:val="00094AB2"/>
    <w:rsid w:val="00094B6F"/>
    <w:rsid w:val="000952E4"/>
    <w:rsid w:val="000958F2"/>
    <w:rsid w:val="00095919"/>
    <w:rsid w:val="00097785"/>
    <w:rsid w:val="0009798D"/>
    <w:rsid w:val="00097F66"/>
    <w:rsid w:val="000A00C7"/>
    <w:rsid w:val="000A0342"/>
    <w:rsid w:val="000A0856"/>
    <w:rsid w:val="000A11B8"/>
    <w:rsid w:val="000A1362"/>
    <w:rsid w:val="000A1764"/>
    <w:rsid w:val="000A2088"/>
    <w:rsid w:val="000A26A6"/>
    <w:rsid w:val="000A26DE"/>
    <w:rsid w:val="000A2714"/>
    <w:rsid w:val="000A2887"/>
    <w:rsid w:val="000A2964"/>
    <w:rsid w:val="000A2987"/>
    <w:rsid w:val="000A3199"/>
    <w:rsid w:val="000A398D"/>
    <w:rsid w:val="000A42B2"/>
    <w:rsid w:val="000A4E1E"/>
    <w:rsid w:val="000A4F92"/>
    <w:rsid w:val="000A583D"/>
    <w:rsid w:val="000A59C0"/>
    <w:rsid w:val="000A6135"/>
    <w:rsid w:val="000A62AF"/>
    <w:rsid w:val="000A631C"/>
    <w:rsid w:val="000A67EB"/>
    <w:rsid w:val="000A6C66"/>
    <w:rsid w:val="000A72A7"/>
    <w:rsid w:val="000A7457"/>
    <w:rsid w:val="000A796F"/>
    <w:rsid w:val="000A7B06"/>
    <w:rsid w:val="000A7B7B"/>
    <w:rsid w:val="000A7DB0"/>
    <w:rsid w:val="000B0311"/>
    <w:rsid w:val="000B1125"/>
    <w:rsid w:val="000B113A"/>
    <w:rsid w:val="000B1C81"/>
    <w:rsid w:val="000B3966"/>
    <w:rsid w:val="000B3B87"/>
    <w:rsid w:val="000B418A"/>
    <w:rsid w:val="000B434B"/>
    <w:rsid w:val="000B440D"/>
    <w:rsid w:val="000B45C8"/>
    <w:rsid w:val="000B46BD"/>
    <w:rsid w:val="000B4D73"/>
    <w:rsid w:val="000B5302"/>
    <w:rsid w:val="000B5DC4"/>
    <w:rsid w:val="000B5FD5"/>
    <w:rsid w:val="000B60EF"/>
    <w:rsid w:val="000B6138"/>
    <w:rsid w:val="000B64FD"/>
    <w:rsid w:val="000B70E8"/>
    <w:rsid w:val="000B75A8"/>
    <w:rsid w:val="000C0A96"/>
    <w:rsid w:val="000C0CE4"/>
    <w:rsid w:val="000C14CC"/>
    <w:rsid w:val="000C1555"/>
    <w:rsid w:val="000C1D0F"/>
    <w:rsid w:val="000C1F0C"/>
    <w:rsid w:val="000C2610"/>
    <w:rsid w:val="000C2882"/>
    <w:rsid w:val="000C2F39"/>
    <w:rsid w:val="000C3D7B"/>
    <w:rsid w:val="000C45DA"/>
    <w:rsid w:val="000C4778"/>
    <w:rsid w:val="000C5045"/>
    <w:rsid w:val="000C51AB"/>
    <w:rsid w:val="000C5E4B"/>
    <w:rsid w:val="000C6255"/>
    <w:rsid w:val="000C6356"/>
    <w:rsid w:val="000C6728"/>
    <w:rsid w:val="000C6DB4"/>
    <w:rsid w:val="000C7DEE"/>
    <w:rsid w:val="000D18A2"/>
    <w:rsid w:val="000D1A45"/>
    <w:rsid w:val="000D259C"/>
    <w:rsid w:val="000D2693"/>
    <w:rsid w:val="000D309D"/>
    <w:rsid w:val="000D335C"/>
    <w:rsid w:val="000D3DDD"/>
    <w:rsid w:val="000D4C31"/>
    <w:rsid w:val="000D4C5E"/>
    <w:rsid w:val="000D5677"/>
    <w:rsid w:val="000D57CB"/>
    <w:rsid w:val="000D6114"/>
    <w:rsid w:val="000D7287"/>
    <w:rsid w:val="000D7786"/>
    <w:rsid w:val="000D7AA3"/>
    <w:rsid w:val="000D7FA8"/>
    <w:rsid w:val="000E00A6"/>
    <w:rsid w:val="000E0273"/>
    <w:rsid w:val="000E032D"/>
    <w:rsid w:val="000E03E2"/>
    <w:rsid w:val="000E0C5E"/>
    <w:rsid w:val="000E1176"/>
    <w:rsid w:val="000E11B2"/>
    <w:rsid w:val="000E1C30"/>
    <w:rsid w:val="000E3840"/>
    <w:rsid w:val="000E3D68"/>
    <w:rsid w:val="000E4015"/>
    <w:rsid w:val="000E447B"/>
    <w:rsid w:val="000E48E6"/>
    <w:rsid w:val="000E5449"/>
    <w:rsid w:val="000E55D4"/>
    <w:rsid w:val="000E5A9F"/>
    <w:rsid w:val="000E5BE9"/>
    <w:rsid w:val="000E67C7"/>
    <w:rsid w:val="000E776F"/>
    <w:rsid w:val="000F0047"/>
    <w:rsid w:val="000F136E"/>
    <w:rsid w:val="000F1EC9"/>
    <w:rsid w:val="000F2060"/>
    <w:rsid w:val="000F30FF"/>
    <w:rsid w:val="000F3C80"/>
    <w:rsid w:val="000F3CAB"/>
    <w:rsid w:val="000F4C32"/>
    <w:rsid w:val="000F4D38"/>
    <w:rsid w:val="000F5643"/>
    <w:rsid w:val="000F5E60"/>
    <w:rsid w:val="000F63CF"/>
    <w:rsid w:val="000F6809"/>
    <w:rsid w:val="000F6A62"/>
    <w:rsid w:val="000F6C3B"/>
    <w:rsid w:val="000F6E5C"/>
    <w:rsid w:val="000F76D1"/>
    <w:rsid w:val="000F7B83"/>
    <w:rsid w:val="000F7E37"/>
    <w:rsid w:val="001005E0"/>
    <w:rsid w:val="00100D2A"/>
    <w:rsid w:val="00101C89"/>
    <w:rsid w:val="0010265F"/>
    <w:rsid w:val="00102A6A"/>
    <w:rsid w:val="00102AD1"/>
    <w:rsid w:val="00102AE1"/>
    <w:rsid w:val="00103D48"/>
    <w:rsid w:val="00103DDB"/>
    <w:rsid w:val="001040AA"/>
    <w:rsid w:val="0010451C"/>
    <w:rsid w:val="00104621"/>
    <w:rsid w:val="001048E9"/>
    <w:rsid w:val="00104B7C"/>
    <w:rsid w:val="00105234"/>
    <w:rsid w:val="00105F46"/>
    <w:rsid w:val="001068C2"/>
    <w:rsid w:val="001068F6"/>
    <w:rsid w:val="00106BC0"/>
    <w:rsid w:val="001070C7"/>
    <w:rsid w:val="001075CA"/>
    <w:rsid w:val="00107657"/>
    <w:rsid w:val="001078FC"/>
    <w:rsid w:val="00107ABE"/>
    <w:rsid w:val="00110113"/>
    <w:rsid w:val="00110885"/>
    <w:rsid w:val="001111AC"/>
    <w:rsid w:val="00111791"/>
    <w:rsid w:val="00112711"/>
    <w:rsid w:val="0011289D"/>
    <w:rsid w:val="00112D7A"/>
    <w:rsid w:val="00113200"/>
    <w:rsid w:val="0011334A"/>
    <w:rsid w:val="00113420"/>
    <w:rsid w:val="00113469"/>
    <w:rsid w:val="001139FF"/>
    <w:rsid w:val="00113D3D"/>
    <w:rsid w:val="0011417C"/>
    <w:rsid w:val="0011490E"/>
    <w:rsid w:val="00114B91"/>
    <w:rsid w:val="00114ED0"/>
    <w:rsid w:val="001154AC"/>
    <w:rsid w:val="0011574D"/>
    <w:rsid w:val="00115795"/>
    <w:rsid w:val="00115A73"/>
    <w:rsid w:val="00115C23"/>
    <w:rsid w:val="00116267"/>
    <w:rsid w:val="0011662A"/>
    <w:rsid w:val="00116672"/>
    <w:rsid w:val="0011672A"/>
    <w:rsid w:val="001168EC"/>
    <w:rsid w:val="00116BF5"/>
    <w:rsid w:val="00117181"/>
    <w:rsid w:val="001174DB"/>
    <w:rsid w:val="00117DC8"/>
    <w:rsid w:val="00120111"/>
    <w:rsid w:val="0012053F"/>
    <w:rsid w:val="001211BA"/>
    <w:rsid w:val="001219E1"/>
    <w:rsid w:val="00121A4F"/>
    <w:rsid w:val="001220FA"/>
    <w:rsid w:val="00122450"/>
    <w:rsid w:val="00122523"/>
    <w:rsid w:val="0012364D"/>
    <w:rsid w:val="0012505D"/>
    <w:rsid w:val="00125987"/>
    <w:rsid w:val="00125B9C"/>
    <w:rsid w:val="00125BEE"/>
    <w:rsid w:val="00125DAC"/>
    <w:rsid w:val="0012625B"/>
    <w:rsid w:val="00126735"/>
    <w:rsid w:val="00126A3F"/>
    <w:rsid w:val="00126CBA"/>
    <w:rsid w:val="00126F28"/>
    <w:rsid w:val="00127182"/>
    <w:rsid w:val="0012724D"/>
    <w:rsid w:val="00127B5C"/>
    <w:rsid w:val="00130457"/>
    <w:rsid w:val="001304AC"/>
    <w:rsid w:val="00130871"/>
    <w:rsid w:val="0013090F"/>
    <w:rsid w:val="00130CD1"/>
    <w:rsid w:val="001314DF"/>
    <w:rsid w:val="00132BD5"/>
    <w:rsid w:val="00132D7F"/>
    <w:rsid w:val="00133116"/>
    <w:rsid w:val="00133498"/>
    <w:rsid w:val="00133741"/>
    <w:rsid w:val="00133754"/>
    <w:rsid w:val="0013394B"/>
    <w:rsid w:val="001342E7"/>
    <w:rsid w:val="0013448C"/>
    <w:rsid w:val="00134532"/>
    <w:rsid w:val="00134641"/>
    <w:rsid w:val="00134A2A"/>
    <w:rsid w:val="00134BB2"/>
    <w:rsid w:val="00134F07"/>
    <w:rsid w:val="001366A1"/>
    <w:rsid w:val="001370CF"/>
    <w:rsid w:val="00137538"/>
    <w:rsid w:val="0013753E"/>
    <w:rsid w:val="00137D0A"/>
    <w:rsid w:val="00137DD5"/>
    <w:rsid w:val="00140203"/>
    <w:rsid w:val="00140582"/>
    <w:rsid w:val="001414D8"/>
    <w:rsid w:val="00141609"/>
    <w:rsid w:val="00141FDF"/>
    <w:rsid w:val="001427BC"/>
    <w:rsid w:val="00142A14"/>
    <w:rsid w:val="00143970"/>
    <w:rsid w:val="001441AC"/>
    <w:rsid w:val="001442ED"/>
    <w:rsid w:val="00144708"/>
    <w:rsid w:val="001448AC"/>
    <w:rsid w:val="00146CA4"/>
    <w:rsid w:val="00146DB0"/>
    <w:rsid w:val="00146F01"/>
    <w:rsid w:val="0015027A"/>
    <w:rsid w:val="001504D7"/>
    <w:rsid w:val="001505F9"/>
    <w:rsid w:val="0015096E"/>
    <w:rsid w:val="00150F4D"/>
    <w:rsid w:val="00151022"/>
    <w:rsid w:val="00151290"/>
    <w:rsid w:val="001514BB"/>
    <w:rsid w:val="00151FEA"/>
    <w:rsid w:val="0015213C"/>
    <w:rsid w:val="001526B5"/>
    <w:rsid w:val="001528F4"/>
    <w:rsid w:val="00152D38"/>
    <w:rsid w:val="001530EC"/>
    <w:rsid w:val="00153B67"/>
    <w:rsid w:val="0015437F"/>
    <w:rsid w:val="00154D91"/>
    <w:rsid w:val="00155216"/>
    <w:rsid w:val="00155639"/>
    <w:rsid w:val="001559CB"/>
    <w:rsid w:val="001561E2"/>
    <w:rsid w:val="00157931"/>
    <w:rsid w:val="00161C2B"/>
    <w:rsid w:val="00161E75"/>
    <w:rsid w:val="00161FE9"/>
    <w:rsid w:val="00162572"/>
    <w:rsid w:val="00162692"/>
    <w:rsid w:val="00162B12"/>
    <w:rsid w:val="00162B56"/>
    <w:rsid w:val="001637A7"/>
    <w:rsid w:val="001647E9"/>
    <w:rsid w:val="00164BD4"/>
    <w:rsid w:val="001653FD"/>
    <w:rsid w:val="00165AE6"/>
    <w:rsid w:val="00167325"/>
    <w:rsid w:val="00167539"/>
    <w:rsid w:val="00167AA8"/>
    <w:rsid w:val="00167EAF"/>
    <w:rsid w:val="00170274"/>
    <w:rsid w:val="001706AB"/>
    <w:rsid w:val="00170FD3"/>
    <w:rsid w:val="00172B79"/>
    <w:rsid w:val="00172D44"/>
    <w:rsid w:val="00172DAF"/>
    <w:rsid w:val="001736C9"/>
    <w:rsid w:val="00173C7B"/>
    <w:rsid w:val="001746D4"/>
    <w:rsid w:val="00174E1A"/>
    <w:rsid w:val="00175561"/>
    <w:rsid w:val="0017593C"/>
    <w:rsid w:val="00175DF7"/>
    <w:rsid w:val="0017689E"/>
    <w:rsid w:val="00177EE0"/>
    <w:rsid w:val="00180512"/>
    <w:rsid w:val="00180767"/>
    <w:rsid w:val="0018107C"/>
    <w:rsid w:val="00181DCD"/>
    <w:rsid w:val="00182528"/>
    <w:rsid w:val="00182BA1"/>
    <w:rsid w:val="00182C15"/>
    <w:rsid w:val="0018377C"/>
    <w:rsid w:val="001838AC"/>
    <w:rsid w:val="00183A9C"/>
    <w:rsid w:val="00184584"/>
    <w:rsid w:val="00184B52"/>
    <w:rsid w:val="00184BF0"/>
    <w:rsid w:val="001856A7"/>
    <w:rsid w:val="00187290"/>
    <w:rsid w:val="001877FF"/>
    <w:rsid w:val="00187F4F"/>
    <w:rsid w:val="00190888"/>
    <w:rsid w:val="001910BE"/>
    <w:rsid w:val="00191211"/>
    <w:rsid w:val="001913A2"/>
    <w:rsid w:val="001917BF"/>
    <w:rsid w:val="00191B48"/>
    <w:rsid w:val="00192398"/>
    <w:rsid w:val="00192453"/>
    <w:rsid w:val="001926EF"/>
    <w:rsid w:val="00192B41"/>
    <w:rsid w:val="00193045"/>
    <w:rsid w:val="00193098"/>
    <w:rsid w:val="00194686"/>
    <w:rsid w:val="0019496E"/>
    <w:rsid w:val="00195305"/>
    <w:rsid w:val="001953E4"/>
    <w:rsid w:val="00195DF6"/>
    <w:rsid w:val="00197D83"/>
    <w:rsid w:val="001A00A7"/>
    <w:rsid w:val="001A0317"/>
    <w:rsid w:val="001A034D"/>
    <w:rsid w:val="001A0554"/>
    <w:rsid w:val="001A1629"/>
    <w:rsid w:val="001A1770"/>
    <w:rsid w:val="001A22A9"/>
    <w:rsid w:val="001A2A8B"/>
    <w:rsid w:val="001A2D6E"/>
    <w:rsid w:val="001A3257"/>
    <w:rsid w:val="001A3AE6"/>
    <w:rsid w:val="001A3E6F"/>
    <w:rsid w:val="001A3F14"/>
    <w:rsid w:val="001A3F76"/>
    <w:rsid w:val="001A4549"/>
    <w:rsid w:val="001A4A3E"/>
    <w:rsid w:val="001A5A3F"/>
    <w:rsid w:val="001A60C3"/>
    <w:rsid w:val="001A643A"/>
    <w:rsid w:val="001A676B"/>
    <w:rsid w:val="001A6986"/>
    <w:rsid w:val="001A6A5B"/>
    <w:rsid w:val="001A6E52"/>
    <w:rsid w:val="001A73E2"/>
    <w:rsid w:val="001B01F1"/>
    <w:rsid w:val="001B14D8"/>
    <w:rsid w:val="001B1F73"/>
    <w:rsid w:val="001B228E"/>
    <w:rsid w:val="001B2AC0"/>
    <w:rsid w:val="001B2FA2"/>
    <w:rsid w:val="001B3272"/>
    <w:rsid w:val="001B3C9A"/>
    <w:rsid w:val="001B4158"/>
    <w:rsid w:val="001B5385"/>
    <w:rsid w:val="001B5DA0"/>
    <w:rsid w:val="001B5E72"/>
    <w:rsid w:val="001B60B4"/>
    <w:rsid w:val="001B6E8D"/>
    <w:rsid w:val="001B7E7C"/>
    <w:rsid w:val="001C0345"/>
    <w:rsid w:val="001C070F"/>
    <w:rsid w:val="001C0C67"/>
    <w:rsid w:val="001C0C89"/>
    <w:rsid w:val="001C12FF"/>
    <w:rsid w:val="001C1AD9"/>
    <w:rsid w:val="001C1AF9"/>
    <w:rsid w:val="001C1D24"/>
    <w:rsid w:val="001C266D"/>
    <w:rsid w:val="001C362C"/>
    <w:rsid w:val="001C41CE"/>
    <w:rsid w:val="001C4C5E"/>
    <w:rsid w:val="001C54A5"/>
    <w:rsid w:val="001C58E2"/>
    <w:rsid w:val="001C635C"/>
    <w:rsid w:val="001C6947"/>
    <w:rsid w:val="001D00D8"/>
    <w:rsid w:val="001D076F"/>
    <w:rsid w:val="001D0D11"/>
    <w:rsid w:val="001D0F9F"/>
    <w:rsid w:val="001D1030"/>
    <w:rsid w:val="001D1518"/>
    <w:rsid w:val="001D1B5D"/>
    <w:rsid w:val="001D1C95"/>
    <w:rsid w:val="001D2109"/>
    <w:rsid w:val="001D2B00"/>
    <w:rsid w:val="001D2D5A"/>
    <w:rsid w:val="001D3026"/>
    <w:rsid w:val="001D3558"/>
    <w:rsid w:val="001D39CE"/>
    <w:rsid w:val="001D39DD"/>
    <w:rsid w:val="001D45A5"/>
    <w:rsid w:val="001D4807"/>
    <w:rsid w:val="001D4859"/>
    <w:rsid w:val="001D487B"/>
    <w:rsid w:val="001D4AB9"/>
    <w:rsid w:val="001D568C"/>
    <w:rsid w:val="001D5E51"/>
    <w:rsid w:val="001D7FE1"/>
    <w:rsid w:val="001E0F38"/>
    <w:rsid w:val="001E0FB9"/>
    <w:rsid w:val="001E12F0"/>
    <w:rsid w:val="001E173E"/>
    <w:rsid w:val="001E1B89"/>
    <w:rsid w:val="001E1EBC"/>
    <w:rsid w:val="001E2823"/>
    <w:rsid w:val="001E2EEB"/>
    <w:rsid w:val="001E34E4"/>
    <w:rsid w:val="001E35D1"/>
    <w:rsid w:val="001E3CCD"/>
    <w:rsid w:val="001E4132"/>
    <w:rsid w:val="001E43C3"/>
    <w:rsid w:val="001E4A9D"/>
    <w:rsid w:val="001E4B1F"/>
    <w:rsid w:val="001E4E22"/>
    <w:rsid w:val="001E5077"/>
    <w:rsid w:val="001E5DE2"/>
    <w:rsid w:val="001E6266"/>
    <w:rsid w:val="001E6425"/>
    <w:rsid w:val="001E65E8"/>
    <w:rsid w:val="001E6AEF"/>
    <w:rsid w:val="001E6BC3"/>
    <w:rsid w:val="001E6D14"/>
    <w:rsid w:val="001E7220"/>
    <w:rsid w:val="001E7459"/>
    <w:rsid w:val="001E7A37"/>
    <w:rsid w:val="001E7FEF"/>
    <w:rsid w:val="001F1933"/>
    <w:rsid w:val="001F1D35"/>
    <w:rsid w:val="001F1FD6"/>
    <w:rsid w:val="001F2798"/>
    <w:rsid w:val="001F43CB"/>
    <w:rsid w:val="001F4612"/>
    <w:rsid w:val="001F4EF0"/>
    <w:rsid w:val="001F5076"/>
    <w:rsid w:val="001F5DEB"/>
    <w:rsid w:val="001F65F9"/>
    <w:rsid w:val="001F705B"/>
    <w:rsid w:val="001F7A45"/>
    <w:rsid w:val="001F7B68"/>
    <w:rsid w:val="0020004B"/>
    <w:rsid w:val="0020038E"/>
    <w:rsid w:val="00201994"/>
    <w:rsid w:val="00201EE2"/>
    <w:rsid w:val="002032EF"/>
    <w:rsid w:val="00203D59"/>
    <w:rsid w:val="00204D31"/>
    <w:rsid w:val="00204D45"/>
    <w:rsid w:val="00205146"/>
    <w:rsid w:val="00205B3A"/>
    <w:rsid w:val="002068D1"/>
    <w:rsid w:val="00207044"/>
    <w:rsid w:val="00207403"/>
    <w:rsid w:val="0020782B"/>
    <w:rsid w:val="00207845"/>
    <w:rsid w:val="00207F73"/>
    <w:rsid w:val="002101B8"/>
    <w:rsid w:val="00210C1A"/>
    <w:rsid w:val="00211A93"/>
    <w:rsid w:val="00211C43"/>
    <w:rsid w:val="00211F50"/>
    <w:rsid w:val="00212067"/>
    <w:rsid w:val="00212B9E"/>
    <w:rsid w:val="00212C23"/>
    <w:rsid w:val="00212E6B"/>
    <w:rsid w:val="0021365A"/>
    <w:rsid w:val="00213DCB"/>
    <w:rsid w:val="00213F34"/>
    <w:rsid w:val="00213F53"/>
    <w:rsid w:val="00214029"/>
    <w:rsid w:val="00214571"/>
    <w:rsid w:val="002150E9"/>
    <w:rsid w:val="00215298"/>
    <w:rsid w:val="00215347"/>
    <w:rsid w:val="00215907"/>
    <w:rsid w:val="00215D50"/>
    <w:rsid w:val="00215F2A"/>
    <w:rsid w:val="0021660B"/>
    <w:rsid w:val="002167E7"/>
    <w:rsid w:val="00216A04"/>
    <w:rsid w:val="0021700A"/>
    <w:rsid w:val="00217F41"/>
    <w:rsid w:val="00220795"/>
    <w:rsid w:val="002209DF"/>
    <w:rsid w:val="00220B8A"/>
    <w:rsid w:val="00221048"/>
    <w:rsid w:val="0022108A"/>
    <w:rsid w:val="00221EAC"/>
    <w:rsid w:val="00222F02"/>
    <w:rsid w:val="0022346F"/>
    <w:rsid w:val="002237F7"/>
    <w:rsid w:val="00223D00"/>
    <w:rsid w:val="00224289"/>
    <w:rsid w:val="0022441E"/>
    <w:rsid w:val="00224601"/>
    <w:rsid w:val="00224A12"/>
    <w:rsid w:val="00225683"/>
    <w:rsid w:val="0022576E"/>
    <w:rsid w:val="0022599B"/>
    <w:rsid w:val="00225A95"/>
    <w:rsid w:val="00226538"/>
    <w:rsid w:val="002267FD"/>
    <w:rsid w:val="00227300"/>
    <w:rsid w:val="00231306"/>
    <w:rsid w:val="00231346"/>
    <w:rsid w:val="0023159C"/>
    <w:rsid w:val="002316AD"/>
    <w:rsid w:val="00231BA9"/>
    <w:rsid w:val="00231F2C"/>
    <w:rsid w:val="0023213B"/>
    <w:rsid w:val="002325DA"/>
    <w:rsid w:val="00232904"/>
    <w:rsid w:val="00232944"/>
    <w:rsid w:val="00233123"/>
    <w:rsid w:val="002340A8"/>
    <w:rsid w:val="002346C4"/>
    <w:rsid w:val="002348FC"/>
    <w:rsid w:val="0023492B"/>
    <w:rsid w:val="00234980"/>
    <w:rsid w:val="00234A35"/>
    <w:rsid w:val="002351C5"/>
    <w:rsid w:val="00235527"/>
    <w:rsid w:val="00235B58"/>
    <w:rsid w:val="00235CB4"/>
    <w:rsid w:val="00236035"/>
    <w:rsid w:val="0023617A"/>
    <w:rsid w:val="0023682C"/>
    <w:rsid w:val="00236A28"/>
    <w:rsid w:val="00236A53"/>
    <w:rsid w:val="00240290"/>
    <w:rsid w:val="00240766"/>
    <w:rsid w:val="002407FD"/>
    <w:rsid w:val="00240A16"/>
    <w:rsid w:val="00241582"/>
    <w:rsid w:val="0024176B"/>
    <w:rsid w:val="00241911"/>
    <w:rsid w:val="00241FA4"/>
    <w:rsid w:val="00242226"/>
    <w:rsid w:val="002433DC"/>
    <w:rsid w:val="002442E5"/>
    <w:rsid w:val="002453FE"/>
    <w:rsid w:val="002464D5"/>
    <w:rsid w:val="002467C4"/>
    <w:rsid w:val="00247486"/>
    <w:rsid w:val="00247A21"/>
    <w:rsid w:val="0025016E"/>
    <w:rsid w:val="00250872"/>
    <w:rsid w:val="00251063"/>
    <w:rsid w:val="002519A6"/>
    <w:rsid w:val="002521C8"/>
    <w:rsid w:val="00252442"/>
    <w:rsid w:val="00253004"/>
    <w:rsid w:val="00253094"/>
    <w:rsid w:val="0025329C"/>
    <w:rsid w:val="0025340C"/>
    <w:rsid w:val="00253D01"/>
    <w:rsid w:val="00253FDF"/>
    <w:rsid w:val="00254052"/>
    <w:rsid w:val="002540CC"/>
    <w:rsid w:val="00254830"/>
    <w:rsid w:val="002548D7"/>
    <w:rsid w:val="002549B8"/>
    <w:rsid w:val="00254CAE"/>
    <w:rsid w:val="00254F4E"/>
    <w:rsid w:val="00255522"/>
    <w:rsid w:val="002560CD"/>
    <w:rsid w:val="002561BA"/>
    <w:rsid w:val="0025659B"/>
    <w:rsid w:val="00256763"/>
    <w:rsid w:val="00256CE4"/>
    <w:rsid w:val="00257647"/>
    <w:rsid w:val="002606C5"/>
    <w:rsid w:val="00260AD7"/>
    <w:rsid w:val="002619A6"/>
    <w:rsid w:val="00262007"/>
    <w:rsid w:val="002629A3"/>
    <w:rsid w:val="00262D9F"/>
    <w:rsid w:val="002632F5"/>
    <w:rsid w:val="002634BE"/>
    <w:rsid w:val="00263D2D"/>
    <w:rsid w:val="00264003"/>
    <w:rsid w:val="00264319"/>
    <w:rsid w:val="00264CE7"/>
    <w:rsid w:val="00265501"/>
    <w:rsid w:val="0026591D"/>
    <w:rsid w:val="00265A21"/>
    <w:rsid w:val="00265A9D"/>
    <w:rsid w:val="0026633B"/>
    <w:rsid w:val="002667C1"/>
    <w:rsid w:val="00266CDE"/>
    <w:rsid w:val="00267D27"/>
    <w:rsid w:val="00267F3F"/>
    <w:rsid w:val="00270206"/>
    <w:rsid w:val="0027090D"/>
    <w:rsid w:val="00270D95"/>
    <w:rsid w:val="0027133D"/>
    <w:rsid w:val="002714AA"/>
    <w:rsid w:val="00271FA8"/>
    <w:rsid w:val="0027206A"/>
    <w:rsid w:val="00272478"/>
    <w:rsid w:val="002724DE"/>
    <w:rsid w:val="002730DC"/>
    <w:rsid w:val="00274C04"/>
    <w:rsid w:val="00274D4B"/>
    <w:rsid w:val="00275180"/>
    <w:rsid w:val="002756EF"/>
    <w:rsid w:val="00275954"/>
    <w:rsid w:val="00276841"/>
    <w:rsid w:val="002769B7"/>
    <w:rsid w:val="00276FD4"/>
    <w:rsid w:val="002779A0"/>
    <w:rsid w:val="00277CF3"/>
    <w:rsid w:val="00277D20"/>
    <w:rsid w:val="00280A13"/>
    <w:rsid w:val="00280BE1"/>
    <w:rsid w:val="00281172"/>
    <w:rsid w:val="00282330"/>
    <w:rsid w:val="0028299D"/>
    <w:rsid w:val="00282EC7"/>
    <w:rsid w:val="002834BD"/>
    <w:rsid w:val="00283561"/>
    <w:rsid w:val="00283B62"/>
    <w:rsid w:val="00283BC9"/>
    <w:rsid w:val="00283D1D"/>
    <w:rsid w:val="00283EAE"/>
    <w:rsid w:val="0028566B"/>
    <w:rsid w:val="00285BE1"/>
    <w:rsid w:val="00285C70"/>
    <w:rsid w:val="00286416"/>
    <w:rsid w:val="0028684D"/>
    <w:rsid w:val="002876C4"/>
    <w:rsid w:val="00290105"/>
    <w:rsid w:val="002904F7"/>
    <w:rsid w:val="00290684"/>
    <w:rsid w:val="0029085D"/>
    <w:rsid w:val="00290E18"/>
    <w:rsid w:val="00290E7D"/>
    <w:rsid w:val="0029110F"/>
    <w:rsid w:val="00291329"/>
    <w:rsid w:val="00292187"/>
    <w:rsid w:val="002923DB"/>
    <w:rsid w:val="002923E6"/>
    <w:rsid w:val="00292431"/>
    <w:rsid w:val="002924A3"/>
    <w:rsid w:val="00292812"/>
    <w:rsid w:val="002935D9"/>
    <w:rsid w:val="0029361D"/>
    <w:rsid w:val="00293B47"/>
    <w:rsid w:val="00293E8F"/>
    <w:rsid w:val="00293F47"/>
    <w:rsid w:val="00294484"/>
    <w:rsid w:val="00294D73"/>
    <w:rsid w:val="0029555A"/>
    <w:rsid w:val="00296235"/>
    <w:rsid w:val="00296F35"/>
    <w:rsid w:val="00297200"/>
    <w:rsid w:val="00297226"/>
    <w:rsid w:val="00297C74"/>
    <w:rsid w:val="002A02BF"/>
    <w:rsid w:val="002A073F"/>
    <w:rsid w:val="002A0BC9"/>
    <w:rsid w:val="002A0CAA"/>
    <w:rsid w:val="002A12C6"/>
    <w:rsid w:val="002A1307"/>
    <w:rsid w:val="002A188D"/>
    <w:rsid w:val="002A18B1"/>
    <w:rsid w:val="002A1A64"/>
    <w:rsid w:val="002A2024"/>
    <w:rsid w:val="002A2E7A"/>
    <w:rsid w:val="002A31FC"/>
    <w:rsid w:val="002A3657"/>
    <w:rsid w:val="002A47BD"/>
    <w:rsid w:val="002A4B6E"/>
    <w:rsid w:val="002A53A6"/>
    <w:rsid w:val="002A5DFB"/>
    <w:rsid w:val="002A6C2B"/>
    <w:rsid w:val="002A74D9"/>
    <w:rsid w:val="002A7E6A"/>
    <w:rsid w:val="002B0626"/>
    <w:rsid w:val="002B0BB0"/>
    <w:rsid w:val="002B0FA4"/>
    <w:rsid w:val="002B15C8"/>
    <w:rsid w:val="002B166D"/>
    <w:rsid w:val="002B1BED"/>
    <w:rsid w:val="002B2C13"/>
    <w:rsid w:val="002B3659"/>
    <w:rsid w:val="002B42AA"/>
    <w:rsid w:val="002B4554"/>
    <w:rsid w:val="002B4D93"/>
    <w:rsid w:val="002B520D"/>
    <w:rsid w:val="002B6238"/>
    <w:rsid w:val="002B7F78"/>
    <w:rsid w:val="002C0624"/>
    <w:rsid w:val="002C0721"/>
    <w:rsid w:val="002C1B13"/>
    <w:rsid w:val="002C2755"/>
    <w:rsid w:val="002C36D4"/>
    <w:rsid w:val="002C3A70"/>
    <w:rsid w:val="002C449F"/>
    <w:rsid w:val="002C4D85"/>
    <w:rsid w:val="002C50F3"/>
    <w:rsid w:val="002C5569"/>
    <w:rsid w:val="002C5E79"/>
    <w:rsid w:val="002C640B"/>
    <w:rsid w:val="002C64D2"/>
    <w:rsid w:val="002C6873"/>
    <w:rsid w:val="002C698D"/>
    <w:rsid w:val="002C6ADF"/>
    <w:rsid w:val="002C6D6D"/>
    <w:rsid w:val="002C71D6"/>
    <w:rsid w:val="002C71E4"/>
    <w:rsid w:val="002C744D"/>
    <w:rsid w:val="002C797F"/>
    <w:rsid w:val="002D039A"/>
    <w:rsid w:val="002D0CCB"/>
    <w:rsid w:val="002D0E14"/>
    <w:rsid w:val="002D1234"/>
    <w:rsid w:val="002D1B3A"/>
    <w:rsid w:val="002D210A"/>
    <w:rsid w:val="002D2766"/>
    <w:rsid w:val="002D2FD8"/>
    <w:rsid w:val="002D31D3"/>
    <w:rsid w:val="002D372B"/>
    <w:rsid w:val="002D3A4F"/>
    <w:rsid w:val="002D466A"/>
    <w:rsid w:val="002D51D1"/>
    <w:rsid w:val="002D5E7A"/>
    <w:rsid w:val="002D64BC"/>
    <w:rsid w:val="002D6A27"/>
    <w:rsid w:val="002D6EDF"/>
    <w:rsid w:val="002D72B6"/>
    <w:rsid w:val="002D7385"/>
    <w:rsid w:val="002D7811"/>
    <w:rsid w:val="002E14D6"/>
    <w:rsid w:val="002E1CE6"/>
    <w:rsid w:val="002E2686"/>
    <w:rsid w:val="002E3B17"/>
    <w:rsid w:val="002E4114"/>
    <w:rsid w:val="002E476B"/>
    <w:rsid w:val="002E4D32"/>
    <w:rsid w:val="002E4E11"/>
    <w:rsid w:val="002E5658"/>
    <w:rsid w:val="002E59F7"/>
    <w:rsid w:val="002E5D1D"/>
    <w:rsid w:val="002E611A"/>
    <w:rsid w:val="002E6158"/>
    <w:rsid w:val="002E6305"/>
    <w:rsid w:val="002E6FEF"/>
    <w:rsid w:val="002E7023"/>
    <w:rsid w:val="002E7A1D"/>
    <w:rsid w:val="002F0AE3"/>
    <w:rsid w:val="002F0B4E"/>
    <w:rsid w:val="002F18FB"/>
    <w:rsid w:val="002F1994"/>
    <w:rsid w:val="002F1F50"/>
    <w:rsid w:val="002F2FE1"/>
    <w:rsid w:val="002F3026"/>
    <w:rsid w:val="002F354F"/>
    <w:rsid w:val="002F35EB"/>
    <w:rsid w:val="002F3743"/>
    <w:rsid w:val="002F407E"/>
    <w:rsid w:val="002F53BD"/>
    <w:rsid w:val="002F5969"/>
    <w:rsid w:val="002F692B"/>
    <w:rsid w:val="002F693E"/>
    <w:rsid w:val="003017DB"/>
    <w:rsid w:val="003017F4"/>
    <w:rsid w:val="00301839"/>
    <w:rsid w:val="00302A40"/>
    <w:rsid w:val="0030392F"/>
    <w:rsid w:val="00303992"/>
    <w:rsid w:val="00304A45"/>
    <w:rsid w:val="003050DB"/>
    <w:rsid w:val="003057F9"/>
    <w:rsid w:val="00305A04"/>
    <w:rsid w:val="00305DD9"/>
    <w:rsid w:val="003060B6"/>
    <w:rsid w:val="003065C0"/>
    <w:rsid w:val="00307307"/>
    <w:rsid w:val="0031001F"/>
    <w:rsid w:val="00311024"/>
    <w:rsid w:val="00312013"/>
    <w:rsid w:val="00312259"/>
    <w:rsid w:val="00312412"/>
    <w:rsid w:val="003137B3"/>
    <w:rsid w:val="0031406F"/>
    <w:rsid w:val="00314355"/>
    <w:rsid w:val="00314605"/>
    <w:rsid w:val="003146C8"/>
    <w:rsid w:val="00315018"/>
    <w:rsid w:val="0031516E"/>
    <w:rsid w:val="00316263"/>
    <w:rsid w:val="00316645"/>
    <w:rsid w:val="00316A4E"/>
    <w:rsid w:val="00316FF3"/>
    <w:rsid w:val="003174EA"/>
    <w:rsid w:val="00317687"/>
    <w:rsid w:val="00317B03"/>
    <w:rsid w:val="00317D07"/>
    <w:rsid w:val="00320C4B"/>
    <w:rsid w:val="00320E0C"/>
    <w:rsid w:val="0032158D"/>
    <w:rsid w:val="00321E8D"/>
    <w:rsid w:val="00321EB7"/>
    <w:rsid w:val="003221AF"/>
    <w:rsid w:val="00322DF7"/>
    <w:rsid w:val="003230A2"/>
    <w:rsid w:val="003236F7"/>
    <w:rsid w:val="0032370C"/>
    <w:rsid w:val="00325A43"/>
    <w:rsid w:val="00325FD0"/>
    <w:rsid w:val="003277E4"/>
    <w:rsid w:val="003279EE"/>
    <w:rsid w:val="00327E53"/>
    <w:rsid w:val="0033066F"/>
    <w:rsid w:val="0033068B"/>
    <w:rsid w:val="00330D43"/>
    <w:rsid w:val="00330F2D"/>
    <w:rsid w:val="003313F0"/>
    <w:rsid w:val="00331A24"/>
    <w:rsid w:val="00332CF6"/>
    <w:rsid w:val="00333EC0"/>
    <w:rsid w:val="003341D5"/>
    <w:rsid w:val="00334735"/>
    <w:rsid w:val="00334BBB"/>
    <w:rsid w:val="00334FE5"/>
    <w:rsid w:val="00335014"/>
    <w:rsid w:val="00335E82"/>
    <w:rsid w:val="00336430"/>
    <w:rsid w:val="00336C94"/>
    <w:rsid w:val="00337111"/>
    <w:rsid w:val="003375B5"/>
    <w:rsid w:val="00337B34"/>
    <w:rsid w:val="0034035E"/>
    <w:rsid w:val="0034070C"/>
    <w:rsid w:val="003408DC"/>
    <w:rsid w:val="0034097D"/>
    <w:rsid w:val="00341584"/>
    <w:rsid w:val="003416D2"/>
    <w:rsid w:val="00342C9A"/>
    <w:rsid w:val="00342EAA"/>
    <w:rsid w:val="003438C8"/>
    <w:rsid w:val="003439BD"/>
    <w:rsid w:val="00343D3E"/>
    <w:rsid w:val="0034452D"/>
    <w:rsid w:val="00344F37"/>
    <w:rsid w:val="00345575"/>
    <w:rsid w:val="00345CDD"/>
    <w:rsid w:val="00346A67"/>
    <w:rsid w:val="00346B10"/>
    <w:rsid w:val="00347271"/>
    <w:rsid w:val="00347317"/>
    <w:rsid w:val="003518BA"/>
    <w:rsid w:val="003518D8"/>
    <w:rsid w:val="00351A8E"/>
    <w:rsid w:val="00351D20"/>
    <w:rsid w:val="00352CD4"/>
    <w:rsid w:val="00352D59"/>
    <w:rsid w:val="00353022"/>
    <w:rsid w:val="00353137"/>
    <w:rsid w:val="00353CEA"/>
    <w:rsid w:val="003541A6"/>
    <w:rsid w:val="0035466C"/>
    <w:rsid w:val="00354855"/>
    <w:rsid w:val="003548CB"/>
    <w:rsid w:val="003551B6"/>
    <w:rsid w:val="00355A89"/>
    <w:rsid w:val="00355DDB"/>
    <w:rsid w:val="00356029"/>
    <w:rsid w:val="003564B0"/>
    <w:rsid w:val="00356744"/>
    <w:rsid w:val="003568DD"/>
    <w:rsid w:val="00356915"/>
    <w:rsid w:val="00356C8C"/>
    <w:rsid w:val="00357687"/>
    <w:rsid w:val="0036082A"/>
    <w:rsid w:val="0036130B"/>
    <w:rsid w:val="0036133B"/>
    <w:rsid w:val="003619E1"/>
    <w:rsid w:val="00362513"/>
    <w:rsid w:val="003631AD"/>
    <w:rsid w:val="003641E2"/>
    <w:rsid w:val="00364418"/>
    <w:rsid w:val="00366168"/>
    <w:rsid w:val="00366AF4"/>
    <w:rsid w:val="0036708A"/>
    <w:rsid w:val="00367601"/>
    <w:rsid w:val="003676DD"/>
    <w:rsid w:val="003705E8"/>
    <w:rsid w:val="003706DA"/>
    <w:rsid w:val="00370714"/>
    <w:rsid w:val="00371FE0"/>
    <w:rsid w:val="00372BF2"/>
    <w:rsid w:val="00372DB8"/>
    <w:rsid w:val="0037333D"/>
    <w:rsid w:val="003739DD"/>
    <w:rsid w:val="00373B5D"/>
    <w:rsid w:val="00373E81"/>
    <w:rsid w:val="003742B7"/>
    <w:rsid w:val="00374C45"/>
    <w:rsid w:val="00374F90"/>
    <w:rsid w:val="003751A6"/>
    <w:rsid w:val="003754B9"/>
    <w:rsid w:val="00375BC3"/>
    <w:rsid w:val="00375F48"/>
    <w:rsid w:val="0037655A"/>
    <w:rsid w:val="00377113"/>
    <w:rsid w:val="00377534"/>
    <w:rsid w:val="00380AA7"/>
    <w:rsid w:val="00380E35"/>
    <w:rsid w:val="00381A64"/>
    <w:rsid w:val="00381CA5"/>
    <w:rsid w:val="00381F29"/>
    <w:rsid w:val="0038214D"/>
    <w:rsid w:val="003821AD"/>
    <w:rsid w:val="00382326"/>
    <w:rsid w:val="00382E98"/>
    <w:rsid w:val="00382EEC"/>
    <w:rsid w:val="0038335D"/>
    <w:rsid w:val="003838D4"/>
    <w:rsid w:val="0038462A"/>
    <w:rsid w:val="00384943"/>
    <w:rsid w:val="003865A2"/>
    <w:rsid w:val="00386AB1"/>
    <w:rsid w:val="003871A2"/>
    <w:rsid w:val="003877C3"/>
    <w:rsid w:val="00387893"/>
    <w:rsid w:val="00387AE3"/>
    <w:rsid w:val="0039010D"/>
    <w:rsid w:val="00390AE1"/>
    <w:rsid w:val="00391308"/>
    <w:rsid w:val="00391528"/>
    <w:rsid w:val="00391BEF"/>
    <w:rsid w:val="00391C46"/>
    <w:rsid w:val="00391D1F"/>
    <w:rsid w:val="00391D4D"/>
    <w:rsid w:val="003921DF"/>
    <w:rsid w:val="00392D11"/>
    <w:rsid w:val="003933EF"/>
    <w:rsid w:val="00393CDC"/>
    <w:rsid w:val="00394AB6"/>
    <w:rsid w:val="00394FA1"/>
    <w:rsid w:val="00394FFE"/>
    <w:rsid w:val="00395495"/>
    <w:rsid w:val="00395784"/>
    <w:rsid w:val="0039595E"/>
    <w:rsid w:val="00395AC9"/>
    <w:rsid w:val="00395D8C"/>
    <w:rsid w:val="00396056"/>
    <w:rsid w:val="00397B48"/>
    <w:rsid w:val="003A0472"/>
    <w:rsid w:val="003A0C24"/>
    <w:rsid w:val="003A1095"/>
    <w:rsid w:val="003A10BA"/>
    <w:rsid w:val="003A1433"/>
    <w:rsid w:val="003A1521"/>
    <w:rsid w:val="003A1A3F"/>
    <w:rsid w:val="003A1B4D"/>
    <w:rsid w:val="003A1C9B"/>
    <w:rsid w:val="003A1D17"/>
    <w:rsid w:val="003A1D21"/>
    <w:rsid w:val="003A28CA"/>
    <w:rsid w:val="003A32A7"/>
    <w:rsid w:val="003A35C1"/>
    <w:rsid w:val="003A447D"/>
    <w:rsid w:val="003A514D"/>
    <w:rsid w:val="003A60D1"/>
    <w:rsid w:val="003A63B9"/>
    <w:rsid w:val="003A683B"/>
    <w:rsid w:val="003A68EA"/>
    <w:rsid w:val="003B0332"/>
    <w:rsid w:val="003B0B11"/>
    <w:rsid w:val="003B1716"/>
    <w:rsid w:val="003B2A4D"/>
    <w:rsid w:val="003B2AF1"/>
    <w:rsid w:val="003B2E2F"/>
    <w:rsid w:val="003B2E68"/>
    <w:rsid w:val="003B2F32"/>
    <w:rsid w:val="003B3058"/>
    <w:rsid w:val="003B33FE"/>
    <w:rsid w:val="003B345F"/>
    <w:rsid w:val="003B3694"/>
    <w:rsid w:val="003B3898"/>
    <w:rsid w:val="003B3E6B"/>
    <w:rsid w:val="003B44C8"/>
    <w:rsid w:val="003B44D6"/>
    <w:rsid w:val="003B4984"/>
    <w:rsid w:val="003B49D9"/>
    <w:rsid w:val="003B54BD"/>
    <w:rsid w:val="003B569F"/>
    <w:rsid w:val="003B56C1"/>
    <w:rsid w:val="003B5D2F"/>
    <w:rsid w:val="003B5D69"/>
    <w:rsid w:val="003B5E09"/>
    <w:rsid w:val="003B5FD3"/>
    <w:rsid w:val="003B64F4"/>
    <w:rsid w:val="003B6713"/>
    <w:rsid w:val="003B6E1D"/>
    <w:rsid w:val="003B6F3B"/>
    <w:rsid w:val="003B6FD2"/>
    <w:rsid w:val="003B79E6"/>
    <w:rsid w:val="003B7FB3"/>
    <w:rsid w:val="003C0511"/>
    <w:rsid w:val="003C0A43"/>
    <w:rsid w:val="003C1A4A"/>
    <w:rsid w:val="003C1F38"/>
    <w:rsid w:val="003C20E9"/>
    <w:rsid w:val="003C3736"/>
    <w:rsid w:val="003C3CED"/>
    <w:rsid w:val="003C3DC2"/>
    <w:rsid w:val="003C3FD1"/>
    <w:rsid w:val="003C41A9"/>
    <w:rsid w:val="003C42AD"/>
    <w:rsid w:val="003C48CB"/>
    <w:rsid w:val="003C4EB0"/>
    <w:rsid w:val="003C535A"/>
    <w:rsid w:val="003C5A46"/>
    <w:rsid w:val="003C5D57"/>
    <w:rsid w:val="003C5E19"/>
    <w:rsid w:val="003C5E4F"/>
    <w:rsid w:val="003C75BD"/>
    <w:rsid w:val="003C7CB0"/>
    <w:rsid w:val="003C7D61"/>
    <w:rsid w:val="003D0493"/>
    <w:rsid w:val="003D0BF8"/>
    <w:rsid w:val="003D11A3"/>
    <w:rsid w:val="003D1428"/>
    <w:rsid w:val="003D1930"/>
    <w:rsid w:val="003D2389"/>
    <w:rsid w:val="003D3A74"/>
    <w:rsid w:val="003D3E36"/>
    <w:rsid w:val="003D421A"/>
    <w:rsid w:val="003D4486"/>
    <w:rsid w:val="003D4CB9"/>
    <w:rsid w:val="003D5168"/>
    <w:rsid w:val="003D52C6"/>
    <w:rsid w:val="003D630D"/>
    <w:rsid w:val="003D6ACB"/>
    <w:rsid w:val="003D6FD9"/>
    <w:rsid w:val="003D70DC"/>
    <w:rsid w:val="003D7446"/>
    <w:rsid w:val="003D7BDE"/>
    <w:rsid w:val="003D7D2D"/>
    <w:rsid w:val="003E0671"/>
    <w:rsid w:val="003E0B2A"/>
    <w:rsid w:val="003E20F0"/>
    <w:rsid w:val="003E391B"/>
    <w:rsid w:val="003E4701"/>
    <w:rsid w:val="003E4C9F"/>
    <w:rsid w:val="003E5061"/>
    <w:rsid w:val="003E56D4"/>
    <w:rsid w:val="003E56F0"/>
    <w:rsid w:val="003E666C"/>
    <w:rsid w:val="003E6BF0"/>
    <w:rsid w:val="003E748F"/>
    <w:rsid w:val="003E7861"/>
    <w:rsid w:val="003E7CC3"/>
    <w:rsid w:val="003E7F12"/>
    <w:rsid w:val="003F0681"/>
    <w:rsid w:val="003F0742"/>
    <w:rsid w:val="003F08BD"/>
    <w:rsid w:val="003F09A1"/>
    <w:rsid w:val="003F14D1"/>
    <w:rsid w:val="003F1AD5"/>
    <w:rsid w:val="003F1B0F"/>
    <w:rsid w:val="003F1CF1"/>
    <w:rsid w:val="003F2345"/>
    <w:rsid w:val="003F23A5"/>
    <w:rsid w:val="003F3055"/>
    <w:rsid w:val="003F3A4F"/>
    <w:rsid w:val="003F41CA"/>
    <w:rsid w:val="003F4EEC"/>
    <w:rsid w:val="003F4FCF"/>
    <w:rsid w:val="003F504D"/>
    <w:rsid w:val="003F50D8"/>
    <w:rsid w:val="003F5C4C"/>
    <w:rsid w:val="003F6689"/>
    <w:rsid w:val="003F699D"/>
    <w:rsid w:val="003F6E67"/>
    <w:rsid w:val="003F7B77"/>
    <w:rsid w:val="00400398"/>
    <w:rsid w:val="00400467"/>
    <w:rsid w:val="004006CD"/>
    <w:rsid w:val="00400994"/>
    <w:rsid w:val="0040131D"/>
    <w:rsid w:val="00401F5C"/>
    <w:rsid w:val="00402A75"/>
    <w:rsid w:val="00402C0D"/>
    <w:rsid w:val="004030F2"/>
    <w:rsid w:val="004050D9"/>
    <w:rsid w:val="00406477"/>
    <w:rsid w:val="00406834"/>
    <w:rsid w:val="00406F66"/>
    <w:rsid w:val="00407166"/>
    <w:rsid w:val="00410092"/>
    <w:rsid w:val="004108D7"/>
    <w:rsid w:val="00411783"/>
    <w:rsid w:val="00411B17"/>
    <w:rsid w:val="00412224"/>
    <w:rsid w:val="00412B42"/>
    <w:rsid w:val="00413743"/>
    <w:rsid w:val="00413B26"/>
    <w:rsid w:val="00413CD4"/>
    <w:rsid w:val="0041423E"/>
    <w:rsid w:val="00414B1C"/>
    <w:rsid w:val="00414B32"/>
    <w:rsid w:val="00414CA6"/>
    <w:rsid w:val="00416148"/>
    <w:rsid w:val="004168D9"/>
    <w:rsid w:val="004169CD"/>
    <w:rsid w:val="00416EBA"/>
    <w:rsid w:val="004171E1"/>
    <w:rsid w:val="0041796E"/>
    <w:rsid w:val="004179B6"/>
    <w:rsid w:val="00420614"/>
    <w:rsid w:val="00420AC9"/>
    <w:rsid w:val="00420BC0"/>
    <w:rsid w:val="00420ED3"/>
    <w:rsid w:val="00421B80"/>
    <w:rsid w:val="00421D0E"/>
    <w:rsid w:val="00421F47"/>
    <w:rsid w:val="00422038"/>
    <w:rsid w:val="00422353"/>
    <w:rsid w:val="004225D2"/>
    <w:rsid w:val="00422C4D"/>
    <w:rsid w:val="0042316B"/>
    <w:rsid w:val="004236F5"/>
    <w:rsid w:val="0042385B"/>
    <w:rsid w:val="00423FE4"/>
    <w:rsid w:val="00424D43"/>
    <w:rsid w:val="00424FE4"/>
    <w:rsid w:val="004253AA"/>
    <w:rsid w:val="004265A0"/>
    <w:rsid w:val="004265CA"/>
    <w:rsid w:val="00426922"/>
    <w:rsid w:val="00426EC9"/>
    <w:rsid w:val="00426F32"/>
    <w:rsid w:val="0042733D"/>
    <w:rsid w:val="00427408"/>
    <w:rsid w:val="0042798C"/>
    <w:rsid w:val="004279ED"/>
    <w:rsid w:val="00430119"/>
    <w:rsid w:val="004302E1"/>
    <w:rsid w:val="00431298"/>
    <w:rsid w:val="004319BD"/>
    <w:rsid w:val="00431C09"/>
    <w:rsid w:val="00432585"/>
    <w:rsid w:val="00432D4B"/>
    <w:rsid w:val="00433BA4"/>
    <w:rsid w:val="00434120"/>
    <w:rsid w:val="00434572"/>
    <w:rsid w:val="00434D4E"/>
    <w:rsid w:val="00434E47"/>
    <w:rsid w:val="00434F2C"/>
    <w:rsid w:val="00435258"/>
    <w:rsid w:val="00435EAC"/>
    <w:rsid w:val="00435F43"/>
    <w:rsid w:val="004360D9"/>
    <w:rsid w:val="004375F2"/>
    <w:rsid w:val="004376BD"/>
    <w:rsid w:val="00437D26"/>
    <w:rsid w:val="004402B6"/>
    <w:rsid w:val="0044053E"/>
    <w:rsid w:val="00441CF7"/>
    <w:rsid w:val="00441FB2"/>
    <w:rsid w:val="004424CD"/>
    <w:rsid w:val="004426B0"/>
    <w:rsid w:val="00442B55"/>
    <w:rsid w:val="00442FF2"/>
    <w:rsid w:val="004438DC"/>
    <w:rsid w:val="00443CF4"/>
    <w:rsid w:val="00443D90"/>
    <w:rsid w:val="00443D9C"/>
    <w:rsid w:val="00443FCC"/>
    <w:rsid w:val="0044506D"/>
    <w:rsid w:val="004458DB"/>
    <w:rsid w:val="00445993"/>
    <w:rsid w:val="00445997"/>
    <w:rsid w:val="00445CD7"/>
    <w:rsid w:val="00446064"/>
    <w:rsid w:val="00446183"/>
    <w:rsid w:val="004463EC"/>
    <w:rsid w:val="0044686F"/>
    <w:rsid w:val="00446A2E"/>
    <w:rsid w:val="0044724A"/>
    <w:rsid w:val="00450242"/>
    <w:rsid w:val="00450911"/>
    <w:rsid w:val="0045103F"/>
    <w:rsid w:val="004519AB"/>
    <w:rsid w:val="00451CEC"/>
    <w:rsid w:val="0045249C"/>
    <w:rsid w:val="00452C92"/>
    <w:rsid w:val="00452DB3"/>
    <w:rsid w:val="00452FCB"/>
    <w:rsid w:val="00453002"/>
    <w:rsid w:val="0045394C"/>
    <w:rsid w:val="00453A03"/>
    <w:rsid w:val="00453D75"/>
    <w:rsid w:val="00454157"/>
    <w:rsid w:val="004545F8"/>
    <w:rsid w:val="00454796"/>
    <w:rsid w:val="00454AF8"/>
    <w:rsid w:val="00454D4F"/>
    <w:rsid w:val="004552B2"/>
    <w:rsid w:val="00455966"/>
    <w:rsid w:val="004559C7"/>
    <w:rsid w:val="00455A04"/>
    <w:rsid w:val="004562AE"/>
    <w:rsid w:val="00457460"/>
    <w:rsid w:val="004574AB"/>
    <w:rsid w:val="004576E5"/>
    <w:rsid w:val="004579D3"/>
    <w:rsid w:val="00457A7A"/>
    <w:rsid w:val="00457CA8"/>
    <w:rsid w:val="00457E7D"/>
    <w:rsid w:val="00460482"/>
    <w:rsid w:val="0046062F"/>
    <w:rsid w:val="00460898"/>
    <w:rsid w:val="00460A51"/>
    <w:rsid w:val="0046123C"/>
    <w:rsid w:val="00461452"/>
    <w:rsid w:val="00461D84"/>
    <w:rsid w:val="004628A3"/>
    <w:rsid w:val="0046297F"/>
    <w:rsid w:val="00462A33"/>
    <w:rsid w:val="00463215"/>
    <w:rsid w:val="00463D00"/>
    <w:rsid w:val="00464009"/>
    <w:rsid w:val="00464C5B"/>
    <w:rsid w:val="00465B69"/>
    <w:rsid w:val="0046608E"/>
    <w:rsid w:val="0046614A"/>
    <w:rsid w:val="0046679A"/>
    <w:rsid w:val="0046778E"/>
    <w:rsid w:val="0046788E"/>
    <w:rsid w:val="00470229"/>
    <w:rsid w:val="00470E3B"/>
    <w:rsid w:val="00470F97"/>
    <w:rsid w:val="0047109C"/>
    <w:rsid w:val="004712DE"/>
    <w:rsid w:val="004713E0"/>
    <w:rsid w:val="004716A1"/>
    <w:rsid w:val="00471ABF"/>
    <w:rsid w:val="00471CD7"/>
    <w:rsid w:val="00471DA0"/>
    <w:rsid w:val="00472B8B"/>
    <w:rsid w:val="00472C0D"/>
    <w:rsid w:val="00472E69"/>
    <w:rsid w:val="00472F83"/>
    <w:rsid w:val="0047396D"/>
    <w:rsid w:val="00473A0D"/>
    <w:rsid w:val="00473A10"/>
    <w:rsid w:val="00474349"/>
    <w:rsid w:val="00474A3C"/>
    <w:rsid w:val="00476B5F"/>
    <w:rsid w:val="00476BC7"/>
    <w:rsid w:val="00476D14"/>
    <w:rsid w:val="00477353"/>
    <w:rsid w:val="0047762B"/>
    <w:rsid w:val="004776FC"/>
    <w:rsid w:val="00477781"/>
    <w:rsid w:val="00477B8C"/>
    <w:rsid w:val="00477FD2"/>
    <w:rsid w:val="00481FEF"/>
    <w:rsid w:val="00482928"/>
    <w:rsid w:val="00482E13"/>
    <w:rsid w:val="004832C6"/>
    <w:rsid w:val="004834F0"/>
    <w:rsid w:val="00483BB7"/>
    <w:rsid w:val="00483BFB"/>
    <w:rsid w:val="00486316"/>
    <w:rsid w:val="0048674E"/>
    <w:rsid w:val="00486825"/>
    <w:rsid w:val="00486F8F"/>
    <w:rsid w:val="00487007"/>
    <w:rsid w:val="004876B8"/>
    <w:rsid w:val="004903BC"/>
    <w:rsid w:val="00490F47"/>
    <w:rsid w:val="00491038"/>
    <w:rsid w:val="00491222"/>
    <w:rsid w:val="004913D8"/>
    <w:rsid w:val="0049145F"/>
    <w:rsid w:val="0049189E"/>
    <w:rsid w:val="004918C4"/>
    <w:rsid w:val="00491E3A"/>
    <w:rsid w:val="00492595"/>
    <w:rsid w:val="00492775"/>
    <w:rsid w:val="00493735"/>
    <w:rsid w:val="00493B35"/>
    <w:rsid w:val="004943D9"/>
    <w:rsid w:val="0049517F"/>
    <w:rsid w:val="004959D8"/>
    <w:rsid w:val="00495AA2"/>
    <w:rsid w:val="00495BDE"/>
    <w:rsid w:val="00495D3B"/>
    <w:rsid w:val="00495F52"/>
    <w:rsid w:val="00497094"/>
    <w:rsid w:val="00497133"/>
    <w:rsid w:val="00497C66"/>
    <w:rsid w:val="00497E79"/>
    <w:rsid w:val="004A05A0"/>
    <w:rsid w:val="004A0A1E"/>
    <w:rsid w:val="004A1A26"/>
    <w:rsid w:val="004A1A4B"/>
    <w:rsid w:val="004A1AF1"/>
    <w:rsid w:val="004A29FF"/>
    <w:rsid w:val="004A35A9"/>
    <w:rsid w:val="004A3EC7"/>
    <w:rsid w:val="004A46FE"/>
    <w:rsid w:val="004A67DE"/>
    <w:rsid w:val="004A67FE"/>
    <w:rsid w:val="004A741C"/>
    <w:rsid w:val="004A7C67"/>
    <w:rsid w:val="004A7F29"/>
    <w:rsid w:val="004B005C"/>
    <w:rsid w:val="004B04DC"/>
    <w:rsid w:val="004B0999"/>
    <w:rsid w:val="004B0DB6"/>
    <w:rsid w:val="004B0F2D"/>
    <w:rsid w:val="004B112F"/>
    <w:rsid w:val="004B1382"/>
    <w:rsid w:val="004B1471"/>
    <w:rsid w:val="004B19AE"/>
    <w:rsid w:val="004B22AA"/>
    <w:rsid w:val="004B2AA4"/>
    <w:rsid w:val="004B39A5"/>
    <w:rsid w:val="004B3C59"/>
    <w:rsid w:val="004B42A6"/>
    <w:rsid w:val="004B4571"/>
    <w:rsid w:val="004B50FC"/>
    <w:rsid w:val="004B60E5"/>
    <w:rsid w:val="004B6A22"/>
    <w:rsid w:val="004B6D8B"/>
    <w:rsid w:val="004B7556"/>
    <w:rsid w:val="004B7740"/>
    <w:rsid w:val="004B77D3"/>
    <w:rsid w:val="004C10C7"/>
    <w:rsid w:val="004C1830"/>
    <w:rsid w:val="004C23A2"/>
    <w:rsid w:val="004C23B4"/>
    <w:rsid w:val="004C248A"/>
    <w:rsid w:val="004C2822"/>
    <w:rsid w:val="004C29F7"/>
    <w:rsid w:val="004C2F98"/>
    <w:rsid w:val="004C3293"/>
    <w:rsid w:val="004C38B8"/>
    <w:rsid w:val="004C4B59"/>
    <w:rsid w:val="004C4EB5"/>
    <w:rsid w:val="004C53D5"/>
    <w:rsid w:val="004C578E"/>
    <w:rsid w:val="004C61A7"/>
    <w:rsid w:val="004C61E8"/>
    <w:rsid w:val="004C7036"/>
    <w:rsid w:val="004C7239"/>
    <w:rsid w:val="004C7AF8"/>
    <w:rsid w:val="004D00AF"/>
    <w:rsid w:val="004D0E3D"/>
    <w:rsid w:val="004D197D"/>
    <w:rsid w:val="004D219F"/>
    <w:rsid w:val="004D2BD3"/>
    <w:rsid w:val="004D32BC"/>
    <w:rsid w:val="004D3888"/>
    <w:rsid w:val="004D395C"/>
    <w:rsid w:val="004D3B1A"/>
    <w:rsid w:val="004D4619"/>
    <w:rsid w:val="004D4B6E"/>
    <w:rsid w:val="004D4D4B"/>
    <w:rsid w:val="004D4EAD"/>
    <w:rsid w:val="004D4F57"/>
    <w:rsid w:val="004D52E0"/>
    <w:rsid w:val="004D5D95"/>
    <w:rsid w:val="004D6DB3"/>
    <w:rsid w:val="004D73EF"/>
    <w:rsid w:val="004D78E8"/>
    <w:rsid w:val="004E080D"/>
    <w:rsid w:val="004E083F"/>
    <w:rsid w:val="004E0A74"/>
    <w:rsid w:val="004E0B09"/>
    <w:rsid w:val="004E1145"/>
    <w:rsid w:val="004E2378"/>
    <w:rsid w:val="004E2988"/>
    <w:rsid w:val="004E3555"/>
    <w:rsid w:val="004E42C6"/>
    <w:rsid w:val="004E448A"/>
    <w:rsid w:val="004E44D5"/>
    <w:rsid w:val="004E48D6"/>
    <w:rsid w:val="004E4BF4"/>
    <w:rsid w:val="004E52EE"/>
    <w:rsid w:val="004E56B6"/>
    <w:rsid w:val="004E5816"/>
    <w:rsid w:val="004E5D07"/>
    <w:rsid w:val="004E5F24"/>
    <w:rsid w:val="004E65F6"/>
    <w:rsid w:val="004E69A0"/>
    <w:rsid w:val="004E7514"/>
    <w:rsid w:val="004E76E4"/>
    <w:rsid w:val="004E78B4"/>
    <w:rsid w:val="004E7D3A"/>
    <w:rsid w:val="004E7FC8"/>
    <w:rsid w:val="004F00C0"/>
    <w:rsid w:val="004F0440"/>
    <w:rsid w:val="004F16A7"/>
    <w:rsid w:val="004F30F9"/>
    <w:rsid w:val="004F32FD"/>
    <w:rsid w:val="004F340B"/>
    <w:rsid w:val="004F3C72"/>
    <w:rsid w:val="004F41EC"/>
    <w:rsid w:val="004F42A2"/>
    <w:rsid w:val="004F472E"/>
    <w:rsid w:val="004F4F8D"/>
    <w:rsid w:val="004F571F"/>
    <w:rsid w:val="004F62A9"/>
    <w:rsid w:val="004F64CA"/>
    <w:rsid w:val="004F64DA"/>
    <w:rsid w:val="004F6562"/>
    <w:rsid w:val="004F73D6"/>
    <w:rsid w:val="004F744D"/>
    <w:rsid w:val="004F755B"/>
    <w:rsid w:val="004F796F"/>
    <w:rsid w:val="004F7B5B"/>
    <w:rsid w:val="00500B91"/>
    <w:rsid w:val="005011E3"/>
    <w:rsid w:val="0050126A"/>
    <w:rsid w:val="005015F7"/>
    <w:rsid w:val="00501AB3"/>
    <w:rsid w:val="00501C2C"/>
    <w:rsid w:val="00502193"/>
    <w:rsid w:val="0050256F"/>
    <w:rsid w:val="005025B8"/>
    <w:rsid w:val="00502922"/>
    <w:rsid w:val="00502B97"/>
    <w:rsid w:val="005030BC"/>
    <w:rsid w:val="00503AB5"/>
    <w:rsid w:val="00504A37"/>
    <w:rsid w:val="00504F00"/>
    <w:rsid w:val="00505452"/>
    <w:rsid w:val="00505456"/>
    <w:rsid w:val="005065B3"/>
    <w:rsid w:val="00506AC6"/>
    <w:rsid w:val="00506CCE"/>
    <w:rsid w:val="005076ED"/>
    <w:rsid w:val="0051021E"/>
    <w:rsid w:val="0051043F"/>
    <w:rsid w:val="00510C0B"/>
    <w:rsid w:val="00511007"/>
    <w:rsid w:val="00511169"/>
    <w:rsid w:val="005111F7"/>
    <w:rsid w:val="00511259"/>
    <w:rsid w:val="00511271"/>
    <w:rsid w:val="0051190F"/>
    <w:rsid w:val="00511C09"/>
    <w:rsid w:val="00512FA0"/>
    <w:rsid w:val="005131C3"/>
    <w:rsid w:val="005133F1"/>
    <w:rsid w:val="0051389E"/>
    <w:rsid w:val="00513A40"/>
    <w:rsid w:val="00513BF2"/>
    <w:rsid w:val="005142F3"/>
    <w:rsid w:val="00514A4E"/>
    <w:rsid w:val="00514C2F"/>
    <w:rsid w:val="005153FA"/>
    <w:rsid w:val="00515536"/>
    <w:rsid w:val="0051555F"/>
    <w:rsid w:val="00515AAA"/>
    <w:rsid w:val="00515FA1"/>
    <w:rsid w:val="005162EE"/>
    <w:rsid w:val="005163DE"/>
    <w:rsid w:val="00516C5F"/>
    <w:rsid w:val="00516CD6"/>
    <w:rsid w:val="0052085A"/>
    <w:rsid w:val="005209AB"/>
    <w:rsid w:val="00521013"/>
    <w:rsid w:val="005210C7"/>
    <w:rsid w:val="0052127C"/>
    <w:rsid w:val="00521578"/>
    <w:rsid w:val="005222DC"/>
    <w:rsid w:val="00522397"/>
    <w:rsid w:val="005224BF"/>
    <w:rsid w:val="005229E1"/>
    <w:rsid w:val="00522D87"/>
    <w:rsid w:val="0052315E"/>
    <w:rsid w:val="00523779"/>
    <w:rsid w:val="00523E04"/>
    <w:rsid w:val="005240A7"/>
    <w:rsid w:val="00524151"/>
    <w:rsid w:val="00524EA0"/>
    <w:rsid w:val="0052558C"/>
    <w:rsid w:val="005259D5"/>
    <w:rsid w:val="00527044"/>
    <w:rsid w:val="0052721D"/>
    <w:rsid w:val="005277F7"/>
    <w:rsid w:val="00527833"/>
    <w:rsid w:val="00527EC1"/>
    <w:rsid w:val="00530262"/>
    <w:rsid w:val="005302DC"/>
    <w:rsid w:val="005313AD"/>
    <w:rsid w:val="0053165F"/>
    <w:rsid w:val="00531FD8"/>
    <w:rsid w:val="00532427"/>
    <w:rsid w:val="005328D0"/>
    <w:rsid w:val="00532A79"/>
    <w:rsid w:val="00532CE3"/>
    <w:rsid w:val="005331CB"/>
    <w:rsid w:val="00533691"/>
    <w:rsid w:val="0053385B"/>
    <w:rsid w:val="00533962"/>
    <w:rsid w:val="00533EDD"/>
    <w:rsid w:val="005354E8"/>
    <w:rsid w:val="00535598"/>
    <w:rsid w:val="0053592E"/>
    <w:rsid w:val="00535B03"/>
    <w:rsid w:val="00536CD2"/>
    <w:rsid w:val="005376D8"/>
    <w:rsid w:val="00537875"/>
    <w:rsid w:val="005402DB"/>
    <w:rsid w:val="00540565"/>
    <w:rsid w:val="00541757"/>
    <w:rsid w:val="00541C31"/>
    <w:rsid w:val="00541F5B"/>
    <w:rsid w:val="005425E2"/>
    <w:rsid w:val="0054263F"/>
    <w:rsid w:val="00542CAE"/>
    <w:rsid w:val="00542E75"/>
    <w:rsid w:val="00543BD5"/>
    <w:rsid w:val="0054448B"/>
    <w:rsid w:val="00545167"/>
    <w:rsid w:val="005454E9"/>
    <w:rsid w:val="00546217"/>
    <w:rsid w:val="00546286"/>
    <w:rsid w:val="005469BB"/>
    <w:rsid w:val="00546D15"/>
    <w:rsid w:val="00546F4D"/>
    <w:rsid w:val="00547158"/>
    <w:rsid w:val="00547E7D"/>
    <w:rsid w:val="00550051"/>
    <w:rsid w:val="00550129"/>
    <w:rsid w:val="00550397"/>
    <w:rsid w:val="00550444"/>
    <w:rsid w:val="00550588"/>
    <w:rsid w:val="00551661"/>
    <w:rsid w:val="005522B0"/>
    <w:rsid w:val="00552373"/>
    <w:rsid w:val="00552BBD"/>
    <w:rsid w:val="00552F7A"/>
    <w:rsid w:val="0055347C"/>
    <w:rsid w:val="005536CA"/>
    <w:rsid w:val="005536E5"/>
    <w:rsid w:val="005536F0"/>
    <w:rsid w:val="005547C8"/>
    <w:rsid w:val="005549D0"/>
    <w:rsid w:val="005568FE"/>
    <w:rsid w:val="005571B7"/>
    <w:rsid w:val="005574F1"/>
    <w:rsid w:val="00557EF8"/>
    <w:rsid w:val="0056022D"/>
    <w:rsid w:val="0056057B"/>
    <w:rsid w:val="0056069A"/>
    <w:rsid w:val="00560928"/>
    <w:rsid w:val="00560C16"/>
    <w:rsid w:val="005611CE"/>
    <w:rsid w:val="005620E2"/>
    <w:rsid w:val="005621E7"/>
    <w:rsid w:val="005626F9"/>
    <w:rsid w:val="005639C1"/>
    <w:rsid w:val="00563C37"/>
    <w:rsid w:val="00563C68"/>
    <w:rsid w:val="00563CBA"/>
    <w:rsid w:val="0056406A"/>
    <w:rsid w:val="005648A9"/>
    <w:rsid w:val="00564EFF"/>
    <w:rsid w:val="0056575E"/>
    <w:rsid w:val="00565D18"/>
    <w:rsid w:val="00566030"/>
    <w:rsid w:val="00566503"/>
    <w:rsid w:val="00567203"/>
    <w:rsid w:val="005673F9"/>
    <w:rsid w:val="00567493"/>
    <w:rsid w:val="00567903"/>
    <w:rsid w:val="00567CE2"/>
    <w:rsid w:val="00570790"/>
    <w:rsid w:val="00570BC3"/>
    <w:rsid w:val="00571908"/>
    <w:rsid w:val="00572916"/>
    <w:rsid w:val="00572B47"/>
    <w:rsid w:val="00572B5E"/>
    <w:rsid w:val="00572E14"/>
    <w:rsid w:val="005738AA"/>
    <w:rsid w:val="005738D4"/>
    <w:rsid w:val="005740F2"/>
    <w:rsid w:val="005753A2"/>
    <w:rsid w:val="00575529"/>
    <w:rsid w:val="00575B46"/>
    <w:rsid w:val="00576544"/>
    <w:rsid w:val="0058014D"/>
    <w:rsid w:val="0058031B"/>
    <w:rsid w:val="0058032B"/>
    <w:rsid w:val="00580704"/>
    <w:rsid w:val="00580FE2"/>
    <w:rsid w:val="00580FFB"/>
    <w:rsid w:val="005811A1"/>
    <w:rsid w:val="0058126A"/>
    <w:rsid w:val="005812C1"/>
    <w:rsid w:val="00581A92"/>
    <w:rsid w:val="00581DB9"/>
    <w:rsid w:val="005820FC"/>
    <w:rsid w:val="00582F88"/>
    <w:rsid w:val="00583594"/>
    <w:rsid w:val="00583F60"/>
    <w:rsid w:val="00584545"/>
    <w:rsid w:val="00584CA9"/>
    <w:rsid w:val="0058541C"/>
    <w:rsid w:val="00585770"/>
    <w:rsid w:val="00585B78"/>
    <w:rsid w:val="005877EA"/>
    <w:rsid w:val="00587D99"/>
    <w:rsid w:val="00587FD1"/>
    <w:rsid w:val="005900AB"/>
    <w:rsid w:val="00590632"/>
    <w:rsid w:val="0059064B"/>
    <w:rsid w:val="00591407"/>
    <w:rsid w:val="00591A4E"/>
    <w:rsid w:val="00591E3C"/>
    <w:rsid w:val="0059278C"/>
    <w:rsid w:val="00593784"/>
    <w:rsid w:val="00593C8F"/>
    <w:rsid w:val="00594FF8"/>
    <w:rsid w:val="00595090"/>
    <w:rsid w:val="00595851"/>
    <w:rsid w:val="005959CB"/>
    <w:rsid w:val="00595D04"/>
    <w:rsid w:val="00595FC6"/>
    <w:rsid w:val="00596119"/>
    <w:rsid w:val="00596722"/>
    <w:rsid w:val="00596C5B"/>
    <w:rsid w:val="00596EC8"/>
    <w:rsid w:val="005A0EA7"/>
    <w:rsid w:val="005A1082"/>
    <w:rsid w:val="005A10A8"/>
    <w:rsid w:val="005A1542"/>
    <w:rsid w:val="005A15CE"/>
    <w:rsid w:val="005A15EB"/>
    <w:rsid w:val="005A2101"/>
    <w:rsid w:val="005A32A4"/>
    <w:rsid w:val="005A3B37"/>
    <w:rsid w:val="005A3DD9"/>
    <w:rsid w:val="005A3ED8"/>
    <w:rsid w:val="005A43A6"/>
    <w:rsid w:val="005A46E9"/>
    <w:rsid w:val="005A4784"/>
    <w:rsid w:val="005A485B"/>
    <w:rsid w:val="005A4C48"/>
    <w:rsid w:val="005A5288"/>
    <w:rsid w:val="005A52E2"/>
    <w:rsid w:val="005A552A"/>
    <w:rsid w:val="005A5B49"/>
    <w:rsid w:val="005A5F08"/>
    <w:rsid w:val="005A63F3"/>
    <w:rsid w:val="005A65AC"/>
    <w:rsid w:val="005A66A7"/>
    <w:rsid w:val="005A66F6"/>
    <w:rsid w:val="005A69DF"/>
    <w:rsid w:val="005A7530"/>
    <w:rsid w:val="005B044E"/>
    <w:rsid w:val="005B066C"/>
    <w:rsid w:val="005B09C5"/>
    <w:rsid w:val="005B0BC2"/>
    <w:rsid w:val="005B16E5"/>
    <w:rsid w:val="005B22AA"/>
    <w:rsid w:val="005B2A3E"/>
    <w:rsid w:val="005B2CE1"/>
    <w:rsid w:val="005B2DA6"/>
    <w:rsid w:val="005B37FC"/>
    <w:rsid w:val="005B3B8D"/>
    <w:rsid w:val="005B3CD5"/>
    <w:rsid w:val="005B4602"/>
    <w:rsid w:val="005B4939"/>
    <w:rsid w:val="005B564F"/>
    <w:rsid w:val="005B6B99"/>
    <w:rsid w:val="005B6FA1"/>
    <w:rsid w:val="005B7195"/>
    <w:rsid w:val="005B7AF5"/>
    <w:rsid w:val="005B7EEC"/>
    <w:rsid w:val="005C0247"/>
    <w:rsid w:val="005C07B4"/>
    <w:rsid w:val="005C2182"/>
    <w:rsid w:val="005C2885"/>
    <w:rsid w:val="005C3446"/>
    <w:rsid w:val="005C3CA8"/>
    <w:rsid w:val="005C42EA"/>
    <w:rsid w:val="005C45B6"/>
    <w:rsid w:val="005C4663"/>
    <w:rsid w:val="005C485D"/>
    <w:rsid w:val="005C5CD4"/>
    <w:rsid w:val="005C62B3"/>
    <w:rsid w:val="005C6C65"/>
    <w:rsid w:val="005C7A4A"/>
    <w:rsid w:val="005C7BE9"/>
    <w:rsid w:val="005C7C10"/>
    <w:rsid w:val="005C7C8E"/>
    <w:rsid w:val="005D04E4"/>
    <w:rsid w:val="005D0558"/>
    <w:rsid w:val="005D05FE"/>
    <w:rsid w:val="005D0882"/>
    <w:rsid w:val="005D1530"/>
    <w:rsid w:val="005D2015"/>
    <w:rsid w:val="005D4212"/>
    <w:rsid w:val="005D4E64"/>
    <w:rsid w:val="005D5566"/>
    <w:rsid w:val="005D67CE"/>
    <w:rsid w:val="005D67D1"/>
    <w:rsid w:val="005D6B23"/>
    <w:rsid w:val="005D6F39"/>
    <w:rsid w:val="005D7DD9"/>
    <w:rsid w:val="005E02FF"/>
    <w:rsid w:val="005E036C"/>
    <w:rsid w:val="005E03C0"/>
    <w:rsid w:val="005E08D4"/>
    <w:rsid w:val="005E091B"/>
    <w:rsid w:val="005E0AF9"/>
    <w:rsid w:val="005E104D"/>
    <w:rsid w:val="005E10D6"/>
    <w:rsid w:val="005E151A"/>
    <w:rsid w:val="005E1ED9"/>
    <w:rsid w:val="005E2602"/>
    <w:rsid w:val="005E2EB4"/>
    <w:rsid w:val="005E3022"/>
    <w:rsid w:val="005E3B9A"/>
    <w:rsid w:val="005E4E2F"/>
    <w:rsid w:val="005E5AB9"/>
    <w:rsid w:val="005E6203"/>
    <w:rsid w:val="005E62CD"/>
    <w:rsid w:val="005E65D6"/>
    <w:rsid w:val="005E66FB"/>
    <w:rsid w:val="005E6B66"/>
    <w:rsid w:val="005E7628"/>
    <w:rsid w:val="005E7753"/>
    <w:rsid w:val="005E77D4"/>
    <w:rsid w:val="005E7FCF"/>
    <w:rsid w:val="005F09B2"/>
    <w:rsid w:val="005F1089"/>
    <w:rsid w:val="005F108D"/>
    <w:rsid w:val="005F1476"/>
    <w:rsid w:val="005F16A5"/>
    <w:rsid w:val="005F2803"/>
    <w:rsid w:val="005F2B57"/>
    <w:rsid w:val="005F2E3E"/>
    <w:rsid w:val="005F3920"/>
    <w:rsid w:val="005F3938"/>
    <w:rsid w:val="005F4033"/>
    <w:rsid w:val="005F47E6"/>
    <w:rsid w:val="005F4DD7"/>
    <w:rsid w:val="005F52D9"/>
    <w:rsid w:val="005F535D"/>
    <w:rsid w:val="005F53DB"/>
    <w:rsid w:val="005F5B08"/>
    <w:rsid w:val="005F5CB8"/>
    <w:rsid w:val="005F5DF9"/>
    <w:rsid w:val="005F5F66"/>
    <w:rsid w:val="005F6178"/>
    <w:rsid w:val="005F6808"/>
    <w:rsid w:val="005F6C29"/>
    <w:rsid w:val="005F6E9A"/>
    <w:rsid w:val="005F7207"/>
    <w:rsid w:val="005F7C3D"/>
    <w:rsid w:val="006003F1"/>
    <w:rsid w:val="0060107F"/>
    <w:rsid w:val="006011A2"/>
    <w:rsid w:val="00602C14"/>
    <w:rsid w:val="006034E4"/>
    <w:rsid w:val="0060350F"/>
    <w:rsid w:val="00603F0F"/>
    <w:rsid w:val="006047A8"/>
    <w:rsid w:val="00604E43"/>
    <w:rsid w:val="00604EC0"/>
    <w:rsid w:val="00605095"/>
    <w:rsid w:val="006057A8"/>
    <w:rsid w:val="00606584"/>
    <w:rsid w:val="00606671"/>
    <w:rsid w:val="006068DE"/>
    <w:rsid w:val="00606C27"/>
    <w:rsid w:val="00606C55"/>
    <w:rsid w:val="0060704F"/>
    <w:rsid w:val="00607CB4"/>
    <w:rsid w:val="00607D15"/>
    <w:rsid w:val="00607E43"/>
    <w:rsid w:val="006100C4"/>
    <w:rsid w:val="006103AA"/>
    <w:rsid w:val="00610FBE"/>
    <w:rsid w:val="00611CB1"/>
    <w:rsid w:val="00612645"/>
    <w:rsid w:val="00612F0B"/>
    <w:rsid w:val="00612F3D"/>
    <w:rsid w:val="00613383"/>
    <w:rsid w:val="006133BC"/>
    <w:rsid w:val="00613ADC"/>
    <w:rsid w:val="00613EFF"/>
    <w:rsid w:val="00616005"/>
    <w:rsid w:val="006164FA"/>
    <w:rsid w:val="00616506"/>
    <w:rsid w:val="00616BF9"/>
    <w:rsid w:val="00617544"/>
    <w:rsid w:val="00617BF1"/>
    <w:rsid w:val="00620564"/>
    <w:rsid w:val="00621B83"/>
    <w:rsid w:val="00621E9D"/>
    <w:rsid w:val="006220F4"/>
    <w:rsid w:val="0062212F"/>
    <w:rsid w:val="00622822"/>
    <w:rsid w:val="0062298C"/>
    <w:rsid w:val="00622DDC"/>
    <w:rsid w:val="00623C71"/>
    <w:rsid w:val="00623FA8"/>
    <w:rsid w:val="00625197"/>
    <w:rsid w:val="006255B0"/>
    <w:rsid w:val="00625615"/>
    <w:rsid w:val="00625B5E"/>
    <w:rsid w:val="006263DB"/>
    <w:rsid w:val="006265BC"/>
    <w:rsid w:val="006270EA"/>
    <w:rsid w:val="006272A1"/>
    <w:rsid w:val="00627B6F"/>
    <w:rsid w:val="00627CB6"/>
    <w:rsid w:val="00630653"/>
    <w:rsid w:val="006307FB"/>
    <w:rsid w:val="006316C0"/>
    <w:rsid w:val="00631A93"/>
    <w:rsid w:val="0063206B"/>
    <w:rsid w:val="00632752"/>
    <w:rsid w:val="00633CAB"/>
    <w:rsid w:val="00634E56"/>
    <w:rsid w:val="00635208"/>
    <w:rsid w:val="006353A5"/>
    <w:rsid w:val="00635DB0"/>
    <w:rsid w:val="006373A2"/>
    <w:rsid w:val="00637400"/>
    <w:rsid w:val="006375FD"/>
    <w:rsid w:val="00637833"/>
    <w:rsid w:val="00637D41"/>
    <w:rsid w:val="00637E26"/>
    <w:rsid w:val="0064042E"/>
    <w:rsid w:val="00640439"/>
    <w:rsid w:val="00640520"/>
    <w:rsid w:val="00640971"/>
    <w:rsid w:val="00640BF1"/>
    <w:rsid w:val="00641640"/>
    <w:rsid w:val="00642541"/>
    <w:rsid w:val="00642B09"/>
    <w:rsid w:val="006431C5"/>
    <w:rsid w:val="00644653"/>
    <w:rsid w:val="00644E7F"/>
    <w:rsid w:val="00645D6A"/>
    <w:rsid w:val="00645DD7"/>
    <w:rsid w:val="00647C69"/>
    <w:rsid w:val="00650258"/>
    <w:rsid w:val="006505F4"/>
    <w:rsid w:val="006506B5"/>
    <w:rsid w:val="00650AA7"/>
    <w:rsid w:val="00650C94"/>
    <w:rsid w:val="00650E5E"/>
    <w:rsid w:val="00650F65"/>
    <w:rsid w:val="00651ADE"/>
    <w:rsid w:val="00651BAD"/>
    <w:rsid w:val="00651CE3"/>
    <w:rsid w:val="00651EA0"/>
    <w:rsid w:val="00651F3E"/>
    <w:rsid w:val="00651FA5"/>
    <w:rsid w:val="00652000"/>
    <w:rsid w:val="0065207C"/>
    <w:rsid w:val="00652133"/>
    <w:rsid w:val="0065296C"/>
    <w:rsid w:val="006536B7"/>
    <w:rsid w:val="00654843"/>
    <w:rsid w:val="00654EC2"/>
    <w:rsid w:val="006551F9"/>
    <w:rsid w:val="00655359"/>
    <w:rsid w:val="00655485"/>
    <w:rsid w:val="00655CFB"/>
    <w:rsid w:val="00655DDC"/>
    <w:rsid w:val="006568D7"/>
    <w:rsid w:val="006569B0"/>
    <w:rsid w:val="00656EA8"/>
    <w:rsid w:val="006572E6"/>
    <w:rsid w:val="006578C4"/>
    <w:rsid w:val="00657A7B"/>
    <w:rsid w:val="00657A81"/>
    <w:rsid w:val="00657F6F"/>
    <w:rsid w:val="006606C4"/>
    <w:rsid w:val="00660E06"/>
    <w:rsid w:val="00661398"/>
    <w:rsid w:val="00661EF8"/>
    <w:rsid w:val="006622E1"/>
    <w:rsid w:val="00662F80"/>
    <w:rsid w:val="00663156"/>
    <w:rsid w:val="006637F0"/>
    <w:rsid w:val="00664459"/>
    <w:rsid w:val="00664D24"/>
    <w:rsid w:val="00665C67"/>
    <w:rsid w:val="006668A6"/>
    <w:rsid w:val="00666D5E"/>
    <w:rsid w:val="006672C4"/>
    <w:rsid w:val="00667690"/>
    <w:rsid w:val="00667B5D"/>
    <w:rsid w:val="00670B69"/>
    <w:rsid w:val="00670C14"/>
    <w:rsid w:val="006714D8"/>
    <w:rsid w:val="0067195B"/>
    <w:rsid w:val="00671D1A"/>
    <w:rsid w:val="0067235B"/>
    <w:rsid w:val="00672D8B"/>
    <w:rsid w:val="00672E47"/>
    <w:rsid w:val="0067323E"/>
    <w:rsid w:val="00674734"/>
    <w:rsid w:val="006749A8"/>
    <w:rsid w:val="00674DC5"/>
    <w:rsid w:val="00675527"/>
    <w:rsid w:val="00675C7D"/>
    <w:rsid w:val="00676837"/>
    <w:rsid w:val="00677218"/>
    <w:rsid w:val="006774D6"/>
    <w:rsid w:val="006800AC"/>
    <w:rsid w:val="006801FD"/>
    <w:rsid w:val="0068043F"/>
    <w:rsid w:val="0068098A"/>
    <w:rsid w:val="006809F9"/>
    <w:rsid w:val="00681212"/>
    <w:rsid w:val="00681B60"/>
    <w:rsid w:val="00681D54"/>
    <w:rsid w:val="0068241D"/>
    <w:rsid w:val="0068241E"/>
    <w:rsid w:val="00682529"/>
    <w:rsid w:val="006831D6"/>
    <w:rsid w:val="00683CE6"/>
    <w:rsid w:val="00683EF8"/>
    <w:rsid w:val="006840A5"/>
    <w:rsid w:val="006846BD"/>
    <w:rsid w:val="006847EF"/>
    <w:rsid w:val="006848FB"/>
    <w:rsid w:val="0068561E"/>
    <w:rsid w:val="00685F4D"/>
    <w:rsid w:val="0068630C"/>
    <w:rsid w:val="00686410"/>
    <w:rsid w:val="00687C57"/>
    <w:rsid w:val="006910B0"/>
    <w:rsid w:val="00691434"/>
    <w:rsid w:val="00691A09"/>
    <w:rsid w:val="00691AD7"/>
    <w:rsid w:val="0069233B"/>
    <w:rsid w:val="006923C4"/>
    <w:rsid w:val="00692812"/>
    <w:rsid w:val="00692933"/>
    <w:rsid w:val="00693781"/>
    <w:rsid w:val="00694029"/>
    <w:rsid w:val="00694749"/>
    <w:rsid w:val="00694A7C"/>
    <w:rsid w:val="00694DBC"/>
    <w:rsid w:val="0069510F"/>
    <w:rsid w:val="0069546F"/>
    <w:rsid w:val="006954B6"/>
    <w:rsid w:val="006955A4"/>
    <w:rsid w:val="006965FF"/>
    <w:rsid w:val="006968F0"/>
    <w:rsid w:val="006969EB"/>
    <w:rsid w:val="00697FD6"/>
    <w:rsid w:val="006A0954"/>
    <w:rsid w:val="006A09C6"/>
    <w:rsid w:val="006A0D6E"/>
    <w:rsid w:val="006A0EFE"/>
    <w:rsid w:val="006A1168"/>
    <w:rsid w:val="006A181F"/>
    <w:rsid w:val="006A1AF2"/>
    <w:rsid w:val="006A2296"/>
    <w:rsid w:val="006A2EB9"/>
    <w:rsid w:val="006A30CB"/>
    <w:rsid w:val="006A35C5"/>
    <w:rsid w:val="006A5007"/>
    <w:rsid w:val="006A5141"/>
    <w:rsid w:val="006A55E5"/>
    <w:rsid w:val="006A57EE"/>
    <w:rsid w:val="006A5921"/>
    <w:rsid w:val="006A6054"/>
    <w:rsid w:val="006A609B"/>
    <w:rsid w:val="006A6AD8"/>
    <w:rsid w:val="006A6BE4"/>
    <w:rsid w:val="006A71C7"/>
    <w:rsid w:val="006A7958"/>
    <w:rsid w:val="006A7E9F"/>
    <w:rsid w:val="006B0BDE"/>
    <w:rsid w:val="006B1F13"/>
    <w:rsid w:val="006B21AB"/>
    <w:rsid w:val="006B2436"/>
    <w:rsid w:val="006B2925"/>
    <w:rsid w:val="006B2D50"/>
    <w:rsid w:val="006B35FA"/>
    <w:rsid w:val="006B4AA1"/>
    <w:rsid w:val="006B5A7A"/>
    <w:rsid w:val="006B64E7"/>
    <w:rsid w:val="006B6739"/>
    <w:rsid w:val="006B6F02"/>
    <w:rsid w:val="006B70A3"/>
    <w:rsid w:val="006B7422"/>
    <w:rsid w:val="006B775F"/>
    <w:rsid w:val="006B7A5A"/>
    <w:rsid w:val="006B7E5F"/>
    <w:rsid w:val="006C036B"/>
    <w:rsid w:val="006C04EB"/>
    <w:rsid w:val="006C1008"/>
    <w:rsid w:val="006C125F"/>
    <w:rsid w:val="006C129C"/>
    <w:rsid w:val="006C1762"/>
    <w:rsid w:val="006C1EBB"/>
    <w:rsid w:val="006C207A"/>
    <w:rsid w:val="006C2A5D"/>
    <w:rsid w:val="006C2B14"/>
    <w:rsid w:val="006C3AD4"/>
    <w:rsid w:val="006C411E"/>
    <w:rsid w:val="006C41F4"/>
    <w:rsid w:val="006C455B"/>
    <w:rsid w:val="006C4587"/>
    <w:rsid w:val="006C6A68"/>
    <w:rsid w:val="006C6CB2"/>
    <w:rsid w:val="006C7275"/>
    <w:rsid w:val="006C74FF"/>
    <w:rsid w:val="006C76D1"/>
    <w:rsid w:val="006C77F4"/>
    <w:rsid w:val="006C7933"/>
    <w:rsid w:val="006C7DCC"/>
    <w:rsid w:val="006C7E5C"/>
    <w:rsid w:val="006C7EAD"/>
    <w:rsid w:val="006C7FB4"/>
    <w:rsid w:val="006D082B"/>
    <w:rsid w:val="006D08C5"/>
    <w:rsid w:val="006D0B69"/>
    <w:rsid w:val="006D0FCF"/>
    <w:rsid w:val="006D10C3"/>
    <w:rsid w:val="006D1535"/>
    <w:rsid w:val="006D2323"/>
    <w:rsid w:val="006D2932"/>
    <w:rsid w:val="006D2BA6"/>
    <w:rsid w:val="006D2E59"/>
    <w:rsid w:val="006D31A7"/>
    <w:rsid w:val="006D3630"/>
    <w:rsid w:val="006D393D"/>
    <w:rsid w:val="006D462D"/>
    <w:rsid w:val="006D4883"/>
    <w:rsid w:val="006D4A53"/>
    <w:rsid w:val="006D4A7C"/>
    <w:rsid w:val="006D4A7E"/>
    <w:rsid w:val="006D4AA3"/>
    <w:rsid w:val="006D4F7E"/>
    <w:rsid w:val="006D5BE4"/>
    <w:rsid w:val="006D5C64"/>
    <w:rsid w:val="006D5D35"/>
    <w:rsid w:val="006D5E33"/>
    <w:rsid w:val="006D7088"/>
    <w:rsid w:val="006D7406"/>
    <w:rsid w:val="006D78A1"/>
    <w:rsid w:val="006E156A"/>
    <w:rsid w:val="006E230D"/>
    <w:rsid w:val="006E2311"/>
    <w:rsid w:val="006E2C0E"/>
    <w:rsid w:val="006E2E2B"/>
    <w:rsid w:val="006E35DA"/>
    <w:rsid w:val="006E3E23"/>
    <w:rsid w:val="006E407D"/>
    <w:rsid w:val="006E40C6"/>
    <w:rsid w:val="006E44B1"/>
    <w:rsid w:val="006E53DD"/>
    <w:rsid w:val="006E5BCB"/>
    <w:rsid w:val="006E5D02"/>
    <w:rsid w:val="006E5D04"/>
    <w:rsid w:val="006E6A99"/>
    <w:rsid w:val="006E6D45"/>
    <w:rsid w:val="006E73B1"/>
    <w:rsid w:val="006E7C43"/>
    <w:rsid w:val="006F06CF"/>
    <w:rsid w:val="006F1841"/>
    <w:rsid w:val="006F1A74"/>
    <w:rsid w:val="006F1AD9"/>
    <w:rsid w:val="006F1BF3"/>
    <w:rsid w:val="006F1F36"/>
    <w:rsid w:val="006F2493"/>
    <w:rsid w:val="006F274C"/>
    <w:rsid w:val="006F28BF"/>
    <w:rsid w:val="006F2AE4"/>
    <w:rsid w:val="006F3075"/>
    <w:rsid w:val="006F3B38"/>
    <w:rsid w:val="006F4742"/>
    <w:rsid w:val="006F5BFA"/>
    <w:rsid w:val="006F62C5"/>
    <w:rsid w:val="006F64D3"/>
    <w:rsid w:val="006F682C"/>
    <w:rsid w:val="006F735D"/>
    <w:rsid w:val="006F73AA"/>
    <w:rsid w:val="006F7B15"/>
    <w:rsid w:val="00700329"/>
    <w:rsid w:val="00700954"/>
    <w:rsid w:val="00700E30"/>
    <w:rsid w:val="007018DD"/>
    <w:rsid w:val="00702221"/>
    <w:rsid w:val="0070282E"/>
    <w:rsid w:val="007029E6"/>
    <w:rsid w:val="00702A07"/>
    <w:rsid w:val="0070362B"/>
    <w:rsid w:val="00704A72"/>
    <w:rsid w:val="00705638"/>
    <w:rsid w:val="00705CAE"/>
    <w:rsid w:val="00705FD5"/>
    <w:rsid w:val="00706464"/>
    <w:rsid w:val="00707305"/>
    <w:rsid w:val="007074E1"/>
    <w:rsid w:val="00707833"/>
    <w:rsid w:val="00710321"/>
    <w:rsid w:val="00710A09"/>
    <w:rsid w:val="00710BA0"/>
    <w:rsid w:val="0071131B"/>
    <w:rsid w:val="007115AE"/>
    <w:rsid w:val="00711C8C"/>
    <w:rsid w:val="0071209D"/>
    <w:rsid w:val="0071256F"/>
    <w:rsid w:val="00712A64"/>
    <w:rsid w:val="00712A6B"/>
    <w:rsid w:val="00712FB7"/>
    <w:rsid w:val="00713754"/>
    <w:rsid w:val="00713ADC"/>
    <w:rsid w:val="00713CB3"/>
    <w:rsid w:val="0071410E"/>
    <w:rsid w:val="007146A5"/>
    <w:rsid w:val="00714895"/>
    <w:rsid w:val="00714AA2"/>
    <w:rsid w:val="00715405"/>
    <w:rsid w:val="0071648B"/>
    <w:rsid w:val="0071724F"/>
    <w:rsid w:val="007172B4"/>
    <w:rsid w:val="00717467"/>
    <w:rsid w:val="00717A50"/>
    <w:rsid w:val="00720294"/>
    <w:rsid w:val="0072065D"/>
    <w:rsid w:val="00720CA0"/>
    <w:rsid w:val="00720ED6"/>
    <w:rsid w:val="0072173F"/>
    <w:rsid w:val="0072192C"/>
    <w:rsid w:val="00722A44"/>
    <w:rsid w:val="00722C92"/>
    <w:rsid w:val="00723A7E"/>
    <w:rsid w:val="00723B80"/>
    <w:rsid w:val="00723F2F"/>
    <w:rsid w:val="00723F47"/>
    <w:rsid w:val="007243B7"/>
    <w:rsid w:val="007245A4"/>
    <w:rsid w:val="00724865"/>
    <w:rsid w:val="00725015"/>
    <w:rsid w:val="0072554F"/>
    <w:rsid w:val="00725D61"/>
    <w:rsid w:val="00726563"/>
    <w:rsid w:val="00726B65"/>
    <w:rsid w:val="00727147"/>
    <w:rsid w:val="007271E8"/>
    <w:rsid w:val="0072723A"/>
    <w:rsid w:val="00727288"/>
    <w:rsid w:val="0073070C"/>
    <w:rsid w:val="007308B9"/>
    <w:rsid w:val="007317CC"/>
    <w:rsid w:val="00731E37"/>
    <w:rsid w:val="00731F6E"/>
    <w:rsid w:val="00732281"/>
    <w:rsid w:val="00732E3A"/>
    <w:rsid w:val="00733354"/>
    <w:rsid w:val="00733889"/>
    <w:rsid w:val="0073448A"/>
    <w:rsid w:val="00735E36"/>
    <w:rsid w:val="00736CDA"/>
    <w:rsid w:val="007379A1"/>
    <w:rsid w:val="007408E4"/>
    <w:rsid w:val="00740CE9"/>
    <w:rsid w:val="0074132A"/>
    <w:rsid w:val="00741ED4"/>
    <w:rsid w:val="007427CF"/>
    <w:rsid w:val="00742A71"/>
    <w:rsid w:val="00743340"/>
    <w:rsid w:val="00743811"/>
    <w:rsid w:val="00744B96"/>
    <w:rsid w:val="00744BCF"/>
    <w:rsid w:val="00744CE2"/>
    <w:rsid w:val="00744F52"/>
    <w:rsid w:val="007457E0"/>
    <w:rsid w:val="00746F68"/>
    <w:rsid w:val="007471B0"/>
    <w:rsid w:val="00747361"/>
    <w:rsid w:val="00747BBC"/>
    <w:rsid w:val="00750207"/>
    <w:rsid w:val="007503A3"/>
    <w:rsid w:val="00751122"/>
    <w:rsid w:val="00752476"/>
    <w:rsid w:val="007527F4"/>
    <w:rsid w:val="00752CA6"/>
    <w:rsid w:val="00753ADD"/>
    <w:rsid w:val="00753EE9"/>
    <w:rsid w:val="00753FDD"/>
    <w:rsid w:val="00754F09"/>
    <w:rsid w:val="00754FB0"/>
    <w:rsid w:val="007552C8"/>
    <w:rsid w:val="007557F2"/>
    <w:rsid w:val="00756582"/>
    <w:rsid w:val="0075692C"/>
    <w:rsid w:val="00756EE2"/>
    <w:rsid w:val="00757CD0"/>
    <w:rsid w:val="00757CD8"/>
    <w:rsid w:val="007602C0"/>
    <w:rsid w:val="0076053F"/>
    <w:rsid w:val="007607AB"/>
    <w:rsid w:val="00760C30"/>
    <w:rsid w:val="00760C62"/>
    <w:rsid w:val="00760D84"/>
    <w:rsid w:val="00760FA1"/>
    <w:rsid w:val="0076132E"/>
    <w:rsid w:val="00761779"/>
    <w:rsid w:val="007619DA"/>
    <w:rsid w:val="00761D54"/>
    <w:rsid w:val="007625D1"/>
    <w:rsid w:val="00762C1E"/>
    <w:rsid w:val="00762C6F"/>
    <w:rsid w:val="00763A36"/>
    <w:rsid w:val="00763C0E"/>
    <w:rsid w:val="00763DD8"/>
    <w:rsid w:val="00764DEB"/>
    <w:rsid w:val="0076571A"/>
    <w:rsid w:val="00766907"/>
    <w:rsid w:val="00766B41"/>
    <w:rsid w:val="00766D28"/>
    <w:rsid w:val="00767391"/>
    <w:rsid w:val="007674BC"/>
    <w:rsid w:val="0076795D"/>
    <w:rsid w:val="00770062"/>
    <w:rsid w:val="00770853"/>
    <w:rsid w:val="00770946"/>
    <w:rsid w:val="00771770"/>
    <w:rsid w:val="0077280F"/>
    <w:rsid w:val="0077298E"/>
    <w:rsid w:val="00772E20"/>
    <w:rsid w:val="00773908"/>
    <w:rsid w:val="00773A46"/>
    <w:rsid w:val="00773D22"/>
    <w:rsid w:val="007740F2"/>
    <w:rsid w:val="00774C27"/>
    <w:rsid w:val="00774D55"/>
    <w:rsid w:val="00774FB8"/>
    <w:rsid w:val="00775870"/>
    <w:rsid w:val="00775DE2"/>
    <w:rsid w:val="00775FCC"/>
    <w:rsid w:val="00776A61"/>
    <w:rsid w:val="007771E8"/>
    <w:rsid w:val="00777571"/>
    <w:rsid w:val="00777692"/>
    <w:rsid w:val="007778E8"/>
    <w:rsid w:val="00777E4A"/>
    <w:rsid w:val="007803A8"/>
    <w:rsid w:val="00780910"/>
    <w:rsid w:val="0078131B"/>
    <w:rsid w:val="0078152E"/>
    <w:rsid w:val="0078167D"/>
    <w:rsid w:val="00781DD1"/>
    <w:rsid w:val="007828F9"/>
    <w:rsid w:val="007833B9"/>
    <w:rsid w:val="00783C8A"/>
    <w:rsid w:val="00783D06"/>
    <w:rsid w:val="007849A0"/>
    <w:rsid w:val="00784C25"/>
    <w:rsid w:val="00784F43"/>
    <w:rsid w:val="00785681"/>
    <w:rsid w:val="00785ADF"/>
    <w:rsid w:val="00785B72"/>
    <w:rsid w:val="0078614F"/>
    <w:rsid w:val="00786458"/>
    <w:rsid w:val="00786C4B"/>
    <w:rsid w:val="00787EA2"/>
    <w:rsid w:val="00790AE7"/>
    <w:rsid w:val="00790E3C"/>
    <w:rsid w:val="00791A6B"/>
    <w:rsid w:val="00791E68"/>
    <w:rsid w:val="0079228D"/>
    <w:rsid w:val="007923C5"/>
    <w:rsid w:val="00792CB6"/>
    <w:rsid w:val="0079331E"/>
    <w:rsid w:val="00793B7E"/>
    <w:rsid w:val="00793D1F"/>
    <w:rsid w:val="00794FC0"/>
    <w:rsid w:val="00795285"/>
    <w:rsid w:val="00795AAA"/>
    <w:rsid w:val="007962A8"/>
    <w:rsid w:val="007967B6"/>
    <w:rsid w:val="0079704B"/>
    <w:rsid w:val="00797AC4"/>
    <w:rsid w:val="00797E18"/>
    <w:rsid w:val="007A1012"/>
    <w:rsid w:val="007A14CC"/>
    <w:rsid w:val="007A1A16"/>
    <w:rsid w:val="007A1F27"/>
    <w:rsid w:val="007A2108"/>
    <w:rsid w:val="007A2B89"/>
    <w:rsid w:val="007A2D81"/>
    <w:rsid w:val="007A2E48"/>
    <w:rsid w:val="007A4390"/>
    <w:rsid w:val="007A4DE4"/>
    <w:rsid w:val="007A4E54"/>
    <w:rsid w:val="007A4F0D"/>
    <w:rsid w:val="007A589F"/>
    <w:rsid w:val="007A5A89"/>
    <w:rsid w:val="007A5DCA"/>
    <w:rsid w:val="007A5F80"/>
    <w:rsid w:val="007A670D"/>
    <w:rsid w:val="007A68ED"/>
    <w:rsid w:val="007A725C"/>
    <w:rsid w:val="007A7712"/>
    <w:rsid w:val="007A7B4C"/>
    <w:rsid w:val="007B0142"/>
    <w:rsid w:val="007B065D"/>
    <w:rsid w:val="007B07C1"/>
    <w:rsid w:val="007B0989"/>
    <w:rsid w:val="007B16C3"/>
    <w:rsid w:val="007B18A8"/>
    <w:rsid w:val="007B2359"/>
    <w:rsid w:val="007B3411"/>
    <w:rsid w:val="007B3B86"/>
    <w:rsid w:val="007B53E5"/>
    <w:rsid w:val="007B57C8"/>
    <w:rsid w:val="007B5915"/>
    <w:rsid w:val="007B6BA8"/>
    <w:rsid w:val="007B6CAC"/>
    <w:rsid w:val="007B6EBB"/>
    <w:rsid w:val="007B6FE4"/>
    <w:rsid w:val="007B7338"/>
    <w:rsid w:val="007B77F4"/>
    <w:rsid w:val="007B787D"/>
    <w:rsid w:val="007B78E6"/>
    <w:rsid w:val="007B7A4C"/>
    <w:rsid w:val="007C07AA"/>
    <w:rsid w:val="007C0F1A"/>
    <w:rsid w:val="007C105A"/>
    <w:rsid w:val="007C1302"/>
    <w:rsid w:val="007C18B4"/>
    <w:rsid w:val="007C1A9E"/>
    <w:rsid w:val="007C1C15"/>
    <w:rsid w:val="007C1F5E"/>
    <w:rsid w:val="007C21D8"/>
    <w:rsid w:val="007C2351"/>
    <w:rsid w:val="007C25BC"/>
    <w:rsid w:val="007C369C"/>
    <w:rsid w:val="007C3AEA"/>
    <w:rsid w:val="007C3B66"/>
    <w:rsid w:val="007C4172"/>
    <w:rsid w:val="007C4A71"/>
    <w:rsid w:val="007C59FE"/>
    <w:rsid w:val="007C5D45"/>
    <w:rsid w:val="007C5D54"/>
    <w:rsid w:val="007C5F5F"/>
    <w:rsid w:val="007C6012"/>
    <w:rsid w:val="007C6204"/>
    <w:rsid w:val="007C6A02"/>
    <w:rsid w:val="007C6BB7"/>
    <w:rsid w:val="007C7843"/>
    <w:rsid w:val="007C7982"/>
    <w:rsid w:val="007C7B3D"/>
    <w:rsid w:val="007D040D"/>
    <w:rsid w:val="007D13E9"/>
    <w:rsid w:val="007D1E88"/>
    <w:rsid w:val="007D1F53"/>
    <w:rsid w:val="007D2D09"/>
    <w:rsid w:val="007D301B"/>
    <w:rsid w:val="007D342D"/>
    <w:rsid w:val="007D34E3"/>
    <w:rsid w:val="007D37C8"/>
    <w:rsid w:val="007D3B0D"/>
    <w:rsid w:val="007D467E"/>
    <w:rsid w:val="007D46A8"/>
    <w:rsid w:val="007D46C6"/>
    <w:rsid w:val="007D4906"/>
    <w:rsid w:val="007D4F10"/>
    <w:rsid w:val="007D50AA"/>
    <w:rsid w:val="007D54E1"/>
    <w:rsid w:val="007D5824"/>
    <w:rsid w:val="007D59F3"/>
    <w:rsid w:val="007D5E75"/>
    <w:rsid w:val="007D675C"/>
    <w:rsid w:val="007D68E0"/>
    <w:rsid w:val="007D7657"/>
    <w:rsid w:val="007D76CF"/>
    <w:rsid w:val="007D776E"/>
    <w:rsid w:val="007D788F"/>
    <w:rsid w:val="007D7B52"/>
    <w:rsid w:val="007E0660"/>
    <w:rsid w:val="007E0C46"/>
    <w:rsid w:val="007E12F7"/>
    <w:rsid w:val="007E33D4"/>
    <w:rsid w:val="007E3607"/>
    <w:rsid w:val="007E3973"/>
    <w:rsid w:val="007E3D48"/>
    <w:rsid w:val="007E41B4"/>
    <w:rsid w:val="007E4865"/>
    <w:rsid w:val="007E4B9C"/>
    <w:rsid w:val="007E4EC2"/>
    <w:rsid w:val="007E5412"/>
    <w:rsid w:val="007E592B"/>
    <w:rsid w:val="007E5BD1"/>
    <w:rsid w:val="007E5C70"/>
    <w:rsid w:val="007E5D0F"/>
    <w:rsid w:val="007E603A"/>
    <w:rsid w:val="007E6B64"/>
    <w:rsid w:val="007E736E"/>
    <w:rsid w:val="007E75C9"/>
    <w:rsid w:val="007F1D83"/>
    <w:rsid w:val="007F1E02"/>
    <w:rsid w:val="007F2D34"/>
    <w:rsid w:val="007F2D86"/>
    <w:rsid w:val="007F2F2C"/>
    <w:rsid w:val="007F2F45"/>
    <w:rsid w:val="007F3893"/>
    <w:rsid w:val="007F41BB"/>
    <w:rsid w:val="007F45A7"/>
    <w:rsid w:val="007F49AF"/>
    <w:rsid w:val="007F4B53"/>
    <w:rsid w:val="007F5450"/>
    <w:rsid w:val="007F624B"/>
    <w:rsid w:val="007F6A63"/>
    <w:rsid w:val="007F6CFE"/>
    <w:rsid w:val="007F6F91"/>
    <w:rsid w:val="007F7046"/>
    <w:rsid w:val="0080000F"/>
    <w:rsid w:val="0080037E"/>
    <w:rsid w:val="00800DE3"/>
    <w:rsid w:val="00800FD9"/>
    <w:rsid w:val="008012B8"/>
    <w:rsid w:val="00801447"/>
    <w:rsid w:val="00801547"/>
    <w:rsid w:val="00801AB6"/>
    <w:rsid w:val="0080217D"/>
    <w:rsid w:val="00802CF9"/>
    <w:rsid w:val="008030D6"/>
    <w:rsid w:val="008039B9"/>
    <w:rsid w:val="00803B3E"/>
    <w:rsid w:val="00803F00"/>
    <w:rsid w:val="0080405D"/>
    <w:rsid w:val="008046B0"/>
    <w:rsid w:val="00804875"/>
    <w:rsid w:val="008051A6"/>
    <w:rsid w:val="008052AD"/>
    <w:rsid w:val="00805309"/>
    <w:rsid w:val="0080541E"/>
    <w:rsid w:val="00805AEE"/>
    <w:rsid w:val="00805BFA"/>
    <w:rsid w:val="0080646D"/>
    <w:rsid w:val="0080654E"/>
    <w:rsid w:val="00806A8F"/>
    <w:rsid w:val="00806E80"/>
    <w:rsid w:val="00806EB0"/>
    <w:rsid w:val="00806F18"/>
    <w:rsid w:val="0080774F"/>
    <w:rsid w:val="00807B0F"/>
    <w:rsid w:val="0081074A"/>
    <w:rsid w:val="00811EE7"/>
    <w:rsid w:val="00811EF4"/>
    <w:rsid w:val="00812108"/>
    <w:rsid w:val="00812642"/>
    <w:rsid w:val="00813641"/>
    <w:rsid w:val="0081382B"/>
    <w:rsid w:val="00813E48"/>
    <w:rsid w:val="00814112"/>
    <w:rsid w:val="008165F4"/>
    <w:rsid w:val="00816666"/>
    <w:rsid w:val="0081680D"/>
    <w:rsid w:val="00817BB1"/>
    <w:rsid w:val="00817C0D"/>
    <w:rsid w:val="00820AD5"/>
    <w:rsid w:val="00820D9C"/>
    <w:rsid w:val="00820F80"/>
    <w:rsid w:val="0082184F"/>
    <w:rsid w:val="0082269A"/>
    <w:rsid w:val="008228E2"/>
    <w:rsid w:val="008231EB"/>
    <w:rsid w:val="008235C4"/>
    <w:rsid w:val="0082362D"/>
    <w:rsid w:val="00824100"/>
    <w:rsid w:val="00824883"/>
    <w:rsid w:val="00824E44"/>
    <w:rsid w:val="00826224"/>
    <w:rsid w:val="008262E9"/>
    <w:rsid w:val="008269B7"/>
    <w:rsid w:val="00826C5F"/>
    <w:rsid w:val="008276A4"/>
    <w:rsid w:val="00827944"/>
    <w:rsid w:val="00827D6B"/>
    <w:rsid w:val="00827D7B"/>
    <w:rsid w:val="00830565"/>
    <w:rsid w:val="00830BB6"/>
    <w:rsid w:val="008319E1"/>
    <w:rsid w:val="00831AA5"/>
    <w:rsid w:val="00831AC1"/>
    <w:rsid w:val="00832186"/>
    <w:rsid w:val="0083277F"/>
    <w:rsid w:val="0083304B"/>
    <w:rsid w:val="008346CA"/>
    <w:rsid w:val="00835DCD"/>
    <w:rsid w:val="008361C6"/>
    <w:rsid w:val="008363DB"/>
    <w:rsid w:val="008367D2"/>
    <w:rsid w:val="00837F87"/>
    <w:rsid w:val="00840FD9"/>
    <w:rsid w:val="008415F0"/>
    <w:rsid w:val="0084195F"/>
    <w:rsid w:val="00841F5F"/>
    <w:rsid w:val="00841F9D"/>
    <w:rsid w:val="00842132"/>
    <w:rsid w:val="0084261B"/>
    <w:rsid w:val="00842636"/>
    <w:rsid w:val="0084272B"/>
    <w:rsid w:val="00842AC3"/>
    <w:rsid w:val="00842F65"/>
    <w:rsid w:val="00843A40"/>
    <w:rsid w:val="0084416A"/>
    <w:rsid w:val="00844425"/>
    <w:rsid w:val="00844EB5"/>
    <w:rsid w:val="00845CB8"/>
    <w:rsid w:val="0084625C"/>
    <w:rsid w:val="00846BA0"/>
    <w:rsid w:val="008473B9"/>
    <w:rsid w:val="00847553"/>
    <w:rsid w:val="008478A8"/>
    <w:rsid w:val="00847DE4"/>
    <w:rsid w:val="00847E63"/>
    <w:rsid w:val="00847EA2"/>
    <w:rsid w:val="0085031F"/>
    <w:rsid w:val="0085061F"/>
    <w:rsid w:val="008506BE"/>
    <w:rsid w:val="008508CE"/>
    <w:rsid w:val="008516CF"/>
    <w:rsid w:val="0085182C"/>
    <w:rsid w:val="00851C69"/>
    <w:rsid w:val="00852241"/>
    <w:rsid w:val="008532CB"/>
    <w:rsid w:val="0085378D"/>
    <w:rsid w:val="008538E9"/>
    <w:rsid w:val="00853EBE"/>
    <w:rsid w:val="008546D4"/>
    <w:rsid w:val="0085479E"/>
    <w:rsid w:val="0085561B"/>
    <w:rsid w:val="00855BC5"/>
    <w:rsid w:val="008564A4"/>
    <w:rsid w:val="00856617"/>
    <w:rsid w:val="00856756"/>
    <w:rsid w:val="00857449"/>
    <w:rsid w:val="008579BA"/>
    <w:rsid w:val="008601F6"/>
    <w:rsid w:val="008616AA"/>
    <w:rsid w:val="00861F77"/>
    <w:rsid w:val="0086306E"/>
    <w:rsid w:val="00864048"/>
    <w:rsid w:val="008643CA"/>
    <w:rsid w:val="00864536"/>
    <w:rsid w:val="008659AC"/>
    <w:rsid w:val="00865D10"/>
    <w:rsid w:val="00866161"/>
    <w:rsid w:val="00870293"/>
    <w:rsid w:val="0087135D"/>
    <w:rsid w:val="00871AA5"/>
    <w:rsid w:val="00871B25"/>
    <w:rsid w:val="00873403"/>
    <w:rsid w:val="008736E4"/>
    <w:rsid w:val="00873CA9"/>
    <w:rsid w:val="00873FCB"/>
    <w:rsid w:val="0087582D"/>
    <w:rsid w:val="00876341"/>
    <w:rsid w:val="00876604"/>
    <w:rsid w:val="00876DF7"/>
    <w:rsid w:val="00876F0E"/>
    <w:rsid w:val="0087751D"/>
    <w:rsid w:val="0087786A"/>
    <w:rsid w:val="0088022B"/>
    <w:rsid w:val="00880951"/>
    <w:rsid w:val="008809BC"/>
    <w:rsid w:val="008813DC"/>
    <w:rsid w:val="0088163E"/>
    <w:rsid w:val="0088206B"/>
    <w:rsid w:val="008827B6"/>
    <w:rsid w:val="00882B72"/>
    <w:rsid w:val="00882CC0"/>
    <w:rsid w:val="00882DE7"/>
    <w:rsid w:val="00882E69"/>
    <w:rsid w:val="0088307A"/>
    <w:rsid w:val="00883426"/>
    <w:rsid w:val="00883817"/>
    <w:rsid w:val="00883F69"/>
    <w:rsid w:val="0088406E"/>
    <w:rsid w:val="008840F8"/>
    <w:rsid w:val="0088486B"/>
    <w:rsid w:val="00884BD5"/>
    <w:rsid w:val="00885F38"/>
    <w:rsid w:val="00886534"/>
    <w:rsid w:val="00886987"/>
    <w:rsid w:val="00887375"/>
    <w:rsid w:val="00887EF7"/>
    <w:rsid w:val="00890A1B"/>
    <w:rsid w:val="00890D48"/>
    <w:rsid w:val="00891B61"/>
    <w:rsid w:val="008920CF"/>
    <w:rsid w:val="00892D50"/>
    <w:rsid w:val="00893542"/>
    <w:rsid w:val="00893568"/>
    <w:rsid w:val="008937CA"/>
    <w:rsid w:val="00893D76"/>
    <w:rsid w:val="00894088"/>
    <w:rsid w:val="00894447"/>
    <w:rsid w:val="008944CC"/>
    <w:rsid w:val="00894E63"/>
    <w:rsid w:val="00894FCD"/>
    <w:rsid w:val="008950B1"/>
    <w:rsid w:val="008956BB"/>
    <w:rsid w:val="008960C4"/>
    <w:rsid w:val="008975DE"/>
    <w:rsid w:val="00897788"/>
    <w:rsid w:val="008978E2"/>
    <w:rsid w:val="00897DAF"/>
    <w:rsid w:val="00897DB5"/>
    <w:rsid w:val="008A0555"/>
    <w:rsid w:val="008A19CF"/>
    <w:rsid w:val="008A27CA"/>
    <w:rsid w:val="008A3292"/>
    <w:rsid w:val="008A39BD"/>
    <w:rsid w:val="008A3D24"/>
    <w:rsid w:val="008A4379"/>
    <w:rsid w:val="008A4541"/>
    <w:rsid w:val="008A5214"/>
    <w:rsid w:val="008A52E0"/>
    <w:rsid w:val="008A5A25"/>
    <w:rsid w:val="008A5F52"/>
    <w:rsid w:val="008A6082"/>
    <w:rsid w:val="008A617F"/>
    <w:rsid w:val="008A6BB7"/>
    <w:rsid w:val="008A7292"/>
    <w:rsid w:val="008A72C3"/>
    <w:rsid w:val="008A749E"/>
    <w:rsid w:val="008A76FC"/>
    <w:rsid w:val="008A7849"/>
    <w:rsid w:val="008A7BA3"/>
    <w:rsid w:val="008B01C8"/>
    <w:rsid w:val="008B0A83"/>
    <w:rsid w:val="008B0AC5"/>
    <w:rsid w:val="008B10DE"/>
    <w:rsid w:val="008B1286"/>
    <w:rsid w:val="008B1B97"/>
    <w:rsid w:val="008B1D49"/>
    <w:rsid w:val="008B2F6D"/>
    <w:rsid w:val="008B358D"/>
    <w:rsid w:val="008B35F6"/>
    <w:rsid w:val="008B3864"/>
    <w:rsid w:val="008B4282"/>
    <w:rsid w:val="008B46A0"/>
    <w:rsid w:val="008B4967"/>
    <w:rsid w:val="008B5C6F"/>
    <w:rsid w:val="008B616D"/>
    <w:rsid w:val="008B6992"/>
    <w:rsid w:val="008B69BB"/>
    <w:rsid w:val="008B7766"/>
    <w:rsid w:val="008C0FB5"/>
    <w:rsid w:val="008C15BF"/>
    <w:rsid w:val="008C16E9"/>
    <w:rsid w:val="008C2492"/>
    <w:rsid w:val="008C295F"/>
    <w:rsid w:val="008C2E05"/>
    <w:rsid w:val="008C3013"/>
    <w:rsid w:val="008C3171"/>
    <w:rsid w:val="008C326E"/>
    <w:rsid w:val="008C3585"/>
    <w:rsid w:val="008C3CA0"/>
    <w:rsid w:val="008C3E83"/>
    <w:rsid w:val="008C431B"/>
    <w:rsid w:val="008C4935"/>
    <w:rsid w:val="008C51A1"/>
    <w:rsid w:val="008C561A"/>
    <w:rsid w:val="008C5865"/>
    <w:rsid w:val="008C6F79"/>
    <w:rsid w:val="008C727B"/>
    <w:rsid w:val="008C7CC4"/>
    <w:rsid w:val="008D00E9"/>
    <w:rsid w:val="008D032E"/>
    <w:rsid w:val="008D1535"/>
    <w:rsid w:val="008D1620"/>
    <w:rsid w:val="008D1811"/>
    <w:rsid w:val="008D271E"/>
    <w:rsid w:val="008D28DC"/>
    <w:rsid w:val="008D2FC6"/>
    <w:rsid w:val="008D324B"/>
    <w:rsid w:val="008D3E35"/>
    <w:rsid w:val="008D4693"/>
    <w:rsid w:val="008D494A"/>
    <w:rsid w:val="008D4B5A"/>
    <w:rsid w:val="008D5140"/>
    <w:rsid w:val="008D54C7"/>
    <w:rsid w:val="008D6491"/>
    <w:rsid w:val="008D6B45"/>
    <w:rsid w:val="008D6FA3"/>
    <w:rsid w:val="008D7F64"/>
    <w:rsid w:val="008E04A8"/>
    <w:rsid w:val="008E0952"/>
    <w:rsid w:val="008E14EA"/>
    <w:rsid w:val="008E161E"/>
    <w:rsid w:val="008E1C0F"/>
    <w:rsid w:val="008E2193"/>
    <w:rsid w:val="008E2E22"/>
    <w:rsid w:val="008E3A57"/>
    <w:rsid w:val="008E3BA2"/>
    <w:rsid w:val="008E4AA9"/>
    <w:rsid w:val="008E4C4A"/>
    <w:rsid w:val="008E5036"/>
    <w:rsid w:val="008E5288"/>
    <w:rsid w:val="008E5CA1"/>
    <w:rsid w:val="008E664B"/>
    <w:rsid w:val="008E6652"/>
    <w:rsid w:val="008E6DD6"/>
    <w:rsid w:val="008E6EC7"/>
    <w:rsid w:val="008E701F"/>
    <w:rsid w:val="008E715D"/>
    <w:rsid w:val="008E721A"/>
    <w:rsid w:val="008E7461"/>
    <w:rsid w:val="008E7FB5"/>
    <w:rsid w:val="008F004B"/>
    <w:rsid w:val="008F08EB"/>
    <w:rsid w:val="008F0FF9"/>
    <w:rsid w:val="008F139B"/>
    <w:rsid w:val="008F162A"/>
    <w:rsid w:val="008F1BE6"/>
    <w:rsid w:val="008F20CD"/>
    <w:rsid w:val="008F242A"/>
    <w:rsid w:val="008F24A2"/>
    <w:rsid w:val="008F389F"/>
    <w:rsid w:val="008F3CB3"/>
    <w:rsid w:val="008F3F48"/>
    <w:rsid w:val="008F42C5"/>
    <w:rsid w:val="008F4EDA"/>
    <w:rsid w:val="008F50BD"/>
    <w:rsid w:val="008F56CB"/>
    <w:rsid w:val="008F6A0B"/>
    <w:rsid w:val="008F6BDB"/>
    <w:rsid w:val="008F6F69"/>
    <w:rsid w:val="008F776B"/>
    <w:rsid w:val="00900783"/>
    <w:rsid w:val="009015A5"/>
    <w:rsid w:val="00901E66"/>
    <w:rsid w:val="009025DF"/>
    <w:rsid w:val="00902F06"/>
    <w:rsid w:val="00903292"/>
    <w:rsid w:val="0090367C"/>
    <w:rsid w:val="00904981"/>
    <w:rsid w:val="00905887"/>
    <w:rsid w:val="00905BA4"/>
    <w:rsid w:val="00905CC7"/>
    <w:rsid w:val="00906D87"/>
    <w:rsid w:val="00906EB4"/>
    <w:rsid w:val="00906F12"/>
    <w:rsid w:val="00906F78"/>
    <w:rsid w:val="009074D6"/>
    <w:rsid w:val="00907A83"/>
    <w:rsid w:val="0091121A"/>
    <w:rsid w:val="009112A7"/>
    <w:rsid w:val="00911A45"/>
    <w:rsid w:val="009120DE"/>
    <w:rsid w:val="009121BE"/>
    <w:rsid w:val="00912807"/>
    <w:rsid w:val="00912999"/>
    <w:rsid w:val="00912ACB"/>
    <w:rsid w:val="00912ADC"/>
    <w:rsid w:val="00912B9F"/>
    <w:rsid w:val="009132DE"/>
    <w:rsid w:val="009134D6"/>
    <w:rsid w:val="009134E7"/>
    <w:rsid w:val="0091400D"/>
    <w:rsid w:val="0091432D"/>
    <w:rsid w:val="009152E7"/>
    <w:rsid w:val="00915666"/>
    <w:rsid w:val="009156C3"/>
    <w:rsid w:val="00916B6B"/>
    <w:rsid w:val="00916D18"/>
    <w:rsid w:val="009201FF"/>
    <w:rsid w:val="00920627"/>
    <w:rsid w:val="00920C4A"/>
    <w:rsid w:val="0092105F"/>
    <w:rsid w:val="00921CD3"/>
    <w:rsid w:val="00922C43"/>
    <w:rsid w:val="009230AB"/>
    <w:rsid w:val="009234AD"/>
    <w:rsid w:val="0092420A"/>
    <w:rsid w:val="00925039"/>
    <w:rsid w:val="00925096"/>
    <w:rsid w:val="00925374"/>
    <w:rsid w:val="00925574"/>
    <w:rsid w:val="009261AE"/>
    <w:rsid w:val="0092664A"/>
    <w:rsid w:val="00926820"/>
    <w:rsid w:val="00926A35"/>
    <w:rsid w:val="00926E2D"/>
    <w:rsid w:val="009271AA"/>
    <w:rsid w:val="00927990"/>
    <w:rsid w:val="00931529"/>
    <w:rsid w:val="00931BDD"/>
    <w:rsid w:val="009327BF"/>
    <w:rsid w:val="00932BEC"/>
    <w:rsid w:val="00933422"/>
    <w:rsid w:val="0093369D"/>
    <w:rsid w:val="00934072"/>
    <w:rsid w:val="00934216"/>
    <w:rsid w:val="00934322"/>
    <w:rsid w:val="009351E0"/>
    <w:rsid w:val="00935534"/>
    <w:rsid w:val="00935AA5"/>
    <w:rsid w:val="00935B59"/>
    <w:rsid w:val="00935BC2"/>
    <w:rsid w:val="0093667A"/>
    <w:rsid w:val="00936747"/>
    <w:rsid w:val="0093772D"/>
    <w:rsid w:val="00937F89"/>
    <w:rsid w:val="0094086C"/>
    <w:rsid w:val="00940ED3"/>
    <w:rsid w:val="0094170E"/>
    <w:rsid w:val="009433D6"/>
    <w:rsid w:val="009437D1"/>
    <w:rsid w:val="00943CDD"/>
    <w:rsid w:val="009445B2"/>
    <w:rsid w:val="009448B7"/>
    <w:rsid w:val="00944E6A"/>
    <w:rsid w:val="00944FE5"/>
    <w:rsid w:val="00945288"/>
    <w:rsid w:val="00945C84"/>
    <w:rsid w:val="00946639"/>
    <w:rsid w:val="00946D05"/>
    <w:rsid w:val="009506CA"/>
    <w:rsid w:val="00950A89"/>
    <w:rsid w:val="0095119D"/>
    <w:rsid w:val="00951553"/>
    <w:rsid w:val="00951A72"/>
    <w:rsid w:val="00951B4B"/>
    <w:rsid w:val="00951D64"/>
    <w:rsid w:val="00952310"/>
    <w:rsid w:val="009523FD"/>
    <w:rsid w:val="009525CF"/>
    <w:rsid w:val="00952905"/>
    <w:rsid w:val="00952E73"/>
    <w:rsid w:val="009531B4"/>
    <w:rsid w:val="009534FC"/>
    <w:rsid w:val="00953704"/>
    <w:rsid w:val="00953A6C"/>
    <w:rsid w:val="00953EA4"/>
    <w:rsid w:val="00953FF3"/>
    <w:rsid w:val="00954109"/>
    <w:rsid w:val="009543A8"/>
    <w:rsid w:val="00954476"/>
    <w:rsid w:val="009550C5"/>
    <w:rsid w:val="009551F4"/>
    <w:rsid w:val="00955845"/>
    <w:rsid w:val="00955B69"/>
    <w:rsid w:val="00955D1B"/>
    <w:rsid w:val="009560FF"/>
    <w:rsid w:val="00957F7D"/>
    <w:rsid w:val="0096016D"/>
    <w:rsid w:val="009602A8"/>
    <w:rsid w:val="00960437"/>
    <w:rsid w:val="0096098C"/>
    <w:rsid w:val="00960BF5"/>
    <w:rsid w:val="0096137D"/>
    <w:rsid w:val="00961677"/>
    <w:rsid w:val="00961B2D"/>
    <w:rsid w:val="00962315"/>
    <w:rsid w:val="009623FA"/>
    <w:rsid w:val="0096327D"/>
    <w:rsid w:val="0096374C"/>
    <w:rsid w:val="00963C0B"/>
    <w:rsid w:val="00964D9A"/>
    <w:rsid w:val="00964FB2"/>
    <w:rsid w:val="00965545"/>
    <w:rsid w:val="00966F9C"/>
    <w:rsid w:val="009671E3"/>
    <w:rsid w:val="00967200"/>
    <w:rsid w:val="009673FF"/>
    <w:rsid w:val="00967AF3"/>
    <w:rsid w:val="00971452"/>
    <w:rsid w:val="00971A1A"/>
    <w:rsid w:val="00972B48"/>
    <w:rsid w:val="00972D30"/>
    <w:rsid w:val="00972FAB"/>
    <w:rsid w:val="00973530"/>
    <w:rsid w:val="00973C05"/>
    <w:rsid w:val="00973CFC"/>
    <w:rsid w:val="00973FFA"/>
    <w:rsid w:val="009751A3"/>
    <w:rsid w:val="0097542A"/>
    <w:rsid w:val="009755CC"/>
    <w:rsid w:val="00976F31"/>
    <w:rsid w:val="0097743A"/>
    <w:rsid w:val="00977EAE"/>
    <w:rsid w:val="009804FE"/>
    <w:rsid w:val="0098052E"/>
    <w:rsid w:val="0098053B"/>
    <w:rsid w:val="00980665"/>
    <w:rsid w:val="00980CA1"/>
    <w:rsid w:val="00980DAA"/>
    <w:rsid w:val="00981314"/>
    <w:rsid w:val="0098236A"/>
    <w:rsid w:val="00982529"/>
    <w:rsid w:val="0098252C"/>
    <w:rsid w:val="009828B5"/>
    <w:rsid w:val="009830A1"/>
    <w:rsid w:val="00983729"/>
    <w:rsid w:val="00984039"/>
    <w:rsid w:val="00984138"/>
    <w:rsid w:val="00985324"/>
    <w:rsid w:val="00985341"/>
    <w:rsid w:val="00985CDC"/>
    <w:rsid w:val="009871ED"/>
    <w:rsid w:val="009874AA"/>
    <w:rsid w:val="0098751C"/>
    <w:rsid w:val="00987775"/>
    <w:rsid w:val="00987A05"/>
    <w:rsid w:val="00987EEF"/>
    <w:rsid w:val="00990B4B"/>
    <w:rsid w:val="00991050"/>
    <w:rsid w:val="009910FF"/>
    <w:rsid w:val="00991234"/>
    <w:rsid w:val="0099127B"/>
    <w:rsid w:val="00991372"/>
    <w:rsid w:val="009922AC"/>
    <w:rsid w:val="00992EFA"/>
    <w:rsid w:val="0099390F"/>
    <w:rsid w:val="00993C71"/>
    <w:rsid w:val="009942A0"/>
    <w:rsid w:val="009957A2"/>
    <w:rsid w:val="009958A5"/>
    <w:rsid w:val="00995B6E"/>
    <w:rsid w:val="009961C1"/>
    <w:rsid w:val="0099652A"/>
    <w:rsid w:val="009967FE"/>
    <w:rsid w:val="00996891"/>
    <w:rsid w:val="00996F44"/>
    <w:rsid w:val="00997A05"/>
    <w:rsid w:val="009A01C3"/>
    <w:rsid w:val="009A023E"/>
    <w:rsid w:val="009A04E4"/>
    <w:rsid w:val="009A097A"/>
    <w:rsid w:val="009A0DF4"/>
    <w:rsid w:val="009A0FA6"/>
    <w:rsid w:val="009A0FB4"/>
    <w:rsid w:val="009A11E2"/>
    <w:rsid w:val="009A21DE"/>
    <w:rsid w:val="009A2616"/>
    <w:rsid w:val="009A2BDE"/>
    <w:rsid w:val="009A2E7B"/>
    <w:rsid w:val="009A307D"/>
    <w:rsid w:val="009A33A1"/>
    <w:rsid w:val="009A3E60"/>
    <w:rsid w:val="009A46E9"/>
    <w:rsid w:val="009A474F"/>
    <w:rsid w:val="009A4770"/>
    <w:rsid w:val="009A482E"/>
    <w:rsid w:val="009A5A61"/>
    <w:rsid w:val="009A5EB4"/>
    <w:rsid w:val="009A5EDE"/>
    <w:rsid w:val="009A5F7A"/>
    <w:rsid w:val="009A60A1"/>
    <w:rsid w:val="009A75D4"/>
    <w:rsid w:val="009B07BD"/>
    <w:rsid w:val="009B16F2"/>
    <w:rsid w:val="009B17D8"/>
    <w:rsid w:val="009B1E4F"/>
    <w:rsid w:val="009B339C"/>
    <w:rsid w:val="009B3E1C"/>
    <w:rsid w:val="009B4889"/>
    <w:rsid w:val="009B4A26"/>
    <w:rsid w:val="009B4B29"/>
    <w:rsid w:val="009B59B1"/>
    <w:rsid w:val="009B5D9B"/>
    <w:rsid w:val="009B6197"/>
    <w:rsid w:val="009B61A1"/>
    <w:rsid w:val="009B65B0"/>
    <w:rsid w:val="009B6F2C"/>
    <w:rsid w:val="009C17B2"/>
    <w:rsid w:val="009C2A56"/>
    <w:rsid w:val="009C311D"/>
    <w:rsid w:val="009C3384"/>
    <w:rsid w:val="009C391C"/>
    <w:rsid w:val="009C3A77"/>
    <w:rsid w:val="009C3BA7"/>
    <w:rsid w:val="009C3CA2"/>
    <w:rsid w:val="009C3CDE"/>
    <w:rsid w:val="009C4150"/>
    <w:rsid w:val="009C429C"/>
    <w:rsid w:val="009C4716"/>
    <w:rsid w:val="009C6DFE"/>
    <w:rsid w:val="009C6F11"/>
    <w:rsid w:val="009C7D2E"/>
    <w:rsid w:val="009D056F"/>
    <w:rsid w:val="009D17A6"/>
    <w:rsid w:val="009D17B2"/>
    <w:rsid w:val="009D1941"/>
    <w:rsid w:val="009D19C6"/>
    <w:rsid w:val="009D2420"/>
    <w:rsid w:val="009D26E1"/>
    <w:rsid w:val="009D28C1"/>
    <w:rsid w:val="009D367A"/>
    <w:rsid w:val="009D37E6"/>
    <w:rsid w:val="009D3D3A"/>
    <w:rsid w:val="009D4188"/>
    <w:rsid w:val="009D49DA"/>
    <w:rsid w:val="009D4E17"/>
    <w:rsid w:val="009D547F"/>
    <w:rsid w:val="009D5481"/>
    <w:rsid w:val="009D56C8"/>
    <w:rsid w:val="009D598E"/>
    <w:rsid w:val="009D5B7E"/>
    <w:rsid w:val="009D5CB1"/>
    <w:rsid w:val="009D5D2B"/>
    <w:rsid w:val="009D5F00"/>
    <w:rsid w:val="009D5FB9"/>
    <w:rsid w:val="009D64D8"/>
    <w:rsid w:val="009D6A2A"/>
    <w:rsid w:val="009D7B07"/>
    <w:rsid w:val="009D7C38"/>
    <w:rsid w:val="009D7F32"/>
    <w:rsid w:val="009E0233"/>
    <w:rsid w:val="009E186D"/>
    <w:rsid w:val="009E1CDB"/>
    <w:rsid w:val="009E28B4"/>
    <w:rsid w:val="009E2FB5"/>
    <w:rsid w:val="009E34C4"/>
    <w:rsid w:val="009E3B43"/>
    <w:rsid w:val="009E3FEE"/>
    <w:rsid w:val="009E4D81"/>
    <w:rsid w:val="009E5083"/>
    <w:rsid w:val="009E58F7"/>
    <w:rsid w:val="009E5E4F"/>
    <w:rsid w:val="009E61C4"/>
    <w:rsid w:val="009E662E"/>
    <w:rsid w:val="009E798F"/>
    <w:rsid w:val="009E7EDD"/>
    <w:rsid w:val="009F1289"/>
    <w:rsid w:val="009F1849"/>
    <w:rsid w:val="009F18D9"/>
    <w:rsid w:val="009F196A"/>
    <w:rsid w:val="009F1BE7"/>
    <w:rsid w:val="009F27AE"/>
    <w:rsid w:val="009F28EA"/>
    <w:rsid w:val="009F2D34"/>
    <w:rsid w:val="009F2D70"/>
    <w:rsid w:val="009F3133"/>
    <w:rsid w:val="009F3807"/>
    <w:rsid w:val="009F3AB9"/>
    <w:rsid w:val="009F3C84"/>
    <w:rsid w:val="009F3D23"/>
    <w:rsid w:val="009F3F3C"/>
    <w:rsid w:val="009F403E"/>
    <w:rsid w:val="009F4169"/>
    <w:rsid w:val="009F4593"/>
    <w:rsid w:val="009F492D"/>
    <w:rsid w:val="009F4DB8"/>
    <w:rsid w:val="009F4EFF"/>
    <w:rsid w:val="009F5021"/>
    <w:rsid w:val="009F5904"/>
    <w:rsid w:val="009F5D02"/>
    <w:rsid w:val="009F5E36"/>
    <w:rsid w:val="009F675D"/>
    <w:rsid w:val="009F688F"/>
    <w:rsid w:val="009F72AE"/>
    <w:rsid w:val="00A00144"/>
    <w:rsid w:val="00A00345"/>
    <w:rsid w:val="00A00748"/>
    <w:rsid w:val="00A01AD8"/>
    <w:rsid w:val="00A01B1A"/>
    <w:rsid w:val="00A01CC9"/>
    <w:rsid w:val="00A01DFB"/>
    <w:rsid w:val="00A023A9"/>
    <w:rsid w:val="00A02824"/>
    <w:rsid w:val="00A02D5F"/>
    <w:rsid w:val="00A0336A"/>
    <w:rsid w:val="00A04478"/>
    <w:rsid w:val="00A04590"/>
    <w:rsid w:val="00A048AB"/>
    <w:rsid w:val="00A04A4D"/>
    <w:rsid w:val="00A04BDC"/>
    <w:rsid w:val="00A04C28"/>
    <w:rsid w:val="00A0527F"/>
    <w:rsid w:val="00A05526"/>
    <w:rsid w:val="00A055CC"/>
    <w:rsid w:val="00A05C5B"/>
    <w:rsid w:val="00A05E0B"/>
    <w:rsid w:val="00A06D48"/>
    <w:rsid w:val="00A07C5E"/>
    <w:rsid w:val="00A10B38"/>
    <w:rsid w:val="00A10DCC"/>
    <w:rsid w:val="00A111CD"/>
    <w:rsid w:val="00A11602"/>
    <w:rsid w:val="00A116A3"/>
    <w:rsid w:val="00A11FAC"/>
    <w:rsid w:val="00A12818"/>
    <w:rsid w:val="00A12AFC"/>
    <w:rsid w:val="00A13287"/>
    <w:rsid w:val="00A132AD"/>
    <w:rsid w:val="00A133BC"/>
    <w:rsid w:val="00A140E7"/>
    <w:rsid w:val="00A14444"/>
    <w:rsid w:val="00A14AF2"/>
    <w:rsid w:val="00A14C0D"/>
    <w:rsid w:val="00A15172"/>
    <w:rsid w:val="00A152EA"/>
    <w:rsid w:val="00A1572A"/>
    <w:rsid w:val="00A158A7"/>
    <w:rsid w:val="00A170E7"/>
    <w:rsid w:val="00A17208"/>
    <w:rsid w:val="00A1757B"/>
    <w:rsid w:val="00A203B9"/>
    <w:rsid w:val="00A2075C"/>
    <w:rsid w:val="00A20DFE"/>
    <w:rsid w:val="00A21007"/>
    <w:rsid w:val="00A21371"/>
    <w:rsid w:val="00A213B5"/>
    <w:rsid w:val="00A21884"/>
    <w:rsid w:val="00A21905"/>
    <w:rsid w:val="00A21BC3"/>
    <w:rsid w:val="00A2286D"/>
    <w:rsid w:val="00A22DDE"/>
    <w:rsid w:val="00A2318F"/>
    <w:rsid w:val="00A2395D"/>
    <w:rsid w:val="00A23BB7"/>
    <w:rsid w:val="00A23EB6"/>
    <w:rsid w:val="00A24346"/>
    <w:rsid w:val="00A2509A"/>
    <w:rsid w:val="00A252D2"/>
    <w:rsid w:val="00A26F2F"/>
    <w:rsid w:val="00A270B2"/>
    <w:rsid w:val="00A2729C"/>
    <w:rsid w:val="00A27646"/>
    <w:rsid w:val="00A27845"/>
    <w:rsid w:val="00A27B0A"/>
    <w:rsid w:val="00A27F1E"/>
    <w:rsid w:val="00A30264"/>
    <w:rsid w:val="00A3070C"/>
    <w:rsid w:val="00A30B51"/>
    <w:rsid w:val="00A31F58"/>
    <w:rsid w:val="00A3209F"/>
    <w:rsid w:val="00A32402"/>
    <w:rsid w:val="00A3273B"/>
    <w:rsid w:val="00A331B7"/>
    <w:rsid w:val="00A33435"/>
    <w:rsid w:val="00A33477"/>
    <w:rsid w:val="00A336CC"/>
    <w:rsid w:val="00A3370D"/>
    <w:rsid w:val="00A337A2"/>
    <w:rsid w:val="00A33BB5"/>
    <w:rsid w:val="00A340AC"/>
    <w:rsid w:val="00A34AEE"/>
    <w:rsid w:val="00A34B8B"/>
    <w:rsid w:val="00A363D5"/>
    <w:rsid w:val="00A3660E"/>
    <w:rsid w:val="00A36D59"/>
    <w:rsid w:val="00A3771A"/>
    <w:rsid w:val="00A37740"/>
    <w:rsid w:val="00A37846"/>
    <w:rsid w:val="00A37BCE"/>
    <w:rsid w:val="00A406E8"/>
    <w:rsid w:val="00A41154"/>
    <w:rsid w:val="00A41745"/>
    <w:rsid w:val="00A41F96"/>
    <w:rsid w:val="00A4269A"/>
    <w:rsid w:val="00A42950"/>
    <w:rsid w:val="00A4298C"/>
    <w:rsid w:val="00A42D0B"/>
    <w:rsid w:val="00A42F18"/>
    <w:rsid w:val="00A438BD"/>
    <w:rsid w:val="00A43D3F"/>
    <w:rsid w:val="00A44540"/>
    <w:rsid w:val="00A446C4"/>
    <w:rsid w:val="00A44812"/>
    <w:rsid w:val="00A44C7F"/>
    <w:rsid w:val="00A46A29"/>
    <w:rsid w:val="00A46DA5"/>
    <w:rsid w:val="00A4778D"/>
    <w:rsid w:val="00A47EA3"/>
    <w:rsid w:val="00A47FF2"/>
    <w:rsid w:val="00A50379"/>
    <w:rsid w:val="00A509A2"/>
    <w:rsid w:val="00A50EFC"/>
    <w:rsid w:val="00A5268E"/>
    <w:rsid w:val="00A52C6C"/>
    <w:rsid w:val="00A52FC8"/>
    <w:rsid w:val="00A5312F"/>
    <w:rsid w:val="00A5366B"/>
    <w:rsid w:val="00A53673"/>
    <w:rsid w:val="00A53946"/>
    <w:rsid w:val="00A53EF6"/>
    <w:rsid w:val="00A5498D"/>
    <w:rsid w:val="00A55418"/>
    <w:rsid w:val="00A55462"/>
    <w:rsid w:val="00A55712"/>
    <w:rsid w:val="00A5587B"/>
    <w:rsid w:val="00A5592C"/>
    <w:rsid w:val="00A561F8"/>
    <w:rsid w:val="00A5652B"/>
    <w:rsid w:val="00A56B03"/>
    <w:rsid w:val="00A5729C"/>
    <w:rsid w:val="00A57763"/>
    <w:rsid w:val="00A6039E"/>
    <w:rsid w:val="00A609D5"/>
    <w:rsid w:val="00A61123"/>
    <w:rsid w:val="00A61721"/>
    <w:rsid w:val="00A626CB"/>
    <w:rsid w:val="00A62761"/>
    <w:rsid w:val="00A637D5"/>
    <w:rsid w:val="00A63995"/>
    <w:rsid w:val="00A6493B"/>
    <w:rsid w:val="00A64999"/>
    <w:rsid w:val="00A65956"/>
    <w:rsid w:val="00A660A9"/>
    <w:rsid w:val="00A6654C"/>
    <w:rsid w:val="00A66FC2"/>
    <w:rsid w:val="00A67CFC"/>
    <w:rsid w:val="00A706CD"/>
    <w:rsid w:val="00A708E0"/>
    <w:rsid w:val="00A70B2B"/>
    <w:rsid w:val="00A711E3"/>
    <w:rsid w:val="00A7177C"/>
    <w:rsid w:val="00A7191A"/>
    <w:rsid w:val="00A719B1"/>
    <w:rsid w:val="00A71D3E"/>
    <w:rsid w:val="00A71D6C"/>
    <w:rsid w:val="00A71DD0"/>
    <w:rsid w:val="00A72BA4"/>
    <w:rsid w:val="00A72CEF"/>
    <w:rsid w:val="00A72E20"/>
    <w:rsid w:val="00A72E66"/>
    <w:rsid w:val="00A72FCC"/>
    <w:rsid w:val="00A736A8"/>
    <w:rsid w:val="00A73DE7"/>
    <w:rsid w:val="00A742BA"/>
    <w:rsid w:val="00A74686"/>
    <w:rsid w:val="00A74A8D"/>
    <w:rsid w:val="00A75C15"/>
    <w:rsid w:val="00A75E52"/>
    <w:rsid w:val="00A76820"/>
    <w:rsid w:val="00A76E92"/>
    <w:rsid w:val="00A77E93"/>
    <w:rsid w:val="00A80F1D"/>
    <w:rsid w:val="00A810E2"/>
    <w:rsid w:val="00A81CFE"/>
    <w:rsid w:val="00A81F08"/>
    <w:rsid w:val="00A81F48"/>
    <w:rsid w:val="00A824C5"/>
    <w:rsid w:val="00A83A9B"/>
    <w:rsid w:val="00A84282"/>
    <w:rsid w:val="00A85543"/>
    <w:rsid w:val="00A8581C"/>
    <w:rsid w:val="00A859C7"/>
    <w:rsid w:val="00A859CF"/>
    <w:rsid w:val="00A85B18"/>
    <w:rsid w:val="00A85BD4"/>
    <w:rsid w:val="00A85DF0"/>
    <w:rsid w:val="00A863FC"/>
    <w:rsid w:val="00A86ACA"/>
    <w:rsid w:val="00A86ACC"/>
    <w:rsid w:val="00A87691"/>
    <w:rsid w:val="00A90A2E"/>
    <w:rsid w:val="00A91CAF"/>
    <w:rsid w:val="00A92072"/>
    <w:rsid w:val="00A9211A"/>
    <w:rsid w:val="00A92651"/>
    <w:rsid w:val="00A92A39"/>
    <w:rsid w:val="00A92BE9"/>
    <w:rsid w:val="00A9365F"/>
    <w:rsid w:val="00A939FF"/>
    <w:rsid w:val="00A93C6E"/>
    <w:rsid w:val="00A94B63"/>
    <w:rsid w:val="00A955A5"/>
    <w:rsid w:val="00A955B2"/>
    <w:rsid w:val="00A95943"/>
    <w:rsid w:val="00A95DC3"/>
    <w:rsid w:val="00A9658E"/>
    <w:rsid w:val="00A9662B"/>
    <w:rsid w:val="00A967F1"/>
    <w:rsid w:val="00A96984"/>
    <w:rsid w:val="00A96A62"/>
    <w:rsid w:val="00A96AA8"/>
    <w:rsid w:val="00A96BD0"/>
    <w:rsid w:val="00A96E31"/>
    <w:rsid w:val="00A9724B"/>
    <w:rsid w:val="00A97502"/>
    <w:rsid w:val="00A97C84"/>
    <w:rsid w:val="00A97F59"/>
    <w:rsid w:val="00AA024B"/>
    <w:rsid w:val="00AA06F8"/>
    <w:rsid w:val="00AA07FF"/>
    <w:rsid w:val="00AA1BDD"/>
    <w:rsid w:val="00AA1F8C"/>
    <w:rsid w:val="00AA2118"/>
    <w:rsid w:val="00AA2137"/>
    <w:rsid w:val="00AA2893"/>
    <w:rsid w:val="00AA2CF7"/>
    <w:rsid w:val="00AA2D96"/>
    <w:rsid w:val="00AA2E46"/>
    <w:rsid w:val="00AA303F"/>
    <w:rsid w:val="00AA32A5"/>
    <w:rsid w:val="00AA3A23"/>
    <w:rsid w:val="00AA3AEF"/>
    <w:rsid w:val="00AA3EF1"/>
    <w:rsid w:val="00AA3F7B"/>
    <w:rsid w:val="00AA3F96"/>
    <w:rsid w:val="00AA4EAB"/>
    <w:rsid w:val="00AA4F3E"/>
    <w:rsid w:val="00AA50D8"/>
    <w:rsid w:val="00AA55FF"/>
    <w:rsid w:val="00AA56A9"/>
    <w:rsid w:val="00AA5974"/>
    <w:rsid w:val="00AA5C17"/>
    <w:rsid w:val="00AA61EF"/>
    <w:rsid w:val="00AA674A"/>
    <w:rsid w:val="00AA712F"/>
    <w:rsid w:val="00AA72A8"/>
    <w:rsid w:val="00AA73C1"/>
    <w:rsid w:val="00AA76FC"/>
    <w:rsid w:val="00AA7BF8"/>
    <w:rsid w:val="00AB19A6"/>
    <w:rsid w:val="00AB210E"/>
    <w:rsid w:val="00AB265B"/>
    <w:rsid w:val="00AB2CAD"/>
    <w:rsid w:val="00AB2DA8"/>
    <w:rsid w:val="00AB2E20"/>
    <w:rsid w:val="00AB3232"/>
    <w:rsid w:val="00AB4168"/>
    <w:rsid w:val="00AB4636"/>
    <w:rsid w:val="00AB48CF"/>
    <w:rsid w:val="00AB5A29"/>
    <w:rsid w:val="00AB5F17"/>
    <w:rsid w:val="00AB659D"/>
    <w:rsid w:val="00AB6A9E"/>
    <w:rsid w:val="00AB7C03"/>
    <w:rsid w:val="00AB7D3C"/>
    <w:rsid w:val="00AB7E52"/>
    <w:rsid w:val="00AC03F3"/>
    <w:rsid w:val="00AC0D85"/>
    <w:rsid w:val="00AC12CE"/>
    <w:rsid w:val="00AC12DF"/>
    <w:rsid w:val="00AC1BDC"/>
    <w:rsid w:val="00AC1F2E"/>
    <w:rsid w:val="00AC2214"/>
    <w:rsid w:val="00AC24E9"/>
    <w:rsid w:val="00AC267B"/>
    <w:rsid w:val="00AC2C15"/>
    <w:rsid w:val="00AC3355"/>
    <w:rsid w:val="00AC38B6"/>
    <w:rsid w:val="00AC490D"/>
    <w:rsid w:val="00AC4B3F"/>
    <w:rsid w:val="00AC54B4"/>
    <w:rsid w:val="00AC54F2"/>
    <w:rsid w:val="00AC5856"/>
    <w:rsid w:val="00AC5E71"/>
    <w:rsid w:val="00AC62C3"/>
    <w:rsid w:val="00AC66E6"/>
    <w:rsid w:val="00AC70BA"/>
    <w:rsid w:val="00AC7922"/>
    <w:rsid w:val="00AC7966"/>
    <w:rsid w:val="00AC7D9C"/>
    <w:rsid w:val="00AD0A08"/>
    <w:rsid w:val="00AD0B8E"/>
    <w:rsid w:val="00AD1670"/>
    <w:rsid w:val="00AD1BFF"/>
    <w:rsid w:val="00AD1F97"/>
    <w:rsid w:val="00AD3162"/>
    <w:rsid w:val="00AD380F"/>
    <w:rsid w:val="00AD3995"/>
    <w:rsid w:val="00AD6355"/>
    <w:rsid w:val="00AD681B"/>
    <w:rsid w:val="00AD6C27"/>
    <w:rsid w:val="00AD71F1"/>
    <w:rsid w:val="00AD731F"/>
    <w:rsid w:val="00AD76D0"/>
    <w:rsid w:val="00AD7AB1"/>
    <w:rsid w:val="00AE044F"/>
    <w:rsid w:val="00AE06F6"/>
    <w:rsid w:val="00AE0B01"/>
    <w:rsid w:val="00AE14D1"/>
    <w:rsid w:val="00AE1535"/>
    <w:rsid w:val="00AE1C24"/>
    <w:rsid w:val="00AE23A0"/>
    <w:rsid w:val="00AE2499"/>
    <w:rsid w:val="00AE29B6"/>
    <w:rsid w:val="00AE2ACB"/>
    <w:rsid w:val="00AE420D"/>
    <w:rsid w:val="00AE44C8"/>
    <w:rsid w:val="00AE460D"/>
    <w:rsid w:val="00AE46D5"/>
    <w:rsid w:val="00AE628A"/>
    <w:rsid w:val="00AE6780"/>
    <w:rsid w:val="00AE71EE"/>
    <w:rsid w:val="00AF012E"/>
    <w:rsid w:val="00AF283A"/>
    <w:rsid w:val="00AF2C6F"/>
    <w:rsid w:val="00AF32BD"/>
    <w:rsid w:val="00AF34C3"/>
    <w:rsid w:val="00AF36F1"/>
    <w:rsid w:val="00AF4503"/>
    <w:rsid w:val="00AF4679"/>
    <w:rsid w:val="00AF4FAE"/>
    <w:rsid w:val="00AF53D0"/>
    <w:rsid w:val="00AF619C"/>
    <w:rsid w:val="00AF61F8"/>
    <w:rsid w:val="00AF625E"/>
    <w:rsid w:val="00AF62BE"/>
    <w:rsid w:val="00AF6867"/>
    <w:rsid w:val="00AF760A"/>
    <w:rsid w:val="00B00669"/>
    <w:rsid w:val="00B006D0"/>
    <w:rsid w:val="00B009FD"/>
    <w:rsid w:val="00B013D2"/>
    <w:rsid w:val="00B03132"/>
    <w:rsid w:val="00B03D6E"/>
    <w:rsid w:val="00B03D6F"/>
    <w:rsid w:val="00B04B7C"/>
    <w:rsid w:val="00B05538"/>
    <w:rsid w:val="00B06615"/>
    <w:rsid w:val="00B0730E"/>
    <w:rsid w:val="00B073FB"/>
    <w:rsid w:val="00B07915"/>
    <w:rsid w:val="00B07D7E"/>
    <w:rsid w:val="00B10677"/>
    <w:rsid w:val="00B1079B"/>
    <w:rsid w:val="00B10B43"/>
    <w:rsid w:val="00B10EA9"/>
    <w:rsid w:val="00B10FC5"/>
    <w:rsid w:val="00B11844"/>
    <w:rsid w:val="00B1217C"/>
    <w:rsid w:val="00B1326E"/>
    <w:rsid w:val="00B13F14"/>
    <w:rsid w:val="00B1419A"/>
    <w:rsid w:val="00B149D3"/>
    <w:rsid w:val="00B15457"/>
    <w:rsid w:val="00B15469"/>
    <w:rsid w:val="00B16066"/>
    <w:rsid w:val="00B161DF"/>
    <w:rsid w:val="00B1639D"/>
    <w:rsid w:val="00B17012"/>
    <w:rsid w:val="00B1709E"/>
    <w:rsid w:val="00B208BA"/>
    <w:rsid w:val="00B20DD9"/>
    <w:rsid w:val="00B21061"/>
    <w:rsid w:val="00B210E9"/>
    <w:rsid w:val="00B2222A"/>
    <w:rsid w:val="00B223BD"/>
    <w:rsid w:val="00B24809"/>
    <w:rsid w:val="00B2558C"/>
    <w:rsid w:val="00B257BC"/>
    <w:rsid w:val="00B2595E"/>
    <w:rsid w:val="00B25F89"/>
    <w:rsid w:val="00B2602B"/>
    <w:rsid w:val="00B2609F"/>
    <w:rsid w:val="00B262AC"/>
    <w:rsid w:val="00B278E1"/>
    <w:rsid w:val="00B30619"/>
    <w:rsid w:val="00B31968"/>
    <w:rsid w:val="00B3197D"/>
    <w:rsid w:val="00B3239A"/>
    <w:rsid w:val="00B32418"/>
    <w:rsid w:val="00B32768"/>
    <w:rsid w:val="00B3302B"/>
    <w:rsid w:val="00B3343B"/>
    <w:rsid w:val="00B33490"/>
    <w:rsid w:val="00B33633"/>
    <w:rsid w:val="00B3384C"/>
    <w:rsid w:val="00B33C4F"/>
    <w:rsid w:val="00B33E29"/>
    <w:rsid w:val="00B33FBD"/>
    <w:rsid w:val="00B35C6A"/>
    <w:rsid w:val="00B36405"/>
    <w:rsid w:val="00B36779"/>
    <w:rsid w:val="00B36DB0"/>
    <w:rsid w:val="00B36E91"/>
    <w:rsid w:val="00B371B0"/>
    <w:rsid w:val="00B376E5"/>
    <w:rsid w:val="00B37A1A"/>
    <w:rsid w:val="00B37FA7"/>
    <w:rsid w:val="00B40067"/>
    <w:rsid w:val="00B4013E"/>
    <w:rsid w:val="00B4136A"/>
    <w:rsid w:val="00B415E9"/>
    <w:rsid w:val="00B4176F"/>
    <w:rsid w:val="00B4195B"/>
    <w:rsid w:val="00B41F86"/>
    <w:rsid w:val="00B421CF"/>
    <w:rsid w:val="00B42467"/>
    <w:rsid w:val="00B429F6"/>
    <w:rsid w:val="00B42A26"/>
    <w:rsid w:val="00B42A96"/>
    <w:rsid w:val="00B42F78"/>
    <w:rsid w:val="00B43592"/>
    <w:rsid w:val="00B43646"/>
    <w:rsid w:val="00B43785"/>
    <w:rsid w:val="00B44280"/>
    <w:rsid w:val="00B4542C"/>
    <w:rsid w:val="00B45BB0"/>
    <w:rsid w:val="00B45CF2"/>
    <w:rsid w:val="00B462ED"/>
    <w:rsid w:val="00B466D3"/>
    <w:rsid w:val="00B466F3"/>
    <w:rsid w:val="00B4685E"/>
    <w:rsid w:val="00B4689B"/>
    <w:rsid w:val="00B46EAD"/>
    <w:rsid w:val="00B47494"/>
    <w:rsid w:val="00B5033F"/>
    <w:rsid w:val="00B503CA"/>
    <w:rsid w:val="00B5041D"/>
    <w:rsid w:val="00B516D6"/>
    <w:rsid w:val="00B517D1"/>
    <w:rsid w:val="00B51AEF"/>
    <w:rsid w:val="00B527E9"/>
    <w:rsid w:val="00B52C08"/>
    <w:rsid w:val="00B52D85"/>
    <w:rsid w:val="00B52EA4"/>
    <w:rsid w:val="00B52EB3"/>
    <w:rsid w:val="00B53598"/>
    <w:rsid w:val="00B538A4"/>
    <w:rsid w:val="00B5394D"/>
    <w:rsid w:val="00B53E5C"/>
    <w:rsid w:val="00B54158"/>
    <w:rsid w:val="00B54959"/>
    <w:rsid w:val="00B54EB5"/>
    <w:rsid w:val="00B5567A"/>
    <w:rsid w:val="00B557FA"/>
    <w:rsid w:val="00B55FEE"/>
    <w:rsid w:val="00B56699"/>
    <w:rsid w:val="00B568FE"/>
    <w:rsid w:val="00B5763F"/>
    <w:rsid w:val="00B57BD1"/>
    <w:rsid w:val="00B60502"/>
    <w:rsid w:val="00B60747"/>
    <w:rsid w:val="00B61989"/>
    <w:rsid w:val="00B619A0"/>
    <w:rsid w:val="00B61E8A"/>
    <w:rsid w:val="00B622D8"/>
    <w:rsid w:val="00B633FB"/>
    <w:rsid w:val="00B6368F"/>
    <w:rsid w:val="00B65FDF"/>
    <w:rsid w:val="00B66032"/>
    <w:rsid w:val="00B6701B"/>
    <w:rsid w:val="00B6706F"/>
    <w:rsid w:val="00B671D9"/>
    <w:rsid w:val="00B67A45"/>
    <w:rsid w:val="00B67B2D"/>
    <w:rsid w:val="00B70D4B"/>
    <w:rsid w:val="00B71028"/>
    <w:rsid w:val="00B71EBC"/>
    <w:rsid w:val="00B722DE"/>
    <w:rsid w:val="00B72E17"/>
    <w:rsid w:val="00B73565"/>
    <w:rsid w:val="00B7363C"/>
    <w:rsid w:val="00B73684"/>
    <w:rsid w:val="00B73E3E"/>
    <w:rsid w:val="00B743C2"/>
    <w:rsid w:val="00B74D2E"/>
    <w:rsid w:val="00B7515C"/>
    <w:rsid w:val="00B75ECD"/>
    <w:rsid w:val="00B761A6"/>
    <w:rsid w:val="00B769C9"/>
    <w:rsid w:val="00B770EF"/>
    <w:rsid w:val="00B777CC"/>
    <w:rsid w:val="00B778D1"/>
    <w:rsid w:val="00B8018F"/>
    <w:rsid w:val="00B80388"/>
    <w:rsid w:val="00B809A4"/>
    <w:rsid w:val="00B80CCC"/>
    <w:rsid w:val="00B818DD"/>
    <w:rsid w:val="00B81EAA"/>
    <w:rsid w:val="00B8206A"/>
    <w:rsid w:val="00B82099"/>
    <w:rsid w:val="00B820DA"/>
    <w:rsid w:val="00B825AE"/>
    <w:rsid w:val="00B82D95"/>
    <w:rsid w:val="00B83055"/>
    <w:rsid w:val="00B8321F"/>
    <w:rsid w:val="00B837F5"/>
    <w:rsid w:val="00B83B75"/>
    <w:rsid w:val="00B849BD"/>
    <w:rsid w:val="00B84BA6"/>
    <w:rsid w:val="00B857F3"/>
    <w:rsid w:val="00B85F65"/>
    <w:rsid w:val="00B86A7C"/>
    <w:rsid w:val="00B870CF"/>
    <w:rsid w:val="00B8746D"/>
    <w:rsid w:val="00B878F1"/>
    <w:rsid w:val="00B87DC5"/>
    <w:rsid w:val="00B87F37"/>
    <w:rsid w:val="00B90E1A"/>
    <w:rsid w:val="00B90ECD"/>
    <w:rsid w:val="00B910FB"/>
    <w:rsid w:val="00B91AAE"/>
    <w:rsid w:val="00B91B42"/>
    <w:rsid w:val="00B9215C"/>
    <w:rsid w:val="00B92EB3"/>
    <w:rsid w:val="00B92F2D"/>
    <w:rsid w:val="00B932AA"/>
    <w:rsid w:val="00B93D60"/>
    <w:rsid w:val="00B941CA"/>
    <w:rsid w:val="00B945DC"/>
    <w:rsid w:val="00B94DF1"/>
    <w:rsid w:val="00B96C5A"/>
    <w:rsid w:val="00B97663"/>
    <w:rsid w:val="00B97AE0"/>
    <w:rsid w:val="00B97F92"/>
    <w:rsid w:val="00BA0C22"/>
    <w:rsid w:val="00BA42AA"/>
    <w:rsid w:val="00BA458B"/>
    <w:rsid w:val="00BA48E7"/>
    <w:rsid w:val="00BA4AE0"/>
    <w:rsid w:val="00BA4EBB"/>
    <w:rsid w:val="00BA50E4"/>
    <w:rsid w:val="00BA5171"/>
    <w:rsid w:val="00BA5C1B"/>
    <w:rsid w:val="00BA6164"/>
    <w:rsid w:val="00BA68C3"/>
    <w:rsid w:val="00BA6A0F"/>
    <w:rsid w:val="00BA6A6F"/>
    <w:rsid w:val="00BA6BD3"/>
    <w:rsid w:val="00BA7190"/>
    <w:rsid w:val="00BA7260"/>
    <w:rsid w:val="00BA74A1"/>
    <w:rsid w:val="00BA7580"/>
    <w:rsid w:val="00BA76B8"/>
    <w:rsid w:val="00BA7783"/>
    <w:rsid w:val="00BB1577"/>
    <w:rsid w:val="00BB1DE9"/>
    <w:rsid w:val="00BB1F73"/>
    <w:rsid w:val="00BB24C8"/>
    <w:rsid w:val="00BB269C"/>
    <w:rsid w:val="00BB2E7D"/>
    <w:rsid w:val="00BB2EEC"/>
    <w:rsid w:val="00BB3360"/>
    <w:rsid w:val="00BB384F"/>
    <w:rsid w:val="00BB3F5C"/>
    <w:rsid w:val="00BB46BA"/>
    <w:rsid w:val="00BB5017"/>
    <w:rsid w:val="00BB54FC"/>
    <w:rsid w:val="00BB5725"/>
    <w:rsid w:val="00BB6B50"/>
    <w:rsid w:val="00BB6B6A"/>
    <w:rsid w:val="00BB7503"/>
    <w:rsid w:val="00BB7AEC"/>
    <w:rsid w:val="00BB7BF6"/>
    <w:rsid w:val="00BB7E52"/>
    <w:rsid w:val="00BC03C2"/>
    <w:rsid w:val="00BC09E7"/>
    <w:rsid w:val="00BC0C95"/>
    <w:rsid w:val="00BC1BF0"/>
    <w:rsid w:val="00BC2D1E"/>
    <w:rsid w:val="00BC3E20"/>
    <w:rsid w:val="00BC45E5"/>
    <w:rsid w:val="00BC474E"/>
    <w:rsid w:val="00BC532A"/>
    <w:rsid w:val="00BC5364"/>
    <w:rsid w:val="00BC565F"/>
    <w:rsid w:val="00BC58F5"/>
    <w:rsid w:val="00BC5AE4"/>
    <w:rsid w:val="00BC5D7F"/>
    <w:rsid w:val="00BC701C"/>
    <w:rsid w:val="00BD0025"/>
    <w:rsid w:val="00BD0333"/>
    <w:rsid w:val="00BD0A2A"/>
    <w:rsid w:val="00BD0E1F"/>
    <w:rsid w:val="00BD2BB1"/>
    <w:rsid w:val="00BD3508"/>
    <w:rsid w:val="00BD3979"/>
    <w:rsid w:val="00BD435E"/>
    <w:rsid w:val="00BD4CF7"/>
    <w:rsid w:val="00BD4D61"/>
    <w:rsid w:val="00BD4E7A"/>
    <w:rsid w:val="00BD56D6"/>
    <w:rsid w:val="00BD5A6D"/>
    <w:rsid w:val="00BD6FE8"/>
    <w:rsid w:val="00BD7148"/>
    <w:rsid w:val="00BD75F6"/>
    <w:rsid w:val="00BE0078"/>
    <w:rsid w:val="00BE07A4"/>
    <w:rsid w:val="00BE0C18"/>
    <w:rsid w:val="00BE0DF8"/>
    <w:rsid w:val="00BE0E3C"/>
    <w:rsid w:val="00BE152D"/>
    <w:rsid w:val="00BE1CA1"/>
    <w:rsid w:val="00BE1D61"/>
    <w:rsid w:val="00BE1F1F"/>
    <w:rsid w:val="00BE27BD"/>
    <w:rsid w:val="00BE2BDD"/>
    <w:rsid w:val="00BE2E04"/>
    <w:rsid w:val="00BE3F1C"/>
    <w:rsid w:val="00BE3F8A"/>
    <w:rsid w:val="00BE4AA6"/>
    <w:rsid w:val="00BE4FA3"/>
    <w:rsid w:val="00BE527B"/>
    <w:rsid w:val="00BE55E7"/>
    <w:rsid w:val="00BE5751"/>
    <w:rsid w:val="00BE5E11"/>
    <w:rsid w:val="00BE6871"/>
    <w:rsid w:val="00BE7129"/>
    <w:rsid w:val="00BF0219"/>
    <w:rsid w:val="00BF0262"/>
    <w:rsid w:val="00BF1C44"/>
    <w:rsid w:val="00BF2354"/>
    <w:rsid w:val="00BF2647"/>
    <w:rsid w:val="00BF2D95"/>
    <w:rsid w:val="00BF4859"/>
    <w:rsid w:val="00BF496B"/>
    <w:rsid w:val="00BF4A42"/>
    <w:rsid w:val="00BF4B4C"/>
    <w:rsid w:val="00BF4E49"/>
    <w:rsid w:val="00BF4FCA"/>
    <w:rsid w:val="00BF51EE"/>
    <w:rsid w:val="00BF5CFA"/>
    <w:rsid w:val="00BF66B0"/>
    <w:rsid w:val="00BF7255"/>
    <w:rsid w:val="00BF7EF8"/>
    <w:rsid w:val="00C001D8"/>
    <w:rsid w:val="00C01026"/>
    <w:rsid w:val="00C0155B"/>
    <w:rsid w:val="00C01D4C"/>
    <w:rsid w:val="00C0220B"/>
    <w:rsid w:val="00C027E0"/>
    <w:rsid w:val="00C02E52"/>
    <w:rsid w:val="00C03017"/>
    <w:rsid w:val="00C04089"/>
    <w:rsid w:val="00C042FB"/>
    <w:rsid w:val="00C0431D"/>
    <w:rsid w:val="00C0502F"/>
    <w:rsid w:val="00C05307"/>
    <w:rsid w:val="00C05808"/>
    <w:rsid w:val="00C067CC"/>
    <w:rsid w:val="00C06BA2"/>
    <w:rsid w:val="00C06D49"/>
    <w:rsid w:val="00C0701E"/>
    <w:rsid w:val="00C0725D"/>
    <w:rsid w:val="00C075E0"/>
    <w:rsid w:val="00C07609"/>
    <w:rsid w:val="00C07A9A"/>
    <w:rsid w:val="00C10372"/>
    <w:rsid w:val="00C10AB4"/>
    <w:rsid w:val="00C11C51"/>
    <w:rsid w:val="00C11F19"/>
    <w:rsid w:val="00C121C1"/>
    <w:rsid w:val="00C1236C"/>
    <w:rsid w:val="00C12565"/>
    <w:rsid w:val="00C12811"/>
    <w:rsid w:val="00C13026"/>
    <w:rsid w:val="00C1312D"/>
    <w:rsid w:val="00C134F5"/>
    <w:rsid w:val="00C137B6"/>
    <w:rsid w:val="00C13A06"/>
    <w:rsid w:val="00C13FC5"/>
    <w:rsid w:val="00C1419A"/>
    <w:rsid w:val="00C149A6"/>
    <w:rsid w:val="00C15686"/>
    <w:rsid w:val="00C15F5C"/>
    <w:rsid w:val="00C1615F"/>
    <w:rsid w:val="00C16341"/>
    <w:rsid w:val="00C16439"/>
    <w:rsid w:val="00C16B2E"/>
    <w:rsid w:val="00C16C90"/>
    <w:rsid w:val="00C174DC"/>
    <w:rsid w:val="00C17574"/>
    <w:rsid w:val="00C17887"/>
    <w:rsid w:val="00C17CD8"/>
    <w:rsid w:val="00C17E89"/>
    <w:rsid w:val="00C201E0"/>
    <w:rsid w:val="00C20203"/>
    <w:rsid w:val="00C208B5"/>
    <w:rsid w:val="00C21255"/>
    <w:rsid w:val="00C21370"/>
    <w:rsid w:val="00C21536"/>
    <w:rsid w:val="00C21E05"/>
    <w:rsid w:val="00C221DA"/>
    <w:rsid w:val="00C228A3"/>
    <w:rsid w:val="00C23D70"/>
    <w:rsid w:val="00C2419D"/>
    <w:rsid w:val="00C24F3B"/>
    <w:rsid w:val="00C24FEF"/>
    <w:rsid w:val="00C250FB"/>
    <w:rsid w:val="00C255EF"/>
    <w:rsid w:val="00C25669"/>
    <w:rsid w:val="00C25E92"/>
    <w:rsid w:val="00C261BA"/>
    <w:rsid w:val="00C274D9"/>
    <w:rsid w:val="00C27D7B"/>
    <w:rsid w:val="00C30E73"/>
    <w:rsid w:val="00C3146F"/>
    <w:rsid w:val="00C324B9"/>
    <w:rsid w:val="00C32D53"/>
    <w:rsid w:val="00C34A1B"/>
    <w:rsid w:val="00C35038"/>
    <w:rsid w:val="00C359B1"/>
    <w:rsid w:val="00C35E07"/>
    <w:rsid w:val="00C35F6A"/>
    <w:rsid w:val="00C361AB"/>
    <w:rsid w:val="00C36669"/>
    <w:rsid w:val="00C36B7B"/>
    <w:rsid w:val="00C37A19"/>
    <w:rsid w:val="00C37E25"/>
    <w:rsid w:val="00C37E67"/>
    <w:rsid w:val="00C37E78"/>
    <w:rsid w:val="00C404BB"/>
    <w:rsid w:val="00C406E0"/>
    <w:rsid w:val="00C4070D"/>
    <w:rsid w:val="00C40875"/>
    <w:rsid w:val="00C40E14"/>
    <w:rsid w:val="00C41383"/>
    <w:rsid w:val="00C424B1"/>
    <w:rsid w:val="00C42845"/>
    <w:rsid w:val="00C42BD7"/>
    <w:rsid w:val="00C42E44"/>
    <w:rsid w:val="00C43561"/>
    <w:rsid w:val="00C43FF3"/>
    <w:rsid w:val="00C442EA"/>
    <w:rsid w:val="00C44610"/>
    <w:rsid w:val="00C45090"/>
    <w:rsid w:val="00C45BE0"/>
    <w:rsid w:val="00C4609A"/>
    <w:rsid w:val="00C46288"/>
    <w:rsid w:val="00C462E4"/>
    <w:rsid w:val="00C46A7A"/>
    <w:rsid w:val="00C47855"/>
    <w:rsid w:val="00C478DE"/>
    <w:rsid w:val="00C47BA2"/>
    <w:rsid w:val="00C47D77"/>
    <w:rsid w:val="00C47E6B"/>
    <w:rsid w:val="00C47EA8"/>
    <w:rsid w:val="00C5012D"/>
    <w:rsid w:val="00C50332"/>
    <w:rsid w:val="00C50AD8"/>
    <w:rsid w:val="00C50DF2"/>
    <w:rsid w:val="00C51276"/>
    <w:rsid w:val="00C5127C"/>
    <w:rsid w:val="00C5166B"/>
    <w:rsid w:val="00C51B18"/>
    <w:rsid w:val="00C51B7B"/>
    <w:rsid w:val="00C51C6A"/>
    <w:rsid w:val="00C51CC8"/>
    <w:rsid w:val="00C51FD8"/>
    <w:rsid w:val="00C520BD"/>
    <w:rsid w:val="00C52878"/>
    <w:rsid w:val="00C52D5E"/>
    <w:rsid w:val="00C52F49"/>
    <w:rsid w:val="00C53083"/>
    <w:rsid w:val="00C53C5E"/>
    <w:rsid w:val="00C551EA"/>
    <w:rsid w:val="00C5693B"/>
    <w:rsid w:val="00C56D30"/>
    <w:rsid w:val="00C57501"/>
    <w:rsid w:val="00C5758A"/>
    <w:rsid w:val="00C57636"/>
    <w:rsid w:val="00C57B61"/>
    <w:rsid w:val="00C57FAA"/>
    <w:rsid w:val="00C60236"/>
    <w:rsid w:val="00C603B4"/>
    <w:rsid w:val="00C61B54"/>
    <w:rsid w:val="00C61DD4"/>
    <w:rsid w:val="00C62C7F"/>
    <w:rsid w:val="00C6368F"/>
    <w:rsid w:val="00C637AE"/>
    <w:rsid w:val="00C641DA"/>
    <w:rsid w:val="00C6456A"/>
    <w:rsid w:val="00C6466B"/>
    <w:rsid w:val="00C65EC9"/>
    <w:rsid w:val="00C661A0"/>
    <w:rsid w:val="00C66347"/>
    <w:rsid w:val="00C66FCA"/>
    <w:rsid w:val="00C672D1"/>
    <w:rsid w:val="00C715E0"/>
    <w:rsid w:val="00C715E2"/>
    <w:rsid w:val="00C72128"/>
    <w:rsid w:val="00C723E9"/>
    <w:rsid w:val="00C72688"/>
    <w:rsid w:val="00C72B04"/>
    <w:rsid w:val="00C72C8A"/>
    <w:rsid w:val="00C73030"/>
    <w:rsid w:val="00C733C3"/>
    <w:rsid w:val="00C7381D"/>
    <w:rsid w:val="00C74540"/>
    <w:rsid w:val="00C745B1"/>
    <w:rsid w:val="00C74695"/>
    <w:rsid w:val="00C74DD9"/>
    <w:rsid w:val="00C755B5"/>
    <w:rsid w:val="00C757E9"/>
    <w:rsid w:val="00C75EB7"/>
    <w:rsid w:val="00C763B1"/>
    <w:rsid w:val="00C772AE"/>
    <w:rsid w:val="00C77344"/>
    <w:rsid w:val="00C775B9"/>
    <w:rsid w:val="00C77B1C"/>
    <w:rsid w:val="00C77BEF"/>
    <w:rsid w:val="00C77ED5"/>
    <w:rsid w:val="00C8108A"/>
    <w:rsid w:val="00C81346"/>
    <w:rsid w:val="00C816D1"/>
    <w:rsid w:val="00C81E9D"/>
    <w:rsid w:val="00C81F97"/>
    <w:rsid w:val="00C82196"/>
    <w:rsid w:val="00C832CE"/>
    <w:rsid w:val="00C833C1"/>
    <w:rsid w:val="00C83E0C"/>
    <w:rsid w:val="00C83F43"/>
    <w:rsid w:val="00C84189"/>
    <w:rsid w:val="00C84BC0"/>
    <w:rsid w:val="00C854D7"/>
    <w:rsid w:val="00C856D2"/>
    <w:rsid w:val="00C867A4"/>
    <w:rsid w:val="00C869F6"/>
    <w:rsid w:val="00C86FF3"/>
    <w:rsid w:val="00C872A1"/>
    <w:rsid w:val="00C87959"/>
    <w:rsid w:val="00C8795C"/>
    <w:rsid w:val="00C902C9"/>
    <w:rsid w:val="00C90AE8"/>
    <w:rsid w:val="00C90C8C"/>
    <w:rsid w:val="00C91530"/>
    <w:rsid w:val="00C91E12"/>
    <w:rsid w:val="00C921B4"/>
    <w:rsid w:val="00C92269"/>
    <w:rsid w:val="00C923FA"/>
    <w:rsid w:val="00C92A2E"/>
    <w:rsid w:val="00C9327D"/>
    <w:rsid w:val="00C93FA0"/>
    <w:rsid w:val="00C9435A"/>
    <w:rsid w:val="00C94EFE"/>
    <w:rsid w:val="00C95FE0"/>
    <w:rsid w:val="00C962B4"/>
    <w:rsid w:val="00C9648A"/>
    <w:rsid w:val="00C96C41"/>
    <w:rsid w:val="00C96E3C"/>
    <w:rsid w:val="00C9733B"/>
    <w:rsid w:val="00CA0240"/>
    <w:rsid w:val="00CA0690"/>
    <w:rsid w:val="00CA0DC0"/>
    <w:rsid w:val="00CA16C3"/>
    <w:rsid w:val="00CA1AA8"/>
    <w:rsid w:val="00CA1F5A"/>
    <w:rsid w:val="00CA25AA"/>
    <w:rsid w:val="00CA2D83"/>
    <w:rsid w:val="00CA2E7C"/>
    <w:rsid w:val="00CA3AD9"/>
    <w:rsid w:val="00CA3CB9"/>
    <w:rsid w:val="00CA418C"/>
    <w:rsid w:val="00CA449A"/>
    <w:rsid w:val="00CA4AB7"/>
    <w:rsid w:val="00CA4B44"/>
    <w:rsid w:val="00CA4BAF"/>
    <w:rsid w:val="00CA4E4D"/>
    <w:rsid w:val="00CA5431"/>
    <w:rsid w:val="00CA5A77"/>
    <w:rsid w:val="00CA5BDD"/>
    <w:rsid w:val="00CA6743"/>
    <w:rsid w:val="00CA6B52"/>
    <w:rsid w:val="00CA6DB7"/>
    <w:rsid w:val="00CA6E17"/>
    <w:rsid w:val="00CA75DD"/>
    <w:rsid w:val="00CB09F3"/>
    <w:rsid w:val="00CB0A19"/>
    <w:rsid w:val="00CB0C19"/>
    <w:rsid w:val="00CB116D"/>
    <w:rsid w:val="00CB1242"/>
    <w:rsid w:val="00CB2233"/>
    <w:rsid w:val="00CB224E"/>
    <w:rsid w:val="00CB2777"/>
    <w:rsid w:val="00CB4411"/>
    <w:rsid w:val="00CB4802"/>
    <w:rsid w:val="00CB556B"/>
    <w:rsid w:val="00CB598F"/>
    <w:rsid w:val="00CB5BE7"/>
    <w:rsid w:val="00CB60FB"/>
    <w:rsid w:val="00CB6D58"/>
    <w:rsid w:val="00CB713E"/>
    <w:rsid w:val="00CB72AE"/>
    <w:rsid w:val="00CB733D"/>
    <w:rsid w:val="00CB7965"/>
    <w:rsid w:val="00CB7FAC"/>
    <w:rsid w:val="00CC0375"/>
    <w:rsid w:val="00CC05A1"/>
    <w:rsid w:val="00CC0BD0"/>
    <w:rsid w:val="00CC13AC"/>
    <w:rsid w:val="00CC1872"/>
    <w:rsid w:val="00CC1A7E"/>
    <w:rsid w:val="00CC1C9D"/>
    <w:rsid w:val="00CC1E12"/>
    <w:rsid w:val="00CC35CC"/>
    <w:rsid w:val="00CC36E9"/>
    <w:rsid w:val="00CC40AF"/>
    <w:rsid w:val="00CC481E"/>
    <w:rsid w:val="00CC62A1"/>
    <w:rsid w:val="00CC6431"/>
    <w:rsid w:val="00CC6C1E"/>
    <w:rsid w:val="00CC6ED8"/>
    <w:rsid w:val="00CC7407"/>
    <w:rsid w:val="00CC7A33"/>
    <w:rsid w:val="00CD1B0A"/>
    <w:rsid w:val="00CD1F3A"/>
    <w:rsid w:val="00CD2140"/>
    <w:rsid w:val="00CD218F"/>
    <w:rsid w:val="00CD235B"/>
    <w:rsid w:val="00CD2548"/>
    <w:rsid w:val="00CD290B"/>
    <w:rsid w:val="00CD2C25"/>
    <w:rsid w:val="00CD374F"/>
    <w:rsid w:val="00CD38B5"/>
    <w:rsid w:val="00CD394E"/>
    <w:rsid w:val="00CD3F4A"/>
    <w:rsid w:val="00CD47F2"/>
    <w:rsid w:val="00CD4D04"/>
    <w:rsid w:val="00CD4F92"/>
    <w:rsid w:val="00CD4FE9"/>
    <w:rsid w:val="00CD5EDC"/>
    <w:rsid w:val="00CD629D"/>
    <w:rsid w:val="00CD697C"/>
    <w:rsid w:val="00CD6996"/>
    <w:rsid w:val="00CE029E"/>
    <w:rsid w:val="00CE0424"/>
    <w:rsid w:val="00CE049B"/>
    <w:rsid w:val="00CE0B02"/>
    <w:rsid w:val="00CE0C9A"/>
    <w:rsid w:val="00CE195E"/>
    <w:rsid w:val="00CE281B"/>
    <w:rsid w:val="00CE28FC"/>
    <w:rsid w:val="00CE3342"/>
    <w:rsid w:val="00CE3992"/>
    <w:rsid w:val="00CE4305"/>
    <w:rsid w:val="00CE490F"/>
    <w:rsid w:val="00CE4931"/>
    <w:rsid w:val="00CE4ACC"/>
    <w:rsid w:val="00CE5DC5"/>
    <w:rsid w:val="00CE6DDB"/>
    <w:rsid w:val="00CE6ED8"/>
    <w:rsid w:val="00CE744B"/>
    <w:rsid w:val="00CE7BDB"/>
    <w:rsid w:val="00CE7C37"/>
    <w:rsid w:val="00CF048B"/>
    <w:rsid w:val="00CF0D01"/>
    <w:rsid w:val="00CF1FEE"/>
    <w:rsid w:val="00CF2B50"/>
    <w:rsid w:val="00CF317E"/>
    <w:rsid w:val="00CF327E"/>
    <w:rsid w:val="00CF34C2"/>
    <w:rsid w:val="00CF380A"/>
    <w:rsid w:val="00CF3BDE"/>
    <w:rsid w:val="00CF4290"/>
    <w:rsid w:val="00CF462B"/>
    <w:rsid w:val="00CF46B1"/>
    <w:rsid w:val="00CF5C8B"/>
    <w:rsid w:val="00CF654E"/>
    <w:rsid w:val="00CF6575"/>
    <w:rsid w:val="00CF68A9"/>
    <w:rsid w:val="00CF7045"/>
    <w:rsid w:val="00D002D6"/>
    <w:rsid w:val="00D0043A"/>
    <w:rsid w:val="00D004BD"/>
    <w:rsid w:val="00D008DE"/>
    <w:rsid w:val="00D00982"/>
    <w:rsid w:val="00D00CA8"/>
    <w:rsid w:val="00D00DB7"/>
    <w:rsid w:val="00D023B8"/>
    <w:rsid w:val="00D0240A"/>
    <w:rsid w:val="00D026A0"/>
    <w:rsid w:val="00D02AA4"/>
    <w:rsid w:val="00D02B7D"/>
    <w:rsid w:val="00D03168"/>
    <w:rsid w:val="00D035E4"/>
    <w:rsid w:val="00D03815"/>
    <w:rsid w:val="00D040DD"/>
    <w:rsid w:val="00D04642"/>
    <w:rsid w:val="00D04A84"/>
    <w:rsid w:val="00D05B49"/>
    <w:rsid w:val="00D062A7"/>
    <w:rsid w:val="00D07087"/>
    <w:rsid w:val="00D0758A"/>
    <w:rsid w:val="00D07A30"/>
    <w:rsid w:val="00D1002D"/>
    <w:rsid w:val="00D11097"/>
    <w:rsid w:val="00D11A45"/>
    <w:rsid w:val="00D11F56"/>
    <w:rsid w:val="00D12890"/>
    <w:rsid w:val="00D12FD6"/>
    <w:rsid w:val="00D131C7"/>
    <w:rsid w:val="00D133A9"/>
    <w:rsid w:val="00D1373F"/>
    <w:rsid w:val="00D13927"/>
    <w:rsid w:val="00D13E59"/>
    <w:rsid w:val="00D14058"/>
    <w:rsid w:val="00D14599"/>
    <w:rsid w:val="00D14727"/>
    <w:rsid w:val="00D14CBB"/>
    <w:rsid w:val="00D15447"/>
    <w:rsid w:val="00D15B62"/>
    <w:rsid w:val="00D16698"/>
    <w:rsid w:val="00D16D57"/>
    <w:rsid w:val="00D17374"/>
    <w:rsid w:val="00D17607"/>
    <w:rsid w:val="00D17C08"/>
    <w:rsid w:val="00D200B5"/>
    <w:rsid w:val="00D2012F"/>
    <w:rsid w:val="00D20130"/>
    <w:rsid w:val="00D201A0"/>
    <w:rsid w:val="00D20E33"/>
    <w:rsid w:val="00D212A2"/>
    <w:rsid w:val="00D212C4"/>
    <w:rsid w:val="00D2139F"/>
    <w:rsid w:val="00D2140C"/>
    <w:rsid w:val="00D216BD"/>
    <w:rsid w:val="00D22CFC"/>
    <w:rsid w:val="00D22E61"/>
    <w:rsid w:val="00D23145"/>
    <w:rsid w:val="00D234C1"/>
    <w:rsid w:val="00D23B17"/>
    <w:rsid w:val="00D251C3"/>
    <w:rsid w:val="00D254A2"/>
    <w:rsid w:val="00D26370"/>
    <w:rsid w:val="00D272D7"/>
    <w:rsid w:val="00D27710"/>
    <w:rsid w:val="00D30979"/>
    <w:rsid w:val="00D30D04"/>
    <w:rsid w:val="00D31185"/>
    <w:rsid w:val="00D31CF0"/>
    <w:rsid w:val="00D33196"/>
    <w:rsid w:val="00D332A1"/>
    <w:rsid w:val="00D33884"/>
    <w:rsid w:val="00D33E63"/>
    <w:rsid w:val="00D34357"/>
    <w:rsid w:val="00D34366"/>
    <w:rsid w:val="00D34BC1"/>
    <w:rsid w:val="00D34E38"/>
    <w:rsid w:val="00D350CD"/>
    <w:rsid w:val="00D350E8"/>
    <w:rsid w:val="00D36359"/>
    <w:rsid w:val="00D36B88"/>
    <w:rsid w:val="00D36F90"/>
    <w:rsid w:val="00D37F88"/>
    <w:rsid w:val="00D4016B"/>
    <w:rsid w:val="00D401F1"/>
    <w:rsid w:val="00D403B5"/>
    <w:rsid w:val="00D405DC"/>
    <w:rsid w:val="00D40790"/>
    <w:rsid w:val="00D416D3"/>
    <w:rsid w:val="00D4175B"/>
    <w:rsid w:val="00D4175E"/>
    <w:rsid w:val="00D430F9"/>
    <w:rsid w:val="00D436E3"/>
    <w:rsid w:val="00D43A3C"/>
    <w:rsid w:val="00D43FED"/>
    <w:rsid w:val="00D44619"/>
    <w:rsid w:val="00D44B43"/>
    <w:rsid w:val="00D45582"/>
    <w:rsid w:val="00D46113"/>
    <w:rsid w:val="00D4704D"/>
    <w:rsid w:val="00D47440"/>
    <w:rsid w:val="00D4757F"/>
    <w:rsid w:val="00D5000D"/>
    <w:rsid w:val="00D502A1"/>
    <w:rsid w:val="00D50822"/>
    <w:rsid w:val="00D5101B"/>
    <w:rsid w:val="00D510A3"/>
    <w:rsid w:val="00D51DAB"/>
    <w:rsid w:val="00D51DEA"/>
    <w:rsid w:val="00D52AFA"/>
    <w:rsid w:val="00D52F37"/>
    <w:rsid w:val="00D532EB"/>
    <w:rsid w:val="00D53ADD"/>
    <w:rsid w:val="00D5449B"/>
    <w:rsid w:val="00D55065"/>
    <w:rsid w:val="00D556A1"/>
    <w:rsid w:val="00D5570A"/>
    <w:rsid w:val="00D557D7"/>
    <w:rsid w:val="00D55AFE"/>
    <w:rsid w:val="00D55CF6"/>
    <w:rsid w:val="00D562DC"/>
    <w:rsid w:val="00D56314"/>
    <w:rsid w:val="00D56744"/>
    <w:rsid w:val="00D569E7"/>
    <w:rsid w:val="00D60172"/>
    <w:rsid w:val="00D60234"/>
    <w:rsid w:val="00D607DC"/>
    <w:rsid w:val="00D60C11"/>
    <w:rsid w:val="00D60CE8"/>
    <w:rsid w:val="00D61152"/>
    <w:rsid w:val="00D61F22"/>
    <w:rsid w:val="00D6266F"/>
    <w:rsid w:val="00D64F45"/>
    <w:rsid w:val="00D6531F"/>
    <w:rsid w:val="00D6573E"/>
    <w:rsid w:val="00D66880"/>
    <w:rsid w:val="00D66B82"/>
    <w:rsid w:val="00D67879"/>
    <w:rsid w:val="00D67E97"/>
    <w:rsid w:val="00D705B0"/>
    <w:rsid w:val="00D70965"/>
    <w:rsid w:val="00D71278"/>
    <w:rsid w:val="00D712A3"/>
    <w:rsid w:val="00D71C99"/>
    <w:rsid w:val="00D72826"/>
    <w:rsid w:val="00D72FEB"/>
    <w:rsid w:val="00D73DDD"/>
    <w:rsid w:val="00D742FA"/>
    <w:rsid w:val="00D74314"/>
    <w:rsid w:val="00D7497E"/>
    <w:rsid w:val="00D749C9"/>
    <w:rsid w:val="00D74C84"/>
    <w:rsid w:val="00D7567D"/>
    <w:rsid w:val="00D75AD9"/>
    <w:rsid w:val="00D75F11"/>
    <w:rsid w:val="00D76170"/>
    <w:rsid w:val="00D76347"/>
    <w:rsid w:val="00D80E9B"/>
    <w:rsid w:val="00D80F8E"/>
    <w:rsid w:val="00D810DD"/>
    <w:rsid w:val="00D813DE"/>
    <w:rsid w:val="00D81896"/>
    <w:rsid w:val="00D818F7"/>
    <w:rsid w:val="00D8324D"/>
    <w:rsid w:val="00D8332B"/>
    <w:rsid w:val="00D834CE"/>
    <w:rsid w:val="00D83D36"/>
    <w:rsid w:val="00D84A6A"/>
    <w:rsid w:val="00D85293"/>
    <w:rsid w:val="00D85565"/>
    <w:rsid w:val="00D85A51"/>
    <w:rsid w:val="00D85C58"/>
    <w:rsid w:val="00D86105"/>
    <w:rsid w:val="00D867E9"/>
    <w:rsid w:val="00D869A2"/>
    <w:rsid w:val="00D86AC8"/>
    <w:rsid w:val="00D870E3"/>
    <w:rsid w:val="00D8728A"/>
    <w:rsid w:val="00D87F79"/>
    <w:rsid w:val="00D900B8"/>
    <w:rsid w:val="00D9014D"/>
    <w:rsid w:val="00D907E8"/>
    <w:rsid w:val="00D92710"/>
    <w:rsid w:val="00D92D7C"/>
    <w:rsid w:val="00D935F7"/>
    <w:rsid w:val="00D93654"/>
    <w:rsid w:val="00D9376F"/>
    <w:rsid w:val="00D9391B"/>
    <w:rsid w:val="00D93954"/>
    <w:rsid w:val="00D94016"/>
    <w:rsid w:val="00D94205"/>
    <w:rsid w:val="00D9465D"/>
    <w:rsid w:val="00D95329"/>
    <w:rsid w:val="00D9541B"/>
    <w:rsid w:val="00D954C0"/>
    <w:rsid w:val="00D9593A"/>
    <w:rsid w:val="00D95A13"/>
    <w:rsid w:val="00D9663E"/>
    <w:rsid w:val="00D96B89"/>
    <w:rsid w:val="00D96C5F"/>
    <w:rsid w:val="00D96D00"/>
    <w:rsid w:val="00D9765E"/>
    <w:rsid w:val="00D978D7"/>
    <w:rsid w:val="00D979A7"/>
    <w:rsid w:val="00D97C08"/>
    <w:rsid w:val="00DA0017"/>
    <w:rsid w:val="00DA039F"/>
    <w:rsid w:val="00DA0614"/>
    <w:rsid w:val="00DA0B29"/>
    <w:rsid w:val="00DA0B6E"/>
    <w:rsid w:val="00DA1A2B"/>
    <w:rsid w:val="00DA1AD2"/>
    <w:rsid w:val="00DA1E29"/>
    <w:rsid w:val="00DA2107"/>
    <w:rsid w:val="00DA2529"/>
    <w:rsid w:val="00DA25D9"/>
    <w:rsid w:val="00DA28F7"/>
    <w:rsid w:val="00DA32D9"/>
    <w:rsid w:val="00DA4895"/>
    <w:rsid w:val="00DA4B77"/>
    <w:rsid w:val="00DA4DE1"/>
    <w:rsid w:val="00DA5666"/>
    <w:rsid w:val="00DA5DDC"/>
    <w:rsid w:val="00DA62CE"/>
    <w:rsid w:val="00DA67E6"/>
    <w:rsid w:val="00DA6B06"/>
    <w:rsid w:val="00DA6CE6"/>
    <w:rsid w:val="00DA6E04"/>
    <w:rsid w:val="00DA7062"/>
    <w:rsid w:val="00DA7962"/>
    <w:rsid w:val="00DA79C9"/>
    <w:rsid w:val="00DA7A75"/>
    <w:rsid w:val="00DA7DED"/>
    <w:rsid w:val="00DB10A3"/>
    <w:rsid w:val="00DB1ECC"/>
    <w:rsid w:val="00DB378F"/>
    <w:rsid w:val="00DB3A2C"/>
    <w:rsid w:val="00DB41CC"/>
    <w:rsid w:val="00DB556C"/>
    <w:rsid w:val="00DB6CF3"/>
    <w:rsid w:val="00DB726C"/>
    <w:rsid w:val="00DC00BD"/>
    <w:rsid w:val="00DC04E7"/>
    <w:rsid w:val="00DC0771"/>
    <w:rsid w:val="00DC0C2D"/>
    <w:rsid w:val="00DC0CED"/>
    <w:rsid w:val="00DC0D77"/>
    <w:rsid w:val="00DC1005"/>
    <w:rsid w:val="00DC10E2"/>
    <w:rsid w:val="00DC1133"/>
    <w:rsid w:val="00DC17AA"/>
    <w:rsid w:val="00DC1853"/>
    <w:rsid w:val="00DC21C9"/>
    <w:rsid w:val="00DC28F0"/>
    <w:rsid w:val="00DC31B5"/>
    <w:rsid w:val="00DC383B"/>
    <w:rsid w:val="00DC3937"/>
    <w:rsid w:val="00DC3944"/>
    <w:rsid w:val="00DC3DB2"/>
    <w:rsid w:val="00DC4416"/>
    <w:rsid w:val="00DC482B"/>
    <w:rsid w:val="00DC4894"/>
    <w:rsid w:val="00DC4CC1"/>
    <w:rsid w:val="00DC4E02"/>
    <w:rsid w:val="00DC5229"/>
    <w:rsid w:val="00DC52FF"/>
    <w:rsid w:val="00DC5EC0"/>
    <w:rsid w:val="00DC68B1"/>
    <w:rsid w:val="00DC6ADD"/>
    <w:rsid w:val="00DC6E91"/>
    <w:rsid w:val="00DC71B8"/>
    <w:rsid w:val="00DC7A8D"/>
    <w:rsid w:val="00DC7F5D"/>
    <w:rsid w:val="00DD018C"/>
    <w:rsid w:val="00DD05E3"/>
    <w:rsid w:val="00DD0975"/>
    <w:rsid w:val="00DD1CEF"/>
    <w:rsid w:val="00DD25F4"/>
    <w:rsid w:val="00DD285D"/>
    <w:rsid w:val="00DD2E2A"/>
    <w:rsid w:val="00DD2E5E"/>
    <w:rsid w:val="00DD3272"/>
    <w:rsid w:val="00DD3495"/>
    <w:rsid w:val="00DD34B2"/>
    <w:rsid w:val="00DD4BB3"/>
    <w:rsid w:val="00DD4C84"/>
    <w:rsid w:val="00DD5237"/>
    <w:rsid w:val="00DD5475"/>
    <w:rsid w:val="00DD583D"/>
    <w:rsid w:val="00DD5B82"/>
    <w:rsid w:val="00DD6480"/>
    <w:rsid w:val="00DD67C3"/>
    <w:rsid w:val="00DD68C3"/>
    <w:rsid w:val="00DD68E3"/>
    <w:rsid w:val="00DE0392"/>
    <w:rsid w:val="00DE04E7"/>
    <w:rsid w:val="00DE12AC"/>
    <w:rsid w:val="00DE18C6"/>
    <w:rsid w:val="00DE1BA7"/>
    <w:rsid w:val="00DE1E64"/>
    <w:rsid w:val="00DE1EBD"/>
    <w:rsid w:val="00DE1F0B"/>
    <w:rsid w:val="00DE21EE"/>
    <w:rsid w:val="00DE2247"/>
    <w:rsid w:val="00DE3C34"/>
    <w:rsid w:val="00DE3E79"/>
    <w:rsid w:val="00DE42A9"/>
    <w:rsid w:val="00DE5436"/>
    <w:rsid w:val="00DE5614"/>
    <w:rsid w:val="00DE5E49"/>
    <w:rsid w:val="00DE5E8F"/>
    <w:rsid w:val="00DE5EA4"/>
    <w:rsid w:val="00DE66D5"/>
    <w:rsid w:val="00DE6964"/>
    <w:rsid w:val="00DE7E3F"/>
    <w:rsid w:val="00DF0216"/>
    <w:rsid w:val="00DF08D8"/>
    <w:rsid w:val="00DF0FD6"/>
    <w:rsid w:val="00DF15F9"/>
    <w:rsid w:val="00DF1BE5"/>
    <w:rsid w:val="00DF23CF"/>
    <w:rsid w:val="00DF2F83"/>
    <w:rsid w:val="00DF3011"/>
    <w:rsid w:val="00DF3579"/>
    <w:rsid w:val="00DF3893"/>
    <w:rsid w:val="00DF3930"/>
    <w:rsid w:val="00DF3BC6"/>
    <w:rsid w:val="00DF40FC"/>
    <w:rsid w:val="00DF42E3"/>
    <w:rsid w:val="00DF4303"/>
    <w:rsid w:val="00DF4BDD"/>
    <w:rsid w:val="00DF4E49"/>
    <w:rsid w:val="00DF52C1"/>
    <w:rsid w:val="00DF5916"/>
    <w:rsid w:val="00DF612A"/>
    <w:rsid w:val="00DF6735"/>
    <w:rsid w:val="00DF757C"/>
    <w:rsid w:val="00DF7868"/>
    <w:rsid w:val="00DF7AA3"/>
    <w:rsid w:val="00E004E3"/>
    <w:rsid w:val="00E00D3E"/>
    <w:rsid w:val="00E01491"/>
    <w:rsid w:val="00E01AF1"/>
    <w:rsid w:val="00E01DB4"/>
    <w:rsid w:val="00E02E5D"/>
    <w:rsid w:val="00E0327C"/>
    <w:rsid w:val="00E03670"/>
    <w:rsid w:val="00E0385E"/>
    <w:rsid w:val="00E03EC3"/>
    <w:rsid w:val="00E04173"/>
    <w:rsid w:val="00E042C2"/>
    <w:rsid w:val="00E0485F"/>
    <w:rsid w:val="00E04CE4"/>
    <w:rsid w:val="00E05803"/>
    <w:rsid w:val="00E06AC5"/>
    <w:rsid w:val="00E06E5B"/>
    <w:rsid w:val="00E077FC"/>
    <w:rsid w:val="00E07E02"/>
    <w:rsid w:val="00E10044"/>
    <w:rsid w:val="00E10665"/>
    <w:rsid w:val="00E108B7"/>
    <w:rsid w:val="00E10D76"/>
    <w:rsid w:val="00E111EC"/>
    <w:rsid w:val="00E1124A"/>
    <w:rsid w:val="00E11375"/>
    <w:rsid w:val="00E116F7"/>
    <w:rsid w:val="00E11A39"/>
    <w:rsid w:val="00E11AD7"/>
    <w:rsid w:val="00E12F41"/>
    <w:rsid w:val="00E13CD1"/>
    <w:rsid w:val="00E14EA3"/>
    <w:rsid w:val="00E14F4E"/>
    <w:rsid w:val="00E14FDB"/>
    <w:rsid w:val="00E151BD"/>
    <w:rsid w:val="00E169CA"/>
    <w:rsid w:val="00E16B09"/>
    <w:rsid w:val="00E16C71"/>
    <w:rsid w:val="00E171AB"/>
    <w:rsid w:val="00E175E4"/>
    <w:rsid w:val="00E20715"/>
    <w:rsid w:val="00E20802"/>
    <w:rsid w:val="00E21318"/>
    <w:rsid w:val="00E21344"/>
    <w:rsid w:val="00E214C4"/>
    <w:rsid w:val="00E214C9"/>
    <w:rsid w:val="00E22056"/>
    <w:rsid w:val="00E22171"/>
    <w:rsid w:val="00E24586"/>
    <w:rsid w:val="00E2546B"/>
    <w:rsid w:val="00E25B72"/>
    <w:rsid w:val="00E275C5"/>
    <w:rsid w:val="00E30A42"/>
    <w:rsid w:val="00E3138C"/>
    <w:rsid w:val="00E317F1"/>
    <w:rsid w:val="00E31E78"/>
    <w:rsid w:val="00E32377"/>
    <w:rsid w:val="00E335DC"/>
    <w:rsid w:val="00E338A8"/>
    <w:rsid w:val="00E3480D"/>
    <w:rsid w:val="00E34AA7"/>
    <w:rsid w:val="00E3504A"/>
    <w:rsid w:val="00E3587F"/>
    <w:rsid w:val="00E358E6"/>
    <w:rsid w:val="00E35922"/>
    <w:rsid w:val="00E359E5"/>
    <w:rsid w:val="00E35CE7"/>
    <w:rsid w:val="00E35E26"/>
    <w:rsid w:val="00E36A87"/>
    <w:rsid w:val="00E37443"/>
    <w:rsid w:val="00E37F38"/>
    <w:rsid w:val="00E40054"/>
    <w:rsid w:val="00E40C56"/>
    <w:rsid w:val="00E40DBB"/>
    <w:rsid w:val="00E40DE9"/>
    <w:rsid w:val="00E4177D"/>
    <w:rsid w:val="00E427FC"/>
    <w:rsid w:val="00E42DA3"/>
    <w:rsid w:val="00E43636"/>
    <w:rsid w:val="00E439AD"/>
    <w:rsid w:val="00E4425E"/>
    <w:rsid w:val="00E44909"/>
    <w:rsid w:val="00E44C83"/>
    <w:rsid w:val="00E45855"/>
    <w:rsid w:val="00E4593B"/>
    <w:rsid w:val="00E460BE"/>
    <w:rsid w:val="00E46182"/>
    <w:rsid w:val="00E46470"/>
    <w:rsid w:val="00E46AB8"/>
    <w:rsid w:val="00E477DA"/>
    <w:rsid w:val="00E479A1"/>
    <w:rsid w:val="00E47B04"/>
    <w:rsid w:val="00E5052C"/>
    <w:rsid w:val="00E51D6A"/>
    <w:rsid w:val="00E52140"/>
    <w:rsid w:val="00E527DE"/>
    <w:rsid w:val="00E52900"/>
    <w:rsid w:val="00E53BD4"/>
    <w:rsid w:val="00E550E7"/>
    <w:rsid w:val="00E551F1"/>
    <w:rsid w:val="00E556F0"/>
    <w:rsid w:val="00E55837"/>
    <w:rsid w:val="00E56726"/>
    <w:rsid w:val="00E569CF"/>
    <w:rsid w:val="00E571B6"/>
    <w:rsid w:val="00E57B68"/>
    <w:rsid w:val="00E57CE1"/>
    <w:rsid w:val="00E6030F"/>
    <w:rsid w:val="00E60C03"/>
    <w:rsid w:val="00E61448"/>
    <w:rsid w:val="00E61636"/>
    <w:rsid w:val="00E621F3"/>
    <w:rsid w:val="00E6312E"/>
    <w:rsid w:val="00E6314C"/>
    <w:rsid w:val="00E63715"/>
    <w:rsid w:val="00E63B8F"/>
    <w:rsid w:val="00E64413"/>
    <w:rsid w:val="00E64570"/>
    <w:rsid w:val="00E64A1B"/>
    <w:rsid w:val="00E64C4A"/>
    <w:rsid w:val="00E6536C"/>
    <w:rsid w:val="00E660B8"/>
    <w:rsid w:val="00E668A8"/>
    <w:rsid w:val="00E66901"/>
    <w:rsid w:val="00E6694E"/>
    <w:rsid w:val="00E66AAB"/>
    <w:rsid w:val="00E67056"/>
    <w:rsid w:val="00E67573"/>
    <w:rsid w:val="00E67B28"/>
    <w:rsid w:val="00E705AF"/>
    <w:rsid w:val="00E70EA1"/>
    <w:rsid w:val="00E710CB"/>
    <w:rsid w:val="00E72252"/>
    <w:rsid w:val="00E728D3"/>
    <w:rsid w:val="00E72AAB"/>
    <w:rsid w:val="00E72B66"/>
    <w:rsid w:val="00E73777"/>
    <w:rsid w:val="00E73CBB"/>
    <w:rsid w:val="00E73D8A"/>
    <w:rsid w:val="00E73D9D"/>
    <w:rsid w:val="00E74932"/>
    <w:rsid w:val="00E74C7F"/>
    <w:rsid w:val="00E74E5A"/>
    <w:rsid w:val="00E74E98"/>
    <w:rsid w:val="00E75D63"/>
    <w:rsid w:val="00E76BC3"/>
    <w:rsid w:val="00E80053"/>
    <w:rsid w:val="00E80885"/>
    <w:rsid w:val="00E80903"/>
    <w:rsid w:val="00E810AD"/>
    <w:rsid w:val="00E81594"/>
    <w:rsid w:val="00E817C0"/>
    <w:rsid w:val="00E82930"/>
    <w:rsid w:val="00E83017"/>
    <w:rsid w:val="00E8327D"/>
    <w:rsid w:val="00E83943"/>
    <w:rsid w:val="00E83A98"/>
    <w:rsid w:val="00E83B64"/>
    <w:rsid w:val="00E841D9"/>
    <w:rsid w:val="00E848BD"/>
    <w:rsid w:val="00E84C73"/>
    <w:rsid w:val="00E85589"/>
    <w:rsid w:val="00E85D2A"/>
    <w:rsid w:val="00E8692D"/>
    <w:rsid w:val="00E86C73"/>
    <w:rsid w:val="00E86D13"/>
    <w:rsid w:val="00E87333"/>
    <w:rsid w:val="00E87796"/>
    <w:rsid w:val="00E87C1B"/>
    <w:rsid w:val="00E87C22"/>
    <w:rsid w:val="00E9020B"/>
    <w:rsid w:val="00E90D76"/>
    <w:rsid w:val="00E924F4"/>
    <w:rsid w:val="00E926BD"/>
    <w:rsid w:val="00E92D39"/>
    <w:rsid w:val="00E93774"/>
    <w:rsid w:val="00E939B7"/>
    <w:rsid w:val="00E93AB6"/>
    <w:rsid w:val="00E93E0D"/>
    <w:rsid w:val="00E946B5"/>
    <w:rsid w:val="00E95034"/>
    <w:rsid w:val="00E954A3"/>
    <w:rsid w:val="00E95A65"/>
    <w:rsid w:val="00E95B27"/>
    <w:rsid w:val="00E96098"/>
    <w:rsid w:val="00E964DD"/>
    <w:rsid w:val="00E9672A"/>
    <w:rsid w:val="00E96AD2"/>
    <w:rsid w:val="00E97026"/>
    <w:rsid w:val="00E97054"/>
    <w:rsid w:val="00E9772E"/>
    <w:rsid w:val="00E9782B"/>
    <w:rsid w:val="00E97F5F"/>
    <w:rsid w:val="00EA0114"/>
    <w:rsid w:val="00EA04F9"/>
    <w:rsid w:val="00EA06F9"/>
    <w:rsid w:val="00EA0B28"/>
    <w:rsid w:val="00EA0E9F"/>
    <w:rsid w:val="00EA1037"/>
    <w:rsid w:val="00EA2AC3"/>
    <w:rsid w:val="00EA4198"/>
    <w:rsid w:val="00EA4317"/>
    <w:rsid w:val="00EA43C6"/>
    <w:rsid w:val="00EA57FF"/>
    <w:rsid w:val="00EA60E8"/>
    <w:rsid w:val="00EA6148"/>
    <w:rsid w:val="00EA638C"/>
    <w:rsid w:val="00EA64D1"/>
    <w:rsid w:val="00EA6A9E"/>
    <w:rsid w:val="00EA6F2D"/>
    <w:rsid w:val="00EA75B9"/>
    <w:rsid w:val="00EB04E4"/>
    <w:rsid w:val="00EB1070"/>
    <w:rsid w:val="00EB11C2"/>
    <w:rsid w:val="00EB1FDC"/>
    <w:rsid w:val="00EB20E2"/>
    <w:rsid w:val="00EB2246"/>
    <w:rsid w:val="00EB3CAB"/>
    <w:rsid w:val="00EB3EAF"/>
    <w:rsid w:val="00EB44F0"/>
    <w:rsid w:val="00EB4E50"/>
    <w:rsid w:val="00EB6101"/>
    <w:rsid w:val="00EB67CE"/>
    <w:rsid w:val="00EB6972"/>
    <w:rsid w:val="00EB6E4B"/>
    <w:rsid w:val="00EB6FED"/>
    <w:rsid w:val="00EB78E1"/>
    <w:rsid w:val="00EB7E03"/>
    <w:rsid w:val="00EC0043"/>
    <w:rsid w:val="00EC0733"/>
    <w:rsid w:val="00EC14DC"/>
    <w:rsid w:val="00EC2269"/>
    <w:rsid w:val="00EC3AEF"/>
    <w:rsid w:val="00EC45A5"/>
    <w:rsid w:val="00EC4C4E"/>
    <w:rsid w:val="00EC5A9B"/>
    <w:rsid w:val="00EC5BEB"/>
    <w:rsid w:val="00EC5F90"/>
    <w:rsid w:val="00EC62FB"/>
    <w:rsid w:val="00EC7014"/>
    <w:rsid w:val="00EC774E"/>
    <w:rsid w:val="00EC7778"/>
    <w:rsid w:val="00EC7791"/>
    <w:rsid w:val="00EC7F71"/>
    <w:rsid w:val="00ED0AFD"/>
    <w:rsid w:val="00ED13FC"/>
    <w:rsid w:val="00ED1541"/>
    <w:rsid w:val="00ED1C57"/>
    <w:rsid w:val="00ED2291"/>
    <w:rsid w:val="00ED2BFD"/>
    <w:rsid w:val="00ED3329"/>
    <w:rsid w:val="00ED38CE"/>
    <w:rsid w:val="00ED4A66"/>
    <w:rsid w:val="00ED4FEF"/>
    <w:rsid w:val="00ED543D"/>
    <w:rsid w:val="00ED5699"/>
    <w:rsid w:val="00ED6F53"/>
    <w:rsid w:val="00ED7851"/>
    <w:rsid w:val="00ED7901"/>
    <w:rsid w:val="00ED7E6F"/>
    <w:rsid w:val="00EE0220"/>
    <w:rsid w:val="00EE0FDB"/>
    <w:rsid w:val="00EE1293"/>
    <w:rsid w:val="00EE177A"/>
    <w:rsid w:val="00EE23D0"/>
    <w:rsid w:val="00EE2430"/>
    <w:rsid w:val="00EE274E"/>
    <w:rsid w:val="00EE2ED7"/>
    <w:rsid w:val="00EE30DD"/>
    <w:rsid w:val="00EE38A2"/>
    <w:rsid w:val="00EE39CA"/>
    <w:rsid w:val="00EE461D"/>
    <w:rsid w:val="00EE49A3"/>
    <w:rsid w:val="00EE4A04"/>
    <w:rsid w:val="00EE4E3F"/>
    <w:rsid w:val="00EE5BFB"/>
    <w:rsid w:val="00EE69E9"/>
    <w:rsid w:val="00EE6A37"/>
    <w:rsid w:val="00EE708C"/>
    <w:rsid w:val="00EE70BB"/>
    <w:rsid w:val="00EE7B9D"/>
    <w:rsid w:val="00EE7F53"/>
    <w:rsid w:val="00EF01B3"/>
    <w:rsid w:val="00EF0A1A"/>
    <w:rsid w:val="00EF0D1C"/>
    <w:rsid w:val="00EF0F9A"/>
    <w:rsid w:val="00EF10B8"/>
    <w:rsid w:val="00EF19DE"/>
    <w:rsid w:val="00EF2189"/>
    <w:rsid w:val="00EF293D"/>
    <w:rsid w:val="00EF3643"/>
    <w:rsid w:val="00EF4695"/>
    <w:rsid w:val="00EF46EE"/>
    <w:rsid w:val="00EF5EDF"/>
    <w:rsid w:val="00EF6DD3"/>
    <w:rsid w:val="00EF6E06"/>
    <w:rsid w:val="00F008DA"/>
    <w:rsid w:val="00F00997"/>
    <w:rsid w:val="00F00F51"/>
    <w:rsid w:val="00F0135E"/>
    <w:rsid w:val="00F01428"/>
    <w:rsid w:val="00F01ECE"/>
    <w:rsid w:val="00F01EF1"/>
    <w:rsid w:val="00F025D2"/>
    <w:rsid w:val="00F02EBB"/>
    <w:rsid w:val="00F0341C"/>
    <w:rsid w:val="00F0429E"/>
    <w:rsid w:val="00F049B6"/>
    <w:rsid w:val="00F059A3"/>
    <w:rsid w:val="00F0605B"/>
    <w:rsid w:val="00F066A2"/>
    <w:rsid w:val="00F06C7C"/>
    <w:rsid w:val="00F070E6"/>
    <w:rsid w:val="00F07114"/>
    <w:rsid w:val="00F07582"/>
    <w:rsid w:val="00F0784E"/>
    <w:rsid w:val="00F07A75"/>
    <w:rsid w:val="00F07B5E"/>
    <w:rsid w:val="00F07CCA"/>
    <w:rsid w:val="00F07E5B"/>
    <w:rsid w:val="00F07EBA"/>
    <w:rsid w:val="00F07F20"/>
    <w:rsid w:val="00F1051B"/>
    <w:rsid w:val="00F10955"/>
    <w:rsid w:val="00F10DD8"/>
    <w:rsid w:val="00F10DEB"/>
    <w:rsid w:val="00F11445"/>
    <w:rsid w:val="00F1194B"/>
    <w:rsid w:val="00F12688"/>
    <w:rsid w:val="00F12832"/>
    <w:rsid w:val="00F132E8"/>
    <w:rsid w:val="00F14846"/>
    <w:rsid w:val="00F14FAE"/>
    <w:rsid w:val="00F15FA0"/>
    <w:rsid w:val="00F165A4"/>
    <w:rsid w:val="00F17469"/>
    <w:rsid w:val="00F17816"/>
    <w:rsid w:val="00F20AE9"/>
    <w:rsid w:val="00F210A1"/>
    <w:rsid w:val="00F210E3"/>
    <w:rsid w:val="00F21663"/>
    <w:rsid w:val="00F219BF"/>
    <w:rsid w:val="00F21A1C"/>
    <w:rsid w:val="00F21D7F"/>
    <w:rsid w:val="00F23BCB"/>
    <w:rsid w:val="00F23DDB"/>
    <w:rsid w:val="00F23EFE"/>
    <w:rsid w:val="00F23F16"/>
    <w:rsid w:val="00F25380"/>
    <w:rsid w:val="00F255BE"/>
    <w:rsid w:val="00F258FF"/>
    <w:rsid w:val="00F25BDD"/>
    <w:rsid w:val="00F264AB"/>
    <w:rsid w:val="00F26B58"/>
    <w:rsid w:val="00F26CAE"/>
    <w:rsid w:val="00F26CC0"/>
    <w:rsid w:val="00F26F29"/>
    <w:rsid w:val="00F271F1"/>
    <w:rsid w:val="00F27AEA"/>
    <w:rsid w:val="00F3045B"/>
    <w:rsid w:val="00F30AB8"/>
    <w:rsid w:val="00F315EA"/>
    <w:rsid w:val="00F32081"/>
    <w:rsid w:val="00F32743"/>
    <w:rsid w:val="00F32CF0"/>
    <w:rsid w:val="00F33138"/>
    <w:rsid w:val="00F33B00"/>
    <w:rsid w:val="00F33C87"/>
    <w:rsid w:val="00F341A0"/>
    <w:rsid w:val="00F348A8"/>
    <w:rsid w:val="00F34D38"/>
    <w:rsid w:val="00F351D6"/>
    <w:rsid w:val="00F35746"/>
    <w:rsid w:val="00F358FF"/>
    <w:rsid w:val="00F35BA5"/>
    <w:rsid w:val="00F36031"/>
    <w:rsid w:val="00F363EC"/>
    <w:rsid w:val="00F3662F"/>
    <w:rsid w:val="00F37131"/>
    <w:rsid w:val="00F3753F"/>
    <w:rsid w:val="00F37564"/>
    <w:rsid w:val="00F404E1"/>
    <w:rsid w:val="00F407A9"/>
    <w:rsid w:val="00F40D21"/>
    <w:rsid w:val="00F431DE"/>
    <w:rsid w:val="00F45030"/>
    <w:rsid w:val="00F4568B"/>
    <w:rsid w:val="00F46764"/>
    <w:rsid w:val="00F46AD1"/>
    <w:rsid w:val="00F470C1"/>
    <w:rsid w:val="00F50815"/>
    <w:rsid w:val="00F510A6"/>
    <w:rsid w:val="00F51336"/>
    <w:rsid w:val="00F517C7"/>
    <w:rsid w:val="00F51C9E"/>
    <w:rsid w:val="00F51CA5"/>
    <w:rsid w:val="00F526A1"/>
    <w:rsid w:val="00F5364C"/>
    <w:rsid w:val="00F537CE"/>
    <w:rsid w:val="00F53BA8"/>
    <w:rsid w:val="00F53CF6"/>
    <w:rsid w:val="00F545CC"/>
    <w:rsid w:val="00F548F1"/>
    <w:rsid w:val="00F55CDF"/>
    <w:rsid w:val="00F573F7"/>
    <w:rsid w:val="00F57FAC"/>
    <w:rsid w:val="00F6027F"/>
    <w:rsid w:val="00F603E1"/>
    <w:rsid w:val="00F606BB"/>
    <w:rsid w:val="00F61C51"/>
    <w:rsid w:val="00F63220"/>
    <w:rsid w:val="00F63A19"/>
    <w:rsid w:val="00F63D1C"/>
    <w:rsid w:val="00F646D5"/>
    <w:rsid w:val="00F64C73"/>
    <w:rsid w:val="00F64EAC"/>
    <w:rsid w:val="00F65377"/>
    <w:rsid w:val="00F65899"/>
    <w:rsid w:val="00F65FAB"/>
    <w:rsid w:val="00F6681E"/>
    <w:rsid w:val="00F66AA1"/>
    <w:rsid w:val="00F66EB5"/>
    <w:rsid w:val="00F67E42"/>
    <w:rsid w:val="00F700B5"/>
    <w:rsid w:val="00F7085E"/>
    <w:rsid w:val="00F70B95"/>
    <w:rsid w:val="00F7115F"/>
    <w:rsid w:val="00F71A5E"/>
    <w:rsid w:val="00F71C5D"/>
    <w:rsid w:val="00F71E32"/>
    <w:rsid w:val="00F72874"/>
    <w:rsid w:val="00F72921"/>
    <w:rsid w:val="00F72EDB"/>
    <w:rsid w:val="00F740BD"/>
    <w:rsid w:val="00F74647"/>
    <w:rsid w:val="00F74732"/>
    <w:rsid w:val="00F7569A"/>
    <w:rsid w:val="00F76AFC"/>
    <w:rsid w:val="00F76BC4"/>
    <w:rsid w:val="00F76DAB"/>
    <w:rsid w:val="00F76E00"/>
    <w:rsid w:val="00F7762D"/>
    <w:rsid w:val="00F77669"/>
    <w:rsid w:val="00F77EC9"/>
    <w:rsid w:val="00F8054F"/>
    <w:rsid w:val="00F819D9"/>
    <w:rsid w:val="00F82590"/>
    <w:rsid w:val="00F82736"/>
    <w:rsid w:val="00F82DC3"/>
    <w:rsid w:val="00F83519"/>
    <w:rsid w:val="00F83B45"/>
    <w:rsid w:val="00F84020"/>
    <w:rsid w:val="00F840B7"/>
    <w:rsid w:val="00F8441A"/>
    <w:rsid w:val="00F84492"/>
    <w:rsid w:val="00F84B0F"/>
    <w:rsid w:val="00F864B1"/>
    <w:rsid w:val="00F86502"/>
    <w:rsid w:val="00F86D3D"/>
    <w:rsid w:val="00F87195"/>
    <w:rsid w:val="00F87A3F"/>
    <w:rsid w:val="00F87F17"/>
    <w:rsid w:val="00F90476"/>
    <w:rsid w:val="00F90554"/>
    <w:rsid w:val="00F90916"/>
    <w:rsid w:val="00F91C40"/>
    <w:rsid w:val="00F930C4"/>
    <w:rsid w:val="00F93698"/>
    <w:rsid w:val="00F9369C"/>
    <w:rsid w:val="00F94A34"/>
    <w:rsid w:val="00F94D01"/>
    <w:rsid w:val="00F9511E"/>
    <w:rsid w:val="00F9515A"/>
    <w:rsid w:val="00F9588C"/>
    <w:rsid w:val="00F962CD"/>
    <w:rsid w:val="00F973B3"/>
    <w:rsid w:val="00F97A10"/>
    <w:rsid w:val="00FA021E"/>
    <w:rsid w:val="00FA02F8"/>
    <w:rsid w:val="00FA116F"/>
    <w:rsid w:val="00FA1387"/>
    <w:rsid w:val="00FA18BD"/>
    <w:rsid w:val="00FA1912"/>
    <w:rsid w:val="00FA1AFF"/>
    <w:rsid w:val="00FA34BF"/>
    <w:rsid w:val="00FA36AE"/>
    <w:rsid w:val="00FA3C15"/>
    <w:rsid w:val="00FA4C03"/>
    <w:rsid w:val="00FA52AB"/>
    <w:rsid w:val="00FA54FF"/>
    <w:rsid w:val="00FA5668"/>
    <w:rsid w:val="00FA5DD4"/>
    <w:rsid w:val="00FA6891"/>
    <w:rsid w:val="00FA69B3"/>
    <w:rsid w:val="00FA6C5D"/>
    <w:rsid w:val="00FA7BC1"/>
    <w:rsid w:val="00FB01C8"/>
    <w:rsid w:val="00FB0B75"/>
    <w:rsid w:val="00FB0DBB"/>
    <w:rsid w:val="00FB16EA"/>
    <w:rsid w:val="00FB1E01"/>
    <w:rsid w:val="00FB349B"/>
    <w:rsid w:val="00FB34AD"/>
    <w:rsid w:val="00FB39AF"/>
    <w:rsid w:val="00FB3E5B"/>
    <w:rsid w:val="00FB4655"/>
    <w:rsid w:val="00FB485B"/>
    <w:rsid w:val="00FB553C"/>
    <w:rsid w:val="00FB55D6"/>
    <w:rsid w:val="00FB55DC"/>
    <w:rsid w:val="00FB6422"/>
    <w:rsid w:val="00FB6F62"/>
    <w:rsid w:val="00FB7DB0"/>
    <w:rsid w:val="00FC0A5C"/>
    <w:rsid w:val="00FC0DC2"/>
    <w:rsid w:val="00FC0E05"/>
    <w:rsid w:val="00FC0F9B"/>
    <w:rsid w:val="00FC1098"/>
    <w:rsid w:val="00FC10D6"/>
    <w:rsid w:val="00FC17B4"/>
    <w:rsid w:val="00FC1C5F"/>
    <w:rsid w:val="00FC1D6F"/>
    <w:rsid w:val="00FC23FE"/>
    <w:rsid w:val="00FC264E"/>
    <w:rsid w:val="00FC269C"/>
    <w:rsid w:val="00FC2EA5"/>
    <w:rsid w:val="00FC39DE"/>
    <w:rsid w:val="00FC3F14"/>
    <w:rsid w:val="00FC4F51"/>
    <w:rsid w:val="00FC5453"/>
    <w:rsid w:val="00FC5DE6"/>
    <w:rsid w:val="00FC6152"/>
    <w:rsid w:val="00FC7077"/>
    <w:rsid w:val="00FC71F7"/>
    <w:rsid w:val="00FC7243"/>
    <w:rsid w:val="00FC7525"/>
    <w:rsid w:val="00FC755B"/>
    <w:rsid w:val="00FC7889"/>
    <w:rsid w:val="00FC7B1E"/>
    <w:rsid w:val="00FD04DA"/>
    <w:rsid w:val="00FD06D3"/>
    <w:rsid w:val="00FD14D6"/>
    <w:rsid w:val="00FD173E"/>
    <w:rsid w:val="00FD1C5A"/>
    <w:rsid w:val="00FD1DCD"/>
    <w:rsid w:val="00FD2706"/>
    <w:rsid w:val="00FD3001"/>
    <w:rsid w:val="00FD3BD8"/>
    <w:rsid w:val="00FD4201"/>
    <w:rsid w:val="00FD43F0"/>
    <w:rsid w:val="00FD5204"/>
    <w:rsid w:val="00FD6051"/>
    <w:rsid w:val="00FD6181"/>
    <w:rsid w:val="00FD6502"/>
    <w:rsid w:val="00FD67CE"/>
    <w:rsid w:val="00FD76F6"/>
    <w:rsid w:val="00FD7A75"/>
    <w:rsid w:val="00FE1526"/>
    <w:rsid w:val="00FE15C3"/>
    <w:rsid w:val="00FE2A54"/>
    <w:rsid w:val="00FE30D4"/>
    <w:rsid w:val="00FE4537"/>
    <w:rsid w:val="00FE4628"/>
    <w:rsid w:val="00FE6615"/>
    <w:rsid w:val="00FE6BD1"/>
    <w:rsid w:val="00FE6DBC"/>
    <w:rsid w:val="00FE71AD"/>
    <w:rsid w:val="00FE762A"/>
    <w:rsid w:val="00FE792E"/>
    <w:rsid w:val="00FE795F"/>
    <w:rsid w:val="00FF0757"/>
    <w:rsid w:val="00FF0A0E"/>
    <w:rsid w:val="00FF13C8"/>
    <w:rsid w:val="00FF1AC1"/>
    <w:rsid w:val="00FF247C"/>
    <w:rsid w:val="00FF2B0E"/>
    <w:rsid w:val="00FF2B6A"/>
    <w:rsid w:val="00FF3134"/>
    <w:rsid w:val="00FF4074"/>
    <w:rsid w:val="00FF4172"/>
    <w:rsid w:val="00FF4545"/>
    <w:rsid w:val="00FF4D31"/>
    <w:rsid w:val="00FF569F"/>
    <w:rsid w:val="00FF5ADE"/>
    <w:rsid w:val="00FF5D6D"/>
    <w:rsid w:val="00FF5F67"/>
    <w:rsid w:val="00FF6386"/>
    <w:rsid w:val="00FF666F"/>
    <w:rsid w:val="00FF694F"/>
    <w:rsid w:val="00FF770F"/>
    <w:rsid w:val="00FF7F6C"/>
    <w:rsid w:val="015C1FB5"/>
    <w:rsid w:val="01895F7C"/>
    <w:rsid w:val="01DF38E1"/>
    <w:rsid w:val="03580DA6"/>
    <w:rsid w:val="036707C5"/>
    <w:rsid w:val="03BF18AB"/>
    <w:rsid w:val="03EF1D96"/>
    <w:rsid w:val="044010F5"/>
    <w:rsid w:val="06401246"/>
    <w:rsid w:val="065C0B36"/>
    <w:rsid w:val="06EB4017"/>
    <w:rsid w:val="084830E7"/>
    <w:rsid w:val="088440DC"/>
    <w:rsid w:val="089A31A2"/>
    <w:rsid w:val="0A167202"/>
    <w:rsid w:val="0AFE7BE9"/>
    <w:rsid w:val="0B11785C"/>
    <w:rsid w:val="0BB2746F"/>
    <w:rsid w:val="0CA12BE0"/>
    <w:rsid w:val="0DB8768A"/>
    <w:rsid w:val="0DE135A9"/>
    <w:rsid w:val="0DFC7B8E"/>
    <w:rsid w:val="0E081F00"/>
    <w:rsid w:val="0EF03FF0"/>
    <w:rsid w:val="0EF9559A"/>
    <w:rsid w:val="107416DA"/>
    <w:rsid w:val="10C546BB"/>
    <w:rsid w:val="116A465C"/>
    <w:rsid w:val="11E229D5"/>
    <w:rsid w:val="129B4C67"/>
    <w:rsid w:val="12B24E31"/>
    <w:rsid w:val="12CC64F3"/>
    <w:rsid w:val="131E755E"/>
    <w:rsid w:val="132F2701"/>
    <w:rsid w:val="13854A71"/>
    <w:rsid w:val="14971BF9"/>
    <w:rsid w:val="14E330E8"/>
    <w:rsid w:val="158615A2"/>
    <w:rsid w:val="173A495B"/>
    <w:rsid w:val="18316568"/>
    <w:rsid w:val="190A0C26"/>
    <w:rsid w:val="19DF594D"/>
    <w:rsid w:val="1A325CC5"/>
    <w:rsid w:val="1A45756D"/>
    <w:rsid w:val="1B490183"/>
    <w:rsid w:val="1C362DA7"/>
    <w:rsid w:val="1C904FC7"/>
    <w:rsid w:val="1D962180"/>
    <w:rsid w:val="1DD77D62"/>
    <w:rsid w:val="1E114A6C"/>
    <w:rsid w:val="1E6B4C1A"/>
    <w:rsid w:val="1FD1360F"/>
    <w:rsid w:val="2017393B"/>
    <w:rsid w:val="23D636AF"/>
    <w:rsid w:val="23EE0C01"/>
    <w:rsid w:val="24AA3EB6"/>
    <w:rsid w:val="25087B24"/>
    <w:rsid w:val="253F1791"/>
    <w:rsid w:val="25D65804"/>
    <w:rsid w:val="266261FE"/>
    <w:rsid w:val="26695C4E"/>
    <w:rsid w:val="268C1374"/>
    <w:rsid w:val="26A2071E"/>
    <w:rsid w:val="26ED7870"/>
    <w:rsid w:val="274B6D69"/>
    <w:rsid w:val="289A2508"/>
    <w:rsid w:val="29106D21"/>
    <w:rsid w:val="2A6C59E8"/>
    <w:rsid w:val="2AE84D49"/>
    <w:rsid w:val="2BE60086"/>
    <w:rsid w:val="2C0F7CCA"/>
    <w:rsid w:val="2C306CE3"/>
    <w:rsid w:val="2D574FA0"/>
    <w:rsid w:val="2E447A72"/>
    <w:rsid w:val="2F6F29DC"/>
    <w:rsid w:val="30320E5D"/>
    <w:rsid w:val="30F13AEB"/>
    <w:rsid w:val="31722F4A"/>
    <w:rsid w:val="31B24749"/>
    <w:rsid w:val="31F033D3"/>
    <w:rsid w:val="32332E2E"/>
    <w:rsid w:val="338B17D9"/>
    <w:rsid w:val="33B178F7"/>
    <w:rsid w:val="33F23EEF"/>
    <w:rsid w:val="388466D3"/>
    <w:rsid w:val="38956B0F"/>
    <w:rsid w:val="38B20E9C"/>
    <w:rsid w:val="39810D70"/>
    <w:rsid w:val="3AA01DD9"/>
    <w:rsid w:val="3B5271AB"/>
    <w:rsid w:val="3BBB3B11"/>
    <w:rsid w:val="3BE37418"/>
    <w:rsid w:val="3BF86DCC"/>
    <w:rsid w:val="3C296F30"/>
    <w:rsid w:val="3C7E5678"/>
    <w:rsid w:val="3D726847"/>
    <w:rsid w:val="3D901CC8"/>
    <w:rsid w:val="3E785FCD"/>
    <w:rsid w:val="3F9A40E3"/>
    <w:rsid w:val="44506AC9"/>
    <w:rsid w:val="44F616DE"/>
    <w:rsid w:val="454E2356"/>
    <w:rsid w:val="45B76568"/>
    <w:rsid w:val="45EA7AEA"/>
    <w:rsid w:val="4652390B"/>
    <w:rsid w:val="47644CF8"/>
    <w:rsid w:val="47D86971"/>
    <w:rsid w:val="4815407B"/>
    <w:rsid w:val="486A31E0"/>
    <w:rsid w:val="48902A5D"/>
    <w:rsid w:val="49E15450"/>
    <w:rsid w:val="4A335264"/>
    <w:rsid w:val="4A760A54"/>
    <w:rsid w:val="4B1022ED"/>
    <w:rsid w:val="4BF101FC"/>
    <w:rsid w:val="4C3140D6"/>
    <w:rsid w:val="4C5F2AE2"/>
    <w:rsid w:val="4D1315D4"/>
    <w:rsid w:val="4D9D29CC"/>
    <w:rsid w:val="4DA3665F"/>
    <w:rsid w:val="4EFE761C"/>
    <w:rsid w:val="4F5E6D8C"/>
    <w:rsid w:val="4F6833DD"/>
    <w:rsid w:val="4F7645EA"/>
    <w:rsid w:val="4FC05F58"/>
    <w:rsid w:val="50C874F6"/>
    <w:rsid w:val="519C4DD6"/>
    <w:rsid w:val="52027FCA"/>
    <w:rsid w:val="538F0A33"/>
    <w:rsid w:val="54164440"/>
    <w:rsid w:val="54BA3C9B"/>
    <w:rsid w:val="55147A22"/>
    <w:rsid w:val="557A5E75"/>
    <w:rsid w:val="55E9714E"/>
    <w:rsid w:val="565D7666"/>
    <w:rsid w:val="57C26244"/>
    <w:rsid w:val="58F14D5F"/>
    <w:rsid w:val="59515010"/>
    <w:rsid w:val="5A1B1448"/>
    <w:rsid w:val="5BC0696F"/>
    <w:rsid w:val="5BEB061A"/>
    <w:rsid w:val="5BF43DEE"/>
    <w:rsid w:val="5C4C589E"/>
    <w:rsid w:val="5E5A6261"/>
    <w:rsid w:val="5EFD512C"/>
    <w:rsid w:val="5F0B1C9B"/>
    <w:rsid w:val="5FD12C67"/>
    <w:rsid w:val="61162323"/>
    <w:rsid w:val="6365422A"/>
    <w:rsid w:val="63736A07"/>
    <w:rsid w:val="640E4C5D"/>
    <w:rsid w:val="65286D79"/>
    <w:rsid w:val="66685235"/>
    <w:rsid w:val="66840F86"/>
    <w:rsid w:val="669B6967"/>
    <w:rsid w:val="670E34C5"/>
    <w:rsid w:val="676730EC"/>
    <w:rsid w:val="67773AFC"/>
    <w:rsid w:val="68567186"/>
    <w:rsid w:val="689A5F80"/>
    <w:rsid w:val="68BD3D9C"/>
    <w:rsid w:val="692048D4"/>
    <w:rsid w:val="692F7E4E"/>
    <w:rsid w:val="697E3DCB"/>
    <w:rsid w:val="6AE35E29"/>
    <w:rsid w:val="6B4F59F8"/>
    <w:rsid w:val="6C776323"/>
    <w:rsid w:val="6CDD631E"/>
    <w:rsid w:val="6CEF6032"/>
    <w:rsid w:val="6D571391"/>
    <w:rsid w:val="6FE5402B"/>
    <w:rsid w:val="701626D9"/>
    <w:rsid w:val="70CC587C"/>
    <w:rsid w:val="720177CD"/>
    <w:rsid w:val="722136C3"/>
    <w:rsid w:val="72DB157D"/>
    <w:rsid w:val="737C733D"/>
    <w:rsid w:val="748B330C"/>
    <w:rsid w:val="75017954"/>
    <w:rsid w:val="753F3200"/>
    <w:rsid w:val="75E5126F"/>
    <w:rsid w:val="766F506C"/>
    <w:rsid w:val="77D23F65"/>
    <w:rsid w:val="77E34B6D"/>
    <w:rsid w:val="780E6720"/>
    <w:rsid w:val="79520E42"/>
    <w:rsid w:val="79F06425"/>
    <w:rsid w:val="7A493262"/>
    <w:rsid w:val="7B4E6A03"/>
    <w:rsid w:val="7B7D427F"/>
    <w:rsid w:val="7BB26EA2"/>
    <w:rsid w:val="7C29462E"/>
    <w:rsid w:val="7C4A29B4"/>
    <w:rsid w:val="7C77104F"/>
    <w:rsid w:val="7DFA5849"/>
    <w:rsid w:val="7E64164C"/>
    <w:rsid w:val="7F312490"/>
    <w:rsid w:val="FFBD79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qFormat="1" w:unhideWhenUsed="0"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iPriority="99" w:name="footnote text"/>
    <w:lsdException w:qFormat="1" w:unhideWhenUsed="0" w:uiPriority="99" w:semiHidden="0" w:name="annotation text"/>
    <w:lsdException w:qFormat="1" w:unhideWhenUsed="0" w:uiPriority="99" w:semiHidden="0" w:name="header"/>
    <w:lsdException w:qFormat="1" w:unhideWhenUsed="0" w:uiPriority="99" w:semiHidden="0" w:name="footer"/>
    <w:lsdException w:uiPriority="0" w:name="index heading"/>
    <w:lsdException w:qFormat="1" w:unhideWhenUsed="0" w:uiPriority="0" w:semiHidden="0" w:name="caption"/>
    <w:lsdException w:qFormat="1" w:unhideWhenUsed="0" w:uiPriority="99" w:semiHidden="0" w:name="table of figures"/>
    <w:lsdException w:uiPriority="0" w:name="envelope address"/>
    <w:lsdException w:uiPriority="0" w:name="envelope return"/>
    <w:lsdException w:qFormat="1" w:uiPriority="99" w:name="footnote reference"/>
    <w:lsdException w:qFormat="1" w:unhideWhenUsed="0" w:uiPriority="99" w:semiHidden="0" w:name="annotation reference"/>
    <w:lsdException w:uiPriority="0" w:name="line number"/>
    <w:lsdException w:qFormat="1" w:unhideWhenUsed="0" w:uiPriority="0" w:semiHidden="0" w:name="page number"/>
    <w:lsdException w:qFormat="1" w:uiPriority="99" w:name="endnote reference"/>
    <w:lsdException w:qFormat="1" w:uiPriority="99" w:name="endnote text"/>
    <w:lsdException w:uiPriority="0" w:name="table of authorities"/>
    <w:lsdException w:qFormat="1" w:uiPriority="0" w:name="macro"/>
    <w:lsdException w:uiPriority="0" w:name="toa heading"/>
    <w:lsdException w:qFormat="1" w:unhideWhenUsed="0" w:uiPriority="99" w:semiHidden="0" w:name="List"/>
    <w:lsdException w:qFormat="1" w:unhideWhenUsed="0" w:uiPriority="0" w:name="List Bullet"/>
    <w:lsdException w:qFormat="1" w:unhideWhenUsed="0" w:uiPriority="0" w:semiHidden="0" w:name="List Number"/>
    <w:lsdException w:qFormat="1" w:unhideWhenUsed="0" w:uiPriority="0" w:name="List 2"/>
    <w:lsdException w:qFormat="1" w:unhideWhenUsed="0" w:uiPriority="0" w:name="List 3"/>
    <w:lsdException w:uiPriority="0" w:name="List 4"/>
    <w:lsdException w:uiPriority="0" w:name="List 5"/>
    <w:lsdException w:qFormat="1" w:unhideWhenUsed="0" w:uiPriority="0" w:name="List Bullet 2"/>
    <w:lsdException w:qFormat="1" w:unhideWhenUsed="0" w:uiPriority="0" w:name="List Bullet 3"/>
    <w:lsdException w:qFormat="1" w:unhideWhenUsed="0" w:uiPriority="0" w:name="List Bullet 4"/>
    <w:lsdException w:qFormat="1" w:unhideWhenUsed="0" w:uiPriority="0" w:name="List Bullet 5"/>
    <w:lsdException w:uiPriority="0" w:name="List Number 2"/>
    <w:lsdException w:uiPriority="0" w:name="List Number 3"/>
    <w:lsdException w:qFormat="1" w:unhideWhenUsed="0" w:uiPriority="0" w:name="List Number 4"/>
    <w:lsdException w:uiPriority="0" w:name="List Number 5"/>
    <w:lsdException w:qFormat="1" w:unhideWhenUsed="0" w:uiPriority="10" w:semiHidden="0" w:name="Title"/>
    <w:lsdException w:uiPriority="0" w:name="Closing"/>
    <w:lsdException w:uiPriority="0" w:name="Signature"/>
    <w:lsdException w:qFormat="1" w:uiPriority="1" w:name="Default Paragraph Font"/>
    <w:lsdException w:qFormat="1" w:uiPriority="99" w:semiHidden="0" w:name="Body Text"/>
    <w:lsdException w:qFormat="1" w:uiPriority="99" w:name="Body Text Indent"/>
    <w:lsdException w:uiPriority="0" w:name="List Continue"/>
    <w:lsdException w:qFormat="1" w:unhideWhenUsed="0" w:uiPriority="0" w:name="List Continue 2"/>
    <w:lsdException w:qFormat="1" w:unhideWhenUsed="0" w:uiPriority="0" w:name="List Continue 3"/>
    <w:lsdException w:uiPriority="0" w:name="List Continue 4"/>
    <w:lsdException w:uiPriority="0" w:name="List Continue 5"/>
    <w:lsdException w:qFormat="1" w:unhideWhenUsed="0" w:uiPriority="0" w:name="Message Header"/>
    <w:lsdException w:qFormat="1" w:unhideWhenUsed="0" w:uiPriority="11" w:semiHidden="0" w:name="Subtitle"/>
    <w:lsdException w:uiPriority="0" w:name="Salutation"/>
    <w:lsdException w:qFormat="1" w:unhideWhenUsed="0" w:uiPriority="0" w:semiHidden="0" w:name="Date"/>
    <w:lsdException w:qFormat="1" w:unhideWhenUsed="0" w:uiPriority="0" w:semiHidden="0" w:name="Body Text First Indent"/>
    <w:lsdException w:qFormat="1" w:uiPriority="0" w:name="Body Text First Indent 2"/>
    <w:lsdException w:qFormat="1" w:unhideWhenUsed="0" w:uiPriority="0" w:semiHidden="0" w:name="Note Heading"/>
    <w:lsdException w:qFormat="1" w:uiPriority="0" w:semiHidden="0" w:name="Body Text 2"/>
    <w:lsdException w:qFormat="1" w:unhideWhenUsed="0" w:uiPriority="0" w:name="Body Text 3"/>
    <w:lsdException w:qFormat="1" w:unhideWhenUsed="0" w:uiPriority="0" w:name="Body Text Indent 2"/>
    <w:lsdException w:qFormat="1" w:unhideWhenUsed="0" w:uiPriority="0" w:name="Body Text Indent 3"/>
    <w:lsdException w:uiPriority="0" w:name="Block Text"/>
    <w:lsdException w:qFormat="1" w:unhideWhenUsed="0" w:uiPriority="99" w:semiHidden="0" w:name="Hyperlink"/>
    <w:lsdException w:qFormat="1" w:unhideWhenUsed="0" w:uiPriority="99" w:semiHidden="0" w:name="FollowedHyperlink"/>
    <w:lsdException w:qFormat="1" w:unhideWhenUsed="0" w:uiPriority="22" w:semiHidden="0" w:name="Strong"/>
    <w:lsdException w:qFormat="1" w:unhideWhenUsed="0" w:uiPriority="0" w:semiHidden="0" w:name="Emphasis"/>
    <w:lsdException w:qFormat="1" w:unhideWhenUsed="0" w:uiPriority="99" w:semiHidden="0" w:name="Document Map"/>
    <w:lsdException w:qFormat="1" w:uiPriority="0" w:semiHidden="0" w:name="Plain Text"/>
    <w:lsdException w:uiPriority="0" w:name="E-mail Signature"/>
    <w:lsdException w:qFormat="1" w:uiPriority="0"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qFormat="1"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99"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qFormat="1" w:unhideWhenUsed="0" w:uiPriority="0" w:name="Table Grid 5"/>
    <w:lsdException w:qFormat="1" w:unhideWhenUsed="0"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99" w:semiHidden="0" w:name="Balloon Text"/>
    <w:lsdException w:qFormat="1" w:unhideWhenUsed="0" w:uiPriority="39" w:semiHidden="0" w:name="Table Grid"/>
    <w:lsdException w:qFormat="1" w:unhideWhenUsed="0" w:uiPriority="0" w:semiHidden="0" w:name="Table Theme"/>
    <w:lsdException w:qFormat="1" w:unhideWhenUsed="0" w:uiPriority="99" w:name="Placeholder Text"/>
    <w:lsdException w:qFormat="1" w:unhideWhenUsed="0" w:uiPriority="1" w:semiHidden="0" w:name="No Spacing"/>
    <w:lsdException w:qFormat="1"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qFormat="1"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80"/>
    <w:qFormat/>
    <w:uiPriority w:val="9"/>
    <w:pPr>
      <w:keepNext/>
      <w:keepLines/>
      <w:numPr>
        <w:ilvl w:val="0"/>
        <w:numId w:val="1"/>
      </w:numPr>
      <w:tabs>
        <w:tab w:val="left" w:pos="0"/>
      </w:tabs>
      <w:spacing w:line="360" w:lineRule="auto"/>
      <w:outlineLvl w:val="0"/>
    </w:pPr>
    <w:rPr>
      <w:b/>
      <w:kern w:val="44"/>
      <w:sz w:val="32"/>
      <w:szCs w:val="21"/>
    </w:rPr>
  </w:style>
  <w:style w:type="paragraph" w:styleId="4">
    <w:name w:val="heading 2"/>
    <w:basedOn w:val="1"/>
    <w:next w:val="1"/>
    <w:link w:val="81"/>
    <w:qFormat/>
    <w:uiPriority w:val="9"/>
    <w:pPr>
      <w:keepNext/>
      <w:keepLines/>
      <w:numPr>
        <w:ilvl w:val="1"/>
        <w:numId w:val="1"/>
      </w:numPr>
      <w:tabs>
        <w:tab w:val="left" w:pos="0"/>
        <w:tab w:val="left" w:pos="709"/>
      </w:tabs>
      <w:spacing w:line="360" w:lineRule="auto"/>
      <w:jc w:val="left"/>
      <w:outlineLvl w:val="1"/>
    </w:pPr>
    <w:rPr>
      <w:b/>
      <w:bCs/>
      <w:smallCaps/>
      <w:sz w:val="30"/>
      <w:szCs w:val="28"/>
    </w:rPr>
  </w:style>
  <w:style w:type="paragraph" w:styleId="5">
    <w:name w:val="heading 3"/>
    <w:basedOn w:val="1"/>
    <w:next w:val="1"/>
    <w:link w:val="84"/>
    <w:qFormat/>
    <w:uiPriority w:val="9"/>
    <w:pPr>
      <w:keepNext/>
      <w:keepLines/>
      <w:numPr>
        <w:ilvl w:val="2"/>
        <w:numId w:val="1"/>
      </w:numPr>
      <w:tabs>
        <w:tab w:val="left" w:pos="0"/>
      </w:tabs>
      <w:spacing w:line="360" w:lineRule="auto"/>
      <w:ind w:firstLine="200" w:firstLineChars="200"/>
      <w:jc w:val="left"/>
      <w:outlineLvl w:val="2"/>
    </w:pPr>
    <w:rPr>
      <w:b/>
      <w:bCs/>
      <w:sz w:val="28"/>
      <w:szCs w:val="21"/>
    </w:rPr>
  </w:style>
  <w:style w:type="paragraph" w:styleId="6">
    <w:name w:val="heading 4"/>
    <w:basedOn w:val="1"/>
    <w:next w:val="1"/>
    <w:link w:val="85"/>
    <w:qFormat/>
    <w:uiPriority w:val="9"/>
    <w:pPr>
      <w:numPr>
        <w:ilvl w:val="3"/>
        <w:numId w:val="1"/>
      </w:numPr>
      <w:tabs>
        <w:tab w:val="left" w:pos="0"/>
      </w:tabs>
      <w:adjustRightInd w:val="0"/>
      <w:spacing w:before="60" w:after="60" w:line="360" w:lineRule="auto"/>
      <w:ind w:left="0" w:firstLine="567"/>
      <w:jc w:val="left"/>
      <w:textAlignment w:val="baseline"/>
      <w:outlineLvl w:val="3"/>
    </w:pPr>
    <w:rPr>
      <w:b/>
      <w:bCs/>
      <w:smallCaps/>
      <w:sz w:val="24"/>
    </w:rPr>
  </w:style>
  <w:style w:type="paragraph" w:styleId="7">
    <w:name w:val="heading 5"/>
    <w:basedOn w:val="1"/>
    <w:next w:val="8"/>
    <w:link w:val="86"/>
    <w:qFormat/>
    <w:uiPriority w:val="9"/>
    <w:pPr>
      <w:keepNext/>
      <w:keepLines/>
      <w:spacing w:beforeLines="25" w:afterLines="25" w:line="312" w:lineRule="auto"/>
      <w:ind w:firstLine="200" w:firstLineChars="200"/>
      <w:outlineLvl w:val="4"/>
    </w:pPr>
    <w:rPr>
      <w:b/>
      <w:kern w:val="0"/>
      <w:sz w:val="24"/>
      <w:szCs w:val="21"/>
    </w:rPr>
  </w:style>
  <w:style w:type="paragraph" w:styleId="10">
    <w:name w:val="heading 6"/>
    <w:basedOn w:val="1"/>
    <w:next w:val="1"/>
    <w:link w:val="87"/>
    <w:qFormat/>
    <w:uiPriority w:val="9"/>
    <w:pPr>
      <w:keepNext/>
      <w:keepLines/>
      <w:widowControl/>
      <w:numPr>
        <w:ilvl w:val="5"/>
        <w:numId w:val="2"/>
      </w:numPr>
      <w:tabs>
        <w:tab w:val="left" w:pos="0"/>
      </w:tabs>
      <w:spacing w:before="240" w:after="64" w:line="320" w:lineRule="auto"/>
      <w:jc w:val="left"/>
      <w:outlineLvl w:val="5"/>
    </w:pPr>
    <w:rPr>
      <w:rFonts w:ascii="Arial" w:hAnsi="Arial" w:eastAsia="黑体"/>
      <w:b/>
      <w:bCs/>
      <w:kern w:val="0"/>
      <w:sz w:val="24"/>
    </w:rPr>
  </w:style>
  <w:style w:type="paragraph" w:styleId="11">
    <w:name w:val="heading 7"/>
    <w:basedOn w:val="1"/>
    <w:next w:val="1"/>
    <w:link w:val="88"/>
    <w:qFormat/>
    <w:uiPriority w:val="9"/>
    <w:pPr>
      <w:keepNext/>
      <w:keepLines/>
      <w:widowControl/>
      <w:spacing w:before="240" w:after="64" w:line="320" w:lineRule="auto"/>
      <w:jc w:val="left"/>
      <w:outlineLvl w:val="6"/>
    </w:pPr>
    <w:rPr>
      <w:b/>
      <w:bCs/>
      <w:kern w:val="0"/>
      <w:sz w:val="24"/>
    </w:rPr>
  </w:style>
  <w:style w:type="paragraph" w:styleId="12">
    <w:name w:val="heading 8"/>
    <w:basedOn w:val="1"/>
    <w:next w:val="1"/>
    <w:link w:val="89"/>
    <w:qFormat/>
    <w:uiPriority w:val="9"/>
    <w:pPr>
      <w:keepNext/>
      <w:keepLines/>
      <w:widowControl/>
      <w:spacing w:before="240" w:after="64" w:line="320" w:lineRule="auto"/>
      <w:jc w:val="left"/>
      <w:outlineLvl w:val="7"/>
    </w:pPr>
    <w:rPr>
      <w:rFonts w:ascii="Arial" w:hAnsi="Arial" w:eastAsia="黑体"/>
      <w:kern w:val="0"/>
      <w:sz w:val="24"/>
    </w:rPr>
  </w:style>
  <w:style w:type="paragraph" w:styleId="13">
    <w:name w:val="heading 9"/>
    <w:basedOn w:val="1"/>
    <w:next w:val="1"/>
    <w:link w:val="90"/>
    <w:qFormat/>
    <w:uiPriority w:val="9"/>
    <w:pPr>
      <w:keepNext/>
      <w:keepLines/>
      <w:widowControl/>
      <w:spacing w:before="240" w:after="64" w:line="320" w:lineRule="auto"/>
      <w:jc w:val="left"/>
      <w:outlineLvl w:val="8"/>
    </w:pPr>
    <w:rPr>
      <w:rFonts w:ascii="Arial" w:hAnsi="Arial" w:eastAsia="黑体"/>
      <w:kern w:val="0"/>
      <w:szCs w:val="21"/>
    </w:rPr>
  </w:style>
  <w:style w:type="character" w:default="1" w:styleId="70">
    <w:name w:val="Default Paragraph Font"/>
    <w:semiHidden/>
    <w:unhideWhenUsed/>
    <w:qFormat/>
    <w:uiPriority w:val="1"/>
  </w:style>
  <w:style w:type="table" w:default="1" w:styleId="63">
    <w:name w:val="Normal Table"/>
    <w:semiHidden/>
    <w:unhideWhenUsed/>
    <w:qFormat/>
    <w:uiPriority w:val="99"/>
    <w:tblPr>
      <w:tblCellMar>
        <w:top w:w="0" w:type="dxa"/>
        <w:left w:w="108" w:type="dxa"/>
        <w:bottom w:w="0" w:type="dxa"/>
        <w:right w:w="108" w:type="dxa"/>
      </w:tblCellMar>
    </w:tblPr>
  </w:style>
  <w:style w:type="paragraph" w:styleId="2">
    <w:name w:val="macro"/>
    <w:link w:val="228"/>
    <w:semiHidden/>
    <w:unhideWhenUsed/>
    <w:qFormat/>
    <w:uiPriority w:val="0"/>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hAnsi="Courier New" w:eastAsia="宋体" w:cs="Courier New"/>
      <w:kern w:val="2"/>
      <w:sz w:val="24"/>
      <w:szCs w:val="24"/>
      <w:lang w:val="en-US" w:eastAsia="zh-CN" w:bidi="ar-SA"/>
    </w:rPr>
  </w:style>
  <w:style w:type="paragraph" w:customStyle="1" w:styleId="8">
    <w:name w:val="0正文样式"/>
    <w:basedOn w:val="9"/>
    <w:link w:val="83"/>
    <w:qFormat/>
    <w:uiPriority w:val="0"/>
    <w:pPr>
      <w:tabs>
        <w:tab w:val="left" w:pos="0"/>
        <w:tab w:val="left" w:pos="870"/>
        <w:tab w:val="left" w:pos="3150"/>
      </w:tabs>
    </w:pPr>
  </w:style>
  <w:style w:type="paragraph" w:customStyle="1" w:styleId="9">
    <w:name w:val="正文首行缩进 2 + Times New Roman"/>
    <w:basedOn w:val="1"/>
    <w:link w:val="82"/>
    <w:qFormat/>
    <w:uiPriority w:val="0"/>
    <w:pPr>
      <w:tabs>
        <w:tab w:val="left" w:pos="0"/>
        <w:tab w:val="left" w:pos="870"/>
        <w:tab w:val="left" w:pos="3150"/>
      </w:tabs>
      <w:autoSpaceDE w:val="0"/>
      <w:autoSpaceDN w:val="0"/>
      <w:spacing w:line="360" w:lineRule="auto"/>
      <w:ind w:firstLine="480" w:firstLineChars="200"/>
    </w:pPr>
    <w:rPr>
      <w:kern w:val="0"/>
      <w:sz w:val="24"/>
    </w:rPr>
  </w:style>
  <w:style w:type="paragraph" w:styleId="14">
    <w:name w:val="List 3"/>
    <w:basedOn w:val="1"/>
    <w:semiHidden/>
    <w:qFormat/>
    <w:uiPriority w:val="0"/>
    <w:pPr>
      <w:spacing w:line="360" w:lineRule="auto"/>
      <w:ind w:left="100" w:leftChars="400" w:hanging="200" w:hangingChars="200"/>
    </w:pPr>
  </w:style>
  <w:style w:type="paragraph" w:styleId="15">
    <w:name w:val="toc 7"/>
    <w:basedOn w:val="1"/>
    <w:next w:val="1"/>
    <w:qFormat/>
    <w:uiPriority w:val="39"/>
    <w:pPr>
      <w:ind w:left="2520" w:leftChars="1200"/>
    </w:pPr>
  </w:style>
  <w:style w:type="paragraph" w:styleId="16">
    <w:name w:val="Note Heading"/>
    <w:basedOn w:val="1"/>
    <w:next w:val="1"/>
    <w:link w:val="282"/>
    <w:qFormat/>
    <w:uiPriority w:val="0"/>
    <w:pPr>
      <w:jc w:val="center"/>
    </w:pPr>
    <w:rPr>
      <w:rFonts w:ascii="宋体"/>
      <w:szCs w:val="20"/>
    </w:rPr>
  </w:style>
  <w:style w:type="paragraph" w:styleId="17">
    <w:name w:val="List Bullet 4"/>
    <w:basedOn w:val="1"/>
    <w:semiHidden/>
    <w:qFormat/>
    <w:uiPriority w:val="0"/>
    <w:pPr>
      <w:tabs>
        <w:tab w:val="left" w:pos="432"/>
      </w:tabs>
      <w:adjustRightInd w:val="0"/>
      <w:spacing w:line="312" w:lineRule="atLeast"/>
      <w:ind w:left="432" w:hanging="432"/>
      <w:textAlignment w:val="baseline"/>
    </w:pPr>
    <w:rPr>
      <w:kern w:val="0"/>
      <w:szCs w:val="20"/>
    </w:rPr>
  </w:style>
  <w:style w:type="paragraph" w:styleId="18">
    <w:name w:val="List Number"/>
    <w:basedOn w:val="1"/>
    <w:qFormat/>
    <w:uiPriority w:val="0"/>
    <w:pPr>
      <w:tabs>
        <w:tab w:val="left" w:pos="360"/>
      </w:tabs>
      <w:adjustRightInd w:val="0"/>
      <w:snapToGrid w:val="0"/>
      <w:spacing w:before="60" w:line="400" w:lineRule="exact"/>
      <w:ind w:left="360"/>
    </w:pPr>
    <w:rPr>
      <w:sz w:val="24"/>
      <w:szCs w:val="20"/>
    </w:rPr>
  </w:style>
  <w:style w:type="paragraph" w:styleId="19">
    <w:name w:val="Normal Indent"/>
    <w:basedOn w:val="1"/>
    <w:next w:val="1"/>
    <w:link w:val="313"/>
    <w:qFormat/>
    <w:uiPriority w:val="0"/>
    <w:pPr>
      <w:spacing w:line="360" w:lineRule="auto"/>
      <w:ind w:firstLine="420" w:firstLineChars="200"/>
    </w:pPr>
    <w:rPr>
      <w:sz w:val="24"/>
    </w:rPr>
  </w:style>
  <w:style w:type="paragraph" w:styleId="20">
    <w:name w:val="caption"/>
    <w:basedOn w:val="1"/>
    <w:next w:val="1"/>
    <w:link w:val="94"/>
    <w:qFormat/>
    <w:uiPriority w:val="0"/>
    <w:pPr>
      <w:tabs>
        <w:tab w:val="center" w:pos="10467"/>
        <w:tab w:val="left" w:pos="13095"/>
      </w:tabs>
      <w:jc w:val="center"/>
    </w:pPr>
    <w:rPr>
      <w:b/>
      <w:sz w:val="24"/>
    </w:rPr>
  </w:style>
  <w:style w:type="paragraph" w:styleId="21">
    <w:name w:val="List Bullet"/>
    <w:basedOn w:val="1"/>
    <w:semiHidden/>
    <w:qFormat/>
    <w:uiPriority w:val="0"/>
    <w:pPr>
      <w:tabs>
        <w:tab w:val="left" w:pos="420"/>
      </w:tabs>
      <w:adjustRightInd w:val="0"/>
      <w:spacing w:line="312" w:lineRule="atLeast"/>
      <w:ind w:left="420" w:hanging="420"/>
      <w:textAlignment w:val="baseline"/>
    </w:pPr>
    <w:rPr>
      <w:kern w:val="0"/>
      <w:szCs w:val="20"/>
    </w:rPr>
  </w:style>
  <w:style w:type="paragraph" w:styleId="22">
    <w:name w:val="Document Map"/>
    <w:basedOn w:val="1"/>
    <w:link w:val="95"/>
    <w:qFormat/>
    <w:uiPriority w:val="99"/>
    <w:pPr>
      <w:shd w:val="clear" w:color="auto" w:fill="000080"/>
    </w:pPr>
  </w:style>
  <w:style w:type="paragraph" w:styleId="23">
    <w:name w:val="annotation text"/>
    <w:basedOn w:val="1"/>
    <w:link w:val="91"/>
    <w:qFormat/>
    <w:uiPriority w:val="99"/>
    <w:pPr>
      <w:jc w:val="left"/>
    </w:pPr>
  </w:style>
  <w:style w:type="paragraph" w:styleId="24">
    <w:name w:val="Body Text 3"/>
    <w:basedOn w:val="1"/>
    <w:link w:val="360"/>
    <w:semiHidden/>
    <w:qFormat/>
    <w:uiPriority w:val="0"/>
    <w:pPr>
      <w:adjustRightInd w:val="0"/>
      <w:spacing w:line="360" w:lineRule="auto"/>
      <w:jc w:val="center"/>
      <w:textAlignment w:val="baseline"/>
    </w:pPr>
    <w:rPr>
      <w:rFonts w:eastAsia="楷体_GB2312"/>
      <w:color w:val="0000FF"/>
      <w:spacing w:val="16"/>
      <w:kern w:val="0"/>
      <w:sz w:val="24"/>
      <w:szCs w:val="20"/>
    </w:rPr>
  </w:style>
  <w:style w:type="paragraph" w:styleId="25">
    <w:name w:val="List Bullet 3"/>
    <w:basedOn w:val="1"/>
    <w:semiHidden/>
    <w:qFormat/>
    <w:uiPriority w:val="0"/>
    <w:pPr>
      <w:tabs>
        <w:tab w:val="left" w:pos="1200"/>
      </w:tabs>
      <w:adjustRightInd w:val="0"/>
      <w:spacing w:line="312" w:lineRule="atLeast"/>
      <w:ind w:left="1200" w:hanging="360"/>
      <w:textAlignment w:val="baseline"/>
    </w:pPr>
    <w:rPr>
      <w:kern w:val="0"/>
      <w:szCs w:val="20"/>
    </w:rPr>
  </w:style>
  <w:style w:type="paragraph" w:styleId="26">
    <w:name w:val="Body Text"/>
    <w:basedOn w:val="1"/>
    <w:link w:val="96"/>
    <w:unhideWhenUsed/>
    <w:qFormat/>
    <w:uiPriority w:val="99"/>
    <w:pPr>
      <w:spacing w:after="120"/>
    </w:pPr>
  </w:style>
  <w:style w:type="paragraph" w:styleId="27">
    <w:name w:val="Body Text Indent"/>
    <w:basedOn w:val="1"/>
    <w:link w:val="286"/>
    <w:semiHidden/>
    <w:unhideWhenUsed/>
    <w:qFormat/>
    <w:uiPriority w:val="99"/>
    <w:pPr>
      <w:spacing w:after="120" w:line="360" w:lineRule="auto"/>
      <w:ind w:left="420" w:leftChars="200" w:firstLine="200" w:firstLineChars="200"/>
    </w:pPr>
    <w:rPr>
      <w:sz w:val="24"/>
    </w:rPr>
  </w:style>
  <w:style w:type="paragraph" w:styleId="28">
    <w:name w:val="List 2"/>
    <w:basedOn w:val="1"/>
    <w:semiHidden/>
    <w:qFormat/>
    <w:uiPriority w:val="0"/>
    <w:pPr>
      <w:spacing w:line="360" w:lineRule="auto"/>
      <w:ind w:left="100" w:leftChars="200" w:hanging="200" w:hangingChars="200"/>
    </w:pPr>
  </w:style>
  <w:style w:type="paragraph" w:styleId="29">
    <w:name w:val="List Bullet 2"/>
    <w:basedOn w:val="1"/>
    <w:semiHidden/>
    <w:qFormat/>
    <w:uiPriority w:val="0"/>
    <w:pPr>
      <w:tabs>
        <w:tab w:val="left" w:pos="780"/>
      </w:tabs>
      <w:adjustRightInd w:val="0"/>
      <w:spacing w:line="312" w:lineRule="atLeast"/>
      <w:ind w:left="780" w:hanging="360"/>
      <w:textAlignment w:val="baseline"/>
    </w:pPr>
    <w:rPr>
      <w:kern w:val="0"/>
      <w:szCs w:val="20"/>
    </w:rPr>
  </w:style>
  <w:style w:type="paragraph" w:styleId="30">
    <w:name w:val="toc 5"/>
    <w:basedOn w:val="1"/>
    <w:next w:val="1"/>
    <w:qFormat/>
    <w:uiPriority w:val="39"/>
    <w:pPr>
      <w:ind w:left="1680" w:leftChars="800"/>
    </w:pPr>
  </w:style>
  <w:style w:type="paragraph" w:styleId="31">
    <w:name w:val="toc 3"/>
    <w:basedOn w:val="1"/>
    <w:next w:val="1"/>
    <w:qFormat/>
    <w:uiPriority w:val="39"/>
    <w:pPr>
      <w:tabs>
        <w:tab w:val="left" w:pos="1052"/>
        <w:tab w:val="right" w:pos="1260"/>
        <w:tab w:val="right" w:leader="dot" w:pos="8610"/>
      </w:tabs>
      <w:ind w:left="420" w:right="80" w:rightChars="38"/>
    </w:pPr>
    <w:rPr>
      <w:sz w:val="24"/>
    </w:rPr>
  </w:style>
  <w:style w:type="paragraph" w:styleId="32">
    <w:name w:val="Plain Text"/>
    <w:basedOn w:val="1"/>
    <w:link w:val="97"/>
    <w:unhideWhenUsed/>
    <w:qFormat/>
    <w:uiPriority w:val="0"/>
    <w:rPr>
      <w:rFonts w:ascii="宋体" w:hAnsi="Courier New" w:cs="Courier New"/>
    </w:rPr>
  </w:style>
  <w:style w:type="paragraph" w:styleId="33">
    <w:name w:val="List Bullet 5"/>
    <w:basedOn w:val="1"/>
    <w:semiHidden/>
    <w:qFormat/>
    <w:uiPriority w:val="0"/>
    <w:pPr>
      <w:tabs>
        <w:tab w:val="left" w:pos="425"/>
      </w:tabs>
      <w:adjustRightInd w:val="0"/>
      <w:spacing w:line="312" w:lineRule="atLeast"/>
      <w:ind w:left="425" w:hanging="425"/>
      <w:textAlignment w:val="baseline"/>
    </w:pPr>
    <w:rPr>
      <w:kern w:val="0"/>
      <w:szCs w:val="20"/>
    </w:rPr>
  </w:style>
  <w:style w:type="paragraph" w:styleId="34">
    <w:name w:val="List Number 4"/>
    <w:basedOn w:val="1"/>
    <w:semiHidden/>
    <w:qFormat/>
    <w:uiPriority w:val="0"/>
    <w:pPr>
      <w:numPr>
        <w:ilvl w:val="0"/>
        <w:numId w:val="3"/>
      </w:numPr>
      <w:spacing w:line="360" w:lineRule="auto"/>
      <w:ind w:firstLine="0"/>
    </w:pPr>
    <w:rPr>
      <w:szCs w:val="20"/>
    </w:rPr>
  </w:style>
  <w:style w:type="paragraph" w:styleId="35">
    <w:name w:val="toc 8"/>
    <w:basedOn w:val="1"/>
    <w:next w:val="1"/>
    <w:qFormat/>
    <w:uiPriority w:val="39"/>
    <w:pPr>
      <w:ind w:left="2940" w:leftChars="1400"/>
    </w:pPr>
  </w:style>
  <w:style w:type="paragraph" w:styleId="36">
    <w:name w:val="Date"/>
    <w:basedOn w:val="1"/>
    <w:next w:val="1"/>
    <w:link w:val="98"/>
    <w:qFormat/>
    <w:uiPriority w:val="0"/>
    <w:pPr>
      <w:ind w:left="100" w:leftChars="2500"/>
    </w:pPr>
  </w:style>
  <w:style w:type="paragraph" w:styleId="37">
    <w:name w:val="Body Text Indent 2"/>
    <w:basedOn w:val="1"/>
    <w:link w:val="361"/>
    <w:semiHidden/>
    <w:qFormat/>
    <w:uiPriority w:val="0"/>
    <w:pPr>
      <w:spacing w:after="120" w:line="480" w:lineRule="auto"/>
      <w:ind w:left="420" w:leftChars="200"/>
    </w:pPr>
  </w:style>
  <w:style w:type="paragraph" w:styleId="38">
    <w:name w:val="endnote text"/>
    <w:basedOn w:val="1"/>
    <w:link w:val="358"/>
    <w:semiHidden/>
    <w:unhideWhenUsed/>
    <w:qFormat/>
    <w:uiPriority w:val="99"/>
    <w:pPr>
      <w:snapToGrid w:val="0"/>
      <w:spacing w:line="360" w:lineRule="auto"/>
      <w:ind w:firstLine="200" w:firstLineChars="200"/>
      <w:jc w:val="left"/>
    </w:pPr>
    <w:rPr>
      <w:rFonts w:eastAsiaTheme="minorEastAsia" w:cstheme="minorBidi"/>
      <w:sz w:val="24"/>
      <w:szCs w:val="22"/>
    </w:rPr>
  </w:style>
  <w:style w:type="paragraph" w:styleId="39">
    <w:name w:val="Balloon Text"/>
    <w:basedOn w:val="1"/>
    <w:link w:val="99"/>
    <w:qFormat/>
    <w:uiPriority w:val="99"/>
    <w:rPr>
      <w:sz w:val="18"/>
      <w:szCs w:val="18"/>
    </w:rPr>
  </w:style>
  <w:style w:type="paragraph" w:styleId="40">
    <w:name w:val="footer"/>
    <w:basedOn w:val="1"/>
    <w:link w:val="100"/>
    <w:qFormat/>
    <w:uiPriority w:val="99"/>
    <w:pPr>
      <w:tabs>
        <w:tab w:val="center" w:pos="4153"/>
        <w:tab w:val="right" w:pos="8306"/>
      </w:tabs>
      <w:snapToGrid w:val="0"/>
      <w:jc w:val="left"/>
    </w:pPr>
    <w:rPr>
      <w:sz w:val="18"/>
      <w:szCs w:val="18"/>
    </w:rPr>
  </w:style>
  <w:style w:type="paragraph" w:styleId="41">
    <w:name w:val="header"/>
    <w:basedOn w:val="1"/>
    <w:link w:val="101"/>
    <w:qFormat/>
    <w:uiPriority w:val="99"/>
    <w:pPr>
      <w:pBdr>
        <w:bottom w:val="single" w:color="auto" w:sz="6" w:space="1"/>
      </w:pBdr>
      <w:tabs>
        <w:tab w:val="center" w:pos="4153"/>
        <w:tab w:val="right" w:pos="8306"/>
      </w:tabs>
      <w:snapToGrid w:val="0"/>
      <w:jc w:val="center"/>
    </w:pPr>
    <w:rPr>
      <w:sz w:val="18"/>
      <w:szCs w:val="18"/>
    </w:rPr>
  </w:style>
  <w:style w:type="paragraph" w:styleId="42">
    <w:name w:val="toc 1"/>
    <w:basedOn w:val="1"/>
    <w:next w:val="1"/>
    <w:qFormat/>
    <w:uiPriority w:val="39"/>
    <w:pPr>
      <w:tabs>
        <w:tab w:val="left" w:pos="420"/>
        <w:tab w:val="right" w:leader="dot" w:pos="8640"/>
      </w:tabs>
      <w:snapToGrid w:val="0"/>
      <w:spacing w:before="120"/>
      <w:jc w:val="left"/>
    </w:pPr>
    <w:rPr>
      <w:b/>
      <w:bCs/>
      <w:iCs/>
      <w:sz w:val="24"/>
      <w:szCs w:val="28"/>
    </w:rPr>
  </w:style>
  <w:style w:type="paragraph" w:styleId="43">
    <w:name w:val="toc 4"/>
    <w:basedOn w:val="1"/>
    <w:next w:val="1"/>
    <w:qFormat/>
    <w:uiPriority w:val="39"/>
    <w:pPr>
      <w:ind w:left="630"/>
      <w:jc w:val="left"/>
    </w:pPr>
    <w:rPr>
      <w:sz w:val="18"/>
      <w:szCs w:val="18"/>
    </w:rPr>
  </w:style>
  <w:style w:type="paragraph" w:styleId="44">
    <w:name w:val="Subtitle"/>
    <w:basedOn w:val="1"/>
    <w:link w:val="102"/>
    <w:qFormat/>
    <w:uiPriority w:val="11"/>
    <w:pPr>
      <w:spacing w:before="240" w:after="60" w:line="312" w:lineRule="auto"/>
      <w:jc w:val="center"/>
      <w:outlineLvl w:val="1"/>
    </w:pPr>
    <w:rPr>
      <w:rFonts w:ascii="Arial" w:hAnsi="Arial" w:cs="Arial"/>
      <w:b/>
      <w:bCs/>
      <w:kern w:val="28"/>
      <w:sz w:val="24"/>
      <w:szCs w:val="32"/>
    </w:rPr>
  </w:style>
  <w:style w:type="paragraph" w:styleId="45">
    <w:name w:val="List"/>
    <w:basedOn w:val="1"/>
    <w:link w:val="799"/>
    <w:qFormat/>
    <w:uiPriority w:val="99"/>
    <w:pPr>
      <w:spacing w:line="360" w:lineRule="auto"/>
      <w:ind w:left="200" w:hanging="200" w:hangingChars="200"/>
    </w:pPr>
  </w:style>
  <w:style w:type="paragraph" w:styleId="46">
    <w:name w:val="footnote text"/>
    <w:basedOn w:val="1"/>
    <w:link w:val="308"/>
    <w:semiHidden/>
    <w:unhideWhenUsed/>
    <w:qFormat/>
    <w:uiPriority w:val="99"/>
    <w:pPr>
      <w:snapToGrid w:val="0"/>
      <w:spacing w:line="360" w:lineRule="auto"/>
      <w:ind w:firstLine="200" w:firstLineChars="200"/>
      <w:jc w:val="left"/>
    </w:pPr>
    <w:rPr>
      <w:rFonts w:eastAsiaTheme="minorEastAsia" w:cstheme="minorBidi"/>
      <w:sz w:val="18"/>
      <w:szCs w:val="18"/>
    </w:rPr>
  </w:style>
  <w:style w:type="paragraph" w:styleId="47">
    <w:name w:val="toc 6"/>
    <w:basedOn w:val="1"/>
    <w:next w:val="1"/>
    <w:qFormat/>
    <w:uiPriority w:val="39"/>
    <w:pPr>
      <w:ind w:left="2100" w:leftChars="1000"/>
    </w:pPr>
  </w:style>
  <w:style w:type="paragraph" w:styleId="48">
    <w:name w:val="Body Text Indent 3"/>
    <w:basedOn w:val="1"/>
    <w:link w:val="362"/>
    <w:semiHidden/>
    <w:qFormat/>
    <w:uiPriority w:val="0"/>
    <w:pPr>
      <w:spacing w:after="120" w:line="360" w:lineRule="auto"/>
      <w:ind w:left="420" w:leftChars="200"/>
    </w:pPr>
    <w:rPr>
      <w:rFonts w:asciiTheme="minorHAnsi" w:hAnsiTheme="minorHAnsi" w:cstheme="minorBidi"/>
      <w:sz w:val="16"/>
      <w:szCs w:val="16"/>
    </w:rPr>
  </w:style>
  <w:style w:type="paragraph" w:styleId="49">
    <w:name w:val="table of figures"/>
    <w:basedOn w:val="1"/>
    <w:next w:val="1"/>
    <w:qFormat/>
    <w:uiPriority w:val="99"/>
    <w:pPr>
      <w:widowControl/>
      <w:tabs>
        <w:tab w:val="right" w:leader="dot" w:pos="8889"/>
      </w:tabs>
      <w:spacing w:line="360" w:lineRule="auto"/>
      <w:jc w:val="left"/>
    </w:pPr>
    <w:rPr>
      <w:kern w:val="0"/>
      <w:sz w:val="24"/>
    </w:rPr>
  </w:style>
  <w:style w:type="paragraph" w:styleId="50">
    <w:name w:val="toc 2"/>
    <w:basedOn w:val="1"/>
    <w:next w:val="1"/>
    <w:qFormat/>
    <w:uiPriority w:val="39"/>
    <w:pPr>
      <w:tabs>
        <w:tab w:val="left" w:pos="735"/>
        <w:tab w:val="right" w:leader="dot" w:pos="8610"/>
      </w:tabs>
      <w:spacing w:before="120"/>
      <w:ind w:left="210"/>
      <w:jc w:val="left"/>
    </w:pPr>
    <w:rPr>
      <w:bCs/>
      <w:sz w:val="24"/>
      <w:szCs w:val="26"/>
    </w:rPr>
  </w:style>
  <w:style w:type="paragraph" w:styleId="51">
    <w:name w:val="toc 9"/>
    <w:basedOn w:val="1"/>
    <w:next w:val="1"/>
    <w:qFormat/>
    <w:uiPriority w:val="39"/>
    <w:pPr>
      <w:ind w:left="3360" w:leftChars="1600"/>
    </w:pPr>
  </w:style>
  <w:style w:type="paragraph" w:styleId="52">
    <w:name w:val="Body Text 2"/>
    <w:basedOn w:val="1"/>
    <w:link w:val="264"/>
    <w:unhideWhenUsed/>
    <w:qFormat/>
    <w:uiPriority w:val="0"/>
    <w:pPr>
      <w:spacing w:after="120" w:line="480" w:lineRule="auto"/>
      <w:ind w:firstLine="200" w:firstLineChars="200"/>
    </w:pPr>
    <w:rPr>
      <w:sz w:val="24"/>
    </w:rPr>
  </w:style>
  <w:style w:type="paragraph" w:styleId="53">
    <w:name w:val="List Continue 2"/>
    <w:basedOn w:val="1"/>
    <w:semiHidden/>
    <w:qFormat/>
    <w:uiPriority w:val="0"/>
    <w:pPr>
      <w:spacing w:after="120" w:line="360" w:lineRule="auto"/>
      <w:ind w:left="840" w:leftChars="400"/>
      <w:jc w:val="left"/>
    </w:pPr>
    <w:rPr>
      <w:sz w:val="24"/>
      <w:szCs w:val="20"/>
    </w:rPr>
  </w:style>
  <w:style w:type="paragraph" w:styleId="54">
    <w:name w:val="Message Header"/>
    <w:basedOn w:val="1"/>
    <w:link w:val="103"/>
    <w:semiHidden/>
    <w:qFormat/>
    <w:uiPriority w:val="0"/>
    <w:pPr>
      <w:pBdr>
        <w:top w:val="single" w:color="auto" w:sz="6" w:space="1"/>
        <w:left w:val="single" w:color="auto" w:sz="6" w:space="1"/>
        <w:bottom w:val="single" w:color="auto" w:sz="6" w:space="1"/>
        <w:right w:val="single" w:color="auto" w:sz="6" w:space="1"/>
      </w:pBdr>
      <w:shd w:val="pct20" w:color="auto" w:fill="auto"/>
      <w:ind w:left="1080" w:leftChars="500" w:hanging="1080" w:hangingChars="500"/>
    </w:pPr>
    <w:rPr>
      <w:rFonts w:ascii="Arial" w:hAnsi="Arial" w:cs="Arial"/>
      <w:sz w:val="24"/>
    </w:rPr>
  </w:style>
  <w:style w:type="paragraph" w:styleId="55">
    <w:name w:val="HTML Preformatted"/>
    <w:basedOn w:val="1"/>
    <w:link w:val="239"/>
    <w:semiHidden/>
    <w:unhideWhenUsed/>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56">
    <w:name w:val="Normal (Web)"/>
    <w:basedOn w:val="1"/>
    <w:unhideWhenUsed/>
    <w:qFormat/>
    <w:uiPriority w:val="0"/>
    <w:pPr>
      <w:widowControl/>
      <w:spacing w:before="100" w:beforeAutospacing="1" w:after="100" w:afterAutospacing="1"/>
      <w:jc w:val="left"/>
    </w:pPr>
    <w:rPr>
      <w:rFonts w:ascii="宋体" w:hAnsi="宋体" w:cs="宋体"/>
      <w:kern w:val="0"/>
      <w:sz w:val="24"/>
    </w:rPr>
  </w:style>
  <w:style w:type="paragraph" w:styleId="57">
    <w:name w:val="List Continue 3"/>
    <w:basedOn w:val="1"/>
    <w:semiHidden/>
    <w:qFormat/>
    <w:uiPriority w:val="0"/>
    <w:pPr>
      <w:spacing w:after="120" w:line="360" w:lineRule="auto"/>
      <w:ind w:left="1260" w:leftChars="600"/>
      <w:jc w:val="left"/>
    </w:pPr>
    <w:rPr>
      <w:sz w:val="24"/>
      <w:szCs w:val="20"/>
    </w:rPr>
  </w:style>
  <w:style w:type="paragraph" w:styleId="58">
    <w:name w:val="index 1"/>
    <w:basedOn w:val="1"/>
    <w:next w:val="1"/>
    <w:semiHidden/>
    <w:qFormat/>
    <w:uiPriority w:val="0"/>
    <w:pPr>
      <w:spacing w:line="320" w:lineRule="exact"/>
      <w:jc w:val="center"/>
    </w:pPr>
    <w:rPr>
      <w:rFonts w:ascii="宋体" w:hAnsi="宋体"/>
    </w:rPr>
  </w:style>
  <w:style w:type="paragraph" w:styleId="59">
    <w:name w:val="Title"/>
    <w:basedOn w:val="1"/>
    <w:next w:val="1"/>
    <w:link w:val="294"/>
    <w:qFormat/>
    <w:uiPriority w:val="10"/>
    <w:pPr>
      <w:spacing w:line="360" w:lineRule="auto"/>
      <w:jc w:val="center"/>
    </w:pPr>
    <w:rPr>
      <w:rFonts w:cstheme="majorBidi"/>
      <w:b/>
      <w:bCs/>
      <w:sz w:val="24"/>
      <w:szCs w:val="32"/>
    </w:rPr>
  </w:style>
  <w:style w:type="paragraph" w:styleId="60">
    <w:name w:val="annotation subject"/>
    <w:basedOn w:val="23"/>
    <w:next w:val="23"/>
    <w:link w:val="92"/>
    <w:qFormat/>
    <w:uiPriority w:val="99"/>
    <w:rPr>
      <w:b/>
      <w:bCs/>
    </w:rPr>
  </w:style>
  <w:style w:type="paragraph" w:styleId="61">
    <w:name w:val="Body Text First Indent"/>
    <w:basedOn w:val="1"/>
    <w:link w:val="93"/>
    <w:qFormat/>
    <w:uiPriority w:val="0"/>
    <w:pPr>
      <w:topLinePunct/>
      <w:adjustRightInd w:val="0"/>
      <w:snapToGrid w:val="0"/>
      <w:spacing w:line="420" w:lineRule="exact"/>
      <w:ind w:firstLine="480" w:firstLineChars="200"/>
      <w:textAlignment w:val="baseline"/>
    </w:pPr>
    <w:rPr>
      <w:kern w:val="0"/>
      <w:sz w:val="24"/>
      <w:szCs w:val="20"/>
    </w:rPr>
  </w:style>
  <w:style w:type="paragraph" w:styleId="62">
    <w:name w:val="Body Text First Indent 2"/>
    <w:basedOn w:val="27"/>
    <w:link w:val="299"/>
    <w:semiHidden/>
    <w:unhideWhenUsed/>
    <w:qFormat/>
    <w:uiPriority w:val="0"/>
    <w:pPr>
      <w:spacing w:line="240" w:lineRule="auto"/>
      <w:ind w:firstLine="420"/>
    </w:pPr>
    <w:rPr>
      <w:sz w:val="21"/>
    </w:rPr>
  </w:style>
  <w:style w:type="table" w:styleId="64">
    <w:name w:val="Table Grid"/>
    <w:basedOn w:val="63"/>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65">
    <w:name w:val="Table Theme"/>
    <w:basedOn w:val="63"/>
    <w:qFormat/>
    <w:uiPriority w:val="0"/>
    <w:pPr>
      <w:widowControl w:val="0"/>
      <w:ind w:firstLine="51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66">
    <w:name w:val="Table Grid 5"/>
    <w:basedOn w:val="63"/>
    <w:semiHidden/>
    <w:qFormat/>
    <w:uiPriority w:val="0"/>
    <w:pPr>
      <w:widowControl w:val="0"/>
      <w:jc w:val="both"/>
    </w:p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blPr/>
      <w:tcPr>
        <w:tcBorders>
          <w:bottom w:val="single" w:color="000000" w:sz="12" w:space="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color="000000" w:sz="6" w:space="0"/>
          <w:tr2bl w:val="nil"/>
        </w:tcBorders>
      </w:tcPr>
    </w:tblStylePr>
  </w:style>
  <w:style w:type="table" w:styleId="67">
    <w:name w:val="Table Grid 6"/>
    <w:basedOn w:val="63"/>
    <w:semiHidden/>
    <w:qFormat/>
    <w:uiPriority w:val="0"/>
    <w:pPr>
      <w:widowControl w:val="0"/>
      <w:jc w:val="both"/>
    </w:pPr>
    <w:tblPr>
      <w:tblBorders>
        <w:top w:val="single" w:color="000000" w:sz="12" w:space="0"/>
        <w:left w:val="single" w:color="000000" w:sz="12" w:space="0"/>
        <w:bottom w:val="single" w:color="000000" w:sz="12" w:space="0"/>
        <w:right w:val="single" w:color="000000" w:sz="12" w:space="0"/>
        <w:insideV w:val="single" w:color="000000" w:sz="6" w:space="0"/>
      </w:tblBorders>
    </w:tblPr>
    <w:tcPr>
      <w:shd w:val="clear" w:color="auto" w:fill="auto"/>
    </w:tcPr>
    <w:tblStylePr w:type="firstRow">
      <w:rPr>
        <w:b/>
        <w:bCs/>
      </w:rPr>
      <w:tblPr/>
      <w:tcPr>
        <w:tcBorders>
          <w:bottom w:val="single" w:color="000000" w:sz="6" w:space="0"/>
          <w:tl2br w:val="nil"/>
          <w:tr2bl w:val="nil"/>
        </w:tcBorders>
      </w:tcPr>
    </w:tblStylePr>
    <w:tblStylePr w:type="lastRow">
      <w:rPr>
        <w:color w:val="auto"/>
      </w:rPr>
      <w:tblPr/>
      <w:tcPr>
        <w:tcBorders>
          <w:top w:val="single" w:color="000000" w:sz="6" w:space="0"/>
          <w:tl2br w:val="nil"/>
          <w:tr2bl w:val="nil"/>
        </w:tcBorders>
      </w:tcPr>
    </w:tblStylePr>
    <w:tblStylePr w:type="firstCol">
      <w:rPr>
        <w:b/>
        <w:bCs/>
      </w:rPr>
      <w:tblPr/>
      <w:tcPr>
        <w:tcBorders>
          <w:tl2br w:val="nil"/>
          <w:tr2bl w:val="nil"/>
        </w:tcBorders>
      </w:tcPr>
    </w:tblStylePr>
    <w:tblStylePr w:type="nwCell">
      <w:tblPr/>
      <w:tcPr>
        <w:tcBorders>
          <w:tl2br w:val="single" w:color="000000" w:sz="6" w:space="0"/>
          <w:tr2bl w:val="nil"/>
        </w:tcBorders>
      </w:tcPr>
    </w:tblStylePr>
  </w:style>
  <w:style w:type="table" w:styleId="68">
    <w:name w:val="Light Shading"/>
    <w:basedOn w:val="63"/>
    <w:qFormat/>
    <w:uiPriority w:val="60"/>
    <w:rPr>
      <w:rFonts w:asciiTheme="minorHAnsi" w:hAnsiTheme="minorHAnsi" w:eastAsiaTheme="minorEastAsia" w:cstheme="minorBidi"/>
      <w:color w:val="000000" w:themeColor="text1" w:themeShade="BF"/>
      <w:kern w:val="2"/>
      <w:sz w:val="21"/>
      <w:szCs w:val="22"/>
    </w:rPr>
    <w:tblPr>
      <w:tblBorders>
        <w:top w:val="single" w:color="000000" w:themeColor="text1" w:sz="8" w:space="0"/>
        <w:bottom w:val="single" w:color="000000" w:themeColor="text1" w:sz="8" w:space="0"/>
      </w:tblBorders>
    </w:tblPr>
    <w:tblStylePr w:type="fir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la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FBFBF" w:themeFill="text1" w:themeFillTint="3F"/>
      </w:tcPr>
    </w:tblStylePr>
    <w:tblStylePr w:type="band1Horz">
      <w:tblPr/>
      <w:tcPr>
        <w:tcBorders>
          <w:left w:val="nil"/>
          <w:right w:val="nil"/>
          <w:insideH w:val="nil"/>
          <w:insideV w:val="nil"/>
        </w:tcBorders>
        <w:shd w:val="clear" w:color="auto" w:fill="BFBFBF" w:themeFill="text1" w:themeFillTint="3F"/>
      </w:tcPr>
    </w:tblStylePr>
  </w:style>
  <w:style w:type="table" w:styleId="69">
    <w:name w:val="Light Shading Accent 4"/>
    <w:basedOn w:val="63"/>
    <w:qFormat/>
    <w:uiPriority w:val="60"/>
    <w:rPr>
      <w:rFonts w:asciiTheme="minorHAnsi" w:hAnsiTheme="minorHAnsi" w:eastAsiaTheme="minorEastAsia" w:cstheme="minorBidi"/>
      <w:color w:val="BF9000" w:themeColor="accent4" w:themeShade="BF"/>
      <w:kern w:val="2"/>
      <w:sz w:val="21"/>
      <w:szCs w:val="22"/>
    </w:rPr>
    <w:tblPr>
      <w:tblBorders>
        <w:top w:val="single" w:color="FFC000" w:themeColor="accent4" w:sz="8" w:space="0"/>
        <w:bottom w:val="single" w:color="FFC000" w:themeColor="accent4" w:sz="8" w:space="0"/>
      </w:tblBorders>
    </w:tblPr>
    <w:tblStylePr w:type="firstRow">
      <w:pPr>
        <w:spacing w:before="0" w:after="0" w:line="240" w:lineRule="auto"/>
      </w:pPr>
      <w:rPr>
        <w:b/>
        <w:bCs/>
      </w:rPr>
      <w:tblPr/>
      <w:tcPr>
        <w:tcBorders>
          <w:top w:val="single" w:color="FFC000" w:themeColor="accent4" w:sz="8" w:space="0"/>
          <w:left w:val="nil"/>
          <w:bottom w:val="single" w:color="FFC000" w:themeColor="accent4" w:sz="8" w:space="0"/>
          <w:right w:val="nil"/>
          <w:insideH w:val="nil"/>
          <w:insideV w:val="nil"/>
        </w:tcBorders>
      </w:tcPr>
    </w:tblStylePr>
    <w:tblStylePr w:type="lastRow">
      <w:pPr>
        <w:spacing w:before="0" w:after="0" w:line="240" w:lineRule="auto"/>
      </w:pPr>
      <w:rPr>
        <w:b/>
        <w:bCs/>
      </w:rPr>
      <w:tblPr/>
      <w:tcPr>
        <w:tcBorders>
          <w:top w:val="single" w:color="FFC000" w:themeColor="accent4" w:sz="8" w:space="0"/>
          <w:left w:val="nil"/>
          <w:bottom w:val="single" w:color="FFC000" w:themeColor="accent4"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BF" w:themeFill="accent4" w:themeFillTint="3F"/>
      </w:tcPr>
    </w:tblStylePr>
    <w:tblStylePr w:type="band1Horz">
      <w:tblPr/>
      <w:tcPr>
        <w:tcBorders>
          <w:left w:val="nil"/>
          <w:right w:val="nil"/>
          <w:insideH w:val="nil"/>
          <w:insideV w:val="nil"/>
        </w:tcBorders>
        <w:shd w:val="clear" w:color="auto" w:fill="FFEFBF" w:themeFill="accent4" w:themeFillTint="3F"/>
      </w:tcPr>
    </w:tblStylePr>
  </w:style>
  <w:style w:type="character" w:styleId="71">
    <w:name w:val="Strong"/>
    <w:qFormat/>
    <w:uiPriority w:val="22"/>
    <w:rPr>
      <w:b/>
      <w:bCs/>
    </w:rPr>
  </w:style>
  <w:style w:type="character" w:styleId="72">
    <w:name w:val="endnote reference"/>
    <w:basedOn w:val="70"/>
    <w:semiHidden/>
    <w:unhideWhenUsed/>
    <w:qFormat/>
    <w:uiPriority w:val="99"/>
    <w:rPr>
      <w:vertAlign w:val="superscript"/>
    </w:rPr>
  </w:style>
  <w:style w:type="character" w:styleId="73">
    <w:name w:val="page number"/>
    <w:basedOn w:val="70"/>
    <w:qFormat/>
    <w:uiPriority w:val="0"/>
  </w:style>
  <w:style w:type="character" w:styleId="74">
    <w:name w:val="FollowedHyperlink"/>
    <w:qFormat/>
    <w:uiPriority w:val="99"/>
    <w:rPr>
      <w:color w:val="800080"/>
      <w:u w:val="single"/>
    </w:rPr>
  </w:style>
  <w:style w:type="character" w:styleId="75">
    <w:name w:val="Emphasis"/>
    <w:qFormat/>
    <w:uiPriority w:val="0"/>
    <w:rPr>
      <w:color w:val="CC0000"/>
    </w:rPr>
  </w:style>
  <w:style w:type="character" w:styleId="76">
    <w:name w:val="Hyperlink"/>
    <w:qFormat/>
    <w:uiPriority w:val="99"/>
    <w:rPr>
      <w:color w:val="0000FF"/>
      <w:u w:val="single"/>
    </w:rPr>
  </w:style>
  <w:style w:type="character" w:styleId="77">
    <w:name w:val="annotation reference"/>
    <w:qFormat/>
    <w:uiPriority w:val="99"/>
    <w:rPr>
      <w:sz w:val="21"/>
      <w:szCs w:val="21"/>
    </w:rPr>
  </w:style>
  <w:style w:type="character" w:styleId="78">
    <w:name w:val="footnote reference"/>
    <w:basedOn w:val="70"/>
    <w:semiHidden/>
    <w:unhideWhenUsed/>
    <w:qFormat/>
    <w:uiPriority w:val="99"/>
    <w:rPr>
      <w:vertAlign w:val="superscript"/>
    </w:rPr>
  </w:style>
  <w:style w:type="paragraph" w:customStyle="1" w:styleId="79">
    <w:name w:val="样式1"/>
    <w:hidden/>
    <w:qFormat/>
    <w:uiPriority w:val="99"/>
    <w:pPr>
      <w:jc w:val="center"/>
    </w:pPr>
    <w:rPr>
      <w:rFonts w:eastAsia="Times New Roman" w:asciiTheme="minorHAnsi" w:hAnsiTheme="minorHAnsi" w:cstheme="minorBidi"/>
      <w:kern w:val="2"/>
      <w:sz w:val="21"/>
      <w:szCs w:val="22"/>
    </w:rPr>
  </w:style>
  <w:style w:type="character" w:customStyle="1" w:styleId="80">
    <w:name w:val="标题 1 字符"/>
    <w:link w:val="3"/>
    <w:qFormat/>
    <w:uiPriority w:val="9"/>
    <w:rPr>
      <w:b/>
      <w:kern w:val="44"/>
      <w:sz w:val="32"/>
      <w:szCs w:val="21"/>
    </w:rPr>
  </w:style>
  <w:style w:type="character" w:customStyle="1" w:styleId="81">
    <w:name w:val="标题 2 字符"/>
    <w:link w:val="4"/>
    <w:qFormat/>
    <w:uiPriority w:val="9"/>
    <w:rPr>
      <w:b/>
      <w:bCs/>
      <w:smallCaps/>
      <w:kern w:val="2"/>
      <w:sz w:val="30"/>
      <w:szCs w:val="28"/>
    </w:rPr>
  </w:style>
  <w:style w:type="character" w:customStyle="1" w:styleId="82">
    <w:name w:val="正文首行缩进 2 + Times New Roman Char"/>
    <w:link w:val="9"/>
    <w:qFormat/>
    <w:uiPriority w:val="0"/>
    <w:rPr>
      <w:sz w:val="24"/>
      <w:szCs w:val="24"/>
    </w:rPr>
  </w:style>
  <w:style w:type="character" w:customStyle="1" w:styleId="83">
    <w:name w:val="0正文样式 Char"/>
    <w:link w:val="8"/>
    <w:qFormat/>
    <w:uiPriority w:val="0"/>
    <w:rPr>
      <w:sz w:val="24"/>
      <w:szCs w:val="24"/>
    </w:rPr>
  </w:style>
  <w:style w:type="character" w:customStyle="1" w:styleId="84">
    <w:name w:val="标题 3 字符"/>
    <w:link w:val="5"/>
    <w:qFormat/>
    <w:uiPriority w:val="9"/>
    <w:rPr>
      <w:b/>
      <w:bCs/>
      <w:kern w:val="2"/>
      <w:sz w:val="28"/>
      <w:szCs w:val="21"/>
    </w:rPr>
  </w:style>
  <w:style w:type="character" w:customStyle="1" w:styleId="85">
    <w:name w:val="标题 4 字符"/>
    <w:link w:val="6"/>
    <w:qFormat/>
    <w:uiPriority w:val="9"/>
    <w:rPr>
      <w:b/>
      <w:bCs/>
      <w:smallCaps/>
      <w:kern w:val="2"/>
      <w:sz w:val="24"/>
      <w:szCs w:val="24"/>
    </w:rPr>
  </w:style>
  <w:style w:type="character" w:customStyle="1" w:styleId="86">
    <w:name w:val="标题 5 字符"/>
    <w:link w:val="7"/>
    <w:qFormat/>
    <w:uiPriority w:val="9"/>
    <w:rPr>
      <w:b/>
      <w:sz w:val="24"/>
      <w:szCs w:val="21"/>
    </w:rPr>
  </w:style>
  <w:style w:type="character" w:customStyle="1" w:styleId="87">
    <w:name w:val="标题 6 字符"/>
    <w:link w:val="10"/>
    <w:qFormat/>
    <w:uiPriority w:val="9"/>
    <w:rPr>
      <w:rFonts w:ascii="Arial" w:hAnsi="Arial" w:eastAsia="黑体"/>
      <w:b/>
      <w:bCs/>
      <w:sz w:val="24"/>
      <w:szCs w:val="24"/>
    </w:rPr>
  </w:style>
  <w:style w:type="character" w:customStyle="1" w:styleId="88">
    <w:name w:val="标题 7 字符"/>
    <w:link w:val="11"/>
    <w:qFormat/>
    <w:uiPriority w:val="9"/>
    <w:rPr>
      <w:b/>
      <w:bCs/>
      <w:sz w:val="24"/>
      <w:szCs w:val="24"/>
    </w:rPr>
  </w:style>
  <w:style w:type="character" w:customStyle="1" w:styleId="89">
    <w:name w:val="标题 8 字符"/>
    <w:link w:val="12"/>
    <w:qFormat/>
    <w:uiPriority w:val="9"/>
    <w:rPr>
      <w:rFonts w:ascii="Arial" w:hAnsi="Arial" w:eastAsia="黑体"/>
      <w:sz w:val="24"/>
      <w:szCs w:val="24"/>
    </w:rPr>
  </w:style>
  <w:style w:type="character" w:customStyle="1" w:styleId="90">
    <w:name w:val="标题 9 字符"/>
    <w:link w:val="13"/>
    <w:qFormat/>
    <w:uiPriority w:val="9"/>
    <w:rPr>
      <w:rFonts w:ascii="Arial" w:hAnsi="Arial" w:eastAsia="黑体"/>
      <w:sz w:val="21"/>
      <w:szCs w:val="21"/>
    </w:rPr>
  </w:style>
  <w:style w:type="character" w:customStyle="1" w:styleId="91">
    <w:name w:val="批注文字 字符"/>
    <w:link w:val="23"/>
    <w:qFormat/>
    <w:uiPriority w:val="99"/>
    <w:rPr>
      <w:kern w:val="2"/>
      <w:sz w:val="21"/>
      <w:szCs w:val="24"/>
    </w:rPr>
  </w:style>
  <w:style w:type="character" w:customStyle="1" w:styleId="92">
    <w:name w:val="批注主题 字符"/>
    <w:link w:val="60"/>
    <w:semiHidden/>
    <w:qFormat/>
    <w:uiPriority w:val="99"/>
    <w:rPr>
      <w:b/>
      <w:bCs/>
      <w:kern w:val="2"/>
      <w:sz w:val="21"/>
      <w:szCs w:val="24"/>
    </w:rPr>
  </w:style>
  <w:style w:type="character" w:customStyle="1" w:styleId="93">
    <w:name w:val="正文文本首行缩进 字符"/>
    <w:link w:val="61"/>
    <w:qFormat/>
    <w:uiPriority w:val="0"/>
    <w:rPr>
      <w:sz w:val="24"/>
    </w:rPr>
  </w:style>
  <w:style w:type="character" w:customStyle="1" w:styleId="94">
    <w:name w:val="题注 字符1"/>
    <w:link w:val="20"/>
    <w:qFormat/>
    <w:uiPriority w:val="0"/>
    <w:rPr>
      <w:b/>
      <w:kern w:val="2"/>
      <w:sz w:val="24"/>
      <w:szCs w:val="24"/>
    </w:rPr>
  </w:style>
  <w:style w:type="character" w:customStyle="1" w:styleId="95">
    <w:name w:val="文档结构图 字符"/>
    <w:link w:val="22"/>
    <w:qFormat/>
    <w:uiPriority w:val="99"/>
    <w:rPr>
      <w:rFonts w:eastAsia="宋体"/>
      <w:kern w:val="2"/>
      <w:sz w:val="21"/>
      <w:szCs w:val="24"/>
      <w:lang w:val="en-US" w:eastAsia="zh-CN" w:bidi="ar-SA"/>
    </w:rPr>
  </w:style>
  <w:style w:type="character" w:customStyle="1" w:styleId="96">
    <w:name w:val="正文文本 字符"/>
    <w:link w:val="26"/>
    <w:qFormat/>
    <w:uiPriority w:val="99"/>
    <w:rPr>
      <w:kern w:val="2"/>
      <w:sz w:val="21"/>
      <w:szCs w:val="24"/>
    </w:rPr>
  </w:style>
  <w:style w:type="character" w:customStyle="1" w:styleId="97">
    <w:name w:val="纯文本 字符"/>
    <w:link w:val="32"/>
    <w:qFormat/>
    <w:uiPriority w:val="0"/>
    <w:rPr>
      <w:rFonts w:ascii="宋体" w:hAnsi="Courier New" w:eastAsia="宋体" w:cs="Courier New"/>
      <w:kern w:val="2"/>
      <w:sz w:val="21"/>
      <w:szCs w:val="24"/>
    </w:rPr>
  </w:style>
  <w:style w:type="character" w:customStyle="1" w:styleId="98">
    <w:name w:val="日期 字符"/>
    <w:link w:val="36"/>
    <w:qFormat/>
    <w:uiPriority w:val="0"/>
    <w:rPr>
      <w:kern w:val="2"/>
      <w:sz w:val="21"/>
      <w:szCs w:val="24"/>
    </w:rPr>
  </w:style>
  <w:style w:type="character" w:customStyle="1" w:styleId="99">
    <w:name w:val="批注框文本 字符"/>
    <w:link w:val="39"/>
    <w:qFormat/>
    <w:uiPriority w:val="99"/>
    <w:rPr>
      <w:kern w:val="2"/>
      <w:sz w:val="18"/>
      <w:szCs w:val="18"/>
    </w:rPr>
  </w:style>
  <w:style w:type="character" w:customStyle="1" w:styleId="100">
    <w:name w:val="页脚 字符"/>
    <w:link w:val="40"/>
    <w:qFormat/>
    <w:uiPriority w:val="99"/>
    <w:rPr>
      <w:kern w:val="2"/>
      <w:sz w:val="18"/>
      <w:szCs w:val="18"/>
    </w:rPr>
  </w:style>
  <w:style w:type="character" w:customStyle="1" w:styleId="101">
    <w:name w:val="页眉 字符"/>
    <w:link w:val="41"/>
    <w:qFormat/>
    <w:uiPriority w:val="99"/>
    <w:rPr>
      <w:rFonts w:eastAsia="宋体"/>
      <w:kern w:val="2"/>
      <w:sz w:val="18"/>
      <w:szCs w:val="18"/>
      <w:lang w:val="en-US" w:eastAsia="zh-CN" w:bidi="ar-SA"/>
    </w:rPr>
  </w:style>
  <w:style w:type="character" w:customStyle="1" w:styleId="102">
    <w:name w:val="副标题 字符"/>
    <w:link w:val="44"/>
    <w:qFormat/>
    <w:uiPriority w:val="11"/>
    <w:rPr>
      <w:rFonts w:ascii="Arial" w:hAnsi="Arial" w:cs="Arial"/>
      <w:b/>
      <w:bCs/>
      <w:kern w:val="28"/>
      <w:sz w:val="24"/>
      <w:szCs w:val="32"/>
    </w:rPr>
  </w:style>
  <w:style w:type="character" w:customStyle="1" w:styleId="103">
    <w:name w:val="信息标题 字符"/>
    <w:link w:val="54"/>
    <w:semiHidden/>
    <w:qFormat/>
    <w:uiPriority w:val="0"/>
    <w:rPr>
      <w:rFonts w:ascii="Arial" w:hAnsi="Arial" w:cs="Arial"/>
      <w:kern w:val="2"/>
      <w:sz w:val="24"/>
      <w:szCs w:val="24"/>
      <w:shd w:val="pct20" w:color="auto" w:fill="auto"/>
    </w:rPr>
  </w:style>
  <w:style w:type="character" w:customStyle="1" w:styleId="104">
    <w:name w:val="表格备注"/>
    <w:qFormat/>
    <w:uiPriority w:val="0"/>
    <w:rPr>
      <w:rFonts w:ascii="华文楷体" w:hAnsi="华文楷体" w:eastAsia="楷体_GB2312"/>
      <w:kern w:val="0"/>
      <w:sz w:val="21"/>
    </w:rPr>
  </w:style>
  <w:style w:type="paragraph" w:customStyle="1" w:styleId="105">
    <w:name w:val="表格文字2"/>
    <w:basedOn w:val="1"/>
    <w:link w:val="106"/>
    <w:qFormat/>
    <w:uiPriority w:val="0"/>
    <w:pPr>
      <w:tabs>
        <w:tab w:val="left" w:pos="277"/>
        <w:tab w:val="left" w:pos="600"/>
        <w:tab w:val="left" w:pos="780"/>
        <w:tab w:val="left" w:pos="2517"/>
      </w:tabs>
      <w:adjustRightInd w:val="0"/>
      <w:spacing w:before="60"/>
      <w:jc w:val="center"/>
      <w:textAlignment w:val="baseline"/>
    </w:pPr>
    <w:rPr>
      <w:kern w:val="0"/>
      <w:szCs w:val="21"/>
    </w:rPr>
  </w:style>
  <w:style w:type="character" w:customStyle="1" w:styleId="106">
    <w:name w:val="表格文字2 Char"/>
    <w:link w:val="105"/>
    <w:qFormat/>
    <w:uiPriority w:val="0"/>
    <w:rPr>
      <w:sz w:val="21"/>
      <w:szCs w:val="21"/>
    </w:rPr>
  </w:style>
  <w:style w:type="paragraph" w:customStyle="1" w:styleId="107">
    <w:name w:val="表格文字1"/>
    <w:basedOn w:val="105"/>
    <w:qFormat/>
    <w:uiPriority w:val="0"/>
  </w:style>
  <w:style w:type="paragraph" w:customStyle="1" w:styleId="108">
    <w:name w:val="封面工程项目名称"/>
    <w:basedOn w:val="1"/>
    <w:qFormat/>
    <w:uiPriority w:val="0"/>
    <w:pPr>
      <w:spacing w:line="360" w:lineRule="auto"/>
      <w:jc w:val="center"/>
    </w:pPr>
    <w:rPr>
      <w:rFonts w:eastAsia="楷体_GB2312" w:cs="宋体"/>
      <w:b/>
      <w:bCs/>
      <w:spacing w:val="24"/>
      <w:sz w:val="52"/>
      <w:szCs w:val="20"/>
    </w:rPr>
  </w:style>
  <w:style w:type="paragraph" w:customStyle="1" w:styleId="109">
    <w:name w:val="环境影响报告书"/>
    <w:basedOn w:val="1"/>
    <w:next w:val="1"/>
    <w:qFormat/>
    <w:uiPriority w:val="0"/>
    <w:pPr>
      <w:jc w:val="center"/>
    </w:pPr>
    <w:rPr>
      <w:rFonts w:eastAsia="黑体" w:cs="宋体"/>
      <w:b/>
      <w:bCs/>
      <w:spacing w:val="30"/>
      <w:sz w:val="52"/>
      <w:szCs w:val="20"/>
    </w:rPr>
  </w:style>
  <w:style w:type="paragraph" w:customStyle="1" w:styleId="110">
    <w:name w:val="环科院名称"/>
    <w:basedOn w:val="1"/>
    <w:qFormat/>
    <w:uiPriority w:val="0"/>
    <w:pPr>
      <w:ind w:left="-7" w:leftChars="-10" w:hanging="14" w:hangingChars="4"/>
      <w:jc w:val="center"/>
    </w:pPr>
    <w:rPr>
      <w:rFonts w:ascii="楷体_GB2312" w:hAnsi="华文楷体" w:eastAsia="楷体_GB2312" w:cs="宋体"/>
      <w:b/>
      <w:bCs/>
      <w:spacing w:val="20"/>
      <w:sz w:val="32"/>
      <w:szCs w:val="20"/>
    </w:rPr>
  </w:style>
  <w:style w:type="paragraph" w:customStyle="1" w:styleId="111">
    <w:name w:val="环科院英文名称"/>
    <w:basedOn w:val="1"/>
    <w:qFormat/>
    <w:uiPriority w:val="0"/>
    <w:pPr>
      <w:pBdr>
        <w:top w:val="single" w:color="auto" w:sz="4" w:space="1"/>
        <w:between w:val="single" w:color="auto" w:sz="4" w:space="1"/>
      </w:pBdr>
      <w:ind w:firstLine="21" w:firstLineChars="10"/>
      <w:jc w:val="center"/>
    </w:pPr>
    <w:rPr>
      <w:rFonts w:cs="宋体"/>
      <w:szCs w:val="20"/>
    </w:rPr>
  </w:style>
  <w:style w:type="paragraph" w:customStyle="1" w:styleId="112">
    <w:name w:val="目录"/>
    <w:basedOn w:val="1"/>
    <w:next w:val="1"/>
    <w:qFormat/>
    <w:uiPriority w:val="0"/>
    <w:pPr>
      <w:spacing w:before="240" w:after="240" w:line="312" w:lineRule="auto"/>
      <w:jc w:val="center"/>
    </w:pPr>
    <w:rPr>
      <w:rFonts w:cs="宋体"/>
      <w:b/>
      <w:bCs/>
      <w:sz w:val="36"/>
      <w:szCs w:val="20"/>
    </w:rPr>
  </w:style>
  <w:style w:type="table" w:customStyle="1" w:styleId="113">
    <w:name w:val="三线表"/>
    <w:basedOn w:val="63"/>
    <w:qFormat/>
    <w:uiPriority w:val="0"/>
    <w:pPr>
      <w:jc w:val="center"/>
    </w:pPr>
    <w:rPr>
      <w:sz w:val="21"/>
    </w:rPr>
    <w:tblPr>
      <w:tblBorders>
        <w:top w:val="single" w:color="auto" w:sz="12" w:space="0"/>
        <w:bottom w:val="single" w:color="auto" w:sz="12" w:space="0"/>
        <w:insideH w:val="single" w:color="auto" w:sz="4" w:space="0"/>
        <w:insideV w:val="single" w:color="auto" w:sz="4" w:space="0"/>
      </w:tblBorders>
    </w:tblPr>
    <w:tcPr>
      <w:vAlign w:val="center"/>
    </w:tcPr>
    <w:tblStylePr w:type="firstRow">
      <w:rPr>
        <w:rFonts w:eastAsia="宋体"/>
        <w:sz w:val="21"/>
      </w:rPr>
      <w:tcPr>
        <w:tcBorders>
          <w:bottom w:val="single" w:color="auto" w:sz="12" w:space="0"/>
        </w:tcBorders>
      </w:tcPr>
    </w:tblStylePr>
  </w:style>
  <w:style w:type="paragraph" w:customStyle="1" w:styleId="114">
    <w:name w:val="送审/报批稿"/>
    <w:basedOn w:val="1"/>
    <w:next w:val="1"/>
    <w:qFormat/>
    <w:uiPriority w:val="0"/>
    <w:pPr>
      <w:jc w:val="center"/>
    </w:pPr>
    <w:rPr>
      <w:rFonts w:ascii="华文新魏" w:eastAsia="华文新魏" w:cs="宋体"/>
      <w:sz w:val="44"/>
      <w:szCs w:val="20"/>
    </w:rPr>
  </w:style>
  <w:style w:type="paragraph" w:customStyle="1" w:styleId="115">
    <w:name w:val="附件抬头"/>
    <w:basedOn w:val="1"/>
    <w:next w:val="9"/>
    <w:qFormat/>
    <w:uiPriority w:val="0"/>
    <w:pPr>
      <w:jc w:val="left"/>
      <w:outlineLvl w:val="0"/>
    </w:pPr>
    <w:rPr>
      <w:b/>
      <w:sz w:val="28"/>
    </w:rPr>
  </w:style>
  <w:style w:type="paragraph" w:customStyle="1" w:styleId="116">
    <w:name w:val="宋体"/>
    <w:basedOn w:val="1"/>
    <w:link w:val="117"/>
    <w:qFormat/>
    <w:uiPriority w:val="0"/>
    <w:pPr>
      <w:topLinePunct/>
      <w:adjustRightInd w:val="0"/>
      <w:snapToGrid w:val="0"/>
      <w:spacing w:line="360" w:lineRule="auto"/>
      <w:ind w:firstLine="200" w:firstLineChars="200"/>
    </w:pPr>
    <w:rPr>
      <w:rFonts w:cs="宋体"/>
      <w:sz w:val="24"/>
    </w:rPr>
  </w:style>
  <w:style w:type="character" w:customStyle="1" w:styleId="117">
    <w:name w:val="宋体 Char"/>
    <w:link w:val="116"/>
    <w:qFormat/>
    <w:uiPriority w:val="0"/>
    <w:rPr>
      <w:rFonts w:eastAsia="宋体" w:cs="宋体"/>
      <w:kern w:val="2"/>
      <w:sz w:val="24"/>
      <w:szCs w:val="24"/>
      <w:lang w:val="en-US" w:eastAsia="zh-CN" w:bidi="ar-SA"/>
    </w:rPr>
  </w:style>
  <w:style w:type="paragraph" w:styleId="118">
    <w:name w:val="No Spacing"/>
    <w:qFormat/>
    <w:uiPriority w:val="1"/>
    <w:pPr>
      <w:widowControl w:val="0"/>
      <w:jc w:val="both"/>
    </w:pPr>
    <w:rPr>
      <w:rFonts w:ascii="Times New Roman" w:hAnsi="Times New Roman" w:eastAsia="宋体" w:cs="Times New Roman"/>
      <w:kern w:val="2"/>
      <w:sz w:val="21"/>
      <w:lang w:val="en-US" w:eastAsia="zh-CN" w:bidi="ar-SA"/>
    </w:rPr>
  </w:style>
  <w:style w:type="paragraph" w:styleId="119">
    <w:name w:val="List Paragraph"/>
    <w:basedOn w:val="1"/>
    <w:link w:val="248"/>
    <w:qFormat/>
    <w:uiPriority w:val="0"/>
    <w:pPr>
      <w:ind w:firstLine="420" w:firstLineChars="200"/>
    </w:pPr>
    <w:rPr>
      <w:szCs w:val="20"/>
    </w:rPr>
  </w:style>
  <w:style w:type="paragraph" w:customStyle="1" w:styleId="120">
    <w:name w:val="表格内容"/>
    <w:link w:val="121"/>
    <w:qFormat/>
    <w:uiPriority w:val="0"/>
    <w:pPr>
      <w:jc w:val="center"/>
    </w:pPr>
    <w:rPr>
      <w:rFonts w:ascii="Times New Roman" w:hAnsi="Times New Roman" w:eastAsia="宋体" w:cs="Times New Roman"/>
      <w:sz w:val="24"/>
      <w:lang w:val="en-US" w:eastAsia="zh-CN" w:bidi="ar-SA"/>
    </w:rPr>
  </w:style>
  <w:style w:type="character" w:customStyle="1" w:styleId="121">
    <w:name w:val="表格内容 Char"/>
    <w:link w:val="120"/>
    <w:qFormat/>
    <w:uiPriority w:val="0"/>
    <w:rPr>
      <w:sz w:val="24"/>
    </w:rPr>
  </w:style>
  <w:style w:type="character" w:customStyle="1" w:styleId="122">
    <w:name w:val="Char Char1"/>
    <w:semiHidden/>
    <w:qFormat/>
    <w:uiPriority w:val="0"/>
    <w:rPr>
      <w:kern w:val="2"/>
      <w:sz w:val="18"/>
      <w:szCs w:val="18"/>
    </w:rPr>
  </w:style>
  <w:style w:type="paragraph" w:customStyle="1" w:styleId="123">
    <w:name w:val="3"/>
    <w:basedOn w:val="1"/>
    <w:semiHidden/>
    <w:qFormat/>
    <w:uiPriority w:val="0"/>
    <w:rPr>
      <w:rFonts w:ascii="宋体" w:hAnsi="宋体" w:cs="宋体"/>
      <w:sz w:val="36"/>
    </w:rPr>
  </w:style>
  <w:style w:type="table" w:customStyle="1" w:styleId="124">
    <w:name w:val="三线表1"/>
    <w:basedOn w:val="63"/>
    <w:qFormat/>
    <w:uiPriority w:val="0"/>
    <w:pPr>
      <w:jc w:val="center"/>
    </w:pPr>
    <w:rPr>
      <w:sz w:val="21"/>
    </w:rPr>
    <w:tblPr>
      <w:tblBorders>
        <w:top w:val="single" w:color="auto" w:sz="12" w:space="0"/>
        <w:bottom w:val="single" w:color="auto" w:sz="12" w:space="0"/>
        <w:insideH w:val="single" w:color="auto" w:sz="4" w:space="0"/>
        <w:insideV w:val="single" w:color="auto" w:sz="4" w:space="0"/>
      </w:tblBorders>
    </w:tblPr>
    <w:tcPr>
      <w:vAlign w:val="center"/>
    </w:tcPr>
    <w:tblStylePr w:type="firstRow">
      <w:rPr>
        <w:rFonts w:eastAsia="宋体"/>
        <w:sz w:val="21"/>
      </w:rPr>
      <w:tcPr>
        <w:tcBorders>
          <w:bottom w:val="single" w:color="auto" w:sz="12" w:space="0"/>
        </w:tcBorders>
      </w:tcPr>
    </w:tblStylePr>
  </w:style>
  <w:style w:type="table" w:customStyle="1" w:styleId="125">
    <w:name w:val="网格表 1 浅色1"/>
    <w:basedOn w:val="63"/>
    <w:qFormat/>
    <w:uiPriority w:val="46"/>
    <w:tblPr>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Pr>
    <w:tblStylePr w:type="firstRow">
      <w:rPr>
        <w:b/>
        <w:bCs/>
      </w:rPr>
      <w:tcPr>
        <w:tcBorders>
          <w:bottom w:val="single" w:color="666666" w:sz="12" w:space="0"/>
        </w:tcBorders>
      </w:tcPr>
    </w:tblStylePr>
    <w:tblStylePr w:type="lastRow">
      <w:rPr>
        <w:b/>
        <w:bCs/>
      </w:rPr>
      <w:tcPr>
        <w:tcBorders>
          <w:top w:val="double" w:color="666666" w:sz="2" w:space="0"/>
        </w:tcBorders>
      </w:tcPr>
    </w:tblStylePr>
    <w:tblStylePr w:type="firstCol">
      <w:rPr>
        <w:b/>
        <w:bCs/>
      </w:rPr>
    </w:tblStylePr>
    <w:tblStylePr w:type="lastCol">
      <w:rPr>
        <w:b/>
        <w:bCs/>
      </w:rPr>
    </w:tblStylePr>
  </w:style>
  <w:style w:type="paragraph" w:customStyle="1" w:styleId="126">
    <w:name w:val="报告表格文字"/>
    <w:basedOn w:val="1"/>
    <w:qFormat/>
    <w:uiPriority w:val="0"/>
    <w:pPr>
      <w:spacing w:before="100" w:beforeAutospacing="1" w:after="100" w:afterAutospacing="1"/>
    </w:pPr>
  </w:style>
  <w:style w:type="paragraph" w:customStyle="1" w:styleId="127">
    <w:name w:val="报告表文字1"/>
    <w:basedOn w:val="1"/>
    <w:qFormat/>
    <w:uiPriority w:val="0"/>
    <w:pPr>
      <w:jc w:val="center"/>
    </w:pPr>
    <w:rPr>
      <w:rFonts w:ascii="宋体" w:hAnsi="宋体"/>
      <w:sz w:val="24"/>
    </w:rPr>
  </w:style>
  <w:style w:type="table" w:customStyle="1" w:styleId="128">
    <w:name w:val="表格样式2"/>
    <w:basedOn w:val="63"/>
    <w:qFormat/>
    <w:uiPriority w:val="0"/>
    <w:pPr>
      <w:jc w:val="center"/>
    </w:pPr>
    <w:tblPr>
      <w:tblBorders>
        <w:top w:val="single" w:color="auto" w:sz="12" w:space="0"/>
        <w:bottom w:val="single" w:color="auto" w:sz="12" w:space="0"/>
        <w:insideH w:val="single" w:color="auto" w:sz="4" w:space="0"/>
        <w:insideV w:val="single" w:color="auto" w:sz="4" w:space="0"/>
      </w:tblBorders>
    </w:tblPr>
    <w:tcPr>
      <w:vAlign w:val="center"/>
    </w:tcPr>
  </w:style>
  <w:style w:type="paragraph" w:customStyle="1" w:styleId="129">
    <w:name w:val="表头"/>
    <w:basedOn w:val="1"/>
    <w:next w:val="1"/>
    <w:qFormat/>
    <w:uiPriority w:val="0"/>
    <w:pPr>
      <w:adjustRightInd w:val="0"/>
      <w:jc w:val="center"/>
      <w:textAlignment w:val="baseline"/>
    </w:pPr>
    <w:rPr>
      <w:snapToGrid w:val="0"/>
      <w:kern w:val="24"/>
      <w:sz w:val="24"/>
    </w:rPr>
  </w:style>
  <w:style w:type="paragraph" w:customStyle="1" w:styleId="130">
    <w:name w:val="登记表表头文字"/>
    <w:basedOn w:val="1"/>
    <w:next w:val="1"/>
    <w:qFormat/>
    <w:uiPriority w:val="0"/>
    <w:pPr>
      <w:spacing w:after="100" w:afterAutospacing="1"/>
      <w:jc w:val="center"/>
      <w:outlineLvl w:val="0"/>
    </w:pPr>
    <w:rPr>
      <w:rFonts w:eastAsia="黑体" w:cs="宋体"/>
      <w:b/>
      <w:bCs/>
      <w:sz w:val="32"/>
    </w:rPr>
  </w:style>
  <w:style w:type="paragraph" w:customStyle="1" w:styleId="131">
    <w:name w:val="封面标题1"/>
    <w:basedOn w:val="1"/>
    <w:qFormat/>
    <w:uiPriority w:val="0"/>
    <w:pPr>
      <w:spacing w:line="360" w:lineRule="auto"/>
      <w:jc w:val="center"/>
    </w:pPr>
    <w:rPr>
      <w:rFonts w:eastAsia="楷体_GB2312"/>
      <w:b/>
      <w:sz w:val="72"/>
    </w:rPr>
  </w:style>
  <w:style w:type="paragraph" w:customStyle="1" w:styleId="132">
    <w:name w:val="附图抬头"/>
    <w:basedOn w:val="1"/>
    <w:next w:val="1"/>
    <w:qFormat/>
    <w:uiPriority w:val="0"/>
    <w:pPr>
      <w:jc w:val="center"/>
      <w:outlineLvl w:val="0"/>
    </w:pPr>
    <w:rPr>
      <w:b/>
      <w:sz w:val="28"/>
    </w:rPr>
  </w:style>
  <w:style w:type="paragraph" w:customStyle="1" w:styleId="133">
    <w:name w:val="项目名称"/>
    <w:basedOn w:val="1"/>
    <w:qFormat/>
    <w:uiPriority w:val="0"/>
    <w:pPr>
      <w:ind w:firstLine="822" w:firstLineChars="256"/>
    </w:pPr>
    <w:rPr>
      <w:rFonts w:ascii="楷体_GB2312" w:eastAsia="楷体_GB2312" w:cs="宋体"/>
      <w:b/>
      <w:bCs/>
      <w:sz w:val="32"/>
      <w:u w:val="single"/>
    </w:rPr>
  </w:style>
  <w:style w:type="paragraph" w:customStyle="1" w:styleId="134">
    <w:name w:val="责任表参加人签名"/>
    <w:basedOn w:val="1"/>
    <w:next w:val="1"/>
    <w:qFormat/>
    <w:uiPriority w:val="99"/>
    <w:pPr>
      <w:jc w:val="center"/>
    </w:pPr>
    <w:rPr>
      <w:rFonts w:eastAsia="楷体_GB2312"/>
      <w:snapToGrid w:val="0"/>
      <w:kern w:val="0"/>
      <w:sz w:val="28"/>
      <w:szCs w:val="28"/>
    </w:rPr>
  </w:style>
  <w:style w:type="character" w:customStyle="1" w:styleId="135">
    <w:name w:val="责任人"/>
    <w:qFormat/>
    <w:uiPriority w:val="0"/>
    <w:rPr>
      <w:rFonts w:ascii="楷体_GB2312" w:hAnsi="楷体_GB2312" w:eastAsia="楷体_GB2312"/>
      <w:sz w:val="30"/>
      <w:u w:val="single"/>
    </w:rPr>
  </w:style>
  <w:style w:type="character" w:customStyle="1" w:styleId="136">
    <w:name w:val="fontstyle01"/>
    <w:qFormat/>
    <w:uiPriority w:val="0"/>
    <w:rPr>
      <w:rFonts w:hint="eastAsia" w:ascii="黑体" w:hAnsi="黑体" w:eastAsia="黑体"/>
      <w:color w:val="000000"/>
      <w:sz w:val="24"/>
      <w:szCs w:val="24"/>
    </w:rPr>
  </w:style>
  <w:style w:type="paragraph" w:customStyle="1" w:styleId="137">
    <w:name w:val="修订1"/>
    <w:hidden/>
    <w:qFormat/>
    <w:uiPriority w:val="99"/>
    <w:rPr>
      <w:rFonts w:ascii="Times New Roman" w:hAnsi="Times New Roman" w:eastAsia="宋体" w:cs="Times New Roman"/>
      <w:kern w:val="2"/>
      <w:sz w:val="21"/>
      <w:szCs w:val="24"/>
      <w:lang w:val="en-US" w:eastAsia="zh-CN" w:bidi="ar-SA"/>
    </w:rPr>
  </w:style>
  <w:style w:type="character" w:customStyle="1" w:styleId="138">
    <w:name w:val="fontstyle21"/>
    <w:qFormat/>
    <w:uiPriority w:val="0"/>
    <w:rPr>
      <w:rFonts w:hint="default" w:ascii="TimesNewRoman" w:hAnsi="TimesNewRoman"/>
      <w:color w:val="000000"/>
      <w:sz w:val="24"/>
      <w:szCs w:val="24"/>
    </w:rPr>
  </w:style>
  <w:style w:type="character" w:customStyle="1" w:styleId="139">
    <w:name w:val="标准正文 Char"/>
    <w:link w:val="140"/>
    <w:qFormat/>
    <w:uiPriority w:val="0"/>
    <w:rPr>
      <w:sz w:val="24"/>
    </w:rPr>
  </w:style>
  <w:style w:type="paragraph" w:customStyle="1" w:styleId="140">
    <w:name w:val="标准正文"/>
    <w:basedOn w:val="1"/>
    <w:link w:val="139"/>
    <w:qFormat/>
    <w:uiPriority w:val="0"/>
    <w:pPr>
      <w:spacing w:line="360" w:lineRule="auto"/>
      <w:ind w:firstLine="480" w:firstLineChars="200"/>
      <w:jc w:val="left"/>
    </w:pPr>
    <w:rPr>
      <w:kern w:val="0"/>
      <w:sz w:val="24"/>
      <w:szCs w:val="20"/>
    </w:rPr>
  </w:style>
  <w:style w:type="paragraph" w:customStyle="1" w:styleId="141">
    <w:name w:val="表格内"/>
    <w:basedOn w:val="32"/>
    <w:link w:val="142"/>
    <w:qFormat/>
    <w:uiPriority w:val="0"/>
    <w:pPr>
      <w:spacing w:line="240" w:lineRule="atLeast"/>
      <w:jc w:val="center"/>
    </w:pPr>
    <w:rPr>
      <w:rFonts w:ascii="Times New Roman" w:hAnsi="Times New Roman"/>
      <w:szCs w:val="21"/>
    </w:rPr>
  </w:style>
  <w:style w:type="character" w:customStyle="1" w:styleId="142">
    <w:name w:val="表格内 字符"/>
    <w:link w:val="141"/>
    <w:qFormat/>
    <w:uiPriority w:val="0"/>
    <w:rPr>
      <w:rFonts w:cs="Courier New"/>
      <w:kern w:val="2"/>
      <w:sz w:val="21"/>
      <w:szCs w:val="21"/>
    </w:rPr>
  </w:style>
  <w:style w:type="character" w:customStyle="1" w:styleId="143">
    <w:name w:val="表格正文 Char2"/>
    <w:link w:val="144"/>
    <w:qFormat/>
    <w:uiPriority w:val="0"/>
    <w:rPr>
      <w:kern w:val="2"/>
      <w:sz w:val="21"/>
      <w:szCs w:val="24"/>
    </w:rPr>
  </w:style>
  <w:style w:type="paragraph" w:customStyle="1" w:styleId="144">
    <w:name w:val="表格正文"/>
    <w:basedOn w:val="1"/>
    <w:link w:val="143"/>
    <w:qFormat/>
    <w:uiPriority w:val="0"/>
    <w:pPr>
      <w:spacing w:line="360" w:lineRule="exact"/>
      <w:jc w:val="center"/>
    </w:pPr>
  </w:style>
  <w:style w:type="paragraph" w:customStyle="1" w:styleId="145">
    <w:name w:val="表格标题-1"/>
    <w:basedOn w:val="1"/>
    <w:qFormat/>
    <w:uiPriority w:val="0"/>
    <w:pPr>
      <w:spacing w:before="60" w:line="460" w:lineRule="exact"/>
      <w:jc w:val="center"/>
    </w:pPr>
    <w:rPr>
      <w:bCs/>
      <w:kern w:val="0"/>
      <w:sz w:val="24"/>
      <w:lang w:val="zh-CN"/>
    </w:rPr>
  </w:style>
  <w:style w:type="character" w:customStyle="1" w:styleId="146">
    <w:name w:val="我的正文 Char"/>
    <w:link w:val="147"/>
    <w:qFormat/>
    <w:uiPriority w:val="0"/>
    <w:rPr>
      <w:kern w:val="2"/>
      <w:sz w:val="28"/>
      <w:szCs w:val="24"/>
    </w:rPr>
  </w:style>
  <w:style w:type="paragraph" w:customStyle="1" w:styleId="147">
    <w:name w:val="我的正文"/>
    <w:basedOn w:val="1"/>
    <w:link w:val="146"/>
    <w:qFormat/>
    <w:uiPriority w:val="0"/>
    <w:pPr>
      <w:ind w:firstLine="538" w:firstLineChars="192"/>
    </w:pPr>
    <w:rPr>
      <w:sz w:val="28"/>
    </w:rPr>
  </w:style>
  <w:style w:type="character" w:customStyle="1" w:styleId="148">
    <w:name w:val="样式28 Char"/>
    <w:link w:val="149"/>
    <w:qFormat/>
    <w:uiPriority w:val="0"/>
    <w:rPr>
      <w:kern w:val="2"/>
      <w:sz w:val="24"/>
      <w:szCs w:val="24"/>
    </w:rPr>
  </w:style>
  <w:style w:type="paragraph" w:customStyle="1" w:styleId="149">
    <w:name w:val="样式28"/>
    <w:basedOn w:val="1"/>
    <w:link w:val="148"/>
    <w:qFormat/>
    <w:uiPriority w:val="0"/>
    <w:pPr>
      <w:spacing w:line="360" w:lineRule="auto"/>
      <w:ind w:firstLine="480" w:firstLineChars="200"/>
    </w:pPr>
    <w:rPr>
      <w:sz w:val="24"/>
    </w:rPr>
  </w:style>
  <w:style w:type="paragraph" w:customStyle="1" w:styleId="150">
    <w:name w:val="正文01"/>
    <w:basedOn w:val="1"/>
    <w:link w:val="151"/>
    <w:qFormat/>
    <w:uiPriority w:val="0"/>
    <w:pPr>
      <w:spacing w:before="60" w:line="460" w:lineRule="exact"/>
      <w:ind w:firstLine="200" w:firstLineChars="200"/>
    </w:pPr>
    <w:rPr>
      <w:rFonts w:ascii="Calibri" w:hAnsi="Calibri"/>
      <w:bCs/>
      <w:kern w:val="0"/>
      <w:sz w:val="24"/>
    </w:rPr>
  </w:style>
  <w:style w:type="character" w:customStyle="1" w:styleId="151">
    <w:name w:val="正文01 Char2"/>
    <w:link w:val="150"/>
    <w:qFormat/>
    <w:uiPriority w:val="0"/>
    <w:rPr>
      <w:rFonts w:ascii="Calibri" w:hAnsi="Calibri"/>
      <w:bCs/>
      <w:sz w:val="24"/>
      <w:szCs w:val="24"/>
    </w:rPr>
  </w:style>
  <w:style w:type="paragraph" w:customStyle="1" w:styleId="152">
    <w:name w:val="正文正文正文正文"/>
    <w:basedOn w:val="1"/>
    <w:next w:val="1"/>
    <w:qFormat/>
    <w:uiPriority w:val="0"/>
    <w:pPr>
      <w:keepNext/>
      <w:keepLines/>
      <w:widowControl/>
      <w:adjustRightInd w:val="0"/>
      <w:spacing w:before="40" w:after="40" w:line="360" w:lineRule="auto"/>
      <w:ind w:firstLine="200" w:firstLineChars="200"/>
      <w:jc w:val="left"/>
      <w:textAlignment w:val="baseline"/>
    </w:pPr>
    <w:rPr>
      <w:rFonts w:cs="宋体"/>
      <w:bCs/>
      <w:kern w:val="0"/>
      <w:sz w:val="24"/>
      <w:szCs w:val="28"/>
    </w:rPr>
  </w:style>
  <w:style w:type="character" w:customStyle="1" w:styleId="153">
    <w:name w:val="正文首行缩进 Char"/>
    <w:qFormat/>
    <w:uiPriority w:val="0"/>
    <w:rPr>
      <w:kern w:val="2"/>
      <w:sz w:val="21"/>
      <w:szCs w:val="24"/>
    </w:rPr>
  </w:style>
  <w:style w:type="character" w:customStyle="1" w:styleId="154">
    <w:name w:val="题注 字符"/>
    <w:qFormat/>
    <w:uiPriority w:val="0"/>
    <w:rPr>
      <w:rFonts w:ascii="Arial" w:hAnsi="Arial" w:eastAsia="黑体" w:cs="Arial"/>
      <w:kern w:val="2"/>
      <w:sz w:val="24"/>
      <w:lang w:val="en-US" w:eastAsia="zh-CN" w:bidi="ar-SA"/>
    </w:rPr>
  </w:style>
  <w:style w:type="character" w:customStyle="1" w:styleId="155">
    <w:name w:val="fontstyle11"/>
    <w:qFormat/>
    <w:uiPriority w:val="0"/>
    <w:rPr>
      <w:rFonts w:hint="default" w:ascii="TimesNewRoman" w:hAnsi="TimesNewRoman"/>
      <w:color w:val="000000"/>
      <w:sz w:val="24"/>
      <w:szCs w:val="24"/>
    </w:rPr>
  </w:style>
  <w:style w:type="character" w:customStyle="1" w:styleId="156">
    <w:name w:val="fontstyle31"/>
    <w:qFormat/>
    <w:uiPriority w:val="0"/>
    <w:rPr>
      <w:rFonts w:hint="default" w:ascii="TimesNewRoman" w:hAnsi="TimesNewRoman"/>
      <w:color w:val="000000"/>
      <w:sz w:val="24"/>
      <w:szCs w:val="24"/>
    </w:rPr>
  </w:style>
  <w:style w:type="character" w:customStyle="1" w:styleId="157">
    <w:name w:val="fontstyle41"/>
    <w:qFormat/>
    <w:uiPriority w:val="0"/>
    <w:rPr>
      <w:rFonts w:hint="default" w:ascii="TimesNewRoman" w:hAnsi="TimesNewRoman"/>
      <w:color w:val="000000"/>
      <w:sz w:val="20"/>
      <w:szCs w:val="20"/>
    </w:rPr>
  </w:style>
  <w:style w:type="character" w:customStyle="1" w:styleId="158">
    <w:name w:val="16"/>
    <w:qFormat/>
    <w:uiPriority w:val="0"/>
    <w:rPr>
      <w:rFonts w:hint="eastAsia" w:ascii="宋体" w:hAnsi="宋体" w:eastAsia="宋体"/>
      <w:kern w:val="24"/>
      <w:sz w:val="24"/>
      <w:szCs w:val="24"/>
    </w:rPr>
  </w:style>
  <w:style w:type="character" w:customStyle="1" w:styleId="159">
    <w:name w:val="15"/>
    <w:qFormat/>
    <w:uiPriority w:val="0"/>
    <w:rPr>
      <w:rFonts w:hint="eastAsia" w:ascii="宋体" w:hAnsi="宋体" w:eastAsia="宋体"/>
      <w:sz w:val="22"/>
      <w:szCs w:val="22"/>
    </w:rPr>
  </w:style>
  <w:style w:type="paragraph" w:customStyle="1" w:styleId="160">
    <w:name w:val="表格字体"/>
    <w:basedOn w:val="1"/>
    <w:qFormat/>
    <w:uiPriority w:val="0"/>
    <w:pPr>
      <w:spacing w:line="400" w:lineRule="exact"/>
      <w:jc w:val="center"/>
    </w:pPr>
    <w:rPr>
      <w:rFonts w:ascii="仿宋_GB2312" w:eastAsia="仿宋_GB2312"/>
      <w:spacing w:val="2"/>
      <w:szCs w:val="20"/>
    </w:rPr>
  </w:style>
  <w:style w:type="character" w:customStyle="1" w:styleId="161">
    <w:name w:val="fontstyle51"/>
    <w:qFormat/>
    <w:uiPriority w:val="0"/>
    <w:rPr>
      <w:rFonts w:hint="eastAsia" w:ascii="宋体" w:hAnsi="宋体" w:eastAsia="宋体"/>
      <w:color w:val="000000"/>
      <w:sz w:val="20"/>
      <w:szCs w:val="20"/>
    </w:rPr>
  </w:style>
  <w:style w:type="table" w:customStyle="1" w:styleId="162">
    <w:name w:val="网格表 1 浅色2"/>
    <w:basedOn w:val="63"/>
    <w:qFormat/>
    <w:uiPriority w:val="46"/>
    <w:tblPr>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Pr>
    <w:tblStylePr w:type="firstRow">
      <w:rPr>
        <w:b/>
        <w:bCs/>
      </w:rPr>
      <w:tcPr>
        <w:tcBorders>
          <w:bottom w:val="single" w:color="666666" w:sz="12" w:space="0"/>
        </w:tcBorders>
      </w:tcPr>
    </w:tblStylePr>
    <w:tblStylePr w:type="lastRow">
      <w:rPr>
        <w:b/>
        <w:bCs/>
      </w:rPr>
      <w:tcPr>
        <w:tcBorders>
          <w:top w:val="double" w:color="666666" w:sz="2" w:space="0"/>
        </w:tcBorders>
      </w:tcPr>
    </w:tblStylePr>
    <w:tblStylePr w:type="firstCol">
      <w:rPr>
        <w:b/>
        <w:bCs/>
      </w:rPr>
    </w:tblStylePr>
    <w:tblStylePr w:type="lastCol">
      <w:rPr>
        <w:b/>
        <w:bCs/>
      </w:rPr>
    </w:tblStylePr>
  </w:style>
  <w:style w:type="paragraph" w:customStyle="1" w:styleId="163">
    <w:name w:val="msonormal"/>
    <w:basedOn w:val="1"/>
    <w:qFormat/>
    <w:uiPriority w:val="0"/>
    <w:pPr>
      <w:widowControl/>
      <w:spacing w:before="100" w:beforeAutospacing="1" w:after="100" w:afterAutospacing="1"/>
      <w:jc w:val="left"/>
    </w:pPr>
    <w:rPr>
      <w:rFonts w:ascii="宋体" w:hAnsi="宋体" w:cs="宋体"/>
      <w:kern w:val="0"/>
      <w:sz w:val="24"/>
    </w:rPr>
  </w:style>
  <w:style w:type="paragraph" w:customStyle="1" w:styleId="164">
    <w:name w:val="font1"/>
    <w:basedOn w:val="1"/>
    <w:qFormat/>
    <w:uiPriority w:val="0"/>
    <w:pPr>
      <w:widowControl/>
      <w:spacing w:before="100" w:beforeAutospacing="1" w:after="100" w:afterAutospacing="1"/>
      <w:jc w:val="left"/>
    </w:pPr>
    <w:rPr>
      <w:rFonts w:ascii="宋体" w:hAnsi="宋体" w:cs="宋体"/>
      <w:color w:val="000000"/>
      <w:kern w:val="0"/>
      <w:sz w:val="22"/>
      <w:szCs w:val="22"/>
    </w:rPr>
  </w:style>
  <w:style w:type="paragraph" w:customStyle="1" w:styleId="165">
    <w:name w:val="font5"/>
    <w:basedOn w:val="1"/>
    <w:qFormat/>
    <w:uiPriority w:val="0"/>
    <w:pPr>
      <w:widowControl/>
      <w:spacing w:before="100" w:beforeAutospacing="1" w:after="100" w:afterAutospacing="1"/>
      <w:jc w:val="left"/>
    </w:pPr>
    <w:rPr>
      <w:color w:val="000000"/>
      <w:kern w:val="0"/>
      <w:szCs w:val="21"/>
    </w:rPr>
  </w:style>
  <w:style w:type="paragraph" w:customStyle="1" w:styleId="166">
    <w:name w:val="font6"/>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167">
    <w:name w:val="font7"/>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168">
    <w:name w:val="font8"/>
    <w:basedOn w:val="1"/>
    <w:qFormat/>
    <w:uiPriority w:val="0"/>
    <w:pPr>
      <w:widowControl/>
      <w:spacing w:before="100" w:beforeAutospacing="1" w:after="100" w:afterAutospacing="1"/>
      <w:jc w:val="left"/>
    </w:pPr>
    <w:rPr>
      <w:rFonts w:ascii="宋体" w:hAnsi="宋体" w:cs="宋体"/>
      <w:color w:val="000000"/>
      <w:kern w:val="0"/>
      <w:szCs w:val="21"/>
    </w:rPr>
  </w:style>
  <w:style w:type="paragraph" w:customStyle="1" w:styleId="169">
    <w:name w:val="xl6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Cs w:val="21"/>
    </w:rPr>
  </w:style>
  <w:style w:type="paragraph" w:customStyle="1" w:styleId="170">
    <w:name w:val="xl64"/>
    <w:basedOn w:val="1"/>
    <w:qFormat/>
    <w:uiPriority w:val="0"/>
    <w:pPr>
      <w:widowControl/>
      <w:spacing w:before="100" w:beforeAutospacing="1" w:after="100" w:afterAutospacing="1"/>
      <w:jc w:val="center"/>
    </w:pPr>
    <w:rPr>
      <w:rFonts w:ascii="宋体" w:hAnsi="宋体" w:cs="宋体"/>
      <w:kern w:val="0"/>
      <w:sz w:val="24"/>
    </w:rPr>
  </w:style>
  <w:style w:type="paragraph" w:customStyle="1" w:styleId="171">
    <w:name w:val="xl6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4"/>
    </w:rPr>
  </w:style>
  <w:style w:type="paragraph" w:customStyle="1" w:styleId="172">
    <w:name w:val="xl66"/>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kern w:val="0"/>
      <w:sz w:val="24"/>
    </w:rPr>
  </w:style>
  <w:style w:type="paragraph" w:customStyle="1" w:styleId="173">
    <w:name w:val="xl67"/>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pPr>
    <w:rPr>
      <w:kern w:val="0"/>
      <w:sz w:val="24"/>
    </w:rPr>
  </w:style>
  <w:style w:type="paragraph" w:customStyle="1" w:styleId="174">
    <w:name w:val="xl68"/>
    <w:basedOn w:val="1"/>
    <w:qFormat/>
    <w:uiPriority w:val="0"/>
    <w:pPr>
      <w:widowControl/>
      <w:pBdr>
        <w:top w:val="single" w:color="auto" w:sz="8" w:space="0"/>
        <w:bottom w:val="single" w:color="auto" w:sz="8" w:space="0"/>
        <w:right w:val="single" w:color="auto" w:sz="8" w:space="0"/>
      </w:pBdr>
      <w:spacing w:before="100" w:beforeAutospacing="1" w:after="100" w:afterAutospacing="1"/>
      <w:jc w:val="center"/>
    </w:pPr>
    <w:rPr>
      <w:kern w:val="0"/>
      <w:szCs w:val="21"/>
    </w:rPr>
  </w:style>
  <w:style w:type="paragraph" w:customStyle="1" w:styleId="175">
    <w:name w:val="xl69"/>
    <w:basedOn w:val="1"/>
    <w:qFormat/>
    <w:uiPriority w:val="0"/>
    <w:pPr>
      <w:widowControl/>
      <w:pBdr>
        <w:bottom w:val="single" w:color="auto" w:sz="8" w:space="0"/>
        <w:right w:val="single" w:color="auto" w:sz="8" w:space="0"/>
      </w:pBdr>
      <w:spacing w:before="100" w:beforeAutospacing="1" w:after="100" w:afterAutospacing="1"/>
      <w:jc w:val="center"/>
    </w:pPr>
    <w:rPr>
      <w:kern w:val="0"/>
      <w:szCs w:val="21"/>
    </w:rPr>
  </w:style>
  <w:style w:type="paragraph" w:customStyle="1" w:styleId="176">
    <w:name w:val="xl70"/>
    <w:basedOn w:val="1"/>
    <w:qFormat/>
    <w:uiPriority w:val="0"/>
    <w:pPr>
      <w:widowControl/>
      <w:spacing w:before="100" w:beforeAutospacing="1" w:after="100" w:afterAutospacing="1"/>
      <w:jc w:val="center"/>
    </w:pPr>
    <w:rPr>
      <w:kern w:val="0"/>
      <w:sz w:val="24"/>
    </w:rPr>
  </w:style>
  <w:style w:type="paragraph" w:customStyle="1" w:styleId="177">
    <w:name w:val="xl71"/>
    <w:basedOn w:val="1"/>
    <w:qFormat/>
    <w:uiPriority w:val="0"/>
    <w:pPr>
      <w:widowControl/>
      <w:pBdr>
        <w:top w:val="single" w:color="auto" w:sz="8" w:space="0"/>
        <w:left w:val="single" w:color="auto" w:sz="8" w:space="0"/>
        <w:bottom w:val="single" w:color="auto" w:sz="8" w:space="0"/>
        <w:right w:val="single" w:color="auto" w:sz="8" w:space="0"/>
      </w:pBdr>
      <w:spacing w:before="100" w:beforeAutospacing="1" w:after="100" w:afterAutospacing="1"/>
      <w:jc w:val="center"/>
    </w:pPr>
    <w:rPr>
      <w:kern w:val="0"/>
      <w:szCs w:val="21"/>
    </w:rPr>
  </w:style>
  <w:style w:type="paragraph" w:customStyle="1" w:styleId="178">
    <w:name w:val="xl72"/>
    <w:basedOn w:val="1"/>
    <w:qFormat/>
    <w:uiPriority w:val="0"/>
    <w:pPr>
      <w:widowControl/>
      <w:pBdr>
        <w:left w:val="single" w:color="auto" w:sz="8" w:space="0"/>
        <w:bottom w:val="single" w:color="auto" w:sz="8" w:space="0"/>
        <w:right w:val="single" w:color="auto" w:sz="8" w:space="0"/>
      </w:pBdr>
      <w:spacing w:before="100" w:beforeAutospacing="1" w:after="100" w:afterAutospacing="1"/>
      <w:jc w:val="center"/>
    </w:pPr>
    <w:rPr>
      <w:kern w:val="0"/>
      <w:szCs w:val="21"/>
    </w:rPr>
  </w:style>
  <w:style w:type="paragraph" w:customStyle="1" w:styleId="179">
    <w:name w:val="xl73"/>
    <w:basedOn w:val="1"/>
    <w:qFormat/>
    <w:uiPriority w:val="0"/>
    <w:pPr>
      <w:widowControl/>
      <w:pBdr>
        <w:top w:val="single" w:color="auto" w:sz="8" w:space="0"/>
        <w:bottom w:val="single" w:color="auto" w:sz="8" w:space="0"/>
        <w:right w:val="single" w:color="auto" w:sz="8" w:space="0"/>
      </w:pBdr>
      <w:spacing w:before="100" w:beforeAutospacing="1" w:after="100" w:afterAutospacing="1"/>
      <w:jc w:val="center"/>
    </w:pPr>
    <w:rPr>
      <w:rFonts w:ascii="宋体" w:hAnsi="宋体" w:cs="宋体"/>
      <w:kern w:val="0"/>
      <w:szCs w:val="21"/>
    </w:rPr>
  </w:style>
  <w:style w:type="paragraph" w:customStyle="1" w:styleId="180">
    <w:name w:val="xl74"/>
    <w:basedOn w:val="1"/>
    <w:qFormat/>
    <w:uiPriority w:val="0"/>
    <w:pPr>
      <w:widowControl/>
      <w:pBdr>
        <w:right w:val="single" w:color="auto" w:sz="8" w:space="0"/>
      </w:pBdr>
      <w:spacing w:before="100" w:beforeAutospacing="1" w:after="100" w:afterAutospacing="1"/>
      <w:jc w:val="center"/>
    </w:pPr>
    <w:rPr>
      <w:rFonts w:ascii="宋体" w:hAnsi="宋体" w:cs="宋体"/>
      <w:kern w:val="0"/>
      <w:szCs w:val="21"/>
    </w:rPr>
  </w:style>
  <w:style w:type="paragraph" w:customStyle="1" w:styleId="181">
    <w:name w:val="xl75"/>
    <w:basedOn w:val="1"/>
    <w:qFormat/>
    <w:uiPriority w:val="0"/>
    <w:pPr>
      <w:widowControl/>
      <w:pBdr>
        <w:right w:val="single" w:color="auto" w:sz="8" w:space="0"/>
      </w:pBdr>
      <w:spacing w:before="100" w:beforeAutospacing="1" w:after="100" w:afterAutospacing="1"/>
      <w:jc w:val="left"/>
    </w:pPr>
    <w:rPr>
      <w:rFonts w:ascii="宋体" w:hAnsi="宋体" w:cs="宋体"/>
      <w:kern w:val="0"/>
      <w:sz w:val="24"/>
    </w:rPr>
  </w:style>
  <w:style w:type="paragraph" w:customStyle="1" w:styleId="182">
    <w:name w:val="xl76"/>
    <w:basedOn w:val="1"/>
    <w:qFormat/>
    <w:uiPriority w:val="0"/>
    <w:pPr>
      <w:widowControl/>
      <w:pBdr>
        <w:bottom w:val="single" w:color="auto" w:sz="8" w:space="0"/>
        <w:right w:val="single" w:color="auto" w:sz="8" w:space="0"/>
      </w:pBdr>
      <w:spacing w:before="100" w:beforeAutospacing="1" w:after="100" w:afterAutospacing="1"/>
      <w:jc w:val="left"/>
    </w:pPr>
    <w:rPr>
      <w:rFonts w:ascii="宋体" w:hAnsi="宋体" w:cs="宋体"/>
      <w:kern w:val="0"/>
      <w:sz w:val="24"/>
    </w:rPr>
  </w:style>
  <w:style w:type="paragraph" w:customStyle="1" w:styleId="183">
    <w:name w:val="xl77"/>
    <w:basedOn w:val="1"/>
    <w:qFormat/>
    <w:uiPriority w:val="0"/>
    <w:pPr>
      <w:widowControl/>
      <w:pBdr>
        <w:bottom w:val="single" w:color="auto" w:sz="8" w:space="0"/>
        <w:right w:val="single" w:color="auto" w:sz="8" w:space="0"/>
      </w:pBdr>
      <w:spacing w:before="100" w:beforeAutospacing="1" w:after="100" w:afterAutospacing="1"/>
      <w:jc w:val="center"/>
    </w:pPr>
    <w:rPr>
      <w:rFonts w:ascii="宋体" w:hAnsi="宋体" w:cs="宋体"/>
      <w:kern w:val="0"/>
      <w:szCs w:val="21"/>
    </w:rPr>
  </w:style>
  <w:style w:type="paragraph" w:customStyle="1" w:styleId="184">
    <w:name w:val="xl78"/>
    <w:basedOn w:val="1"/>
    <w:qFormat/>
    <w:uiPriority w:val="0"/>
    <w:pPr>
      <w:widowControl/>
      <w:pBdr>
        <w:top w:val="single" w:color="auto" w:sz="4" w:space="0"/>
      </w:pBdr>
      <w:spacing w:before="100" w:beforeAutospacing="1" w:after="100" w:afterAutospacing="1"/>
      <w:jc w:val="center"/>
    </w:pPr>
    <w:rPr>
      <w:rFonts w:ascii="宋体" w:hAnsi="宋体" w:cs="宋体"/>
      <w:kern w:val="0"/>
      <w:sz w:val="24"/>
    </w:rPr>
  </w:style>
  <w:style w:type="paragraph" w:customStyle="1" w:styleId="185">
    <w:name w:val="xl79"/>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pPr>
    <w:rPr>
      <w:kern w:val="0"/>
      <w:sz w:val="24"/>
    </w:rPr>
  </w:style>
  <w:style w:type="paragraph" w:customStyle="1" w:styleId="186">
    <w:name w:val="xl80"/>
    <w:basedOn w:val="1"/>
    <w:qFormat/>
    <w:uiPriority w:val="0"/>
    <w:pPr>
      <w:widowControl/>
      <w:pBdr>
        <w:top w:val="single" w:color="auto" w:sz="4" w:space="0"/>
        <w:bottom w:val="single" w:color="auto" w:sz="4" w:space="0"/>
      </w:pBdr>
      <w:spacing w:before="100" w:beforeAutospacing="1" w:after="100" w:afterAutospacing="1"/>
      <w:jc w:val="center"/>
    </w:pPr>
    <w:rPr>
      <w:kern w:val="0"/>
      <w:sz w:val="24"/>
    </w:rPr>
  </w:style>
  <w:style w:type="paragraph" w:customStyle="1" w:styleId="187">
    <w:name w:val="xl81"/>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kern w:val="0"/>
      <w:sz w:val="24"/>
    </w:rPr>
  </w:style>
  <w:style w:type="paragraph" w:customStyle="1" w:styleId="188">
    <w:name w:val="xl82"/>
    <w:basedOn w:val="1"/>
    <w:qFormat/>
    <w:uiPriority w:val="0"/>
    <w:pPr>
      <w:widowControl/>
      <w:pBdr>
        <w:top w:val="single" w:color="auto" w:sz="4" w:space="0"/>
        <w:bottom w:val="single" w:color="auto" w:sz="4" w:space="0"/>
      </w:pBdr>
      <w:spacing w:before="100" w:beforeAutospacing="1" w:after="100" w:afterAutospacing="1"/>
      <w:jc w:val="center"/>
    </w:pPr>
    <w:rPr>
      <w:kern w:val="0"/>
      <w:szCs w:val="21"/>
    </w:rPr>
  </w:style>
  <w:style w:type="paragraph" w:customStyle="1" w:styleId="189">
    <w:name w:val="xl83"/>
    <w:basedOn w:val="1"/>
    <w:qFormat/>
    <w:uiPriority w:val="0"/>
    <w:pPr>
      <w:widowControl/>
      <w:spacing w:before="100" w:beforeAutospacing="1" w:after="100" w:afterAutospacing="1"/>
      <w:jc w:val="center"/>
    </w:pPr>
    <w:rPr>
      <w:kern w:val="0"/>
      <w:szCs w:val="21"/>
    </w:rPr>
  </w:style>
  <w:style w:type="paragraph" w:customStyle="1" w:styleId="190">
    <w:name w:val="xl8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Cs w:val="21"/>
    </w:rPr>
  </w:style>
  <w:style w:type="paragraph" w:customStyle="1" w:styleId="191">
    <w:name w:val="xl8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Cs w:val="21"/>
    </w:rPr>
  </w:style>
  <w:style w:type="paragraph" w:customStyle="1" w:styleId="192">
    <w:name w:val="xl8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Cs w:val="21"/>
    </w:rPr>
  </w:style>
  <w:style w:type="paragraph" w:customStyle="1" w:styleId="193">
    <w:name w:val="xl87"/>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pPr>
    <w:rPr>
      <w:kern w:val="0"/>
      <w:sz w:val="24"/>
    </w:rPr>
  </w:style>
  <w:style w:type="paragraph" w:customStyle="1" w:styleId="194">
    <w:name w:val="xl88"/>
    <w:basedOn w:val="1"/>
    <w:qFormat/>
    <w:uiPriority w:val="0"/>
    <w:pPr>
      <w:widowControl/>
      <w:pBdr>
        <w:top w:val="single" w:color="auto" w:sz="4" w:space="0"/>
        <w:bottom w:val="single" w:color="auto" w:sz="4" w:space="0"/>
      </w:pBdr>
      <w:spacing w:before="100" w:beforeAutospacing="1" w:after="100" w:afterAutospacing="1"/>
      <w:jc w:val="center"/>
    </w:pPr>
    <w:rPr>
      <w:kern w:val="0"/>
      <w:sz w:val="24"/>
    </w:rPr>
  </w:style>
  <w:style w:type="paragraph" w:customStyle="1" w:styleId="195">
    <w:name w:val="xl89"/>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kern w:val="0"/>
      <w:sz w:val="24"/>
    </w:rPr>
  </w:style>
  <w:style w:type="paragraph" w:customStyle="1" w:styleId="196">
    <w:name w:val="xl90"/>
    <w:basedOn w:val="1"/>
    <w:qFormat/>
    <w:uiPriority w:val="0"/>
    <w:pPr>
      <w:widowControl/>
      <w:pBdr>
        <w:top w:val="single" w:color="auto" w:sz="4" w:space="0"/>
        <w:left w:val="single" w:color="auto" w:sz="4" w:space="0"/>
      </w:pBdr>
      <w:spacing w:before="100" w:beforeAutospacing="1" w:after="100" w:afterAutospacing="1"/>
      <w:jc w:val="center"/>
    </w:pPr>
    <w:rPr>
      <w:rFonts w:ascii="宋体" w:hAnsi="宋体" w:cs="宋体"/>
      <w:kern w:val="0"/>
      <w:sz w:val="24"/>
    </w:rPr>
  </w:style>
  <w:style w:type="paragraph" w:customStyle="1" w:styleId="197">
    <w:name w:val="xl91"/>
    <w:basedOn w:val="1"/>
    <w:qFormat/>
    <w:uiPriority w:val="0"/>
    <w:pPr>
      <w:widowControl/>
      <w:pBdr>
        <w:top w:val="single" w:color="auto" w:sz="4" w:space="0"/>
      </w:pBdr>
      <w:spacing w:before="100" w:beforeAutospacing="1" w:after="100" w:afterAutospacing="1"/>
      <w:jc w:val="center"/>
    </w:pPr>
    <w:rPr>
      <w:kern w:val="0"/>
      <w:sz w:val="24"/>
    </w:rPr>
  </w:style>
  <w:style w:type="paragraph" w:customStyle="1" w:styleId="198">
    <w:name w:val="xl92"/>
    <w:basedOn w:val="1"/>
    <w:qFormat/>
    <w:uiPriority w:val="0"/>
    <w:pPr>
      <w:widowControl/>
      <w:pBdr>
        <w:top w:val="single" w:color="auto" w:sz="4" w:space="0"/>
        <w:right w:val="single" w:color="auto" w:sz="4" w:space="0"/>
      </w:pBdr>
      <w:spacing w:before="100" w:beforeAutospacing="1" w:after="100" w:afterAutospacing="1"/>
      <w:jc w:val="center"/>
    </w:pPr>
    <w:rPr>
      <w:kern w:val="0"/>
      <w:sz w:val="24"/>
    </w:rPr>
  </w:style>
  <w:style w:type="paragraph" w:customStyle="1" w:styleId="199">
    <w:name w:val="xl93"/>
    <w:basedOn w:val="1"/>
    <w:qFormat/>
    <w:uiPriority w:val="0"/>
    <w:pPr>
      <w:widowControl/>
      <w:pBdr>
        <w:top w:val="single" w:color="auto" w:sz="4" w:space="0"/>
        <w:right w:val="single" w:color="auto" w:sz="4" w:space="0"/>
      </w:pBdr>
      <w:spacing w:before="100" w:beforeAutospacing="1" w:after="100" w:afterAutospacing="1"/>
      <w:jc w:val="center"/>
    </w:pPr>
    <w:rPr>
      <w:rFonts w:ascii="宋体" w:hAnsi="宋体" w:cs="宋体"/>
      <w:kern w:val="0"/>
      <w:sz w:val="24"/>
    </w:rPr>
  </w:style>
  <w:style w:type="paragraph" w:customStyle="1" w:styleId="200">
    <w:name w:val="xl94"/>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kern w:val="0"/>
      <w:sz w:val="24"/>
    </w:rPr>
  </w:style>
  <w:style w:type="paragraph" w:customStyle="1" w:styleId="201">
    <w:name w:val="xl95"/>
    <w:basedOn w:val="1"/>
    <w:qFormat/>
    <w:uiPriority w:val="0"/>
    <w:pPr>
      <w:widowControl/>
      <w:spacing w:before="100" w:beforeAutospacing="1" w:after="100" w:afterAutospacing="1"/>
      <w:jc w:val="center"/>
    </w:pPr>
    <w:rPr>
      <w:kern w:val="0"/>
      <w:sz w:val="24"/>
    </w:rPr>
  </w:style>
  <w:style w:type="paragraph" w:customStyle="1" w:styleId="202">
    <w:name w:val="xl9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rPr>
  </w:style>
  <w:style w:type="paragraph" w:customStyle="1" w:styleId="203">
    <w:name w:val="xl9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rPr>
  </w:style>
  <w:style w:type="character" w:customStyle="1" w:styleId="204">
    <w:name w:val="apple-converted-space"/>
    <w:qFormat/>
    <w:uiPriority w:val="0"/>
  </w:style>
  <w:style w:type="paragraph" w:customStyle="1" w:styleId="205">
    <w:name w:val="无间隔1"/>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06">
    <w:name w:val="列出段落1"/>
    <w:basedOn w:val="1"/>
    <w:qFormat/>
    <w:uiPriority w:val="34"/>
    <w:pPr>
      <w:ind w:firstLine="420" w:firstLineChars="200"/>
    </w:pPr>
    <w:rPr>
      <w:szCs w:val="20"/>
    </w:rPr>
  </w:style>
  <w:style w:type="paragraph" w:customStyle="1" w:styleId="207">
    <w:name w:val="修订11"/>
    <w:hidden/>
    <w:semiHidden/>
    <w:qFormat/>
    <w:uiPriority w:val="99"/>
    <w:rPr>
      <w:rFonts w:ascii="Times New Roman" w:hAnsi="Times New Roman" w:eastAsia="宋体" w:cs="Times New Roman"/>
      <w:kern w:val="2"/>
      <w:sz w:val="21"/>
      <w:szCs w:val="24"/>
      <w:lang w:val="en-US" w:eastAsia="zh-CN" w:bidi="ar-SA"/>
    </w:rPr>
  </w:style>
  <w:style w:type="character" w:customStyle="1" w:styleId="208">
    <w:name w:val="font31"/>
    <w:qFormat/>
    <w:uiPriority w:val="0"/>
    <w:rPr>
      <w:rFonts w:hint="default" w:ascii="Times New Roman" w:hAnsi="Times New Roman" w:cs="Times New Roman"/>
      <w:color w:val="000000"/>
      <w:sz w:val="22"/>
      <w:szCs w:val="22"/>
      <w:u w:val="none"/>
    </w:rPr>
  </w:style>
  <w:style w:type="character" w:customStyle="1" w:styleId="209">
    <w:name w:val="font11"/>
    <w:qFormat/>
    <w:uiPriority w:val="0"/>
    <w:rPr>
      <w:rFonts w:hint="default" w:ascii="Times New Roman" w:hAnsi="Times New Roman" w:cs="Times New Roman"/>
      <w:color w:val="000000"/>
      <w:sz w:val="21"/>
      <w:szCs w:val="21"/>
      <w:u w:val="none"/>
    </w:rPr>
  </w:style>
  <w:style w:type="character" w:customStyle="1" w:styleId="210">
    <w:name w:val="font51"/>
    <w:qFormat/>
    <w:uiPriority w:val="0"/>
    <w:rPr>
      <w:rFonts w:hint="default" w:ascii="Times New Roman" w:hAnsi="Times New Roman" w:cs="Times New Roman"/>
      <w:color w:val="000000"/>
      <w:sz w:val="21"/>
      <w:szCs w:val="21"/>
      <w:u w:val="none"/>
      <w:vertAlign w:val="superscript"/>
    </w:rPr>
  </w:style>
  <w:style w:type="character" w:customStyle="1" w:styleId="211">
    <w:name w:val="font41"/>
    <w:qFormat/>
    <w:uiPriority w:val="0"/>
    <w:rPr>
      <w:rFonts w:hint="eastAsia" w:ascii="宋体" w:hAnsi="宋体" w:eastAsia="宋体" w:cs="宋体"/>
      <w:color w:val="000000"/>
      <w:sz w:val="21"/>
      <w:szCs w:val="21"/>
      <w:u w:val="none"/>
    </w:rPr>
  </w:style>
  <w:style w:type="character" w:customStyle="1" w:styleId="212">
    <w:name w:val="font21"/>
    <w:qFormat/>
    <w:uiPriority w:val="0"/>
    <w:rPr>
      <w:rFonts w:hint="default" w:ascii="Times New Roman" w:hAnsi="Times New Roman" w:cs="Times New Roman"/>
      <w:color w:val="000000"/>
      <w:sz w:val="21"/>
      <w:szCs w:val="21"/>
      <w:u w:val="none"/>
    </w:rPr>
  </w:style>
  <w:style w:type="character" w:customStyle="1" w:styleId="213">
    <w:name w:val="未处理的提及1"/>
    <w:semiHidden/>
    <w:unhideWhenUsed/>
    <w:qFormat/>
    <w:uiPriority w:val="99"/>
    <w:rPr>
      <w:color w:val="808080"/>
      <w:shd w:val="clear" w:color="auto" w:fill="E6E6E6"/>
    </w:rPr>
  </w:style>
  <w:style w:type="paragraph" w:customStyle="1" w:styleId="214">
    <w:name w:val="报告书正文"/>
    <w:basedOn w:val="1"/>
    <w:link w:val="334"/>
    <w:qFormat/>
    <w:uiPriority w:val="0"/>
    <w:pPr>
      <w:spacing w:line="300" w:lineRule="auto"/>
      <w:ind w:firstLine="200" w:firstLineChars="200"/>
    </w:pPr>
    <w:rPr>
      <w:sz w:val="24"/>
    </w:rPr>
  </w:style>
  <w:style w:type="paragraph" w:customStyle="1" w:styleId="215">
    <w:name w:val="正文-1"/>
    <w:basedOn w:val="1"/>
    <w:qFormat/>
    <w:uiPriority w:val="0"/>
    <w:pPr>
      <w:spacing w:line="360" w:lineRule="auto"/>
      <w:ind w:firstLine="480" w:firstLineChars="200"/>
    </w:pPr>
    <w:rPr>
      <w:sz w:val="24"/>
    </w:rPr>
  </w:style>
  <w:style w:type="character" w:customStyle="1" w:styleId="216">
    <w:name w:val="未处理的提及2"/>
    <w:semiHidden/>
    <w:unhideWhenUsed/>
    <w:qFormat/>
    <w:uiPriority w:val="99"/>
    <w:rPr>
      <w:color w:val="808080"/>
      <w:shd w:val="clear" w:color="auto" w:fill="E6E6E6"/>
    </w:rPr>
  </w:style>
  <w:style w:type="character" w:customStyle="1" w:styleId="217">
    <w:name w:val="题注 Char1"/>
    <w:qFormat/>
    <w:uiPriority w:val="0"/>
    <w:rPr>
      <w:rFonts w:ascii="Arial" w:hAnsi="Arial" w:eastAsia="宋体" w:cs="Arial"/>
      <w:b/>
      <w:kern w:val="28"/>
      <w:sz w:val="24"/>
      <w:szCs w:val="24"/>
      <w:lang w:val="en-US" w:eastAsia="zh-CN" w:bidi="ar-SA"/>
    </w:rPr>
  </w:style>
  <w:style w:type="paragraph" w:customStyle="1" w:styleId="218">
    <w:name w:val="首行缩进正文"/>
    <w:basedOn w:val="1"/>
    <w:qFormat/>
    <w:uiPriority w:val="0"/>
    <w:rPr>
      <w:rFonts w:ascii="Calibri" w:hAnsi="Calibri"/>
    </w:rPr>
  </w:style>
  <w:style w:type="character" w:customStyle="1" w:styleId="219">
    <w:name w:val="未处理的提及3"/>
    <w:semiHidden/>
    <w:unhideWhenUsed/>
    <w:qFormat/>
    <w:uiPriority w:val="99"/>
    <w:rPr>
      <w:color w:val="605E5C"/>
      <w:shd w:val="clear" w:color="auto" w:fill="E1DFDD"/>
    </w:rPr>
  </w:style>
  <w:style w:type="paragraph" w:customStyle="1" w:styleId="220">
    <w:name w:val="样式 宋体 四号 行距: 固定值 25 磅 首行缩进:  2 字符"/>
    <w:basedOn w:val="1"/>
    <w:qFormat/>
    <w:uiPriority w:val="0"/>
    <w:pPr>
      <w:spacing w:line="360" w:lineRule="auto"/>
      <w:ind w:firstLine="200" w:firstLineChars="200"/>
    </w:pPr>
    <w:rPr>
      <w:rFonts w:ascii="宋体" w:hAnsi="宋体" w:cs="宋体"/>
      <w:sz w:val="28"/>
      <w:szCs w:val="20"/>
    </w:rPr>
  </w:style>
  <w:style w:type="character" w:customStyle="1" w:styleId="221">
    <w:name w:val="表格标题 Char"/>
    <w:link w:val="222"/>
    <w:qFormat/>
    <w:uiPriority w:val="0"/>
    <w:rPr>
      <w:b/>
      <w:sz w:val="24"/>
      <w:szCs w:val="21"/>
    </w:rPr>
  </w:style>
  <w:style w:type="paragraph" w:customStyle="1" w:styleId="222">
    <w:name w:val="表格标题"/>
    <w:basedOn w:val="1"/>
    <w:link w:val="221"/>
    <w:qFormat/>
    <w:uiPriority w:val="0"/>
    <w:pPr>
      <w:widowControl/>
      <w:spacing w:beforeLines="20" w:afterLines="20"/>
      <w:jc w:val="center"/>
    </w:pPr>
    <w:rPr>
      <w:b/>
      <w:kern w:val="0"/>
      <w:sz w:val="24"/>
      <w:szCs w:val="21"/>
    </w:rPr>
  </w:style>
  <w:style w:type="paragraph" w:customStyle="1" w:styleId="223">
    <w:name w:val="Revision"/>
    <w:hidden/>
    <w:semiHidden/>
    <w:qFormat/>
    <w:uiPriority w:val="99"/>
    <w:rPr>
      <w:rFonts w:ascii="Times New Roman" w:hAnsi="Times New Roman" w:eastAsia="宋体" w:cs="Times New Roman"/>
      <w:kern w:val="2"/>
      <w:sz w:val="21"/>
      <w:szCs w:val="24"/>
      <w:lang w:val="en-US" w:eastAsia="zh-CN" w:bidi="ar-SA"/>
    </w:rPr>
  </w:style>
  <w:style w:type="paragraph" w:customStyle="1" w:styleId="224">
    <w:name w:val="表格正文8"/>
    <w:basedOn w:val="1"/>
    <w:qFormat/>
    <w:uiPriority w:val="0"/>
    <w:pPr>
      <w:spacing w:line="360" w:lineRule="exact"/>
      <w:jc w:val="center"/>
    </w:pPr>
    <w:rPr>
      <w:snapToGrid w:val="0"/>
      <w:kern w:val="0"/>
      <w:szCs w:val="21"/>
    </w:rPr>
  </w:style>
  <w:style w:type="character" w:customStyle="1" w:styleId="225">
    <w:name w:val="表格 Char Char"/>
    <w:qFormat/>
    <w:uiPriority w:val="0"/>
    <w:rPr>
      <w:rFonts w:ascii="宋体" w:hAnsi="宋体" w:cs="宋体"/>
      <w:snapToGrid w:val="0"/>
      <w:color w:val="000000"/>
      <w:kern w:val="2"/>
      <w:sz w:val="18"/>
      <w:szCs w:val="18"/>
    </w:rPr>
  </w:style>
  <w:style w:type="paragraph" w:customStyle="1" w:styleId="226">
    <w:name w:val="表格"/>
    <w:basedOn w:val="1"/>
    <w:next w:val="1"/>
    <w:link w:val="247"/>
    <w:qFormat/>
    <w:uiPriority w:val="0"/>
    <w:pPr>
      <w:spacing w:line="300" w:lineRule="exact"/>
      <w:ind w:left="-42" w:leftChars="-20" w:right="-42" w:rightChars="-20" w:firstLine="480" w:firstLineChars="200"/>
      <w:jc w:val="center"/>
    </w:pPr>
    <w:rPr>
      <w:rFonts w:ascii="宋体" w:hAnsi="宋体" w:cs="宋体"/>
      <w:snapToGrid w:val="0"/>
      <w:color w:val="000000"/>
      <w:sz w:val="18"/>
      <w:szCs w:val="18"/>
    </w:rPr>
  </w:style>
  <w:style w:type="paragraph" w:customStyle="1" w:styleId="227">
    <w:name w:val="Char Char Char Char Char Char"/>
    <w:basedOn w:val="1"/>
    <w:next w:val="2"/>
    <w:qFormat/>
    <w:uiPriority w:val="0"/>
    <w:rPr>
      <w:rFonts w:ascii="宋体" w:hAnsi="宋体" w:eastAsia="汉鼎简书宋" w:cs="宋体"/>
      <w:sz w:val="24"/>
    </w:rPr>
  </w:style>
  <w:style w:type="character" w:customStyle="1" w:styleId="228">
    <w:name w:val="宏文本 字符"/>
    <w:link w:val="2"/>
    <w:semiHidden/>
    <w:qFormat/>
    <w:uiPriority w:val="0"/>
    <w:rPr>
      <w:rFonts w:ascii="Courier New" w:hAnsi="Courier New" w:cs="Courier New"/>
      <w:kern w:val="2"/>
      <w:sz w:val="24"/>
      <w:szCs w:val="24"/>
    </w:rPr>
  </w:style>
  <w:style w:type="character" w:customStyle="1" w:styleId="229">
    <w:name w:val="表格1 Char Char Char"/>
    <w:qFormat/>
    <w:uiPriority w:val="0"/>
    <w:rPr>
      <w:rFonts w:ascii="Arial" w:hAnsi="Arial" w:eastAsia="宋体" w:cs="Arial"/>
      <w:sz w:val="21"/>
      <w:szCs w:val="21"/>
      <w:lang w:val="en-US" w:eastAsia="zh-CN" w:bidi="ar-SA"/>
    </w:rPr>
  </w:style>
  <w:style w:type="paragraph" w:customStyle="1" w:styleId="230">
    <w:name w:val="文本"/>
    <w:qFormat/>
    <w:uiPriority w:val="0"/>
    <w:pPr>
      <w:spacing w:after="20"/>
      <w:jc w:val="both"/>
    </w:pPr>
    <w:rPr>
      <w:rFonts w:ascii="Times New Roman" w:hAnsi="Times New Roman" w:eastAsia="宋体" w:cs="Times New Roman"/>
      <w:szCs w:val="28"/>
      <w:lang w:val="en-US" w:eastAsia="zh-CN" w:bidi="ar-SA"/>
    </w:rPr>
  </w:style>
  <w:style w:type="character" w:customStyle="1" w:styleId="231">
    <w:name w:val="福建正文缩进 Char12"/>
    <w:qFormat/>
    <w:uiPriority w:val="0"/>
    <w:rPr>
      <w:rFonts w:ascii="宋体" w:eastAsia="宋体"/>
      <w:sz w:val="24"/>
      <w:szCs w:val="24"/>
      <w:lang w:val="en-US" w:eastAsia="zh-CN" w:bidi="ar-SA"/>
    </w:rPr>
  </w:style>
  <w:style w:type="paragraph" w:customStyle="1" w:styleId="232">
    <w:name w:val="三级标题8"/>
    <w:basedOn w:val="1"/>
    <w:qFormat/>
    <w:uiPriority w:val="0"/>
    <w:pPr>
      <w:spacing w:before="300" w:line="460" w:lineRule="exact"/>
      <w:outlineLvl w:val="2"/>
    </w:pPr>
    <w:rPr>
      <w:rFonts w:cs="宋体"/>
      <w:b/>
      <w:bCs/>
      <w:snapToGrid w:val="0"/>
      <w:kern w:val="0"/>
      <w:sz w:val="24"/>
      <w:szCs w:val="20"/>
    </w:rPr>
  </w:style>
  <w:style w:type="paragraph" w:customStyle="1" w:styleId="233">
    <w:name w:val="表格内字体9"/>
    <w:basedOn w:val="1"/>
    <w:next w:val="1"/>
    <w:qFormat/>
    <w:uiPriority w:val="0"/>
    <w:pPr>
      <w:jc w:val="center"/>
    </w:pPr>
    <w:rPr>
      <w:rFonts w:ascii="宋体" w:hAnsi="宋体"/>
      <w:kern w:val="0"/>
    </w:rPr>
  </w:style>
  <w:style w:type="paragraph" w:customStyle="1" w:styleId="234">
    <w:name w:val="表内541411"/>
    <w:basedOn w:val="1"/>
    <w:qFormat/>
    <w:uiPriority w:val="0"/>
    <w:pPr>
      <w:adjustRightInd w:val="0"/>
      <w:snapToGrid w:val="0"/>
      <w:spacing w:line="300" w:lineRule="auto"/>
      <w:jc w:val="center"/>
    </w:pPr>
    <w:rPr>
      <w:rFonts w:ascii="宋体" w:hAnsi="宋体" w:cs="宋体"/>
      <w:szCs w:val="20"/>
    </w:rPr>
  </w:style>
  <w:style w:type="paragraph" w:customStyle="1" w:styleId="235">
    <w:name w:val="图题13"/>
    <w:basedOn w:val="1"/>
    <w:next w:val="1"/>
    <w:qFormat/>
    <w:uiPriority w:val="0"/>
    <w:pPr>
      <w:spacing w:line="360" w:lineRule="auto"/>
      <w:jc w:val="center"/>
    </w:pPr>
    <w:rPr>
      <w:rFonts w:ascii="黑体" w:hAnsi="宋体" w:eastAsia="黑体" w:cs="宋体"/>
      <w:b/>
      <w:bCs/>
      <w:kern w:val="0"/>
      <w:sz w:val="24"/>
    </w:rPr>
  </w:style>
  <w:style w:type="paragraph" w:customStyle="1" w:styleId="236">
    <w:name w:val="默认段落字体 Para Char12"/>
    <w:basedOn w:val="1"/>
    <w:next w:val="1"/>
    <w:qFormat/>
    <w:uiPriority w:val="0"/>
    <w:pPr>
      <w:spacing w:line="480" w:lineRule="exact"/>
      <w:ind w:firstLine="200" w:firstLineChars="200"/>
      <w:jc w:val="left"/>
    </w:pPr>
    <w:rPr>
      <w:rFonts w:ascii="宋体" w:hAnsi="宋体" w:eastAsia="汉鼎简书宋" w:cs="宋体"/>
      <w:sz w:val="28"/>
    </w:rPr>
  </w:style>
  <w:style w:type="paragraph" w:customStyle="1" w:styleId="237">
    <w:name w:val="p0"/>
    <w:basedOn w:val="1"/>
    <w:qFormat/>
    <w:uiPriority w:val="0"/>
    <w:pPr>
      <w:widowControl/>
      <w:jc w:val="left"/>
    </w:pPr>
    <w:rPr>
      <w:kern w:val="0"/>
      <w:szCs w:val="21"/>
    </w:rPr>
  </w:style>
  <w:style w:type="paragraph" w:customStyle="1" w:styleId="238">
    <w:name w:val="正文-7"/>
    <w:basedOn w:val="1"/>
    <w:qFormat/>
    <w:uiPriority w:val="0"/>
    <w:pPr>
      <w:spacing w:beforeLines="30" w:line="460" w:lineRule="exact"/>
      <w:ind w:firstLine="200" w:firstLineChars="200"/>
    </w:pPr>
    <w:rPr>
      <w:snapToGrid w:val="0"/>
      <w:kern w:val="0"/>
      <w:sz w:val="24"/>
    </w:rPr>
  </w:style>
  <w:style w:type="character" w:customStyle="1" w:styleId="239">
    <w:name w:val="HTML 预设格式 字符"/>
    <w:basedOn w:val="70"/>
    <w:link w:val="55"/>
    <w:semiHidden/>
    <w:qFormat/>
    <w:uiPriority w:val="0"/>
    <w:rPr>
      <w:rFonts w:ascii="宋体" w:hAnsi="宋体" w:cs="宋体"/>
      <w:sz w:val="24"/>
      <w:szCs w:val="24"/>
    </w:rPr>
  </w:style>
  <w:style w:type="character" w:customStyle="1" w:styleId="240">
    <w:name w:val="Subtle Reference"/>
    <w:basedOn w:val="70"/>
    <w:qFormat/>
    <w:uiPriority w:val="31"/>
    <w:rPr>
      <w:smallCaps/>
      <w:color w:val="595959" w:themeColor="text1" w:themeTint="A6"/>
      <w14:textFill>
        <w14:solidFill>
          <w14:schemeClr w14:val="tx1">
            <w14:lumMod w14:val="65000"/>
            <w14:lumOff w14:val="35000"/>
          </w14:schemeClr>
        </w14:solidFill>
      </w14:textFill>
    </w:rPr>
  </w:style>
  <w:style w:type="paragraph" w:customStyle="1" w:styleId="241">
    <w:name w:val="图表标题"/>
    <w:basedOn w:val="1"/>
    <w:qFormat/>
    <w:uiPriority w:val="0"/>
    <w:pPr>
      <w:spacing w:line="360" w:lineRule="auto"/>
      <w:jc w:val="center"/>
    </w:pPr>
    <w:rPr>
      <w:b/>
      <w:sz w:val="24"/>
    </w:rPr>
  </w:style>
  <w:style w:type="character" w:customStyle="1" w:styleId="242">
    <w:name w:val="生物质发电正文 Char"/>
    <w:link w:val="243"/>
    <w:qFormat/>
    <w:uiPriority w:val="0"/>
    <w:rPr>
      <w:rFonts w:ascii="宋体" w:hAnsi="宋体"/>
      <w:bCs/>
      <w:sz w:val="24"/>
      <w:szCs w:val="24"/>
    </w:rPr>
  </w:style>
  <w:style w:type="paragraph" w:customStyle="1" w:styleId="243">
    <w:name w:val="生物质发电正文"/>
    <w:basedOn w:val="1"/>
    <w:link w:val="242"/>
    <w:qFormat/>
    <w:uiPriority w:val="0"/>
    <w:pPr>
      <w:widowControl/>
      <w:suppressAutoHyphens/>
      <w:adjustRightInd w:val="0"/>
      <w:snapToGrid w:val="0"/>
      <w:spacing w:line="324" w:lineRule="auto"/>
      <w:ind w:firstLine="200" w:firstLineChars="200"/>
      <w:textAlignment w:val="baseline"/>
    </w:pPr>
    <w:rPr>
      <w:rFonts w:ascii="宋体" w:hAnsi="宋体"/>
      <w:bCs/>
      <w:kern w:val="0"/>
      <w:sz w:val="24"/>
    </w:rPr>
  </w:style>
  <w:style w:type="character" w:customStyle="1" w:styleId="244">
    <w:name w:val="石化产业工业区正文 Char Char"/>
    <w:link w:val="245"/>
    <w:qFormat/>
    <w:uiPriority w:val="0"/>
    <w:rPr>
      <w:rFonts w:ascii="宋体" w:hAnsi="宋体" w:cs="宋体"/>
      <w:sz w:val="24"/>
    </w:rPr>
  </w:style>
  <w:style w:type="paragraph" w:customStyle="1" w:styleId="245">
    <w:name w:val="石化产业工业区正文"/>
    <w:basedOn w:val="1"/>
    <w:link w:val="244"/>
    <w:qFormat/>
    <w:uiPriority w:val="0"/>
    <w:pPr>
      <w:spacing w:line="324" w:lineRule="auto"/>
      <w:ind w:firstLine="480" w:firstLineChars="200"/>
    </w:pPr>
    <w:rPr>
      <w:rFonts w:ascii="宋体" w:hAnsi="宋体" w:cs="宋体"/>
      <w:kern w:val="0"/>
      <w:sz w:val="24"/>
      <w:szCs w:val="20"/>
    </w:rPr>
  </w:style>
  <w:style w:type="character" w:customStyle="1" w:styleId="246">
    <w:name w:val="纯文本 Char"/>
    <w:basedOn w:val="70"/>
    <w:qFormat/>
    <w:uiPriority w:val="99"/>
    <w:rPr>
      <w:rFonts w:ascii="宋体" w:hAnsi="Courier New" w:eastAsia="宋体" w:cs="Courier New"/>
      <w:szCs w:val="21"/>
    </w:rPr>
  </w:style>
  <w:style w:type="character" w:customStyle="1" w:styleId="247">
    <w:name w:val="表格 Char"/>
    <w:link w:val="226"/>
    <w:qFormat/>
    <w:uiPriority w:val="0"/>
    <w:rPr>
      <w:rFonts w:ascii="Times New Roman" w:hAnsi="Times New Roman" w:eastAsia="宋体" w:cs="Times New Roman"/>
      <w:kern w:val="0"/>
      <w:szCs w:val="20"/>
    </w:rPr>
  </w:style>
  <w:style w:type="character" w:customStyle="1" w:styleId="248">
    <w:name w:val="列表段落 字符"/>
    <w:link w:val="119"/>
    <w:qFormat/>
    <w:uiPriority w:val="0"/>
    <w:rPr>
      <w:kern w:val="2"/>
      <w:sz w:val="21"/>
    </w:rPr>
  </w:style>
  <w:style w:type="paragraph" w:customStyle="1" w:styleId="249">
    <w:name w:val="陆晶 表格式"/>
    <w:basedOn w:val="1"/>
    <w:link w:val="250"/>
    <w:qFormat/>
    <w:uiPriority w:val="0"/>
    <w:pPr>
      <w:jc w:val="center"/>
    </w:pPr>
    <w:rPr>
      <w:bCs/>
      <w:szCs w:val="21"/>
    </w:rPr>
  </w:style>
  <w:style w:type="character" w:customStyle="1" w:styleId="250">
    <w:name w:val="陆晶 表格式 Char"/>
    <w:link w:val="249"/>
    <w:qFormat/>
    <w:uiPriority w:val="0"/>
    <w:rPr>
      <w:bCs/>
      <w:kern w:val="2"/>
      <w:sz w:val="21"/>
      <w:szCs w:val="21"/>
    </w:rPr>
  </w:style>
  <w:style w:type="paragraph" w:customStyle="1" w:styleId="251">
    <w:name w:val="样式 首行缩进:  2 字符1"/>
    <w:basedOn w:val="1"/>
    <w:qFormat/>
    <w:uiPriority w:val="0"/>
    <w:pPr>
      <w:snapToGrid w:val="0"/>
      <w:spacing w:line="360" w:lineRule="auto"/>
      <w:ind w:firstLine="200" w:firstLineChars="200"/>
    </w:pPr>
    <w:rPr>
      <w:rFonts w:cs="宋体"/>
      <w:sz w:val="24"/>
      <w:szCs w:val="20"/>
    </w:rPr>
  </w:style>
  <w:style w:type="paragraph" w:customStyle="1" w:styleId="252">
    <w:name w:val="报告正文"/>
    <w:basedOn w:val="1"/>
    <w:link w:val="253"/>
    <w:qFormat/>
    <w:uiPriority w:val="0"/>
    <w:pPr>
      <w:widowControl/>
      <w:spacing w:before="156" w:after="156" w:line="360" w:lineRule="auto"/>
      <w:ind w:firstLine="482"/>
      <w:jc w:val="left"/>
    </w:pPr>
    <w:rPr>
      <w:rFonts w:ascii="宋体" w:hAnsi="宋体" w:cs="宋体"/>
      <w:kern w:val="0"/>
      <w:sz w:val="24"/>
    </w:rPr>
  </w:style>
  <w:style w:type="character" w:customStyle="1" w:styleId="253">
    <w:name w:val="报告正文 Char"/>
    <w:link w:val="252"/>
    <w:qFormat/>
    <w:uiPriority w:val="0"/>
    <w:rPr>
      <w:rFonts w:ascii="宋体" w:hAnsi="宋体" w:cs="宋体"/>
      <w:sz w:val="24"/>
      <w:szCs w:val="24"/>
    </w:rPr>
  </w:style>
  <w:style w:type="character" w:customStyle="1" w:styleId="254">
    <w:name w:val="表格1 Char1"/>
    <w:link w:val="255"/>
    <w:qFormat/>
    <w:uiPriority w:val="0"/>
    <w:rPr>
      <w:rFonts w:ascii="CG Times (W1)" w:hAnsi="CG Times (W1)"/>
      <w:szCs w:val="21"/>
    </w:rPr>
  </w:style>
  <w:style w:type="paragraph" w:customStyle="1" w:styleId="255">
    <w:name w:val="表格1"/>
    <w:basedOn w:val="1"/>
    <w:link w:val="254"/>
    <w:qFormat/>
    <w:uiPriority w:val="0"/>
    <w:pPr>
      <w:adjustRightInd w:val="0"/>
      <w:spacing w:before="20" w:after="20" w:line="240" w:lineRule="atLeast"/>
      <w:jc w:val="center"/>
      <w:textAlignment w:val="baseline"/>
    </w:pPr>
    <w:rPr>
      <w:rFonts w:ascii="CG Times (W1)" w:hAnsi="CG Times (W1)"/>
      <w:kern w:val="0"/>
      <w:sz w:val="20"/>
      <w:szCs w:val="21"/>
    </w:rPr>
  </w:style>
  <w:style w:type="character" w:customStyle="1" w:styleId="256">
    <w:name w:val="正 文 Char Char"/>
    <w:link w:val="257"/>
    <w:qFormat/>
    <w:uiPriority w:val="0"/>
    <w:rPr>
      <w:rFonts w:ascii="Arial" w:hAnsi="Arial"/>
      <w:sz w:val="24"/>
      <w:szCs w:val="24"/>
    </w:rPr>
  </w:style>
  <w:style w:type="paragraph" w:customStyle="1" w:styleId="257">
    <w:name w:val="正 文"/>
    <w:link w:val="256"/>
    <w:qFormat/>
    <w:uiPriority w:val="0"/>
    <w:pPr>
      <w:widowControl w:val="0"/>
      <w:spacing w:line="480" w:lineRule="exact"/>
      <w:ind w:firstLine="471"/>
      <w:jc w:val="both"/>
    </w:pPr>
    <w:rPr>
      <w:rFonts w:ascii="Arial" w:hAnsi="Arial" w:eastAsia="宋体" w:cs="Times New Roman"/>
      <w:sz w:val="24"/>
      <w:szCs w:val="24"/>
      <w:lang w:val="en-US" w:eastAsia="zh-CN" w:bidi="ar-SA"/>
    </w:rPr>
  </w:style>
  <w:style w:type="paragraph" w:customStyle="1" w:styleId="258">
    <w:name w:val="样式 Char"/>
    <w:basedOn w:val="1"/>
    <w:qFormat/>
    <w:uiPriority w:val="0"/>
    <w:rPr>
      <w:szCs w:val="21"/>
    </w:rPr>
  </w:style>
  <w:style w:type="paragraph" w:customStyle="1" w:styleId="259">
    <w:name w:val="表格内容 Char Char"/>
    <w:basedOn w:val="1"/>
    <w:qFormat/>
    <w:uiPriority w:val="0"/>
    <w:pPr>
      <w:tabs>
        <w:tab w:val="left" w:pos="1535"/>
        <w:tab w:val="left" w:pos="3105"/>
        <w:tab w:val="left" w:pos="4676"/>
        <w:tab w:val="left" w:pos="6247"/>
        <w:tab w:val="left" w:pos="7740"/>
        <w:tab w:val="left" w:pos="9288"/>
      </w:tabs>
      <w:adjustRightInd w:val="0"/>
      <w:snapToGrid w:val="0"/>
      <w:spacing w:line="240" w:lineRule="exact"/>
      <w:jc w:val="center"/>
      <w:textAlignment w:val="baseline"/>
    </w:pPr>
    <w:rPr>
      <w:color w:val="000000"/>
      <w:szCs w:val="16"/>
    </w:rPr>
  </w:style>
  <w:style w:type="paragraph" w:customStyle="1" w:styleId="260">
    <w:name w:val="【表格】"/>
    <w:next w:val="61"/>
    <w:qFormat/>
    <w:uiPriority w:val="0"/>
    <w:pPr>
      <w:jc w:val="center"/>
    </w:pPr>
    <w:rPr>
      <w:rFonts w:ascii="Times New Roman" w:hAnsi="Times New Roman" w:eastAsia="宋体" w:cs="Times New Roman"/>
      <w:sz w:val="21"/>
      <w:szCs w:val="24"/>
      <w:lang w:val="en-US" w:eastAsia="zh-CN" w:bidi="ar-SA"/>
    </w:rPr>
  </w:style>
  <w:style w:type="paragraph" w:customStyle="1" w:styleId="261">
    <w:name w:val="TOC Heading"/>
    <w:basedOn w:val="3"/>
    <w:next w:val="1"/>
    <w:unhideWhenUsed/>
    <w:qFormat/>
    <w:uiPriority w:val="39"/>
    <w:pPr>
      <w:widowControl/>
      <w:numPr>
        <w:numId w:val="0"/>
      </w:numPr>
      <w:spacing w:before="480" w:line="276" w:lineRule="auto"/>
      <w:jc w:val="left"/>
      <w:outlineLvl w:val="9"/>
    </w:pPr>
    <w:rPr>
      <w:rFonts w:asciiTheme="majorHAnsi" w:hAnsiTheme="majorHAnsi" w:eastAsiaTheme="majorEastAsia" w:cstheme="majorBidi"/>
      <w:bCs/>
      <w:color w:val="2F5597" w:themeColor="accent1" w:themeShade="BF"/>
      <w:kern w:val="0"/>
      <w:sz w:val="28"/>
      <w:szCs w:val="28"/>
    </w:rPr>
  </w:style>
  <w:style w:type="paragraph" w:customStyle="1" w:styleId="262">
    <w:name w:val="默认段落字体 Para Char Char Char Char"/>
    <w:basedOn w:val="1"/>
    <w:semiHidden/>
    <w:qFormat/>
    <w:uiPriority w:val="0"/>
  </w:style>
  <w:style w:type="paragraph" w:customStyle="1" w:styleId="263">
    <w:name w:val="Default"/>
    <w:qFormat/>
    <w:uiPriority w:val="0"/>
    <w:pPr>
      <w:widowControl w:val="0"/>
      <w:autoSpaceDE w:val="0"/>
      <w:autoSpaceDN w:val="0"/>
      <w:adjustRightInd w:val="0"/>
    </w:pPr>
    <w:rPr>
      <w:rFonts w:ascii="宋体" w:eastAsia="宋体" w:cs="宋体" w:hAnsiTheme="minorHAnsi"/>
      <w:color w:val="000000"/>
      <w:sz w:val="24"/>
      <w:szCs w:val="24"/>
      <w:lang w:val="en-US" w:eastAsia="zh-CN" w:bidi="ar-SA"/>
    </w:rPr>
  </w:style>
  <w:style w:type="character" w:customStyle="1" w:styleId="264">
    <w:name w:val="正文文本 2 字符"/>
    <w:basedOn w:val="70"/>
    <w:link w:val="52"/>
    <w:qFormat/>
    <w:uiPriority w:val="0"/>
    <w:rPr>
      <w:kern w:val="2"/>
      <w:sz w:val="24"/>
      <w:szCs w:val="24"/>
    </w:rPr>
  </w:style>
  <w:style w:type="character" w:customStyle="1" w:styleId="265">
    <w:name w:val="表标题 Char"/>
    <w:link w:val="266"/>
    <w:qFormat/>
    <w:uiPriority w:val="0"/>
    <w:rPr>
      <w:b/>
      <w:sz w:val="24"/>
      <w:szCs w:val="24"/>
    </w:rPr>
  </w:style>
  <w:style w:type="paragraph" w:customStyle="1" w:styleId="266">
    <w:name w:val="表标题"/>
    <w:basedOn w:val="1"/>
    <w:link w:val="265"/>
    <w:qFormat/>
    <w:uiPriority w:val="0"/>
    <w:pPr>
      <w:snapToGrid w:val="0"/>
      <w:jc w:val="center"/>
    </w:pPr>
    <w:rPr>
      <w:b/>
      <w:kern w:val="0"/>
      <w:sz w:val="24"/>
    </w:rPr>
  </w:style>
  <w:style w:type="table" w:customStyle="1" w:styleId="267">
    <w:name w:val="网格型1"/>
    <w:basedOn w:val="63"/>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8">
    <w:name w:val="网格型-11"/>
    <w:basedOn w:val="63"/>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69">
    <w:name w:val="Document Map Char"/>
    <w:semiHidden/>
    <w:qFormat/>
    <w:uiPriority w:val="0"/>
    <w:rPr>
      <w:rFonts w:ascii="Times New Roman" w:hAnsi="Times New Roman" w:eastAsia="宋体" w:cs="Times New Roman"/>
      <w:sz w:val="24"/>
      <w:szCs w:val="24"/>
      <w:shd w:val="clear" w:color="auto" w:fill="000080"/>
    </w:rPr>
  </w:style>
  <w:style w:type="character" w:customStyle="1" w:styleId="270">
    <w:name w:val="Balloon Text Char"/>
    <w:semiHidden/>
    <w:qFormat/>
    <w:uiPriority w:val="0"/>
    <w:rPr>
      <w:rFonts w:ascii="Times New Roman" w:hAnsi="Times New Roman" w:eastAsia="宋体" w:cs="Times New Roman"/>
      <w:sz w:val="18"/>
      <w:szCs w:val="18"/>
    </w:rPr>
  </w:style>
  <w:style w:type="table" w:customStyle="1" w:styleId="271">
    <w:name w:val="网格型11"/>
    <w:qFormat/>
    <w:uiPriority w:val="3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272">
    <w:name w:val="脚注文本 Char1"/>
    <w:semiHidden/>
    <w:qFormat/>
    <w:uiPriority w:val="99"/>
    <w:rPr>
      <w:rFonts w:ascii="Times New Roman" w:hAnsi="Times New Roman"/>
      <w:kern w:val="2"/>
      <w:sz w:val="18"/>
      <w:szCs w:val="18"/>
    </w:rPr>
  </w:style>
  <w:style w:type="table" w:customStyle="1" w:styleId="273">
    <w:name w:val="网格型12"/>
    <w:basedOn w:val="63"/>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74">
    <w:name w:val="电镀正文"/>
    <w:basedOn w:val="1"/>
    <w:link w:val="275"/>
    <w:qFormat/>
    <w:uiPriority w:val="0"/>
    <w:pPr>
      <w:adjustRightInd w:val="0"/>
      <w:spacing w:line="324" w:lineRule="auto"/>
      <w:ind w:firstLine="200" w:firstLineChars="200"/>
      <w:textAlignment w:val="baseline"/>
    </w:pPr>
    <w:rPr>
      <w:rFonts w:ascii="宋体" w:hAnsi="宋体" w:cs="黑体"/>
      <w:sz w:val="24"/>
    </w:rPr>
  </w:style>
  <w:style w:type="character" w:customStyle="1" w:styleId="275">
    <w:name w:val="电镀正文 Char Char"/>
    <w:link w:val="274"/>
    <w:qFormat/>
    <w:uiPriority w:val="0"/>
    <w:rPr>
      <w:rFonts w:ascii="宋体" w:hAnsi="宋体" w:cs="黑体"/>
      <w:kern w:val="2"/>
      <w:sz w:val="24"/>
      <w:szCs w:val="24"/>
    </w:rPr>
  </w:style>
  <w:style w:type="paragraph" w:customStyle="1" w:styleId="276">
    <w:name w:val="廉江表"/>
    <w:basedOn w:val="1"/>
    <w:qFormat/>
    <w:uiPriority w:val="0"/>
    <w:pPr>
      <w:widowControl/>
      <w:snapToGrid w:val="0"/>
      <w:jc w:val="center"/>
    </w:pPr>
    <w:rPr>
      <w:szCs w:val="21"/>
    </w:rPr>
  </w:style>
  <w:style w:type="paragraph" w:customStyle="1" w:styleId="277">
    <w:name w:val="TOC 标题1"/>
    <w:basedOn w:val="3"/>
    <w:next w:val="1"/>
    <w:unhideWhenUsed/>
    <w:qFormat/>
    <w:uiPriority w:val="39"/>
    <w:pPr>
      <w:widowControl/>
      <w:numPr>
        <w:numId w:val="0"/>
      </w:numPr>
      <w:spacing w:before="480" w:line="276" w:lineRule="auto"/>
      <w:jc w:val="left"/>
      <w:outlineLvl w:val="9"/>
    </w:pPr>
    <w:rPr>
      <w:rFonts w:asciiTheme="majorHAnsi" w:hAnsiTheme="majorHAnsi" w:eastAsiaTheme="majorEastAsia" w:cstheme="majorBidi"/>
      <w:bCs/>
      <w:color w:val="2F5597" w:themeColor="accent1" w:themeShade="BF"/>
      <w:kern w:val="0"/>
      <w:sz w:val="28"/>
      <w:szCs w:val="28"/>
    </w:rPr>
  </w:style>
  <w:style w:type="character" w:styleId="278">
    <w:name w:val="Placeholder Text"/>
    <w:basedOn w:val="70"/>
    <w:semiHidden/>
    <w:qFormat/>
    <w:uiPriority w:val="99"/>
    <w:rPr>
      <w:color w:val="808080"/>
    </w:rPr>
  </w:style>
  <w:style w:type="character" w:customStyle="1" w:styleId="279">
    <w:name w:val="!正文PYH Char"/>
    <w:link w:val="280"/>
    <w:qFormat/>
    <w:uiPriority w:val="0"/>
    <w:rPr>
      <w:rFonts w:eastAsia="仿宋_GB2312"/>
      <w:sz w:val="28"/>
    </w:rPr>
  </w:style>
  <w:style w:type="paragraph" w:customStyle="1" w:styleId="280">
    <w:name w:val="!正文PYH"/>
    <w:basedOn w:val="1"/>
    <w:link w:val="279"/>
    <w:qFormat/>
    <w:uiPriority w:val="0"/>
    <w:pPr>
      <w:spacing w:line="560" w:lineRule="exact"/>
      <w:ind w:firstLine="200" w:firstLineChars="200"/>
    </w:pPr>
    <w:rPr>
      <w:rFonts w:eastAsia="仿宋_GB2312"/>
      <w:kern w:val="0"/>
      <w:sz w:val="28"/>
      <w:szCs w:val="20"/>
    </w:rPr>
  </w:style>
  <w:style w:type="paragraph" w:customStyle="1" w:styleId="281">
    <w:name w:val="样式 标题 4 + 段前: 0.5 行"/>
    <w:basedOn w:val="6"/>
    <w:qFormat/>
    <w:uiPriority w:val="0"/>
    <w:pPr>
      <w:numPr>
        <w:ilvl w:val="0"/>
        <w:numId w:val="0"/>
      </w:numPr>
      <w:tabs>
        <w:tab w:val="left" w:pos="1300"/>
      </w:tabs>
      <w:snapToGrid w:val="0"/>
      <w:spacing w:before="20" w:afterLines="20" w:line="560" w:lineRule="exact"/>
      <w:jc w:val="both"/>
      <w:textAlignment w:val="auto"/>
    </w:pPr>
    <w:rPr>
      <w:rFonts w:eastAsia="黑体" w:cs="宋体"/>
      <w:b w:val="0"/>
      <w:bCs w:val="0"/>
      <w:smallCaps w:val="0"/>
      <w:snapToGrid w:val="0"/>
      <w:sz w:val="28"/>
      <w:szCs w:val="20"/>
    </w:rPr>
  </w:style>
  <w:style w:type="character" w:customStyle="1" w:styleId="282">
    <w:name w:val="注释标题 字符"/>
    <w:basedOn w:val="70"/>
    <w:link w:val="16"/>
    <w:qFormat/>
    <w:uiPriority w:val="0"/>
    <w:rPr>
      <w:rFonts w:ascii="宋体"/>
      <w:kern w:val="2"/>
      <w:sz w:val="21"/>
    </w:rPr>
  </w:style>
  <w:style w:type="paragraph" w:customStyle="1" w:styleId="283">
    <w:name w:val="简单回函地址"/>
    <w:basedOn w:val="1"/>
    <w:qFormat/>
    <w:uiPriority w:val="0"/>
    <w:rPr>
      <w:szCs w:val="20"/>
    </w:rPr>
  </w:style>
  <w:style w:type="paragraph" w:customStyle="1" w:styleId="284">
    <w:name w:val="表1"/>
    <w:basedOn w:val="1"/>
    <w:qFormat/>
    <w:uiPriority w:val="0"/>
    <w:pPr>
      <w:jc w:val="center"/>
    </w:pPr>
    <w:rPr>
      <w:rFonts w:cs="宋体"/>
      <w:szCs w:val="20"/>
    </w:rPr>
  </w:style>
  <w:style w:type="paragraph" w:customStyle="1" w:styleId="285">
    <w:name w:val="样式 (符号) 宋体 小四 行距: 1.5 倍行距"/>
    <w:basedOn w:val="1"/>
    <w:qFormat/>
    <w:uiPriority w:val="0"/>
    <w:pPr>
      <w:spacing w:line="360" w:lineRule="auto"/>
      <w:ind w:firstLine="200" w:firstLineChars="200"/>
    </w:pPr>
    <w:rPr>
      <w:rFonts w:hAnsi="宋体" w:cs="宋体"/>
      <w:sz w:val="24"/>
      <w:szCs w:val="20"/>
    </w:rPr>
  </w:style>
  <w:style w:type="character" w:customStyle="1" w:styleId="286">
    <w:name w:val="正文文本缩进 字符"/>
    <w:basedOn w:val="70"/>
    <w:link w:val="27"/>
    <w:semiHidden/>
    <w:qFormat/>
    <w:uiPriority w:val="99"/>
    <w:rPr>
      <w:kern w:val="2"/>
      <w:sz w:val="24"/>
      <w:szCs w:val="24"/>
    </w:rPr>
  </w:style>
  <w:style w:type="paragraph" w:customStyle="1" w:styleId="287">
    <w:name w:val="样式 样式 标题 4 + 首行缩进:  2 字符 + 首行缩进:  2 字符1"/>
    <w:basedOn w:val="1"/>
    <w:qFormat/>
    <w:uiPriority w:val="0"/>
    <w:pPr>
      <w:keepNext/>
      <w:keepLines/>
      <w:spacing w:before="120" w:after="120"/>
      <w:ind w:firstLine="200" w:firstLineChars="200"/>
      <w:outlineLvl w:val="3"/>
    </w:pPr>
    <w:rPr>
      <w:rFonts w:ascii="Arial" w:hAnsi="Arial" w:eastAsia="黑体"/>
      <w:sz w:val="24"/>
      <w:szCs w:val="20"/>
    </w:rPr>
  </w:style>
  <w:style w:type="paragraph" w:customStyle="1" w:styleId="288">
    <w:name w:val="Char Char Char1"/>
    <w:basedOn w:val="1"/>
    <w:qFormat/>
    <w:uiPriority w:val="0"/>
    <w:pPr>
      <w:widowControl/>
      <w:spacing w:after="160"/>
      <w:ind w:left="160" w:leftChars="50"/>
      <w:jc w:val="center"/>
    </w:pPr>
  </w:style>
  <w:style w:type="paragraph" w:customStyle="1" w:styleId="289">
    <w:name w:val="退格正文"/>
    <w:basedOn w:val="1"/>
    <w:semiHidden/>
    <w:qFormat/>
    <w:uiPriority w:val="0"/>
    <w:pPr>
      <w:spacing w:line="360" w:lineRule="auto"/>
      <w:ind w:firstLine="538" w:firstLineChars="192"/>
    </w:pPr>
    <w:rPr>
      <w:sz w:val="28"/>
    </w:rPr>
  </w:style>
  <w:style w:type="paragraph" w:customStyle="1" w:styleId="290">
    <w:name w:val="标题三"/>
    <w:basedOn w:val="5"/>
    <w:next w:val="1"/>
    <w:qFormat/>
    <w:uiPriority w:val="0"/>
    <w:pPr>
      <w:keepLines w:val="0"/>
      <w:numPr>
        <w:ilvl w:val="0"/>
        <w:numId w:val="0"/>
      </w:numPr>
      <w:autoSpaceDE w:val="0"/>
      <w:autoSpaceDN w:val="0"/>
      <w:adjustRightInd w:val="0"/>
      <w:ind w:firstLine="510"/>
      <w:textAlignment w:val="baseline"/>
    </w:pPr>
    <w:rPr>
      <w:rFonts w:ascii="黑体" w:eastAsia="黑体" w:cs="黑体"/>
      <w:sz w:val="24"/>
      <w:szCs w:val="24"/>
    </w:rPr>
  </w:style>
  <w:style w:type="paragraph" w:customStyle="1" w:styleId="291">
    <w:name w:val="正文正本 + 宋体"/>
    <w:basedOn w:val="1"/>
    <w:link w:val="292"/>
    <w:qFormat/>
    <w:uiPriority w:val="0"/>
    <w:pPr>
      <w:widowControl/>
      <w:spacing w:line="360" w:lineRule="auto"/>
      <w:ind w:firstLine="510"/>
      <w:jc w:val="left"/>
    </w:pPr>
    <w:rPr>
      <w:rFonts w:ascii="宋体" w:hAnsi="宋体"/>
      <w:kern w:val="0"/>
      <w:sz w:val="24"/>
    </w:rPr>
  </w:style>
  <w:style w:type="character" w:customStyle="1" w:styleId="292">
    <w:name w:val="正文正本 + 宋体 Char"/>
    <w:basedOn w:val="70"/>
    <w:link w:val="291"/>
    <w:qFormat/>
    <w:uiPriority w:val="0"/>
    <w:rPr>
      <w:rFonts w:ascii="宋体" w:hAnsi="宋体"/>
      <w:sz w:val="24"/>
      <w:szCs w:val="24"/>
    </w:rPr>
  </w:style>
  <w:style w:type="paragraph" w:customStyle="1" w:styleId="293">
    <w:name w:val="表名"/>
    <w:basedOn w:val="1"/>
    <w:qFormat/>
    <w:uiPriority w:val="0"/>
    <w:pPr>
      <w:spacing w:before="120" w:after="120" w:line="360" w:lineRule="auto"/>
      <w:jc w:val="center"/>
    </w:pPr>
    <w:rPr>
      <w:rFonts w:ascii="宋体"/>
      <w:b/>
      <w:sz w:val="24"/>
    </w:rPr>
  </w:style>
  <w:style w:type="character" w:customStyle="1" w:styleId="294">
    <w:name w:val="标题 字符"/>
    <w:basedOn w:val="70"/>
    <w:link w:val="59"/>
    <w:qFormat/>
    <w:uiPriority w:val="10"/>
    <w:rPr>
      <w:rFonts w:cstheme="majorBidi"/>
      <w:b/>
      <w:bCs/>
      <w:kern w:val="2"/>
      <w:sz w:val="24"/>
      <w:szCs w:val="32"/>
    </w:rPr>
  </w:style>
  <w:style w:type="paragraph" w:customStyle="1" w:styleId="295">
    <w:name w:val="三级标题6"/>
    <w:basedOn w:val="1"/>
    <w:qFormat/>
    <w:uiPriority w:val="0"/>
    <w:pPr>
      <w:spacing w:before="300" w:line="460" w:lineRule="exact"/>
      <w:outlineLvl w:val="2"/>
    </w:pPr>
    <w:rPr>
      <w:rFonts w:cs="宋体"/>
      <w:b/>
      <w:bCs/>
      <w:snapToGrid w:val="0"/>
      <w:kern w:val="0"/>
      <w:sz w:val="24"/>
      <w:szCs w:val="20"/>
    </w:rPr>
  </w:style>
  <w:style w:type="paragraph" w:customStyle="1" w:styleId="296">
    <w:name w:val="Char"/>
    <w:basedOn w:val="1"/>
    <w:link w:val="353"/>
    <w:qFormat/>
    <w:uiPriority w:val="0"/>
    <w:rPr>
      <w:szCs w:val="21"/>
    </w:rPr>
  </w:style>
  <w:style w:type="paragraph" w:customStyle="1" w:styleId="297">
    <w:name w:val="燕山正文1"/>
    <w:basedOn w:val="1"/>
    <w:qFormat/>
    <w:uiPriority w:val="0"/>
    <w:pPr>
      <w:tabs>
        <w:tab w:val="left" w:pos="4680"/>
      </w:tabs>
      <w:adjustRightInd w:val="0"/>
      <w:snapToGrid w:val="0"/>
      <w:spacing w:line="480" w:lineRule="exact"/>
    </w:pPr>
    <w:rPr>
      <w:rFonts w:ascii="宋体" w:cs="宋体"/>
      <w:sz w:val="24"/>
    </w:rPr>
  </w:style>
  <w:style w:type="paragraph" w:customStyle="1" w:styleId="298">
    <w:name w:val="样式 正文首行缩进 2 + 首行缩进:  2 字符"/>
    <w:basedOn w:val="62"/>
    <w:qFormat/>
    <w:uiPriority w:val="0"/>
    <w:pPr>
      <w:spacing w:after="0" w:line="360" w:lineRule="auto"/>
      <w:ind w:left="0" w:leftChars="0" w:firstLine="0" w:firstLineChars="0"/>
      <w:outlineLvl w:val="3"/>
    </w:pPr>
    <w:rPr>
      <w:b/>
      <w:sz w:val="24"/>
    </w:rPr>
  </w:style>
  <w:style w:type="character" w:customStyle="1" w:styleId="299">
    <w:name w:val="正文文本首行缩进 2 字符"/>
    <w:basedOn w:val="286"/>
    <w:link w:val="62"/>
    <w:semiHidden/>
    <w:qFormat/>
    <w:uiPriority w:val="0"/>
    <w:rPr>
      <w:kern w:val="2"/>
      <w:sz w:val="21"/>
      <w:szCs w:val="24"/>
    </w:rPr>
  </w:style>
  <w:style w:type="paragraph" w:customStyle="1" w:styleId="300">
    <w:name w:val="表格标题8"/>
    <w:basedOn w:val="1"/>
    <w:qFormat/>
    <w:uiPriority w:val="0"/>
    <w:pPr>
      <w:spacing w:before="60" w:line="460" w:lineRule="exact"/>
      <w:jc w:val="center"/>
    </w:pPr>
    <w:rPr>
      <w:rFonts w:cs="宋体"/>
      <w:snapToGrid w:val="0"/>
      <w:kern w:val="0"/>
      <w:sz w:val="24"/>
    </w:rPr>
  </w:style>
  <w:style w:type="character" w:customStyle="1" w:styleId="301">
    <w:name w:val="表格内容-zxc Char"/>
    <w:link w:val="302"/>
    <w:qFormat/>
    <w:uiPriority w:val="0"/>
    <w:rPr>
      <w:position w:val="-3"/>
      <w:szCs w:val="21"/>
    </w:rPr>
  </w:style>
  <w:style w:type="paragraph" w:customStyle="1" w:styleId="302">
    <w:name w:val="表格内容-zxc"/>
    <w:next w:val="1"/>
    <w:link w:val="301"/>
    <w:qFormat/>
    <w:uiPriority w:val="0"/>
    <w:pPr>
      <w:jc w:val="center"/>
    </w:pPr>
    <w:rPr>
      <w:rFonts w:ascii="Times New Roman" w:hAnsi="Times New Roman" w:eastAsia="宋体" w:cs="Times New Roman"/>
      <w:position w:val="-3"/>
      <w:szCs w:val="21"/>
      <w:lang w:val="en-US" w:eastAsia="zh-CN" w:bidi="ar-SA"/>
    </w:rPr>
  </w:style>
  <w:style w:type="paragraph" w:customStyle="1" w:styleId="303">
    <w:name w:val="EndNote Bibliography Title"/>
    <w:basedOn w:val="1"/>
    <w:link w:val="304"/>
    <w:qFormat/>
    <w:uiPriority w:val="0"/>
    <w:pPr>
      <w:spacing w:line="360" w:lineRule="auto"/>
      <w:ind w:firstLine="200" w:firstLineChars="200"/>
      <w:jc w:val="center"/>
    </w:pPr>
    <w:rPr>
      <w:rFonts w:eastAsiaTheme="minorEastAsia"/>
      <w:sz w:val="24"/>
      <w:szCs w:val="22"/>
    </w:rPr>
  </w:style>
  <w:style w:type="character" w:customStyle="1" w:styleId="304">
    <w:name w:val="EndNote Bibliography Title Char"/>
    <w:basedOn w:val="70"/>
    <w:link w:val="303"/>
    <w:qFormat/>
    <w:uiPriority w:val="0"/>
    <w:rPr>
      <w:rFonts w:eastAsiaTheme="minorEastAsia"/>
      <w:kern w:val="2"/>
      <w:sz w:val="24"/>
      <w:szCs w:val="22"/>
    </w:rPr>
  </w:style>
  <w:style w:type="paragraph" w:customStyle="1" w:styleId="305">
    <w:name w:val="EndNote Bibliography"/>
    <w:basedOn w:val="1"/>
    <w:link w:val="306"/>
    <w:qFormat/>
    <w:uiPriority w:val="0"/>
    <w:pPr>
      <w:spacing w:line="360" w:lineRule="auto"/>
      <w:ind w:firstLine="200" w:firstLineChars="200"/>
    </w:pPr>
    <w:rPr>
      <w:rFonts w:eastAsiaTheme="minorEastAsia"/>
      <w:sz w:val="24"/>
      <w:szCs w:val="22"/>
    </w:rPr>
  </w:style>
  <w:style w:type="character" w:customStyle="1" w:styleId="306">
    <w:name w:val="EndNote Bibliography Char"/>
    <w:basedOn w:val="70"/>
    <w:link w:val="305"/>
    <w:qFormat/>
    <w:uiPriority w:val="0"/>
    <w:rPr>
      <w:rFonts w:eastAsiaTheme="minorEastAsia"/>
      <w:kern w:val="2"/>
      <w:sz w:val="24"/>
      <w:szCs w:val="22"/>
    </w:rPr>
  </w:style>
  <w:style w:type="character" w:customStyle="1" w:styleId="307">
    <w:name w:val="web-item2"/>
    <w:basedOn w:val="70"/>
    <w:qFormat/>
    <w:uiPriority w:val="0"/>
    <w:rPr>
      <w:sz w:val="18"/>
      <w:szCs w:val="18"/>
    </w:rPr>
  </w:style>
  <w:style w:type="character" w:customStyle="1" w:styleId="308">
    <w:name w:val="脚注文本 字符"/>
    <w:basedOn w:val="70"/>
    <w:link w:val="46"/>
    <w:semiHidden/>
    <w:qFormat/>
    <w:uiPriority w:val="99"/>
    <w:rPr>
      <w:rFonts w:eastAsiaTheme="minorEastAsia" w:cstheme="minorBidi"/>
      <w:kern w:val="2"/>
      <w:sz w:val="18"/>
      <w:szCs w:val="18"/>
    </w:rPr>
  </w:style>
  <w:style w:type="paragraph" w:styleId="309">
    <w:name w:val="Quote"/>
    <w:basedOn w:val="1"/>
    <w:next w:val="1"/>
    <w:link w:val="310"/>
    <w:qFormat/>
    <w:uiPriority w:val="29"/>
    <w:pPr>
      <w:spacing w:line="360" w:lineRule="auto"/>
      <w:ind w:firstLine="200" w:firstLineChars="200"/>
    </w:pPr>
    <w:rPr>
      <w:rFonts w:eastAsiaTheme="minorEastAsia" w:cstheme="minorBidi"/>
      <w:i/>
      <w:iCs/>
      <w:color w:val="000000" w:themeColor="text1"/>
      <w:sz w:val="24"/>
      <w:szCs w:val="22"/>
      <w14:textFill>
        <w14:solidFill>
          <w14:schemeClr w14:val="tx1"/>
        </w14:solidFill>
      </w14:textFill>
    </w:rPr>
  </w:style>
  <w:style w:type="character" w:customStyle="1" w:styleId="310">
    <w:name w:val="引用 字符"/>
    <w:basedOn w:val="70"/>
    <w:link w:val="309"/>
    <w:qFormat/>
    <w:uiPriority w:val="29"/>
    <w:rPr>
      <w:rFonts w:eastAsiaTheme="minorEastAsia" w:cstheme="minorBidi"/>
      <w:i/>
      <w:iCs/>
      <w:color w:val="000000" w:themeColor="text1"/>
      <w:kern w:val="2"/>
      <w:sz w:val="24"/>
      <w:szCs w:val="22"/>
      <w14:textFill>
        <w14:solidFill>
          <w14:schemeClr w14:val="tx1"/>
        </w14:solidFill>
      </w14:textFill>
    </w:rPr>
  </w:style>
  <w:style w:type="character" w:customStyle="1" w:styleId="311">
    <w:name w:val="copied"/>
    <w:basedOn w:val="70"/>
    <w:qFormat/>
    <w:uiPriority w:val="0"/>
  </w:style>
  <w:style w:type="paragraph" w:customStyle="1" w:styleId="312">
    <w:name w:val="样式 正文首行缩进:  2 字符 + 首行缩进:  2 字符"/>
    <w:basedOn w:val="1"/>
    <w:qFormat/>
    <w:uiPriority w:val="0"/>
    <w:pPr>
      <w:spacing w:line="360" w:lineRule="auto"/>
      <w:ind w:firstLine="480" w:firstLineChars="200"/>
    </w:pPr>
    <w:rPr>
      <w:rFonts w:cs="宋体"/>
      <w:sz w:val="24"/>
      <w:szCs w:val="20"/>
    </w:rPr>
  </w:style>
  <w:style w:type="character" w:customStyle="1" w:styleId="313">
    <w:name w:val="正文缩进 字符"/>
    <w:link w:val="19"/>
    <w:qFormat/>
    <w:uiPriority w:val="0"/>
    <w:rPr>
      <w:kern w:val="2"/>
      <w:sz w:val="24"/>
      <w:szCs w:val="24"/>
    </w:rPr>
  </w:style>
  <w:style w:type="paragraph" w:customStyle="1" w:styleId="314">
    <w:name w:val="自定正文"/>
    <w:basedOn w:val="1"/>
    <w:link w:val="315"/>
    <w:qFormat/>
    <w:uiPriority w:val="0"/>
    <w:pPr>
      <w:snapToGrid w:val="0"/>
      <w:spacing w:line="360" w:lineRule="auto"/>
      <w:ind w:firstLine="200" w:firstLineChars="200"/>
      <w:textAlignment w:val="center"/>
    </w:pPr>
    <w:rPr>
      <w:rFonts w:ascii="Arial" w:hAnsi="Arial"/>
      <w:snapToGrid w:val="0"/>
      <w:color w:val="000000"/>
      <w:sz w:val="24"/>
      <w:szCs w:val="20"/>
    </w:rPr>
  </w:style>
  <w:style w:type="character" w:customStyle="1" w:styleId="315">
    <w:name w:val="自定正文 Char"/>
    <w:basedOn w:val="70"/>
    <w:link w:val="314"/>
    <w:qFormat/>
    <w:uiPriority w:val="0"/>
    <w:rPr>
      <w:rFonts w:ascii="Arial" w:hAnsi="Arial"/>
      <w:snapToGrid w:val="0"/>
      <w:color w:val="000000"/>
      <w:kern w:val="2"/>
      <w:sz w:val="24"/>
    </w:rPr>
  </w:style>
  <w:style w:type="paragraph" w:customStyle="1" w:styleId="316">
    <w:name w:val="自定标题1"/>
    <w:basedOn w:val="3"/>
    <w:next w:val="317"/>
    <w:qFormat/>
    <w:uiPriority w:val="0"/>
    <w:pPr>
      <w:keepNext w:val="0"/>
      <w:keepLines w:val="0"/>
      <w:numPr>
        <w:numId w:val="0"/>
      </w:numPr>
      <w:tabs>
        <w:tab w:val="left" w:pos="360"/>
        <w:tab w:val="clear" w:pos="0"/>
      </w:tabs>
      <w:autoSpaceDE w:val="0"/>
      <w:autoSpaceDN w:val="0"/>
      <w:adjustRightInd w:val="0"/>
      <w:spacing w:before="300" w:after="300"/>
      <w:jc w:val="center"/>
      <w:textAlignment w:val="baseline"/>
    </w:pPr>
    <w:rPr>
      <w:snapToGrid w:val="0"/>
      <w:kern w:val="0"/>
      <w:sz w:val="36"/>
      <w:szCs w:val="20"/>
    </w:rPr>
  </w:style>
  <w:style w:type="paragraph" w:customStyle="1" w:styleId="317">
    <w:name w:val="自定标题2"/>
    <w:basedOn w:val="4"/>
    <w:next w:val="314"/>
    <w:qFormat/>
    <w:uiPriority w:val="0"/>
    <w:pPr>
      <w:keepNext w:val="0"/>
      <w:keepLines w:val="0"/>
      <w:numPr>
        <w:ilvl w:val="0"/>
        <w:numId w:val="0"/>
      </w:numPr>
      <w:tabs>
        <w:tab w:val="left" w:pos="360"/>
        <w:tab w:val="clear" w:pos="0"/>
        <w:tab w:val="clear" w:pos="709"/>
      </w:tabs>
      <w:snapToGrid w:val="0"/>
      <w:spacing w:before="50" w:beforeLines="50" w:after="50" w:afterLines="50"/>
    </w:pPr>
    <w:rPr>
      <w:bCs w:val="0"/>
      <w:smallCaps w:val="0"/>
      <w:snapToGrid w:val="0"/>
      <w:szCs w:val="20"/>
    </w:rPr>
  </w:style>
  <w:style w:type="paragraph" w:customStyle="1" w:styleId="318">
    <w:name w:val="自定标题4"/>
    <w:basedOn w:val="6"/>
    <w:next w:val="314"/>
    <w:link w:val="324"/>
    <w:qFormat/>
    <w:uiPriority w:val="0"/>
    <w:pPr>
      <w:numPr>
        <w:ilvl w:val="0"/>
        <w:numId w:val="0"/>
      </w:numPr>
      <w:tabs>
        <w:tab w:val="left" w:pos="360"/>
        <w:tab w:val="clear" w:pos="0"/>
      </w:tabs>
      <w:snapToGrid w:val="0"/>
      <w:spacing w:before="120" w:after="120"/>
      <w:jc w:val="both"/>
      <w:textAlignment w:val="auto"/>
    </w:pPr>
    <w:rPr>
      <w:rFonts w:eastAsia="微软雅黑"/>
      <w:b w:val="0"/>
      <w:bCs w:val="0"/>
      <w:smallCaps w:val="0"/>
      <w:snapToGrid w:val="0"/>
      <w:szCs w:val="20"/>
    </w:rPr>
  </w:style>
  <w:style w:type="paragraph" w:customStyle="1" w:styleId="319">
    <w:name w:val="自定表格"/>
    <w:basedOn w:val="1"/>
    <w:link w:val="322"/>
    <w:qFormat/>
    <w:uiPriority w:val="0"/>
    <w:pPr>
      <w:autoSpaceDE w:val="0"/>
      <w:autoSpaceDN w:val="0"/>
      <w:adjustRightInd w:val="0"/>
      <w:spacing w:line="360" w:lineRule="auto"/>
      <w:jc w:val="center"/>
      <w:textAlignment w:val="center"/>
    </w:pPr>
    <w:rPr>
      <w:rFonts w:ascii="Arial" w:hAnsi="Arial"/>
      <w:kern w:val="0"/>
      <w:szCs w:val="20"/>
    </w:rPr>
  </w:style>
  <w:style w:type="paragraph" w:customStyle="1" w:styleId="320">
    <w:name w:val="自定表头"/>
    <w:basedOn w:val="7"/>
    <w:link w:val="321"/>
    <w:qFormat/>
    <w:uiPriority w:val="0"/>
    <w:pPr>
      <w:autoSpaceDE w:val="0"/>
      <w:autoSpaceDN w:val="0"/>
      <w:adjustRightInd w:val="0"/>
      <w:spacing w:beforeLines="0" w:afterLines="0" w:line="360" w:lineRule="auto"/>
      <w:ind w:firstLine="0" w:firstLineChars="0"/>
      <w:jc w:val="center"/>
    </w:pPr>
    <w:rPr>
      <w:rFonts w:ascii="Arial" w:hAnsi="Arial"/>
      <w:kern w:val="2"/>
      <w:szCs w:val="20"/>
    </w:rPr>
  </w:style>
  <w:style w:type="character" w:customStyle="1" w:styleId="321">
    <w:name w:val="自定表头 Char Char"/>
    <w:basedOn w:val="70"/>
    <w:link w:val="320"/>
    <w:qFormat/>
    <w:uiPriority w:val="0"/>
    <w:rPr>
      <w:rFonts w:ascii="Arial" w:hAnsi="Arial"/>
      <w:b/>
      <w:kern w:val="2"/>
      <w:sz w:val="24"/>
    </w:rPr>
  </w:style>
  <w:style w:type="character" w:customStyle="1" w:styleId="322">
    <w:name w:val="自定表格 Char"/>
    <w:basedOn w:val="70"/>
    <w:link w:val="319"/>
    <w:qFormat/>
    <w:uiPriority w:val="0"/>
    <w:rPr>
      <w:rFonts w:ascii="Arial" w:hAnsi="Arial"/>
      <w:sz w:val="21"/>
    </w:rPr>
  </w:style>
  <w:style w:type="paragraph" w:customStyle="1" w:styleId="323">
    <w:name w:val="图片"/>
    <w:basedOn w:val="1"/>
    <w:qFormat/>
    <w:uiPriority w:val="0"/>
    <w:pPr>
      <w:spacing w:line="440" w:lineRule="exact"/>
    </w:pPr>
    <w:rPr>
      <w:sz w:val="24"/>
    </w:rPr>
  </w:style>
  <w:style w:type="character" w:customStyle="1" w:styleId="324">
    <w:name w:val="自定标题4 Char"/>
    <w:basedOn w:val="70"/>
    <w:link w:val="318"/>
    <w:qFormat/>
    <w:uiPriority w:val="0"/>
    <w:rPr>
      <w:rFonts w:eastAsia="微软雅黑"/>
      <w:snapToGrid w:val="0"/>
      <w:kern w:val="2"/>
      <w:sz w:val="24"/>
    </w:rPr>
  </w:style>
  <w:style w:type="paragraph" w:customStyle="1" w:styleId="325">
    <w:name w:val="样式 标题 1标题 11一、 + Times New Roman 行距: 固定值 23 磅"/>
    <w:basedOn w:val="3"/>
    <w:qFormat/>
    <w:uiPriority w:val="0"/>
    <w:pPr>
      <w:numPr>
        <w:numId w:val="0"/>
      </w:numPr>
      <w:tabs>
        <w:tab w:val="clear" w:pos="0"/>
      </w:tabs>
      <w:spacing w:line="460" w:lineRule="exact"/>
    </w:pPr>
    <w:rPr>
      <w:rFonts w:ascii="黑体" w:eastAsia="黑体" w:cs="宋体"/>
      <w:b w:val="0"/>
      <w:bCs/>
      <w:szCs w:val="32"/>
      <w:lang w:val="zh-CN" w:eastAsia="zh-CN"/>
    </w:rPr>
  </w:style>
  <w:style w:type="paragraph" w:customStyle="1" w:styleId="326">
    <w:name w:val="自定义图标"/>
    <w:basedOn w:val="1"/>
    <w:qFormat/>
    <w:uiPriority w:val="0"/>
    <w:pPr>
      <w:spacing w:line="360" w:lineRule="auto"/>
      <w:ind w:left="-50" w:leftChars="-50" w:right="-50" w:rightChars="-50"/>
      <w:jc w:val="center"/>
    </w:pPr>
    <w:rPr>
      <w:rFonts w:cs="Arial"/>
      <w:b/>
    </w:rPr>
  </w:style>
  <w:style w:type="table" w:customStyle="1" w:styleId="327">
    <w:name w:val="黄桥表1"/>
    <w:basedOn w:val="63"/>
    <w:semiHidden/>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28">
    <w:name w:val="正文何黎 Char"/>
    <w:link w:val="329"/>
    <w:qFormat/>
    <w:uiPriority w:val="0"/>
    <w:rPr>
      <w:rFonts w:ascii="宋体" w:hAnsi="宋体" w:cs="宋体"/>
      <w:sz w:val="24"/>
      <w:szCs w:val="24"/>
    </w:rPr>
  </w:style>
  <w:style w:type="paragraph" w:customStyle="1" w:styleId="329">
    <w:name w:val="正文何黎"/>
    <w:basedOn w:val="1"/>
    <w:link w:val="328"/>
    <w:qFormat/>
    <w:uiPriority w:val="0"/>
    <w:pPr>
      <w:spacing w:line="360" w:lineRule="auto"/>
      <w:ind w:firstLine="480" w:firstLineChars="200"/>
    </w:pPr>
    <w:rPr>
      <w:rFonts w:ascii="宋体" w:hAnsi="宋体" w:cs="宋体"/>
      <w:kern w:val="0"/>
      <w:sz w:val="24"/>
    </w:rPr>
  </w:style>
  <w:style w:type="character" w:customStyle="1" w:styleId="330">
    <w:name w:val="正文缩进1 Char1"/>
    <w:qFormat/>
    <w:uiPriority w:val="0"/>
    <w:rPr>
      <w:rFonts w:hint="eastAsia" w:ascii="宋体" w:hAnsi="宋体" w:eastAsia="宋体"/>
      <w:kern w:val="2"/>
      <w:sz w:val="28"/>
      <w:szCs w:val="24"/>
      <w:lang w:val="en-US" w:eastAsia="zh-CN" w:bidi="ar-SA"/>
    </w:rPr>
  </w:style>
  <w:style w:type="character" w:customStyle="1" w:styleId="331">
    <w:name w:val="样式33 Char"/>
    <w:link w:val="332"/>
    <w:qFormat/>
    <w:uiPriority w:val="0"/>
    <w:rPr>
      <w:rFonts w:eastAsia="黑体"/>
      <w:sz w:val="24"/>
      <w:szCs w:val="32"/>
    </w:rPr>
  </w:style>
  <w:style w:type="paragraph" w:customStyle="1" w:styleId="332">
    <w:name w:val="样式33"/>
    <w:basedOn w:val="1"/>
    <w:link w:val="331"/>
    <w:qFormat/>
    <w:uiPriority w:val="0"/>
    <w:pPr>
      <w:keepNext/>
      <w:keepLines/>
      <w:tabs>
        <w:tab w:val="left" w:pos="360"/>
        <w:tab w:val="left" w:pos="540"/>
        <w:tab w:val="left" w:pos="1260"/>
      </w:tabs>
      <w:spacing w:before="156" w:beforeLines="50" w:after="156" w:afterLines="50" w:line="360" w:lineRule="auto"/>
      <w:ind w:left="1260" w:hanging="420"/>
      <w:outlineLvl w:val="2"/>
    </w:pPr>
    <w:rPr>
      <w:rFonts w:eastAsia="黑体"/>
      <w:kern w:val="0"/>
      <w:sz w:val="24"/>
      <w:szCs w:val="32"/>
    </w:rPr>
  </w:style>
  <w:style w:type="paragraph" w:customStyle="1" w:styleId="333">
    <w:name w:val="文章正文"/>
    <w:basedOn w:val="1"/>
    <w:qFormat/>
    <w:uiPriority w:val="0"/>
    <w:pPr>
      <w:spacing w:line="360" w:lineRule="auto"/>
      <w:ind w:firstLine="200" w:firstLineChars="200"/>
    </w:pPr>
    <w:rPr>
      <w:rFonts w:cs="華康細圓體"/>
      <w:kern w:val="0"/>
      <w:sz w:val="24"/>
    </w:rPr>
  </w:style>
  <w:style w:type="character" w:customStyle="1" w:styleId="334">
    <w:name w:val="报告书正文 Char2"/>
    <w:link w:val="214"/>
    <w:qFormat/>
    <w:uiPriority w:val="0"/>
    <w:rPr>
      <w:kern w:val="2"/>
      <w:sz w:val="24"/>
      <w:szCs w:val="24"/>
    </w:rPr>
  </w:style>
  <w:style w:type="paragraph" w:customStyle="1" w:styleId="335">
    <w:name w:val="正文样式"/>
    <w:basedOn w:val="1"/>
    <w:link w:val="336"/>
    <w:qFormat/>
    <w:uiPriority w:val="0"/>
    <w:pPr>
      <w:tabs>
        <w:tab w:val="left" w:pos="4200"/>
      </w:tabs>
      <w:spacing w:line="360" w:lineRule="auto"/>
      <w:ind w:firstLine="522"/>
    </w:pPr>
    <w:rPr>
      <w:color w:val="000000"/>
      <w:sz w:val="24"/>
    </w:rPr>
  </w:style>
  <w:style w:type="character" w:customStyle="1" w:styleId="336">
    <w:name w:val="正文样式 Char"/>
    <w:link w:val="335"/>
    <w:qFormat/>
    <w:uiPriority w:val="0"/>
    <w:rPr>
      <w:color w:val="000000"/>
      <w:kern w:val="2"/>
      <w:sz w:val="24"/>
      <w:szCs w:val="24"/>
    </w:rPr>
  </w:style>
  <w:style w:type="paragraph" w:customStyle="1" w:styleId="337">
    <w:name w:val="图表内容"/>
    <w:basedOn w:val="1"/>
    <w:link w:val="338"/>
    <w:qFormat/>
    <w:uiPriority w:val="0"/>
    <w:pPr>
      <w:tabs>
        <w:tab w:val="left" w:pos="7200"/>
      </w:tabs>
      <w:spacing w:line="360" w:lineRule="auto"/>
      <w:jc w:val="center"/>
    </w:pPr>
    <w:rPr>
      <w:color w:val="000000"/>
      <w:kern w:val="0"/>
    </w:rPr>
  </w:style>
  <w:style w:type="character" w:customStyle="1" w:styleId="338">
    <w:name w:val="图表内容 Char"/>
    <w:link w:val="337"/>
    <w:qFormat/>
    <w:uiPriority w:val="0"/>
    <w:rPr>
      <w:color w:val="000000"/>
      <w:sz w:val="21"/>
      <w:szCs w:val="24"/>
    </w:rPr>
  </w:style>
  <w:style w:type="paragraph" w:customStyle="1" w:styleId="339">
    <w:name w:val="图表名称"/>
    <w:basedOn w:val="61"/>
    <w:next w:val="61"/>
    <w:link w:val="340"/>
    <w:qFormat/>
    <w:uiPriority w:val="0"/>
    <w:pPr>
      <w:topLinePunct w:val="0"/>
      <w:adjustRightInd/>
      <w:snapToGrid/>
      <w:spacing w:after="120" w:line="240" w:lineRule="auto"/>
      <w:ind w:firstLine="0" w:firstLineChars="0"/>
      <w:jc w:val="center"/>
      <w:textAlignment w:val="auto"/>
    </w:pPr>
    <w:rPr>
      <w:b/>
      <w:kern w:val="2"/>
      <w:szCs w:val="24"/>
    </w:rPr>
  </w:style>
  <w:style w:type="character" w:customStyle="1" w:styleId="340">
    <w:name w:val="图表名称 Char"/>
    <w:link w:val="339"/>
    <w:qFormat/>
    <w:uiPriority w:val="0"/>
    <w:rPr>
      <w:b/>
      <w:kern w:val="2"/>
      <w:sz w:val="24"/>
      <w:szCs w:val="24"/>
    </w:rPr>
  </w:style>
  <w:style w:type="character" w:customStyle="1" w:styleId="341">
    <w:name w:val="正文文本缩进 3 Char1"/>
    <w:link w:val="342"/>
    <w:qFormat/>
    <w:uiPriority w:val="99"/>
    <w:rPr>
      <w:sz w:val="16"/>
      <w:szCs w:val="16"/>
    </w:rPr>
  </w:style>
  <w:style w:type="paragraph" w:customStyle="1" w:styleId="342">
    <w:name w:val="正文文本缩进 33"/>
    <w:basedOn w:val="1"/>
    <w:link w:val="341"/>
    <w:qFormat/>
    <w:uiPriority w:val="99"/>
    <w:pPr>
      <w:spacing w:after="120" w:line="360" w:lineRule="auto"/>
      <w:ind w:left="420" w:leftChars="200"/>
    </w:pPr>
    <w:rPr>
      <w:kern w:val="0"/>
      <w:sz w:val="16"/>
      <w:szCs w:val="16"/>
    </w:rPr>
  </w:style>
  <w:style w:type="paragraph" w:customStyle="1" w:styleId="343">
    <w:name w:val="标题2"/>
    <w:basedOn w:val="1"/>
    <w:qFormat/>
    <w:uiPriority w:val="0"/>
    <w:pPr>
      <w:spacing w:line="360" w:lineRule="auto"/>
      <w:ind w:left="850" w:hanging="425"/>
    </w:pPr>
    <w:rPr>
      <w:szCs w:val="20"/>
    </w:rPr>
  </w:style>
  <w:style w:type="paragraph" w:customStyle="1" w:styleId="344">
    <w:name w:val="正文文本缩进 31"/>
    <w:basedOn w:val="1"/>
    <w:qFormat/>
    <w:uiPriority w:val="0"/>
    <w:pPr>
      <w:spacing w:after="120" w:line="360" w:lineRule="auto"/>
      <w:ind w:left="420" w:leftChars="200"/>
    </w:pPr>
    <w:rPr>
      <w:sz w:val="16"/>
      <w:szCs w:val="16"/>
    </w:rPr>
  </w:style>
  <w:style w:type="paragraph" w:customStyle="1" w:styleId="345">
    <w:name w:val="正文文本缩进 35"/>
    <w:basedOn w:val="1"/>
    <w:qFormat/>
    <w:uiPriority w:val="0"/>
    <w:pPr>
      <w:spacing w:after="120" w:line="360" w:lineRule="auto"/>
      <w:ind w:left="420" w:leftChars="200"/>
    </w:pPr>
    <w:rPr>
      <w:sz w:val="16"/>
      <w:szCs w:val="16"/>
    </w:rPr>
  </w:style>
  <w:style w:type="character" w:customStyle="1" w:styleId="346">
    <w:name w:val="正文何黎 Char Char"/>
    <w:qFormat/>
    <w:uiPriority w:val="0"/>
    <w:rPr>
      <w:rFonts w:ascii="宋体" w:hAnsi="宋体" w:eastAsia="宋体" w:cs="Times New Roman"/>
      <w:sz w:val="24"/>
      <w:szCs w:val="24"/>
    </w:rPr>
  </w:style>
  <w:style w:type="paragraph" w:customStyle="1" w:styleId="347">
    <w:name w:val="正文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348">
    <w:name w:val="1"/>
    <w:basedOn w:val="27"/>
    <w:next w:val="62"/>
    <w:qFormat/>
    <w:uiPriority w:val="0"/>
    <w:pPr>
      <w:widowControl/>
      <w:numPr>
        <w:ilvl w:val="0"/>
        <w:numId w:val="4"/>
      </w:numPr>
      <w:tabs>
        <w:tab w:val="clear" w:pos="605"/>
      </w:tabs>
      <w:adjustRightInd w:val="0"/>
      <w:snapToGrid w:val="0"/>
      <w:spacing w:after="0"/>
      <w:ind w:left="0" w:leftChars="0" w:firstLine="200"/>
      <w:jc w:val="left"/>
    </w:pPr>
    <w:rPr>
      <w:rFonts w:ascii="宋体" w:hAnsi="宋体"/>
      <w:snapToGrid w:val="0"/>
      <w:color w:val="000000"/>
      <w:kern w:val="0"/>
      <w:szCs w:val="20"/>
    </w:rPr>
  </w:style>
  <w:style w:type="paragraph" w:customStyle="1" w:styleId="349">
    <w:name w:val="样式12"/>
    <w:basedOn w:val="1"/>
    <w:link w:val="350"/>
    <w:qFormat/>
    <w:uiPriority w:val="0"/>
    <w:pPr>
      <w:keepNext/>
      <w:keepLines/>
      <w:numPr>
        <w:ilvl w:val="1"/>
        <w:numId w:val="4"/>
      </w:numPr>
      <w:tabs>
        <w:tab w:val="left" w:pos="360"/>
      </w:tabs>
      <w:spacing w:beforeLines="50" w:afterLines="50" w:line="360" w:lineRule="auto"/>
      <w:ind w:firstLine="0"/>
      <w:outlineLvl w:val="1"/>
    </w:pPr>
    <w:rPr>
      <w:rFonts w:eastAsia="黑体"/>
      <w:sz w:val="28"/>
      <w:szCs w:val="28"/>
    </w:rPr>
  </w:style>
  <w:style w:type="character" w:customStyle="1" w:styleId="350">
    <w:name w:val="样式12 Char"/>
    <w:link w:val="349"/>
    <w:qFormat/>
    <w:uiPriority w:val="0"/>
    <w:rPr>
      <w:rFonts w:eastAsia="黑体"/>
      <w:kern w:val="2"/>
      <w:sz w:val="28"/>
      <w:szCs w:val="28"/>
    </w:rPr>
  </w:style>
  <w:style w:type="paragraph" w:customStyle="1" w:styleId="351">
    <w:name w:val="样式13"/>
    <w:basedOn w:val="1"/>
    <w:link w:val="461"/>
    <w:qFormat/>
    <w:uiPriority w:val="0"/>
    <w:pPr>
      <w:keepNext/>
      <w:keepLines/>
      <w:numPr>
        <w:ilvl w:val="2"/>
        <w:numId w:val="4"/>
      </w:numPr>
      <w:tabs>
        <w:tab w:val="left" w:pos="0"/>
        <w:tab w:val="left" w:pos="360"/>
        <w:tab w:val="left" w:pos="540"/>
      </w:tabs>
      <w:spacing w:beforeLines="50" w:afterLines="50" w:line="360" w:lineRule="auto"/>
      <w:ind w:left="0" w:firstLine="0"/>
      <w:outlineLvl w:val="2"/>
    </w:pPr>
    <w:rPr>
      <w:rFonts w:eastAsia="黑体"/>
      <w:kern w:val="0"/>
      <w:sz w:val="24"/>
      <w:szCs w:val="32"/>
    </w:rPr>
  </w:style>
  <w:style w:type="paragraph" w:customStyle="1" w:styleId="352">
    <w:name w:val="样式14"/>
    <w:basedOn w:val="1"/>
    <w:link w:val="388"/>
    <w:qFormat/>
    <w:uiPriority w:val="0"/>
    <w:pPr>
      <w:keepNext/>
      <w:keepLines/>
      <w:numPr>
        <w:ilvl w:val="3"/>
        <w:numId w:val="4"/>
      </w:numPr>
      <w:tabs>
        <w:tab w:val="left" w:pos="720"/>
      </w:tabs>
      <w:spacing w:beforeLines="50" w:afterLines="50" w:line="360" w:lineRule="auto"/>
      <w:ind w:firstLine="0"/>
      <w:outlineLvl w:val="3"/>
    </w:pPr>
    <w:rPr>
      <w:sz w:val="24"/>
      <w:szCs w:val="28"/>
    </w:rPr>
  </w:style>
  <w:style w:type="character" w:customStyle="1" w:styleId="353">
    <w:name w:val="Char Char"/>
    <w:link w:val="296"/>
    <w:qFormat/>
    <w:uiPriority w:val="0"/>
    <w:rPr>
      <w:kern w:val="2"/>
      <w:sz w:val="21"/>
      <w:szCs w:val="21"/>
    </w:rPr>
  </w:style>
  <w:style w:type="character" w:customStyle="1" w:styleId="354">
    <w:name w:val="批注文字 Char"/>
    <w:qFormat/>
    <w:uiPriority w:val="99"/>
    <w:rPr>
      <w:kern w:val="2"/>
      <w:sz w:val="21"/>
    </w:rPr>
  </w:style>
  <w:style w:type="character" w:customStyle="1" w:styleId="355">
    <w:name w:val="题注 Char2"/>
    <w:qFormat/>
    <w:uiPriority w:val="0"/>
    <w:rPr>
      <w:rFonts w:eastAsia="黑体"/>
      <w:color w:val="000000"/>
      <w:kern w:val="2"/>
      <w:sz w:val="24"/>
    </w:rPr>
  </w:style>
  <w:style w:type="character" w:customStyle="1" w:styleId="356">
    <w:name w:val="Char Char3"/>
    <w:link w:val="357"/>
    <w:qFormat/>
    <w:uiPriority w:val="0"/>
    <w:rPr>
      <w:rFonts w:ascii="宋体" w:hAnsi="宋体"/>
      <w:sz w:val="24"/>
    </w:rPr>
  </w:style>
  <w:style w:type="paragraph" w:customStyle="1" w:styleId="357">
    <w:name w:val="Char4"/>
    <w:basedOn w:val="1"/>
    <w:link w:val="356"/>
    <w:qFormat/>
    <w:uiPriority w:val="0"/>
    <w:pPr>
      <w:spacing w:line="360" w:lineRule="auto"/>
      <w:ind w:firstLine="200" w:firstLineChars="200"/>
    </w:pPr>
    <w:rPr>
      <w:rFonts w:ascii="宋体" w:hAnsi="宋体"/>
      <w:kern w:val="0"/>
      <w:sz w:val="24"/>
      <w:szCs w:val="20"/>
    </w:rPr>
  </w:style>
  <w:style w:type="character" w:customStyle="1" w:styleId="358">
    <w:name w:val="尾注文本 字符"/>
    <w:basedOn w:val="70"/>
    <w:link w:val="38"/>
    <w:semiHidden/>
    <w:qFormat/>
    <w:uiPriority w:val="99"/>
    <w:rPr>
      <w:rFonts w:eastAsiaTheme="minorEastAsia" w:cstheme="minorBidi"/>
      <w:kern w:val="2"/>
      <w:sz w:val="24"/>
      <w:szCs w:val="22"/>
    </w:rPr>
  </w:style>
  <w:style w:type="character" w:customStyle="1" w:styleId="359">
    <w:name w:val="页眉 Char"/>
    <w:qFormat/>
    <w:uiPriority w:val="99"/>
    <w:rPr>
      <w:sz w:val="18"/>
      <w:szCs w:val="18"/>
    </w:rPr>
  </w:style>
  <w:style w:type="character" w:customStyle="1" w:styleId="360">
    <w:name w:val="正文文本 3 字符"/>
    <w:basedOn w:val="70"/>
    <w:link w:val="24"/>
    <w:semiHidden/>
    <w:qFormat/>
    <w:uiPriority w:val="0"/>
    <w:rPr>
      <w:rFonts w:eastAsia="楷体_GB2312"/>
      <w:color w:val="0000FF"/>
      <w:spacing w:val="16"/>
      <w:sz w:val="24"/>
    </w:rPr>
  </w:style>
  <w:style w:type="character" w:customStyle="1" w:styleId="361">
    <w:name w:val="正文文本缩进 2 字符"/>
    <w:basedOn w:val="70"/>
    <w:link w:val="37"/>
    <w:semiHidden/>
    <w:qFormat/>
    <w:uiPriority w:val="0"/>
    <w:rPr>
      <w:kern w:val="2"/>
      <w:sz w:val="21"/>
      <w:szCs w:val="24"/>
    </w:rPr>
  </w:style>
  <w:style w:type="character" w:customStyle="1" w:styleId="362">
    <w:name w:val="正文文本缩进 3 字符"/>
    <w:basedOn w:val="70"/>
    <w:link w:val="48"/>
    <w:semiHidden/>
    <w:qFormat/>
    <w:uiPriority w:val="0"/>
    <w:rPr>
      <w:rFonts w:asciiTheme="minorHAnsi" w:hAnsiTheme="minorHAnsi" w:cstheme="minorBidi"/>
      <w:kern w:val="2"/>
      <w:sz w:val="16"/>
      <w:szCs w:val="16"/>
    </w:rPr>
  </w:style>
  <w:style w:type="character" w:customStyle="1" w:styleId="363">
    <w:name w:val="标题 2 Char"/>
    <w:basedOn w:val="70"/>
    <w:qFormat/>
    <w:uiPriority w:val="9"/>
    <w:rPr>
      <w:rFonts w:asciiTheme="majorHAnsi" w:hAnsiTheme="majorHAnsi" w:eastAsiaTheme="majorEastAsia" w:cstheme="majorBidi"/>
      <w:b/>
      <w:bCs/>
      <w:sz w:val="32"/>
      <w:szCs w:val="32"/>
    </w:rPr>
  </w:style>
  <w:style w:type="character" w:customStyle="1" w:styleId="364">
    <w:name w:val="表格内容 Char Char Char"/>
    <w:semiHidden/>
    <w:qFormat/>
    <w:uiPriority w:val="0"/>
    <w:rPr>
      <w:rFonts w:ascii="宋体" w:hAnsi="宋体" w:eastAsia="宋体" w:cs="宋体"/>
      <w:color w:val="000000"/>
      <w:kern w:val="2"/>
      <w:sz w:val="21"/>
      <w:szCs w:val="16"/>
      <w:lang w:val="en-US" w:eastAsia="zh-CN" w:bidi="ar-SA"/>
    </w:rPr>
  </w:style>
  <w:style w:type="character" w:customStyle="1" w:styleId="365">
    <w:name w:val="下标"/>
    <w:semiHidden/>
    <w:qFormat/>
    <w:uiPriority w:val="0"/>
    <w:rPr>
      <w:rFonts w:ascii="Times New Roman" w:hAnsi="Times New Roman" w:eastAsia="宋体" w:cs="宋体"/>
      <w:spacing w:val="0"/>
      <w:kern w:val="2"/>
      <w:position w:val="-7"/>
      <w:sz w:val="18"/>
      <w:szCs w:val="24"/>
      <w:lang w:val="en-US" w:eastAsia="zh-CN" w:bidi="ar-SA"/>
    </w:rPr>
  </w:style>
  <w:style w:type="character" w:customStyle="1" w:styleId="366">
    <w:name w:val="正文（YHY-GDB) Char"/>
    <w:link w:val="367"/>
    <w:semiHidden/>
    <w:qFormat/>
    <w:uiPriority w:val="0"/>
    <w:rPr>
      <w:sz w:val="24"/>
      <w:szCs w:val="24"/>
    </w:rPr>
  </w:style>
  <w:style w:type="paragraph" w:customStyle="1" w:styleId="367">
    <w:name w:val="正文（YHY-GDB)"/>
    <w:basedOn w:val="1"/>
    <w:link w:val="366"/>
    <w:semiHidden/>
    <w:qFormat/>
    <w:uiPriority w:val="0"/>
    <w:pPr>
      <w:spacing w:before="50" w:beforeLines="50" w:after="50" w:afterLines="50" w:line="360" w:lineRule="auto"/>
      <w:ind w:firstLine="200" w:firstLineChars="200"/>
    </w:pPr>
    <w:rPr>
      <w:kern w:val="0"/>
      <w:sz w:val="24"/>
    </w:rPr>
  </w:style>
  <w:style w:type="character" w:customStyle="1" w:styleId="368">
    <w:name w:val="样式 标题 3 + 宋体 小四 非加粗 Char"/>
    <w:link w:val="369"/>
    <w:semiHidden/>
    <w:qFormat/>
    <w:uiPriority w:val="0"/>
    <w:rPr>
      <w:rFonts w:ascii="宋体" w:hAnsi="宋体"/>
      <w:sz w:val="24"/>
      <w:szCs w:val="32"/>
    </w:rPr>
  </w:style>
  <w:style w:type="paragraph" w:customStyle="1" w:styleId="369">
    <w:name w:val="样式 标题 3 + 宋体 小四 非加粗"/>
    <w:basedOn w:val="5"/>
    <w:link w:val="368"/>
    <w:semiHidden/>
    <w:qFormat/>
    <w:uiPriority w:val="0"/>
    <w:pPr>
      <w:numPr>
        <w:ilvl w:val="0"/>
        <w:numId w:val="0"/>
      </w:numPr>
      <w:tabs>
        <w:tab w:val="left" w:pos="632"/>
        <w:tab w:val="clear" w:pos="0"/>
      </w:tabs>
      <w:spacing w:before="260" w:after="120" w:line="416" w:lineRule="auto"/>
      <w:ind w:left="632" w:hanging="432"/>
      <w:jc w:val="both"/>
    </w:pPr>
    <w:rPr>
      <w:rFonts w:ascii="宋体" w:hAnsi="宋体"/>
      <w:b w:val="0"/>
      <w:bCs w:val="0"/>
      <w:kern w:val="0"/>
      <w:sz w:val="24"/>
      <w:szCs w:val="32"/>
    </w:rPr>
  </w:style>
  <w:style w:type="character" w:customStyle="1" w:styleId="370">
    <w:name w:val="样式15 Char Char"/>
    <w:semiHidden/>
    <w:qFormat/>
    <w:uiPriority w:val="0"/>
    <w:rPr>
      <w:rFonts w:ascii="宋体" w:hAnsi="宋体" w:eastAsia="宋体" w:cs="宋体"/>
      <w:bCs/>
      <w:color w:val="000000"/>
      <w:kern w:val="2"/>
      <w:sz w:val="24"/>
      <w:szCs w:val="24"/>
      <w:lang w:val="en-US" w:eastAsia="zh-CN" w:bidi="ar-SA"/>
    </w:rPr>
  </w:style>
  <w:style w:type="character" w:customStyle="1" w:styleId="371">
    <w:name w:val="Char Char9"/>
    <w:qFormat/>
    <w:uiPriority w:val="0"/>
    <w:rPr>
      <w:rFonts w:ascii="Times New Roman" w:hAnsi="Times New Roman"/>
      <w:kern w:val="2"/>
      <w:sz w:val="18"/>
      <w:szCs w:val="24"/>
    </w:rPr>
  </w:style>
  <w:style w:type="character" w:customStyle="1" w:styleId="372">
    <w:name w:val="样式1 Char Char Char Char Char"/>
    <w:link w:val="373"/>
    <w:semiHidden/>
    <w:qFormat/>
    <w:uiPriority w:val="0"/>
    <w:rPr>
      <w:rFonts w:ascii="宋体" w:hAnsi="宋体" w:cs="宋体"/>
      <w:sz w:val="24"/>
      <w:szCs w:val="24"/>
    </w:rPr>
  </w:style>
  <w:style w:type="paragraph" w:customStyle="1" w:styleId="373">
    <w:name w:val="样式1 Char Char Char Char"/>
    <w:basedOn w:val="55"/>
    <w:link w:val="372"/>
    <w:semiHidden/>
    <w:qFormat/>
    <w:uiPriority w:val="0"/>
    <w:pPr>
      <w:widowControl w:val="0"/>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adjustRightInd w:val="0"/>
      <w:spacing w:line="312" w:lineRule="atLeast"/>
      <w:jc w:val="both"/>
      <w:textAlignment w:val="baseline"/>
    </w:pPr>
  </w:style>
  <w:style w:type="character" w:customStyle="1" w:styleId="374">
    <w:name w:val="四级标题 Char"/>
    <w:link w:val="375"/>
    <w:semiHidden/>
    <w:qFormat/>
    <w:uiPriority w:val="0"/>
    <w:rPr>
      <w:rFonts w:ascii="宋体" w:hAnsi="宋体"/>
      <w:b/>
      <w:bCs/>
      <w:sz w:val="24"/>
      <w:szCs w:val="24"/>
    </w:rPr>
  </w:style>
  <w:style w:type="paragraph" w:customStyle="1" w:styleId="375">
    <w:name w:val="四级标题"/>
    <w:basedOn w:val="6"/>
    <w:link w:val="374"/>
    <w:semiHidden/>
    <w:qFormat/>
    <w:uiPriority w:val="0"/>
    <w:pPr>
      <w:keepNext/>
      <w:keepLines/>
      <w:numPr>
        <w:ilvl w:val="0"/>
        <w:numId w:val="0"/>
      </w:numPr>
      <w:tabs>
        <w:tab w:val="clear" w:pos="0"/>
      </w:tabs>
      <w:adjustRightInd/>
      <w:spacing w:before="156" w:beforeLines="50" w:after="156" w:afterLines="50"/>
      <w:jc w:val="both"/>
      <w:textAlignment w:val="auto"/>
    </w:pPr>
    <w:rPr>
      <w:rFonts w:ascii="宋体" w:hAnsi="宋体"/>
      <w:smallCaps w:val="0"/>
      <w:kern w:val="0"/>
    </w:rPr>
  </w:style>
  <w:style w:type="character" w:customStyle="1" w:styleId="376">
    <w:name w:val="正文15 Char"/>
    <w:link w:val="377"/>
    <w:semiHidden/>
    <w:qFormat/>
    <w:uiPriority w:val="0"/>
    <w:rPr>
      <w:sz w:val="28"/>
      <w:szCs w:val="28"/>
    </w:rPr>
  </w:style>
  <w:style w:type="paragraph" w:customStyle="1" w:styleId="377">
    <w:name w:val="正文15"/>
    <w:basedOn w:val="1"/>
    <w:link w:val="376"/>
    <w:semiHidden/>
    <w:qFormat/>
    <w:uiPriority w:val="0"/>
    <w:pPr>
      <w:overflowPunct w:val="0"/>
      <w:topLinePunct/>
      <w:snapToGrid w:val="0"/>
      <w:spacing w:line="360" w:lineRule="auto"/>
      <w:ind w:firstLine="567"/>
    </w:pPr>
    <w:rPr>
      <w:kern w:val="0"/>
      <w:sz w:val="28"/>
      <w:szCs w:val="28"/>
    </w:rPr>
  </w:style>
  <w:style w:type="character" w:customStyle="1" w:styleId="378">
    <w:name w:val="样式8 Char"/>
    <w:link w:val="379"/>
    <w:semiHidden/>
    <w:qFormat/>
    <w:uiPriority w:val="0"/>
    <w:rPr>
      <w:rFonts w:ascii="宋体"/>
      <w:sz w:val="24"/>
      <w:szCs w:val="24"/>
    </w:rPr>
  </w:style>
  <w:style w:type="paragraph" w:customStyle="1" w:styleId="379">
    <w:name w:val="样式8"/>
    <w:basedOn w:val="1"/>
    <w:link w:val="378"/>
    <w:semiHidden/>
    <w:qFormat/>
    <w:uiPriority w:val="0"/>
    <w:pPr>
      <w:spacing w:line="360" w:lineRule="auto"/>
      <w:ind w:firstLine="557" w:firstLineChars="232"/>
    </w:pPr>
    <w:rPr>
      <w:rFonts w:ascii="宋体"/>
      <w:kern w:val="0"/>
      <w:sz w:val="24"/>
    </w:rPr>
  </w:style>
  <w:style w:type="character" w:customStyle="1" w:styleId="380">
    <w:name w:val="标题 33 Char Char"/>
    <w:semiHidden/>
    <w:qFormat/>
    <w:uiPriority w:val="0"/>
    <w:rPr>
      <w:rFonts w:ascii="宋体" w:hAnsi="宋体" w:eastAsia="宋体" w:cs="宋体"/>
      <w:kern w:val="2"/>
      <w:sz w:val="28"/>
      <w:szCs w:val="24"/>
      <w:lang w:val="en-US" w:eastAsia="zh-CN" w:bidi="ar-SA"/>
    </w:rPr>
  </w:style>
  <w:style w:type="character" w:customStyle="1" w:styleId="381">
    <w:name w:val="样式44 Char Char"/>
    <w:basedOn w:val="382"/>
    <w:semiHidden/>
    <w:qFormat/>
    <w:uiPriority w:val="0"/>
    <w:rPr>
      <w:rFonts w:ascii="宋体" w:hAnsi="宋体" w:eastAsia="宋体" w:cs="宋体"/>
      <w:color w:val="000000"/>
      <w:kern w:val="2"/>
      <w:sz w:val="24"/>
      <w:szCs w:val="24"/>
      <w:lang w:val="en-US" w:eastAsia="zh-CN" w:bidi="ar-SA"/>
    </w:rPr>
  </w:style>
  <w:style w:type="character" w:customStyle="1" w:styleId="382">
    <w:name w:val="自动A Char Char"/>
    <w:semiHidden/>
    <w:qFormat/>
    <w:uiPriority w:val="0"/>
    <w:rPr>
      <w:rFonts w:ascii="宋体" w:hAnsi="宋体" w:eastAsia="宋体" w:cs="宋体"/>
      <w:color w:val="000000"/>
      <w:kern w:val="2"/>
      <w:sz w:val="24"/>
      <w:szCs w:val="24"/>
      <w:lang w:val="en-US" w:eastAsia="zh-CN" w:bidi="ar-SA"/>
    </w:rPr>
  </w:style>
  <w:style w:type="character" w:customStyle="1" w:styleId="383">
    <w:name w:val="apple-style-span"/>
    <w:semiHidden/>
    <w:qFormat/>
    <w:uiPriority w:val="0"/>
    <w:rPr>
      <w:rFonts w:ascii="宋体" w:hAnsi="宋体" w:eastAsia="宋体" w:cs="宋体"/>
      <w:kern w:val="2"/>
      <w:sz w:val="24"/>
      <w:szCs w:val="24"/>
      <w:lang w:val="en-US" w:eastAsia="zh-CN" w:bidi="ar-SA"/>
    </w:rPr>
  </w:style>
  <w:style w:type="character" w:customStyle="1" w:styleId="384">
    <w:name w:val="正文文本缩进 Char"/>
    <w:semiHidden/>
    <w:qFormat/>
    <w:uiPriority w:val="99"/>
    <w:rPr>
      <w:rFonts w:ascii="宋体" w:hAnsi="宋体" w:eastAsia="宋体"/>
      <w:kern w:val="2"/>
      <w:sz w:val="24"/>
      <w:lang w:val="en-US" w:eastAsia="zh-CN"/>
    </w:rPr>
  </w:style>
  <w:style w:type="character" w:customStyle="1" w:styleId="385">
    <w:name w:val="我的表头 Char"/>
    <w:link w:val="386"/>
    <w:semiHidden/>
    <w:qFormat/>
    <w:uiPriority w:val="0"/>
    <w:rPr>
      <w:rFonts w:eastAsia="黑体"/>
    </w:rPr>
  </w:style>
  <w:style w:type="paragraph" w:customStyle="1" w:styleId="386">
    <w:name w:val="我的表头"/>
    <w:basedOn w:val="7"/>
    <w:link w:val="385"/>
    <w:semiHidden/>
    <w:qFormat/>
    <w:uiPriority w:val="0"/>
    <w:pPr>
      <w:keepNext w:val="0"/>
      <w:keepLines w:val="0"/>
      <w:spacing w:beforeLines="0" w:afterLines="0" w:line="360" w:lineRule="auto"/>
      <w:ind w:firstLine="0" w:firstLineChars="0"/>
      <w:jc w:val="center"/>
    </w:pPr>
    <w:rPr>
      <w:rFonts w:eastAsia="黑体"/>
      <w:b w:val="0"/>
      <w:sz w:val="20"/>
      <w:szCs w:val="20"/>
    </w:rPr>
  </w:style>
  <w:style w:type="character" w:customStyle="1" w:styleId="387">
    <w:name w:val="纯文本 Char Char Char Char Char Char"/>
    <w:semiHidden/>
    <w:qFormat/>
    <w:uiPriority w:val="0"/>
    <w:rPr>
      <w:rFonts w:ascii="宋体" w:hAnsi="Courier New" w:eastAsia="宋体" w:cs="Courier New"/>
      <w:kern w:val="2"/>
      <w:sz w:val="21"/>
      <w:szCs w:val="21"/>
      <w:lang w:val="en-US" w:eastAsia="zh-CN" w:bidi="ar-SA"/>
    </w:rPr>
  </w:style>
  <w:style w:type="character" w:customStyle="1" w:styleId="388">
    <w:name w:val="样式14 Char"/>
    <w:link w:val="352"/>
    <w:qFormat/>
    <w:uiPriority w:val="0"/>
    <w:rPr>
      <w:kern w:val="2"/>
      <w:sz w:val="24"/>
      <w:szCs w:val="28"/>
    </w:rPr>
  </w:style>
  <w:style w:type="character" w:customStyle="1" w:styleId="389">
    <w:name w:val="123YJ Char Char1"/>
    <w:semiHidden/>
    <w:qFormat/>
    <w:uiPriority w:val="0"/>
    <w:rPr>
      <w:rFonts w:ascii="宋体" w:hAnsi="宋体" w:eastAsia="宋体" w:cs="宋体"/>
      <w:kern w:val="2"/>
      <w:sz w:val="18"/>
      <w:szCs w:val="18"/>
      <w:lang w:val="en-US" w:eastAsia="zh-CN" w:bidi="ar-SA"/>
    </w:rPr>
  </w:style>
  <w:style w:type="character" w:customStyle="1" w:styleId="390">
    <w:name w:val="文章正文 Char Char"/>
    <w:link w:val="391"/>
    <w:semiHidden/>
    <w:qFormat/>
    <w:uiPriority w:val="0"/>
    <w:rPr>
      <w:rFonts w:ascii="宋体" w:hAnsi="宋体"/>
      <w:sz w:val="24"/>
      <w:szCs w:val="24"/>
    </w:rPr>
  </w:style>
  <w:style w:type="paragraph" w:customStyle="1" w:styleId="391">
    <w:name w:val="文章正文 Char"/>
    <w:basedOn w:val="1"/>
    <w:link w:val="390"/>
    <w:semiHidden/>
    <w:qFormat/>
    <w:uiPriority w:val="0"/>
    <w:pPr>
      <w:spacing w:before="156" w:beforeLines="50" w:after="156" w:afterLines="50" w:line="360" w:lineRule="auto"/>
      <w:ind w:firstLine="480" w:firstLineChars="200"/>
    </w:pPr>
    <w:rPr>
      <w:rFonts w:ascii="宋体" w:hAnsi="宋体"/>
      <w:kern w:val="0"/>
      <w:sz w:val="24"/>
    </w:rPr>
  </w:style>
  <w:style w:type="character" w:customStyle="1" w:styleId="392">
    <w:name w:val="3 一级标题 Char"/>
    <w:link w:val="393"/>
    <w:qFormat/>
    <w:uiPriority w:val="0"/>
    <w:rPr>
      <w:rFonts w:ascii="黑体" w:hAnsi="Calibri" w:eastAsia="仿宋_GB2312"/>
      <w:b/>
      <w:sz w:val="36"/>
    </w:rPr>
  </w:style>
  <w:style w:type="paragraph" w:customStyle="1" w:styleId="393">
    <w:name w:val="3 一级标题"/>
    <w:basedOn w:val="1"/>
    <w:next w:val="1"/>
    <w:link w:val="392"/>
    <w:qFormat/>
    <w:uiPriority w:val="0"/>
    <w:pPr>
      <w:spacing w:line="360" w:lineRule="auto"/>
      <w:ind w:left="100" w:leftChars="100" w:right="100" w:rightChars="100"/>
    </w:pPr>
    <w:rPr>
      <w:rFonts w:ascii="黑体" w:hAnsi="Calibri" w:eastAsia="仿宋_GB2312"/>
      <w:b/>
      <w:kern w:val="0"/>
      <w:sz w:val="36"/>
      <w:szCs w:val="20"/>
    </w:rPr>
  </w:style>
  <w:style w:type="character" w:customStyle="1" w:styleId="394">
    <w:name w:val="正文文本缩进 2 Char1 Char"/>
    <w:semiHidden/>
    <w:qFormat/>
    <w:uiPriority w:val="0"/>
    <w:rPr>
      <w:rFonts w:ascii="宋体" w:hAnsi="宋体" w:eastAsia="宋体" w:cs="宋体"/>
      <w:kern w:val="2"/>
      <w:sz w:val="24"/>
      <w:szCs w:val="24"/>
      <w:lang w:val="en-US" w:eastAsia="zh-CN" w:bidi="ar-SA"/>
    </w:rPr>
  </w:style>
  <w:style w:type="character" w:customStyle="1" w:styleId="395">
    <w:name w:val="正文文本缩进 2 Char"/>
    <w:semiHidden/>
    <w:qFormat/>
    <w:uiPriority w:val="0"/>
    <w:rPr>
      <w:rFonts w:ascii="宋体" w:hAnsi="宋体" w:eastAsia="宋体" w:cs="宋体"/>
      <w:color w:val="000000"/>
      <w:kern w:val="2"/>
      <w:sz w:val="24"/>
      <w:szCs w:val="24"/>
      <w:lang w:val="en-US" w:eastAsia="zh-CN" w:bidi="ar-SA"/>
    </w:rPr>
  </w:style>
  <w:style w:type="character" w:customStyle="1" w:styleId="396">
    <w:name w:val="自动4 Char"/>
    <w:link w:val="397"/>
    <w:semiHidden/>
    <w:qFormat/>
    <w:uiPriority w:val="0"/>
    <w:rPr>
      <w:rFonts w:ascii="宋体" w:hAnsi="宋体"/>
      <w:bCs/>
      <w:color w:val="000000"/>
      <w:sz w:val="24"/>
      <w:szCs w:val="24"/>
    </w:rPr>
  </w:style>
  <w:style w:type="paragraph" w:customStyle="1" w:styleId="397">
    <w:name w:val="自动4"/>
    <w:basedOn w:val="1"/>
    <w:link w:val="396"/>
    <w:semiHidden/>
    <w:qFormat/>
    <w:uiPriority w:val="0"/>
    <w:pPr>
      <w:keepNext/>
      <w:keepLines/>
      <w:spacing w:before="120" w:after="120" w:line="360" w:lineRule="auto"/>
      <w:outlineLvl w:val="3"/>
    </w:pPr>
    <w:rPr>
      <w:rFonts w:ascii="宋体" w:hAnsi="宋体"/>
      <w:bCs/>
      <w:color w:val="000000"/>
      <w:kern w:val="0"/>
      <w:sz w:val="24"/>
    </w:rPr>
  </w:style>
  <w:style w:type="character" w:customStyle="1" w:styleId="398">
    <w:name w:val="样式9 Char"/>
    <w:link w:val="399"/>
    <w:semiHidden/>
    <w:qFormat/>
    <w:uiPriority w:val="0"/>
    <w:rPr>
      <w:sz w:val="24"/>
      <w:szCs w:val="28"/>
    </w:rPr>
  </w:style>
  <w:style w:type="paragraph" w:customStyle="1" w:styleId="399">
    <w:name w:val="样式9"/>
    <w:basedOn w:val="352"/>
    <w:link w:val="398"/>
    <w:semiHidden/>
    <w:qFormat/>
    <w:uiPriority w:val="0"/>
    <w:pPr>
      <w:numPr>
        <w:ilvl w:val="0"/>
        <w:numId w:val="0"/>
      </w:numPr>
      <w:tabs>
        <w:tab w:val="left" w:pos="605"/>
      </w:tabs>
      <w:spacing w:before="120" w:after="120"/>
    </w:pPr>
    <w:rPr>
      <w:kern w:val="0"/>
    </w:rPr>
  </w:style>
  <w:style w:type="character" w:customStyle="1" w:styleId="400">
    <w:name w:val="样式7 Char"/>
    <w:link w:val="401"/>
    <w:semiHidden/>
    <w:qFormat/>
    <w:uiPriority w:val="0"/>
    <w:rPr>
      <w:rFonts w:eastAsia="黑体"/>
      <w:sz w:val="24"/>
      <w:szCs w:val="32"/>
    </w:rPr>
  </w:style>
  <w:style w:type="paragraph" w:customStyle="1" w:styleId="401">
    <w:name w:val="样式7"/>
    <w:basedOn w:val="351"/>
    <w:link w:val="400"/>
    <w:semiHidden/>
    <w:qFormat/>
    <w:uiPriority w:val="0"/>
    <w:pPr>
      <w:numPr>
        <w:ilvl w:val="0"/>
        <w:numId w:val="0"/>
      </w:numPr>
      <w:tabs>
        <w:tab w:val="left" w:pos="605"/>
      </w:tabs>
      <w:spacing w:before="156" w:after="156"/>
    </w:pPr>
  </w:style>
  <w:style w:type="character" w:customStyle="1" w:styleId="402">
    <w:name w:val="上标"/>
    <w:semiHidden/>
    <w:qFormat/>
    <w:uiPriority w:val="0"/>
    <w:rPr>
      <w:rFonts w:ascii="宋体" w:hAnsi="宋体" w:eastAsia="宋体" w:cs="宋体"/>
      <w:spacing w:val="0"/>
      <w:kern w:val="2"/>
      <w:position w:val="7"/>
      <w:sz w:val="21"/>
      <w:szCs w:val="24"/>
      <w:lang w:val="en-US" w:eastAsia="zh-CN" w:bidi="ar-SA"/>
    </w:rPr>
  </w:style>
  <w:style w:type="character" w:customStyle="1" w:styleId="403">
    <w:name w:val="表头样式"/>
    <w:semiHidden/>
    <w:qFormat/>
    <w:uiPriority w:val="0"/>
    <w:rPr>
      <w:rFonts w:ascii="黑体" w:hAnsi="宋体" w:eastAsia="黑体" w:cs="宋体"/>
      <w:b/>
      <w:bCs/>
      <w:kern w:val="2"/>
      <w:sz w:val="24"/>
      <w:szCs w:val="24"/>
      <w:lang w:val="en-US" w:eastAsia="zh-CN" w:bidi="ar-SA"/>
    </w:rPr>
  </w:style>
  <w:style w:type="character" w:customStyle="1" w:styleId="404">
    <w:name w:val="彩云湾表格标题 Char"/>
    <w:link w:val="405"/>
    <w:semiHidden/>
    <w:qFormat/>
    <w:uiPriority w:val="0"/>
    <w:rPr>
      <w:rFonts w:eastAsia="黑体"/>
      <w:sz w:val="24"/>
    </w:rPr>
  </w:style>
  <w:style w:type="paragraph" w:customStyle="1" w:styleId="405">
    <w:name w:val="彩云湾表格标题"/>
    <w:basedOn w:val="1"/>
    <w:link w:val="404"/>
    <w:semiHidden/>
    <w:qFormat/>
    <w:uiPriority w:val="0"/>
    <w:pPr>
      <w:adjustRightInd w:val="0"/>
      <w:snapToGrid w:val="0"/>
      <w:spacing w:line="360" w:lineRule="auto"/>
      <w:jc w:val="left"/>
      <w:textAlignment w:val="baseline"/>
    </w:pPr>
    <w:rPr>
      <w:rFonts w:eastAsia="黑体"/>
      <w:kern w:val="0"/>
      <w:sz w:val="24"/>
      <w:szCs w:val="20"/>
    </w:rPr>
  </w:style>
  <w:style w:type="character" w:customStyle="1" w:styleId="406">
    <w:name w:val="样式44 Char"/>
    <w:basedOn w:val="407"/>
    <w:link w:val="409"/>
    <w:semiHidden/>
    <w:qFormat/>
    <w:uiPriority w:val="0"/>
    <w:rPr>
      <w:color w:val="000000"/>
      <w:sz w:val="24"/>
    </w:rPr>
  </w:style>
  <w:style w:type="character" w:customStyle="1" w:styleId="407">
    <w:name w:val="自动A Char"/>
    <w:link w:val="408"/>
    <w:semiHidden/>
    <w:qFormat/>
    <w:uiPriority w:val="0"/>
    <w:rPr>
      <w:color w:val="000000"/>
      <w:sz w:val="24"/>
    </w:rPr>
  </w:style>
  <w:style w:type="paragraph" w:customStyle="1" w:styleId="408">
    <w:name w:val="自动A"/>
    <w:basedOn w:val="1"/>
    <w:link w:val="407"/>
    <w:semiHidden/>
    <w:qFormat/>
    <w:uiPriority w:val="0"/>
    <w:pPr>
      <w:spacing w:before="120" w:after="120" w:line="360" w:lineRule="auto"/>
      <w:ind w:firstLine="480" w:firstLineChars="200"/>
    </w:pPr>
    <w:rPr>
      <w:color w:val="000000"/>
      <w:kern w:val="0"/>
      <w:sz w:val="24"/>
      <w:szCs w:val="20"/>
    </w:rPr>
  </w:style>
  <w:style w:type="paragraph" w:customStyle="1" w:styleId="409">
    <w:name w:val="样式44"/>
    <w:basedOn w:val="408"/>
    <w:link w:val="406"/>
    <w:semiHidden/>
    <w:qFormat/>
    <w:uiPriority w:val="0"/>
  </w:style>
  <w:style w:type="character" w:customStyle="1" w:styleId="410">
    <w:name w:val="第一条1"/>
    <w:semiHidden/>
    <w:qFormat/>
    <w:uiPriority w:val="0"/>
    <w:rPr>
      <w:rFonts w:hint="eastAsia" w:ascii="黑体" w:hAnsi="宋体" w:eastAsia="黑体" w:cs="宋体"/>
      <w:kern w:val="2"/>
      <w:sz w:val="24"/>
      <w:szCs w:val="24"/>
      <w:lang w:val="en-US" w:eastAsia="zh-CN" w:bidi="ar-SA"/>
    </w:rPr>
  </w:style>
  <w:style w:type="character" w:customStyle="1" w:styleId="411">
    <w:name w:val="样式37 Char"/>
    <w:link w:val="412"/>
    <w:semiHidden/>
    <w:qFormat/>
    <w:uiPriority w:val="0"/>
    <w:rPr>
      <w:rFonts w:ascii="宋体" w:hAnsi="宋体"/>
      <w:color w:val="000000"/>
      <w:sz w:val="24"/>
      <w:szCs w:val="24"/>
    </w:rPr>
  </w:style>
  <w:style w:type="paragraph" w:customStyle="1" w:styleId="412">
    <w:name w:val="样式37"/>
    <w:basedOn w:val="1"/>
    <w:link w:val="411"/>
    <w:semiHidden/>
    <w:qFormat/>
    <w:uiPriority w:val="0"/>
    <w:pPr>
      <w:spacing w:before="120" w:beforeLines="50" w:after="120" w:afterLines="50" w:line="360" w:lineRule="auto"/>
      <w:ind w:firstLine="480" w:firstLineChars="200"/>
      <w:jc w:val="left"/>
    </w:pPr>
    <w:rPr>
      <w:rFonts w:ascii="宋体" w:hAnsi="宋体"/>
      <w:color w:val="000000"/>
      <w:kern w:val="0"/>
      <w:sz w:val="24"/>
    </w:rPr>
  </w:style>
  <w:style w:type="character" w:customStyle="1" w:styleId="413">
    <w:name w:val="表格内文字 Char"/>
    <w:link w:val="414"/>
    <w:semiHidden/>
    <w:qFormat/>
    <w:uiPriority w:val="0"/>
    <w:rPr>
      <w:spacing w:val="10"/>
      <w:sz w:val="24"/>
    </w:rPr>
  </w:style>
  <w:style w:type="paragraph" w:customStyle="1" w:styleId="414">
    <w:name w:val="表格内文字"/>
    <w:basedOn w:val="1"/>
    <w:link w:val="413"/>
    <w:semiHidden/>
    <w:qFormat/>
    <w:uiPriority w:val="0"/>
    <w:pPr>
      <w:spacing w:before="100" w:after="100" w:line="320" w:lineRule="exact"/>
      <w:jc w:val="center"/>
    </w:pPr>
    <w:rPr>
      <w:spacing w:val="10"/>
      <w:kern w:val="0"/>
      <w:sz w:val="24"/>
      <w:szCs w:val="20"/>
    </w:rPr>
  </w:style>
  <w:style w:type="character" w:customStyle="1" w:styleId="415">
    <w:name w:val="123YJ Char Char"/>
    <w:semiHidden/>
    <w:qFormat/>
    <w:uiPriority w:val="0"/>
    <w:rPr>
      <w:rFonts w:ascii="宋体" w:hAnsi="宋体" w:eastAsia="宋体" w:cs="宋体"/>
      <w:kern w:val="2"/>
      <w:sz w:val="18"/>
      <w:szCs w:val="18"/>
      <w:lang w:val="en-US" w:eastAsia="zh-CN" w:bidi="ar-SA"/>
    </w:rPr>
  </w:style>
  <w:style w:type="character" w:customStyle="1" w:styleId="416">
    <w:name w:val="样式18 Char"/>
    <w:link w:val="417"/>
    <w:semiHidden/>
    <w:qFormat/>
    <w:uiPriority w:val="0"/>
    <w:rPr>
      <w:rFonts w:ascii="宋体"/>
      <w:sz w:val="24"/>
      <w:szCs w:val="24"/>
      <w:lang w:val="zh-CN"/>
    </w:rPr>
  </w:style>
  <w:style w:type="paragraph" w:customStyle="1" w:styleId="417">
    <w:name w:val="样式18"/>
    <w:basedOn w:val="1"/>
    <w:link w:val="416"/>
    <w:semiHidden/>
    <w:qFormat/>
    <w:uiPriority w:val="0"/>
    <w:pPr>
      <w:spacing w:line="360" w:lineRule="auto"/>
      <w:ind w:firstLine="480" w:firstLineChars="200"/>
    </w:pPr>
    <w:rPr>
      <w:rFonts w:ascii="宋体"/>
      <w:kern w:val="0"/>
      <w:sz w:val="24"/>
      <w:lang w:val="zh-CN"/>
    </w:rPr>
  </w:style>
  <w:style w:type="character" w:customStyle="1" w:styleId="418">
    <w:name w:val="样式6 Char Char"/>
    <w:semiHidden/>
    <w:qFormat/>
    <w:uiPriority w:val="0"/>
    <w:rPr>
      <w:rFonts w:ascii="黑体" w:hAnsi="黑体" w:eastAsia="黑体" w:cs="宋体"/>
      <w:color w:val="000000"/>
      <w:kern w:val="44"/>
      <w:sz w:val="30"/>
      <w:szCs w:val="44"/>
      <w:lang w:val="en-US" w:eastAsia="zh-CN" w:bidi="ar-SA"/>
    </w:rPr>
  </w:style>
  <w:style w:type="character" w:customStyle="1" w:styleId="419">
    <w:name w:val="duan1"/>
    <w:semiHidden/>
    <w:qFormat/>
    <w:uiPriority w:val="0"/>
    <w:rPr>
      <w:rFonts w:ascii="宋体" w:hAnsi="宋体" w:eastAsia="宋体" w:cs="宋体"/>
      <w:kern w:val="2"/>
      <w:sz w:val="24"/>
      <w:szCs w:val="24"/>
      <w:lang w:val="en-US" w:eastAsia="zh-CN" w:bidi="ar-SA"/>
    </w:rPr>
  </w:style>
  <w:style w:type="character" w:customStyle="1" w:styleId="420">
    <w:name w:val="样式3 Char"/>
    <w:link w:val="421"/>
    <w:semiHidden/>
    <w:qFormat/>
    <w:uiPriority w:val="0"/>
    <w:rPr>
      <w:rFonts w:eastAsia="黑体"/>
      <w:sz w:val="24"/>
      <w:szCs w:val="32"/>
    </w:rPr>
  </w:style>
  <w:style w:type="paragraph" w:customStyle="1" w:styleId="421">
    <w:name w:val="样式3"/>
    <w:basedOn w:val="1"/>
    <w:link w:val="420"/>
    <w:semiHidden/>
    <w:qFormat/>
    <w:uiPriority w:val="0"/>
    <w:pPr>
      <w:keepNext/>
      <w:keepLines/>
      <w:tabs>
        <w:tab w:val="left" w:pos="360"/>
        <w:tab w:val="left" w:pos="540"/>
        <w:tab w:val="left" w:pos="720"/>
        <w:tab w:val="left" w:pos="900"/>
      </w:tabs>
      <w:spacing w:before="156" w:beforeLines="50" w:after="156" w:afterLines="50" w:line="360" w:lineRule="auto"/>
      <w:ind w:left="900"/>
      <w:outlineLvl w:val="2"/>
    </w:pPr>
    <w:rPr>
      <w:rFonts w:eastAsia="黑体"/>
      <w:kern w:val="0"/>
      <w:sz w:val="24"/>
      <w:szCs w:val="32"/>
    </w:rPr>
  </w:style>
  <w:style w:type="character" w:customStyle="1" w:styleId="422">
    <w:name w:val="环评正文格式 Char Char"/>
    <w:link w:val="423"/>
    <w:semiHidden/>
    <w:qFormat/>
    <w:uiPriority w:val="0"/>
    <w:rPr>
      <w:rFonts w:cs="宋体"/>
      <w:sz w:val="24"/>
    </w:rPr>
  </w:style>
  <w:style w:type="paragraph" w:customStyle="1" w:styleId="423">
    <w:name w:val="环评正文格式"/>
    <w:basedOn w:val="1"/>
    <w:link w:val="422"/>
    <w:semiHidden/>
    <w:qFormat/>
    <w:uiPriority w:val="0"/>
    <w:pPr>
      <w:spacing w:line="360" w:lineRule="auto"/>
      <w:ind w:firstLine="200" w:firstLineChars="200"/>
      <w:jc w:val="left"/>
    </w:pPr>
    <w:rPr>
      <w:rFonts w:cs="宋体"/>
      <w:kern w:val="0"/>
      <w:sz w:val="24"/>
      <w:szCs w:val="20"/>
    </w:rPr>
  </w:style>
  <w:style w:type="character" w:customStyle="1" w:styleId="424">
    <w:name w:val="文章正文 Char1"/>
    <w:semiHidden/>
    <w:qFormat/>
    <w:uiPriority w:val="0"/>
    <w:rPr>
      <w:rFonts w:ascii="宋体" w:hAnsi="宋体" w:eastAsia="宋体" w:cs="宋体"/>
      <w:kern w:val="2"/>
      <w:sz w:val="24"/>
      <w:szCs w:val="24"/>
      <w:lang w:val="en-US" w:eastAsia="zh-CN" w:bidi="ar-SA"/>
    </w:rPr>
  </w:style>
  <w:style w:type="character" w:customStyle="1" w:styleId="425">
    <w:name w:val="WENZHANG Char Char"/>
    <w:semiHidden/>
    <w:qFormat/>
    <w:uiPriority w:val="0"/>
    <w:rPr>
      <w:rFonts w:ascii="宋体" w:hAnsi="宋体" w:eastAsia="宋体" w:cs="宋体"/>
      <w:color w:val="000000"/>
      <w:kern w:val="2"/>
      <w:sz w:val="24"/>
      <w:szCs w:val="24"/>
      <w:lang w:val="en-US" w:eastAsia="zh-CN" w:bidi="ar-SA"/>
    </w:rPr>
  </w:style>
  <w:style w:type="character" w:customStyle="1" w:styleId="426">
    <w:name w:val="文章 Char"/>
    <w:link w:val="427"/>
    <w:semiHidden/>
    <w:qFormat/>
    <w:uiPriority w:val="0"/>
    <w:rPr>
      <w:rFonts w:ascii="宋体" w:hAnsi="宋体" w:cs="宋体"/>
      <w:sz w:val="24"/>
      <w:szCs w:val="24"/>
    </w:rPr>
  </w:style>
  <w:style w:type="paragraph" w:customStyle="1" w:styleId="427">
    <w:name w:val="文章"/>
    <w:basedOn w:val="27"/>
    <w:link w:val="426"/>
    <w:semiHidden/>
    <w:qFormat/>
    <w:uiPriority w:val="0"/>
    <w:pPr>
      <w:spacing w:beforeLines="50" w:after="0" w:afterLines="50"/>
      <w:ind w:left="0" w:leftChars="0" w:firstLine="480"/>
    </w:pPr>
    <w:rPr>
      <w:rFonts w:ascii="宋体" w:hAnsi="宋体" w:cs="宋体"/>
      <w:kern w:val="0"/>
    </w:rPr>
  </w:style>
  <w:style w:type="character" w:customStyle="1" w:styleId="428">
    <w:name w:val="样式6 Char"/>
    <w:link w:val="429"/>
    <w:semiHidden/>
    <w:qFormat/>
    <w:uiPriority w:val="0"/>
    <w:rPr>
      <w:rFonts w:ascii="黑体" w:hAnsi="黑体" w:eastAsia="黑体"/>
      <w:color w:val="000000"/>
      <w:kern w:val="44"/>
      <w:sz w:val="30"/>
      <w:szCs w:val="44"/>
    </w:rPr>
  </w:style>
  <w:style w:type="paragraph" w:customStyle="1" w:styleId="429">
    <w:name w:val="样式6"/>
    <w:basedOn w:val="430"/>
    <w:link w:val="428"/>
    <w:semiHidden/>
    <w:qFormat/>
    <w:uiPriority w:val="0"/>
    <w:pPr>
      <w:numPr>
        <w:ilvl w:val="0"/>
        <w:numId w:val="0"/>
      </w:numPr>
      <w:tabs>
        <w:tab w:val="left" w:pos="360"/>
        <w:tab w:val="left" w:pos="1418"/>
      </w:tabs>
      <w:spacing w:before="156" w:beforeLines="50" w:after="156" w:afterLines="50" w:line="360" w:lineRule="auto"/>
      <w:ind w:left="425" w:hanging="425"/>
    </w:pPr>
    <w:rPr>
      <w:color w:val="000000"/>
    </w:rPr>
  </w:style>
  <w:style w:type="paragraph" w:customStyle="1" w:styleId="430">
    <w:name w:val="样式 标题 1 + 黑体 小三 非加粗"/>
    <w:basedOn w:val="3"/>
    <w:semiHidden/>
    <w:qFormat/>
    <w:uiPriority w:val="0"/>
    <w:pPr>
      <w:numPr>
        <w:ilvl w:val="2"/>
        <w:numId w:val="5"/>
      </w:numPr>
      <w:tabs>
        <w:tab w:val="clear" w:pos="0"/>
      </w:tabs>
      <w:spacing w:before="340" w:after="330" w:line="578" w:lineRule="auto"/>
    </w:pPr>
    <w:rPr>
      <w:rFonts w:ascii="黑体" w:hAnsi="黑体" w:eastAsia="黑体"/>
      <w:b w:val="0"/>
      <w:sz w:val="30"/>
      <w:szCs w:val="44"/>
    </w:rPr>
  </w:style>
  <w:style w:type="character" w:customStyle="1" w:styleId="431">
    <w:name w:val="样式1 Char"/>
    <w:qFormat/>
    <w:uiPriority w:val="0"/>
    <w:rPr>
      <w:rFonts w:ascii="黑体" w:eastAsia="黑体"/>
      <w:b/>
      <w:bCs/>
      <w:sz w:val="28"/>
      <w:szCs w:val="21"/>
    </w:rPr>
  </w:style>
  <w:style w:type="character" w:customStyle="1" w:styleId="432">
    <w:name w:val="样式43 Char"/>
    <w:link w:val="433"/>
    <w:semiHidden/>
    <w:qFormat/>
    <w:uiPriority w:val="0"/>
    <w:rPr>
      <w:snapToGrid w:val="0"/>
      <w:color w:val="000000"/>
      <w:sz w:val="24"/>
      <w:szCs w:val="24"/>
      <w:lang w:val="zh-CN"/>
    </w:rPr>
  </w:style>
  <w:style w:type="paragraph" w:customStyle="1" w:styleId="433">
    <w:name w:val="样式43"/>
    <w:basedOn w:val="1"/>
    <w:link w:val="432"/>
    <w:semiHidden/>
    <w:qFormat/>
    <w:uiPriority w:val="0"/>
    <w:pPr>
      <w:tabs>
        <w:tab w:val="left" w:pos="465"/>
      </w:tabs>
      <w:spacing w:line="360" w:lineRule="auto"/>
      <w:ind w:firstLine="480" w:firstLineChars="200"/>
    </w:pPr>
    <w:rPr>
      <w:snapToGrid w:val="0"/>
      <w:color w:val="000000"/>
      <w:kern w:val="0"/>
      <w:sz w:val="24"/>
      <w:lang w:val="zh-CN"/>
    </w:rPr>
  </w:style>
  <w:style w:type="character" w:customStyle="1" w:styleId="434">
    <w:name w:val="样式10 Char"/>
    <w:link w:val="435"/>
    <w:semiHidden/>
    <w:qFormat/>
    <w:uiPriority w:val="0"/>
    <w:rPr>
      <w:rFonts w:eastAsia="黑体"/>
      <w:sz w:val="28"/>
      <w:szCs w:val="28"/>
    </w:rPr>
  </w:style>
  <w:style w:type="paragraph" w:customStyle="1" w:styleId="435">
    <w:name w:val="样式10"/>
    <w:basedOn w:val="1"/>
    <w:link w:val="434"/>
    <w:semiHidden/>
    <w:qFormat/>
    <w:uiPriority w:val="0"/>
    <w:pPr>
      <w:keepNext/>
      <w:keepLines/>
      <w:tabs>
        <w:tab w:val="left" w:pos="0"/>
        <w:tab w:val="left" w:pos="360"/>
      </w:tabs>
      <w:spacing w:before="156" w:beforeLines="50" w:after="156" w:afterLines="50" w:line="360" w:lineRule="auto"/>
      <w:outlineLvl w:val="1"/>
    </w:pPr>
    <w:rPr>
      <w:rFonts w:eastAsia="黑体"/>
      <w:kern w:val="0"/>
      <w:sz w:val="28"/>
      <w:szCs w:val="28"/>
    </w:rPr>
  </w:style>
  <w:style w:type="character" w:customStyle="1" w:styleId="436">
    <w:name w:val="正文 Char"/>
    <w:semiHidden/>
    <w:qFormat/>
    <w:uiPriority w:val="0"/>
    <w:rPr>
      <w:rFonts w:eastAsia="宋体"/>
      <w:kern w:val="2"/>
      <w:sz w:val="24"/>
      <w:lang w:val="en-US" w:eastAsia="zh-CN" w:bidi="ar-SA"/>
    </w:rPr>
  </w:style>
  <w:style w:type="character" w:customStyle="1" w:styleId="437">
    <w:name w:val="s1"/>
    <w:qFormat/>
    <w:uiPriority w:val="0"/>
    <w:rPr>
      <w:sz w:val="18"/>
      <w:szCs w:val="18"/>
    </w:rPr>
  </w:style>
  <w:style w:type="character" w:customStyle="1" w:styleId="438">
    <w:name w:val="样式34 Char Char"/>
    <w:semiHidden/>
    <w:qFormat/>
    <w:uiPriority w:val="0"/>
    <w:rPr>
      <w:rFonts w:ascii="宋体" w:hAnsi="宋体" w:eastAsia="宋体" w:cs="宋体"/>
      <w:bCs/>
      <w:color w:val="000000"/>
      <w:kern w:val="2"/>
      <w:sz w:val="24"/>
      <w:szCs w:val="24"/>
      <w:lang w:val="en-US" w:eastAsia="zh-CN" w:bidi="ar-SA"/>
    </w:rPr>
  </w:style>
  <w:style w:type="character" w:customStyle="1" w:styleId="439">
    <w:name w:val="表标题样式 Char1"/>
    <w:semiHidden/>
    <w:qFormat/>
    <w:uiPriority w:val="0"/>
    <w:rPr>
      <w:rFonts w:ascii="宋体" w:hAnsi="宋体" w:eastAsia="黑体" w:cs="宋体"/>
      <w:b/>
      <w:bCs/>
      <w:kern w:val="2"/>
      <w:sz w:val="28"/>
      <w:szCs w:val="28"/>
      <w:lang w:val="en-US" w:eastAsia="zh-CN" w:bidi="ar-SA"/>
    </w:rPr>
  </w:style>
  <w:style w:type="character" w:customStyle="1" w:styleId="440">
    <w:name w:val="麦志勤正文 Char Char Char"/>
    <w:link w:val="441"/>
    <w:semiHidden/>
    <w:qFormat/>
    <w:uiPriority w:val="0"/>
    <w:rPr>
      <w:rFonts w:ascii="宋体" w:hAnsi="宋体"/>
      <w:sz w:val="24"/>
    </w:rPr>
  </w:style>
  <w:style w:type="paragraph" w:customStyle="1" w:styleId="441">
    <w:name w:val="麦志勤正文 Char Char"/>
    <w:basedOn w:val="1"/>
    <w:link w:val="440"/>
    <w:semiHidden/>
    <w:qFormat/>
    <w:uiPriority w:val="0"/>
    <w:pPr>
      <w:adjustRightInd w:val="0"/>
      <w:snapToGrid w:val="0"/>
      <w:spacing w:beforeLines="20" w:line="300" w:lineRule="auto"/>
      <w:ind w:firstLine="200" w:firstLineChars="200"/>
    </w:pPr>
    <w:rPr>
      <w:rFonts w:ascii="宋体" w:hAnsi="宋体"/>
      <w:kern w:val="0"/>
      <w:sz w:val="24"/>
      <w:szCs w:val="20"/>
    </w:rPr>
  </w:style>
  <w:style w:type="character" w:customStyle="1" w:styleId="442">
    <w:name w:val="样式34 Char"/>
    <w:link w:val="443"/>
    <w:semiHidden/>
    <w:qFormat/>
    <w:uiPriority w:val="0"/>
    <w:rPr>
      <w:rFonts w:ascii="宋体" w:hAnsi="宋体"/>
      <w:bCs/>
      <w:color w:val="000000"/>
      <w:sz w:val="24"/>
      <w:szCs w:val="24"/>
    </w:rPr>
  </w:style>
  <w:style w:type="paragraph" w:customStyle="1" w:styleId="443">
    <w:name w:val="样式34"/>
    <w:basedOn w:val="444"/>
    <w:link w:val="442"/>
    <w:semiHidden/>
    <w:qFormat/>
    <w:uiPriority w:val="0"/>
    <w:pPr>
      <w:tabs>
        <w:tab w:val="left" w:pos="864"/>
      </w:tabs>
      <w:spacing w:before="0" w:beforeLines="0" w:after="0" w:afterLines="0"/>
    </w:pPr>
    <w:rPr>
      <w:rFonts w:cs="Times New Roman"/>
    </w:rPr>
  </w:style>
  <w:style w:type="paragraph" w:customStyle="1" w:styleId="444">
    <w:name w:val="样式19"/>
    <w:basedOn w:val="445"/>
    <w:semiHidden/>
    <w:qFormat/>
    <w:uiPriority w:val="0"/>
    <w:pPr>
      <w:keepNext/>
      <w:keepLines/>
      <w:tabs>
        <w:tab w:val="left" w:pos="864"/>
      </w:tabs>
      <w:spacing w:before="156" w:beforeLines="50" w:after="156" w:afterLines="50"/>
      <w:ind w:left="864" w:hanging="864" w:firstLineChars="0"/>
      <w:outlineLvl w:val="3"/>
    </w:pPr>
    <w:rPr>
      <w:rFonts w:hAnsi="宋体"/>
      <w:bCs/>
      <w:color w:val="000000"/>
      <w:kern w:val="0"/>
    </w:rPr>
  </w:style>
  <w:style w:type="paragraph" w:customStyle="1" w:styleId="445">
    <w:name w:val="样式15"/>
    <w:basedOn w:val="446"/>
    <w:link w:val="502"/>
    <w:semiHidden/>
    <w:qFormat/>
    <w:uiPriority w:val="0"/>
    <w:pPr>
      <w:ind w:firstLine="600" w:firstLineChars="250"/>
    </w:pPr>
  </w:style>
  <w:style w:type="paragraph" w:customStyle="1" w:styleId="446">
    <w:name w:val="样式5"/>
    <w:basedOn w:val="1"/>
    <w:link w:val="455"/>
    <w:semiHidden/>
    <w:qFormat/>
    <w:uiPriority w:val="0"/>
    <w:pPr>
      <w:spacing w:line="360" w:lineRule="auto"/>
      <w:ind w:firstLine="480" w:firstLineChars="200"/>
    </w:pPr>
    <w:rPr>
      <w:rFonts w:ascii="宋体" w:hAnsiTheme="minorHAnsi" w:cstheme="minorBidi"/>
      <w:sz w:val="24"/>
    </w:rPr>
  </w:style>
  <w:style w:type="character" w:customStyle="1" w:styleId="447">
    <w:name w:val="ZW Char Char"/>
    <w:link w:val="448"/>
    <w:qFormat/>
    <w:uiPriority w:val="0"/>
    <w:rPr>
      <w:sz w:val="24"/>
      <w:szCs w:val="24"/>
    </w:rPr>
  </w:style>
  <w:style w:type="paragraph" w:customStyle="1" w:styleId="448">
    <w:name w:val="ZW"/>
    <w:basedOn w:val="1"/>
    <w:link w:val="447"/>
    <w:qFormat/>
    <w:uiPriority w:val="0"/>
    <w:pPr>
      <w:adjustRightInd w:val="0"/>
      <w:spacing w:before="156" w:beforeLines="50" w:line="360" w:lineRule="auto"/>
      <w:ind w:firstLine="480" w:firstLineChars="200"/>
    </w:pPr>
    <w:rPr>
      <w:kern w:val="0"/>
      <w:sz w:val="24"/>
    </w:rPr>
  </w:style>
  <w:style w:type="character" w:customStyle="1" w:styleId="449">
    <w:name w:val="样式4 Char"/>
    <w:link w:val="450"/>
    <w:semiHidden/>
    <w:qFormat/>
    <w:uiPriority w:val="0"/>
    <w:rPr>
      <w:sz w:val="24"/>
      <w:szCs w:val="24"/>
    </w:rPr>
  </w:style>
  <w:style w:type="paragraph" w:customStyle="1" w:styleId="450">
    <w:name w:val="样式4"/>
    <w:basedOn w:val="1"/>
    <w:link w:val="449"/>
    <w:semiHidden/>
    <w:qFormat/>
    <w:uiPriority w:val="0"/>
    <w:pPr>
      <w:spacing w:line="360" w:lineRule="auto"/>
      <w:ind w:firstLine="480" w:firstLineChars="200"/>
    </w:pPr>
    <w:rPr>
      <w:kern w:val="0"/>
      <w:sz w:val="24"/>
    </w:rPr>
  </w:style>
  <w:style w:type="character" w:customStyle="1" w:styleId="451">
    <w:name w:val="样式 自动A + Char"/>
    <w:link w:val="452"/>
    <w:semiHidden/>
    <w:qFormat/>
    <w:uiPriority w:val="0"/>
    <w:rPr>
      <w:color w:val="000000"/>
      <w:sz w:val="24"/>
    </w:rPr>
  </w:style>
  <w:style w:type="paragraph" w:customStyle="1" w:styleId="452">
    <w:name w:val="样式 自动A +"/>
    <w:basedOn w:val="408"/>
    <w:link w:val="451"/>
    <w:semiHidden/>
    <w:qFormat/>
    <w:uiPriority w:val="0"/>
    <w:pPr>
      <w:spacing w:beforeLines="50" w:afterLines="50"/>
    </w:pPr>
  </w:style>
  <w:style w:type="character" w:customStyle="1" w:styleId="453">
    <w:name w:val="报告 Char"/>
    <w:link w:val="454"/>
    <w:semiHidden/>
    <w:qFormat/>
    <w:uiPriority w:val="0"/>
    <w:rPr>
      <w:sz w:val="24"/>
    </w:rPr>
  </w:style>
  <w:style w:type="paragraph" w:customStyle="1" w:styleId="454">
    <w:name w:val="报告"/>
    <w:basedOn w:val="1"/>
    <w:link w:val="453"/>
    <w:semiHidden/>
    <w:qFormat/>
    <w:uiPriority w:val="0"/>
    <w:pPr>
      <w:overflowPunct w:val="0"/>
      <w:autoSpaceDE w:val="0"/>
      <w:autoSpaceDN w:val="0"/>
      <w:adjustRightInd w:val="0"/>
      <w:snapToGrid w:val="0"/>
      <w:spacing w:before="93" w:after="93" w:line="400" w:lineRule="atLeast"/>
      <w:ind w:left="-25" w:leftChars="-12" w:firstLine="480" w:firstLineChars="200"/>
    </w:pPr>
    <w:rPr>
      <w:kern w:val="0"/>
      <w:sz w:val="24"/>
      <w:szCs w:val="20"/>
    </w:rPr>
  </w:style>
  <w:style w:type="character" w:customStyle="1" w:styleId="455">
    <w:name w:val="样式5 Char"/>
    <w:link w:val="446"/>
    <w:semiHidden/>
    <w:qFormat/>
    <w:uiPriority w:val="0"/>
    <w:rPr>
      <w:rFonts w:ascii="宋体" w:hAnsiTheme="minorHAnsi" w:cstheme="minorBidi"/>
      <w:kern w:val="2"/>
      <w:sz w:val="24"/>
      <w:szCs w:val="24"/>
    </w:rPr>
  </w:style>
  <w:style w:type="character" w:customStyle="1" w:styleId="456">
    <w:name w:val="！正文 Char Char"/>
    <w:semiHidden/>
    <w:qFormat/>
    <w:uiPriority w:val="0"/>
    <w:rPr>
      <w:rFonts w:ascii="宋体" w:hAnsi="宋体" w:eastAsia="宋体" w:cs="宋体"/>
      <w:kern w:val="2"/>
      <w:sz w:val="24"/>
      <w:szCs w:val="24"/>
      <w:lang w:val="en-US" w:eastAsia="zh-CN" w:bidi="ar-SA"/>
    </w:rPr>
  </w:style>
  <w:style w:type="character" w:customStyle="1" w:styleId="457">
    <w:name w:val="正文文本 Char"/>
    <w:qFormat/>
    <w:uiPriority w:val="99"/>
    <w:rPr>
      <w:rFonts w:eastAsia="宋体"/>
      <w:kern w:val="2"/>
      <w:sz w:val="21"/>
      <w:szCs w:val="24"/>
      <w:lang w:val="en-US" w:eastAsia="zh-CN" w:bidi="ar-SA"/>
    </w:rPr>
  </w:style>
  <w:style w:type="character" w:customStyle="1" w:styleId="458">
    <w:name w:val="插图名称 Char"/>
    <w:link w:val="459"/>
    <w:semiHidden/>
    <w:qFormat/>
    <w:uiPriority w:val="0"/>
    <w:rPr>
      <w:rFonts w:ascii="Arial" w:hAnsi="Arial" w:cs="宋体"/>
      <w:b/>
      <w:bCs/>
      <w:sz w:val="24"/>
    </w:rPr>
  </w:style>
  <w:style w:type="paragraph" w:customStyle="1" w:styleId="459">
    <w:name w:val="插图名称"/>
    <w:basedOn w:val="1"/>
    <w:link w:val="458"/>
    <w:semiHidden/>
    <w:qFormat/>
    <w:uiPriority w:val="0"/>
    <w:pPr>
      <w:spacing w:afterLines="40" w:line="400" w:lineRule="atLeast"/>
      <w:jc w:val="center"/>
    </w:pPr>
    <w:rPr>
      <w:rFonts w:ascii="Arial" w:hAnsi="Arial" w:cs="宋体"/>
      <w:b/>
      <w:bCs/>
      <w:kern w:val="0"/>
      <w:sz w:val="24"/>
      <w:szCs w:val="20"/>
    </w:rPr>
  </w:style>
  <w:style w:type="character" w:customStyle="1" w:styleId="460">
    <w:name w:val="样式 自动A + Char Char"/>
    <w:basedOn w:val="382"/>
    <w:semiHidden/>
    <w:qFormat/>
    <w:uiPriority w:val="0"/>
    <w:rPr>
      <w:rFonts w:ascii="宋体" w:hAnsi="宋体" w:eastAsia="宋体" w:cs="宋体"/>
      <w:color w:val="000000"/>
      <w:kern w:val="2"/>
      <w:sz w:val="24"/>
      <w:szCs w:val="24"/>
      <w:lang w:val="en-US" w:eastAsia="zh-CN" w:bidi="ar-SA"/>
    </w:rPr>
  </w:style>
  <w:style w:type="character" w:customStyle="1" w:styleId="461">
    <w:name w:val="样式13 Char"/>
    <w:link w:val="351"/>
    <w:qFormat/>
    <w:uiPriority w:val="0"/>
    <w:rPr>
      <w:rFonts w:eastAsia="黑体"/>
      <w:sz w:val="24"/>
      <w:szCs w:val="32"/>
    </w:rPr>
  </w:style>
  <w:style w:type="character" w:customStyle="1" w:styleId="462">
    <w:name w:val="自动表头 Char"/>
    <w:link w:val="463"/>
    <w:semiHidden/>
    <w:qFormat/>
    <w:uiPriority w:val="0"/>
    <w:rPr>
      <w:rFonts w:ascii="黑体"/>
      <w:szCs w:val="21"/>
    </w:rPr>
  </w:style>
  <w:style w:type="paragraph" w:customStyle="1" w:styleId="463">
    <w:name w:val="自动表头"/>
    <w:basedOn w:val="129"/>
    <w:link w:val="462"/>
    <w:semiHidden/>
    <w:qFormat/>
    <w:uiPriority w:val="0"/>
    <w:pPr>
      <w:autoSpaceDE w:val="0"/>
      <w:autoSpaceDN w:val="0"/>
      <w:spacing w:before="120" w:beforeLines="50" w:after="120" w:afterLines="50"/>
      <w:ind w:firstLine="422" w:firstLineChars="200"/>
      <w:textAlignment w:val="auto"/>
    </w:pPr>
    <w:rPr>
      <w:rFonts w:ascii="黑体"/>
      <w:snapToGrid/>
      <w:kern w:val="0"/>
      <w:sz w:val="20"/>
      <w:szCs w:val="21"/>
    </w:rPr>
  </w:style>
  <w:style w:type="character" w:customStyle="1" w:styleId="464">
    <w:name w:val="我的标题2 Char"/>
    <w:link w:val="465"/>
    <w:semiHidden/>
    <w:qFormat/>
    <w:uiPriority w:val="0"/>
    <w:rPr>
      <w:rFonts w:ascii="黑体" w:eastAsia="黑体"/>
      <w:sz w:val="28"/>
      <w:szCs w:val="24"/>
    </w:rPr>
  </w:style>
  <w:style w:type="paragraph" w:customStyle="1" w:styleId="465">
    <w:name w:val="我的标题2"/>
    <w:basedOn w:val="1"/>
    <w:link w:val="464"/>
    <w:semiHidden/>
    <w:qFormat/>
    <w:uiPriority w:val="0"/>
    <w:pPr>
      <w:spacing w:beforeLines="50" w:afterLines="50" w:line="360" w:lineRule="auto"/>
      <w:outlineLvl w:val="1"/>
    </w:pPr>
    <w:rPr>
      <w:rFonts w:ascii="黑体" w:eastAsia="黑体"/>
      <w:kern w:val="0"/>
      <w:sz w:val="28"/>
    </w:rPr>
  </w:style>
  <w:style w:type="character" w:customStyle="1" w:styleId="466">
    <w:name w:val="正文文字 Char"/>
    <w:link w:val="467"/>
    <w:semiHidden/>
    <w:qFormat/>
    <w:uiPriority w:val="0"/>
    <w:rPr>
      <w:rFonts w:ascii="宋体" w:hAnsi="宋体" w:cs="Courier New"/>
      <w:sz w:val="24"/>
      <w:szCs w:val="24"/>
    </w:rPr>
  </w:style>
  <w:style w:type="paragraph" w:customStyle="1" w:styleId="467">
    <w:name w:val="正文文字"/>
    <w:basedOn w:val="1"/>
    <w:link w:val="466"/>
    <w:semiHidden/>
    <w:qFormat/>
    <w:uiPriority w:val="0"/>
    <w:pPr>
      <w:spacing w:line="480" w:lineRule="exact"/>
      <w:ind w:firstLine="480" w:firstLineChars="200"/>
    </w:pPr>
    <w:rPr>
      <w:rFonts w:ascii="宋体" w:hAnsi="宋体" w:cs="Courier New"/>
      <w:kern w:val="0"/>
      <w:sz w:val="24"/>
    </w:rPr>
  </w:style>
  <w:style w:type="character" w:customStyle="1" w:styleId="468">
    <w:name w:val="样式24 Char"/>
    <w:link w:val="469"/>
    <w:semiHidden/>
    <w:qFormat/>
    <w:uiPriority w:val="0"/>
    <w:rPr>
      <w:rFonts w:ascii="宋体" w:hAnsi="宋体"/>
      <w:bCs/>
      <w:color w:val="000000"/>
      <w:sz w:val="24"/>
      <w:szCs w:val="24"/>
    </w:rPr>
  </w:style>
  <w:style w:type="paragraph" w:customStyle="1" w:styleId="469">
    <w:name w:val="样式24"/>
    <w:basedOn w:val="444"/>
    <w:link w:val="468"/>
    <w:semiHidden/>
    <w:qFormat/>
    <w:uiPriority w:val="0"/>
    <w:pPr>
      <w:spacing w:before="120" w:after="120"/>
    </w:pPr>
    <w:rPr>
      <w:rFonts w:cs="Times New Roman"/>
    </w:rPr>
  </w:style>
  <w:style w:type="character" w:customStyle="1" w:styleId="470">
    <w:name w:val="自动2 Char"/>
    <w:link w:val="471"/>
    <w:semiHidden/>
    <w:qFormat/>
    <w:uiPriority w:val="0"/>
    <w:rPr>
      <w:rFonts w:ascii="黑体" w:hAnsi="Arial" w:eastAsia="黑体"/>
      <w:b/>
      <w:bCs/>
      <w:color w:val="000000"/>
      <w:sz w:val="28"/>
      <w:szCs w:val="28"/>
    </w:rPr>
  </w:style>
  <w:style w:type="paragraph" w:customStyle="1" w:styleId="471">
    <w:name w:val="自动2"/>
    <w:basedOn w:val="1"/>
    <w:link w:val="470"/>
    <w:semiHidden/>
    <w:qFormat/>
    <w:uiPriority w:val="0"/>
    <w:pPr>
      <w:keepNext/>
      <w:keepLines/>
      <w:tabs>
        <w:tab w:val="left" w:pos="360"/>
      </w:tabs>
      <w:spacing w:before="50" w:after="50" w:line="360" w:lineRule="auto"/>
      <w:outlineLvl w:val="1"/>
    </w:pPr>
    <w:rPr>
      <w:rFonts w:ascii="黑体" w:hAnsi="Arial" w:eastAsia="黑体"/>
      <w:b/>
      <w:bCs/>
      <w:color w:val="000000"/>
      <w:kern w:val="0"/>
      <w:sz w:val="28"/>
      <w:szCs w:val="28"/>
    </w:rPr>
  </w:style>
  <w:style w:type="character" w:customStyle="1" w:styleId="472">
    <w:name w:val="WENZHANG Char"/>
    <w:link w:val="473"/>
    <w:semiHidden/>
    <w:qFormat/>
    <w:uiPriority w:val="0"/>
    <w:rPr>
      <w:color w:val="000000"/>
      <w:sz w:val="24"/>
      <w:szCs w:val="24"/>
    </w:rPr>
  </w:style>
  <w:style w:type="paragraph" w:customStyle="1" w:styleId="473">
    <w:name w:val="WENZHANG"/>
    <w:basedOn w:val="1"/>
    <w:link w:val="472"/>
    <w:semiHidden/>
    <w:qFormat/>
    <w:uiPriority w:val="0"/>
    <w:pPr>
      <w:spacing w:before="50" w:beforeLines="50" w:after="50" w:afterLines="50" w:line="360" w:lineRule="auto"/>
      <w:ind w:firstLine="200" w:firstLineChars="200"/>
    </w:pPr>
    <w:rPr>
      <w:color w:val="000000"/>
      <w:kern w:val="0"/>
      <w:sz w:val="24"/>
    </w:rPr>
  </w:style>
  <w:style w:type="character" w:customStyle="1" w:styleId="474">
    <w:name w:val="表格标题新 Char"/>
    <w:link w:val="475"/>
    <w:semiHidden/>
    <w:qFormat/>
    <w:uiPriority w:val="0"/>
    <w:rPr>
      <w:rFonts w:ascii="仿宋_GB2312" w:eastAsia="仿宋_GB2312"/>
      <w:b/>
      <w:snapToGrid w:val="0"/>
      <w:spacing w:val="10"/>
      <w:sz w:val="24"/>
      <w:szCs w:val="24"/>
    </w:rPr>
  </w:style>
  <w:style w:type="paragraph" w:customStyle="1" w:styleId="475">
    <w:name w:val="表格标题新"/>
    <w:basedOn w:val="414"/>
    <w:link w:val="474"/>
    <w:semiHidden/>
    <w:qFormat/>
    <w:uiPriority w:val="0"/>
    <w:pPr>
      <w:tabs>
        <w:tab w:val="left" w:pos="0"/>
      </w:tabs>
      <w:adjustRightInd w:val="0"/>
      <w:snapToGrid w:val="0"/>
      <w:spacing w:before="0" w:after="0" w:line="240" w:lineRule="auto"/>
    </w:pPr>
    <w:rPr>
      <w:rFonts w:ascii="仿宋_GB2312" w:eastAsia="仿宋_GB2312"/>
      <w:b/>
      <w:snapToGrid w:val="0"/>
      <w:szCs w:val="24"/>
    </w:rPr>
  </w:style>
  <w:style w:type="character" w:customStyle="1" w:styleId="476">
    <w:name w:val="4 二级标题 Char"/>
    <w:link w:val="477"/>
    <w:semiHidden/>
    <w:qFormat/>
    <w:uiPriority w:val="0"/>
    <w:rPr>
      <w:rFonts w:ascii="Calibri" w:hAnsi="Calibri" w:eastAsia="仿宋_GB2312"/>
      <w:b/>
      <w:sz w:val="28"/>
    </w:rPr>
  </w:style>
  <w:style w:type="paragraph" w:customStyle="1" w:styleId="477">
    <w:name w:val="4 二级标题"/>
    <w:basedOn w:val="1"/>
    <w:next w:val="1"/>
    <w:link w:val="476"/>
    <w:semiHidden/>
    <w:qFormat/>
    <w:uiPriority w:val="0"/>
    <w:pPr>
      <w:spacing w:line="360" w:lineRule="auto"/>
    </w:pPr>
    <w:rPr>
      <w:rFonts w:ascii="Calibri" w:hAnsi="Calibri" w:eastAsia="仿宋_GB2312"/>
      <w:b/>
      <w:kern w:val="0"/>
      <w:sz w:val="28"/>
      <w:szCs w:val="20"/>
    </w:rPr>
  </w:style>
  <w:style w:type="character" w:customStyle="1" w:styleId="478">
    <w:name w:val="表标题  Char"/>
    <w:semiHidden/>
    <w:qFormat/>
    <w:uiPriority w:val="0"/>
    <w:rPr>
      <w:rFonts w:eastAsia="宋体"/>
      <w:b/>
      <w:spacing w:val="10"/>
      <w:sz w:val="24"/>
    </w:rPr>
  </w:style>
  <w:style w:type="character" w:customStyle="1" w:styleId="479">
    <w:name w:val="表格内容 Char Char Char Char"/>
    <w:semiHidden/>
    <w:qFormat/>
    <w:uiPriority w:val="0"/>
    <w:rPr>
      <w:rFonts w:ascii="宋体" w:hAnsi="宋体" w:eastAsia="宋体" w:cs="宋体"/>
      <w:color w:val="000000"/>
      <w:kern w:val="2"/>
      <w:sz w:val="21"/>
      <w:szCs w:val="16"/>
      <w:lang w:val="en-US" w:eastAsia="zh-CN" w:bidi="ar-SA"/>
    </w:rPr>
  </w:style>
  <w:style w:type="character" w:customStyle="1" w:styleId="480">
    <w:name w:val="标题42 Char"/>
    <w:basedOn w:val="396"/>
    <w:link w:val="481"/>
    <w:semiHidden/>
    <w:qFormat/>
    <w:uiPriority w:val="0"/>
    <w:rPr>
      <w:rFonts w:ascii="宋体" w:hAnsi="宋体"/>
      <w:color w:val="000000"/>
      <w:sz w:val="24"/>
      <w:szCs w:val="24"/>
    </w:rPr>
  </w:style>
  <w:style w:type="paragraph" w:customStyle="1" w:styleId="481">
    <w:name w:val="标题42"/>
    <w:basedOn w:val="397"/>
    <w:link w:val="480"/>
    <w:semiHidden/>
    <w:qFormat/>
    <w:uiPriority w:val="0"/>
    <w:pPr>
      <w:tabs>
        <w:tab w:val="left" w:pos="864"/>
      </w:tabs>
      <w:spacing w:before="156" w:beforeLines="50" w:after="156" w:afterLines="50"/>
      <w:ind w:left="864" w:hanging="864"/>
    </w:pPr>
  </w:style>
  <w:style w:type="character" w:customStyle="1" w:styleId="482">
    <w:name w:val="word21"/>
    <w:semiHidden/>
    <w:qFormat/>
    <w:uiPriority w:val="0"/>
    <w:rPr>
      <w:rFonts w:ascii="宋体" w:hAnsi="宋体" w:eastAsia="宋体" w:cs="宋体"/>
      <w:color w:val="000000"/>
      <w:kern w:val="2"/>
      <w:sz w:val="18"/>
      <w:szCs w:val="18"/>
      <w:u w:val="none"/>
      <w:lang w:val="en-US" w:eastAsia="zh-CN" w:bidi="ar-SA"/>
    </w:rPr>
  </w:style>
  <w:style w:type="character" w:customStyle="1" w:styleId="483">
    <w:name w:val="content1"/>
    <w:semiHidden/>
    <w:qFormat/>
    <w:uiPriority w:val="0"/>
    <w:rPr>
      <w:rFonts w:ascii="宋体" w:hAnsi="宋体" w:eastAsia="宋体" w:cs="宋体"/>
      <w:color w:val="000000"/>
      <w:kern w:val="2"/>
      <w:sz w:val="21"/>
      <w:szCs w:val="21"/>
      <w:u w:val="none"/>
      <w:lang w:val="en-US" w:eastAsia="zh-CN" w:bidi="ar-SA"/>
    </w:rPr>
  </w:style>
  <w:style w:type="character" w:customStyle="1" w:styleId="484">
    <w:name w:val="样式 自定表头 + Arial Char"/>
    <w:link w:val="485"/>
    <w:semiHidden/>
    <w:qFormat/>
    <w:uiPriority w:val="0"/>
    <w:rPr>
      <w:rFonts w:ascii="Arial" w:hAnsi="Arial"/>
      <w:b/>
      <w:bCs/>
      <w:sz w:val="24"/>
    </w:rPr>
  </w:style>
  <w:style w:type="paragraph" w:customStyle="1" w:styleId="485">
    <w:name w:val="样式 自定表头 + Arial"/>
    <w:basedOn w:val="320"/>
    <w:link w:val="484"/>
    <w:semiHidden/>
    <w:qFormat/>
    <w:uiPriority w:val="0"/>
    <w:pPr>
      <w:numPr>
        <w:ilvl w:val="4"/>
        <w:numId w:val="2"/>
      </w:numPr>
      <w:ind w:left="284"/>
    </w:pPr>
    <w:rPr>
      <w:bCs/>
      <w:kern w:val="0"/>
    </w:rPr>
  </w:style>
  <w:style w:type="character" w:customStyle="1" w:styleId="486">
    <w:name w:val="报告表格 Char"/>
    <w:link w:val="487"/>
    <w:semiHidden/>
    <w:qFormat/>
    <w:uiPriority w:val="0"/>
    <w:rPr>
      <w:rFonts w:ascii="Arial" w:hAnsi="Arial" w:cs="Arial"/>
      <w:color w:val="000080"/>
      <w:szCs w:val="21"/>
    </w:rPr>
  </w:style>
  <w:style w:type="paragraph" w:customStyle="1" w:styleId="487">
    <w:name w:val="报告表格"/>
    <w:basedOn w:val="19"/>
    <w:link w:val="486"/>
    <w:semiHidden/>
    <w:qFormat/>
    <w:uiPriority w:val="0"/>
    <w:pPr>
      <w:ind w:firstLine="0" w:firstLineChars="0"/>
      <w:jc w:val="center"/>
    </w:pPr>
    <w:rPr>
      <w:rFonts w:ascii="Arial" w:hAnsi="Arial" w:cs="Arial"/>
      <w:color w:val="000080"/>
      <w:kern w:val="0"/>
      <w:sz w:val="20"/>
      <w:szCs w:val="21"/>
    </w:rPr>
  </w:style>
  <w:style w:type="character" w:customStyle="1" w:styleId="488">
    <w:name w:val="自定标题3 Char"/>
    <w:link w:val="489"/>
    <w:qFormat/>
    <w:uiPriority w:val="0"/>
    <w:rPr>
      <w:b/>
      <w:snapToGrid w:val="0"/>
      <w:sz w:val="24"/>
    </w:rPr>
  </w:style>
  <w:style w:type="paragraph" w:customStyle="1" w:styleId="489">
    <w:name w:val="自定标题3"/>
    <w:basedOn w:val="5"/>
    <w:next w:val="314"/>
    <w:link w:val="488"/>
    <w:qFormat/>
    <w:uiPriority w:val="0"/>
    <w:pPr>
      <w:keepNext w:val="0"/>
      <w:keepLines w:val="0"/>
      <w:numPr>
        <w:numId w:val="2"/>
      </w:numPr>
      <w:tabs>
        <w:tab w:val="left" w:pos="8221"/>
        <w:tab w:val="clear" w:pos="0"/>
      </w:tabs>
      <w:snapToGrid w:val="0"/>
      <w:spacing w:before="120" w:beforeLines="50"/>
      <w:ind w:firstLineChars="0"/>
    </w:pPr>
    <w:rPr>
      <w:bCs w:val="0"/>
      <w:snapToGrid w:val="0"/>
      <w:kern w:val="0"/>
      <w:sz w:val="24"/>
      <w:szCs w:val="20"/>
    </w:rPr>
  </w:style>
  <w:style w:type="character" w:customStyle="1" w:styleId="490">
    <w:name w:val="我的表格 Char"/>
    <w:link w:val="491"/>
    <w:semiHidden/>
    <w:qFormat/>
    <w:uiPriority w:val="0"/>
  </w:style>
  <w:style w:type="paragraph" w:customStyle="1" w:styleId="491">
    <w:name w:val="我的表格"/>
    <w:basedOn w:val="1"/>
    <w:link w:val="490"/>
    <w:semiHidden/>
    <w:qFormat/>
    <w:uiPriority w:val="0"/>
    <w:pPr>
      <w:adjustRightInd w:val="0"/>
      <w:snapToGrid w:val="0"/>
      <w:spacing w:line="360" w:lineRule="auto"/>
      <w:jc w:val="center"/>
    </w:pPr>
    <w:rPr>
      <w:kern w:val="0"/>
      <w:sz w:val="20"/>
      <w:szCs w:val="20"/>
    </w:rPr>
  </w:style>
  <w:style w:type="character" w:customStyle="1" w:styleId="492">
    <w:name w:val="样式11 Char"/>
    <w:link w:val="493"/>
    <w:semiHidden/>
    <w:qFormat/>
    <w:uiPriority w:val="0"/>
    <w:rPr>
      <w:rFonts w:ascii="黑体" w:hAnsi="黑体"/>
      <w:color w:val="000000"/>
      <w:sz w:val="24"/>
      <w:szCs w:val="28"/>
    </w:rPr>
  </w:style>
  <w:style w:type="paragraph" w:customStyle="1" w:styleId="493">
    <w:name w:val="样式11"/>
    <w:basedOn w:val="450"/>
    <w:link w:val="492"/>
    <w:semiHidden/>
    <w:qFormat/>
    <w:uiPriority w:val="0"/>
    <w:pPr>
      <w:keepNext/>
      <w:keepLines/>
      <w:tabs>
        <w:tab w:val="left" w:pos="0"/>
        <w:tab w:val="left" w:pos="720"/>
      </w:tabs>
      <w:spacing w:before="156" w:beforeLines="50" w:after="156" w:afterLines="50"/>
      <w:ind w:firstLine="0" w:firstLineChars="0"/>
      <w:outlineLvl w:val="3"/>
    </w:pPr>
    <w:rPr>
      <w:rFonts w:ascii="黑体" w:hAnsi="黑体"/>
      <w:color w:val="000000"/>
      <w:szCs w:val="28"/>
    </w:rPr>
  </w:style>
  <w:style w:type="character" w:customStyle="1" w:styleId="494">
    <w:name w:val="正文体 Char"/>
    <w:link w:val="495"/>
    <w:semiHidden/>
    <w:qFormat/>
    <w:uiPriority w:val="0"/>
    <w:rPr>
      <w:rFonts w:cs="宋体"/>
      <w:sz w:val="24"/>
    </w:rPr>
  </w:style>
  <w:style w:type="paragraph" w:customStyle="1" w:styleId="495">
    <w:name w:val="正文体"/>
    <w:basedOn w:val="1"/>
    <w:link w:val="494"/>
    <w:semiHidden/>
    <w:qFormat/>
    <w:uiPriority w:val="0"/>
    <w:pPr>
      <w:spacing w:line="360" w:lineRule="auto"/>
      <w:ind w:firstLine="480" w:firstLineChars="200"/>
    </w:pPr>
    <w:rPr>
      <w:rFonts w:cs="宋体"/>
      <w:kern w:val="0"/>
      <w:sz w:val="24"/>
      <w:szCs w:val="20"/>
    </w:rPr>
  </w:style>
  <w:style w:type="character" w:customStyle="1" w:styleId="496">
    <w:name w:val="style12"/>
    <w:semiHidden/>
    <w:qFormat/>
    <w:uiPriority w:val="0"/>
    <w:rPr>
      <w:rFonts w:hint="default" w:ascii="Arial" w:hAnsi="Arial" w:eastAsia="宋体" w:cs="Arial"/>
      <w:b/>
      <w:bCs/>
      <w:color w:val="FFFF00"/>
      <w:kern w:val="2"/>
      <w:sz w:val="36"/>
      <w:szCs w:val="36"/>
      <w:lang w:val="en-US" w:eastAsia="zh-CN" w:bidi="ar-SA"/>
    </w:rPr>
  </w:style>
  <w:style w:type="character" w:customStyle="1" w:styleId="497">
    <w:name w:val="news21"/>
    <w:semiHidden/>
    <w:qFormat/>
    <w:uiPriority w:val="0"/>
    <w:rPr>
      <w:rFonts w:ascii="宋体" w:hAnsi="宋体" w:eastAsia="宋体" w:cs="宋体"/>
      <w:kern w:val="2"/>
      <w:sz w:val="21"/>
      <w:szCs w:val="21"/>
      <w:lang w:val="en-US" w:eastAsia="zh-CN" w:bidi="ar-SA"/>
    </w:rPr>
  </w:style>
  <w:style w:type="character" w:customStyle="1" w:styleId="498">
    <w:name w:val="T2 Char"/>
    <w:link w:val="499"/>
    <w:semiHidden/>
    <w:qFormat/>
    <w:uiPriority w:val="0"/>
    <w:rPr>
      <w:rFonts w:ascii="宋体" w:hAnsi="宋体"/>
      <w:b/>
      <w:sz w:val="30"/>
      <w:szCs w:val="28"/>
    </w:rPr>
  </w:style>
  <w:style w:type="paragraph" w:customStyle="1" w:styleId="499">
    <w:name w:val="T2"/>
    <w:basedOn w:val="500"/>
    <w:next w:val="26"/>
    <w:link w:val="498"/>
    <w:semiHidden/>
    <w:qFormat/>
    <w:uiPriority w:val="0"/>
    <w:pPr>
      <w:spacing w:before="440" w:after="440"/>
      <w:outlineLvl w:val="1"/>
    </w:pPr>
    <w:rPr>
      <w:rFonts w:cs="Times New Roman"/>
      <w:kern w:val="0"/>
      <w:sz w:val="30"/>
    </w:rPr>
  </w:style>
  <w:style w:type="paragraph" w:customStyle="1" w:styleId="500">
    <w:name w:val="T1"/>
    <w:basedOn w:val="27"/>
    <w:next w:val="26"/>
    <w:semiHidden/>
    <w:qFormat/>
    <w:uiPriority w:val="0"/>
    <w:pPr>
      <w:spacing w:before="720" w:after="720" w:line="400" w:lineRule="atLeast"/>
      <w:ind w:left="0" w:leftChars="0" w:firstLine="0" w:firstLineChars="0"/>
      <w:jc w:val="left"/>
      <w:outlineLvl w:val="0"/>
    </w:pPr>
    <w:rPr>
      <w:rFonts w:ascii="宋体" w:hAnsi="宋体" w:cstheme="minorBidi"/>
      <w:b/>
      <w:sz w:val="32"/>
      <w:szCs w:val="28"/>
    </w:rPr>
  </w:style>
  <w:style w:type="character" w:customStyle="1" w:styleId="501">
    <w:name w:val="style111"/>
    <w:semiHidden/>
    <w:qFormat/>
    <w:uiPriority w:val="0"/>
    <w:rPr>
      <w:rFonts w:ascii="宋体" w:hAnsi="宋体" w:eastAsia="宋体" w:cs="宋体"/>
      <w:kern w:val="2"/>
      <w:sz w:val="21"/>
      <w:szCs w:val="21"/>
      <w:lang w:val="en-US" w:eastAsia="zh-CN" w:bidi="ar-SA"/>
    </w:rPr>
  </w:style>
  <w:style w:type="character" w:customStyle="1" w:styleId="502">
    <w:name w:val="样式15 Char"/>
    <w:basedOn w:val="455"/>
    <w:link w:val="445"/>
    <w:semiHidden/>
    <w:qFormat/>
    <w:uiPriority w:val="0"/>
    <w:rPr>
      <w:rFonts w:ascii="宋体" w:hAnsiTheme="minorHAnsi" w:cstheme="minorBidi"/>
      <w:kern w:val="2"/>
      <w:sz w:val="24"/>
      <w:szCs w:val="24"/>
    </w:rPr>
  </w:style>
  <w:style w:type="character" w:customStyle="1" w:styleId="503">
    <w:name w:val="样式14 Char Char"/>
    <w:semiHidden/>
    <w:qFormat/>
    <w:uiPriority w:val="0"/>
    <w:rPr>
      <w:rFonts w:ascii="宋体" w:hAnsi="宋体" w:eastAsia="宋体" w:cs="宋体"/>
      <w:color w:val="000000"/>
      <w:kern w:val="2"/>
      <w:sz w:val="24"/>
      <w:szCs w:val="24"/>
      <w:shd w:val="clear" w:color="auto" w:fill="FFFFFF"/>
      <w:lang w:val="en-US" w:eastAsia="zh-CN" w:bidi="ar-SA"/>
    </w:rPr>
  </w:style>
  <w:style w:type="character" w:customStyle="1" w:styleId="504">
    <w:name w:val="样式17 Char"/>
    <w:link w:val="505"/>
    <w:semiHidden/>
    <w:qFormat/>
    <w:uiPriority w:val="0"/>
    <w:rPr>
      <w:rFonts w:eastAsia="黑体"/>
      <w:kern w:val="44"/>
      <w:sz w:val="30"/>
      <w:szCs w:val="44"/>
    </w:rPr>
  </w:style>
  <w:style w:type="paragraph" w:customStyle="1" w:styleId="505">
    <w:name w:val="样式17"/>
    <w:basedOn w:val="1"/>
    <w:link w:val="504"/>
    <w:semiHidden/>
    <w:qFormat/>
    <w:uiPriority w:val="0"/>
    <w:pPr>
      <w:keepNext/>
      <w:keepLines/>
      <w:tabs>
        <w:tab w:val="left" w:pos="987"/>
      </w:tabs>
      <w:spacing w:before="156" w:beforeLines="50" w:after="156" w:afterLines="50" w:line="360" w:lineRule="auto"/>
      <w:ind w:left="987" w:hanging="420"/>
      <w:outlineLvl w:val="0"/>
    </w:pPr>
    <w:rPr>
      <w:rFonts w:eastAsia="黑体"/>
      <w:kern w:val="44"/>
      <w:sz w:val="30"/>
      <w:szCs w:val="44"/>
    </w:rPr>
  </w:style>
  <w:style w:type="character" w:customStyle="1" w:styleId="506">
    <w:name w:val="样式53 Char"/>
    <w:link w:val="507"/>
    <w:semiHidden/>
    <w:qFormat/>
    <w:uiPriority w:val="0"/>
    <w:rPr>
      <w:rFonts w:eastAsia="黑体"/>
      <w:sz w:val="24"/>
      <w:szCs w:val="32"/>
    </w:rPr>
  </w:style>
  <w:style w:type="paragraph" w:customStyle="1" w:styleId="507">
    <w:name w:val="样式53"/>
    <w:basedOn w:val="351"/>
    <w:link w:val="506"/>
    <w:semiHidden/>
    <w:qFormat/>
    <w:uiPriority w:val="0"/>
    <w:pPr>
      <w:numPr>
        <w:ilvl w:val="0"/>
        <w:numId w:val="0"/>
      </w:numPr>
      <w:tabs>
        <w:tab w:val="left" w:pos="605"/>
        <w:tab w:val="left" w:pos="889"/>
        <w:tab w:val="clear" w:pos="720"/>
      </w:tabs>
      <w:spacing w:before="120" w:after="120"/>
      <w:ind w:left="889" w:hanging="709"/>
    </w:pPr>
  </w:style>
  <w:style w:type="character" w:customStyle="1" w:styleId="508">
    <w:name w:val="我的标题4 Char"/>
    <w:link w:val="509"/>
    <w:semiHidden/>
    <w:qFormat/>
    <w:uiPriority w:val="0"/>
    <w:rPr>
      <w:b/>
      <w:sz w:val="24"/>
    </w:rPr>
  </w:style>
  <w:style w:type="paragraph" w:customStyle="1" w:styleId="509">
    <w:name w:val="我的标题4"/>
    <w:basedOn w:val="6"/>
    <w:link w:val="508"/>
    <w:semiHidden/>
    <w:qFormat/>
    <w:uiPriority w:val="0"/>
    <w:pPr>
      <w:keepNext/>
      <w:keepLines/>
      <w:numPr>
        <w:ilvl w:val="0"/>
        <w:numId w:val="0"/>
      </w:numPr>
      <w:tabs>
        <w:tab w:val="clear" w:pos="0"/>
      </w:tabs>
      <w:adjustRightInd/>
      <w:spacing w:before="0" w:beforeLines="50" w:after="0" w:afterLines="50"/>
      <w:jc w:val="both"/>
      <w:textAlignment w:val="auto"/>
    </w:pPr>
    <w:rPr>
      <w:bCs w:val="0"/>
      <w:smallCaps w:val="0"/>
      <w:kern w:val="0"/>
      <w:szCs w:val="20"/>
    </w:rPr>
  </w:style>
  <w:style w:type="character" w:customStyle="1" w:styleId="510">
    <w:name w:val="我的正文 Char Char"/>
    <w:qFormat/>
    <w:uiPriority w:val="0"/>
    <w:rPr>
      <w:sz w:val="24"/>
      <w:szCs w:val="24"/>
    </w:rPr>
  </w:style>
  <w:style w:type="character" w:customStyle="1" w:styleId="511">
    <w:name w:val="自定表头 Char"/>
    <w:semiHidden/>
    <w:qFormat/>
    <w:uiPriority w:val="0"/>
    <w:rPr>
      <w:rFonts w:eastAsia="宋体"/>
      <w:b/>
      <w:bCs/>
      <w:kern w:val="2"/>
      <w:sz w:val="24"/>
      <w:lang w:val="en-US" w:eastAsia="zh-CN" w:bidi="ar-SA"/>
    </w:rPr>
  </w:style>
  <w:style w:type="character" w:customStyle="1" w:styleId="512">
    <w:name w:val="！正文 Char"/>
    <w:link w:val="513"/>
    <w:semiHidden/>
    <w:qFormat/>
    <w:uiPriority w:val="0"/>
    <w:rPr>
      <w:rFonts w:cs="宋体"/>
      <w:sz w:val="24"/>
    </w:rPr>
  </w:style>
  <w:style w:type="paragraph" w:customStyle="1" w:styleId="513">
    <w:name w:val="！正文"/>
    <w:basedOn w:val="1"/>
    <w:link w:val="512"/>
    <w:semiHidden/>
    <w:qFormat/>
    <w:uiPriority w:val="0"/>
    <w:pPr>
      <w:spacing w:line="360" w:lineRule="auto"/>
      <w:ind w:firstLine="480" w:firstLineChars="200"/>
    </w:pPr>
    <w:rPr>
      <w:rFonts w:cs="宋体"/>
      <w:kern w:val="0"/>
      <w:sz w:val="24"/>
      <w:szCs w:val="20"/>
    </w:rPr>
  </w:style>
  <w:style w:type="character" w:customStyle="1" w:styleId="514">
    <w:name w:val="ringhtct1"/>
    <w:semiHidden/>
    <w:qFormat/>
    <w:uiPriority w:val="0"/>
    <w:rPr>
      <w:rFonts w:ascii="宋体" w:hAnsi="宋体" w:eastAsia="宋体" w:cs="宋体"/>
      <w:kern w:val="2"/>
      <w:sz w:val="21"/>
      <w:szCs w:val="21"/>
      <w:lang w:val="en-US" w:eastAsia="zh-CN" w:bidi="ar-SA"/>
    </w:rPr>
  </w:style>
  <w:style w:type="character" w:customStyle="1" w:styleId="515">
    <w:name w:val="我的标题3 Char"/>
    <w:link w:val="516"/>
    <w:semiHidden/>
    <w:qFormat/>
    <w:uiPriority w:val="0"/>
    <w:rPr>
      <w:rFonts w:ascii="黑体" w:eastAsia="黑体"/>
      <w:sz w:val="24"/>
      <w:szCs w:val="21"/>
    </w:rPr>
  </w:style>
  <w:style w:type="paragraph" w:customStyle="1" w:styleId="516">
    <w:name w:val="我的标题3"/>
    <w:basedOn w:val="1"/>
    <w:link w:val="515"/>
    <w:semiHidden/>
    <w:qFormat/>
    <w:uiPriority w:val="0"/>
    <w:pPr>
      <w:snapToGrid w:val="0"/>
      <w:spacing w:beforeLines="50" w:afterLines="50" w:line="360" w:lineRule="auto"/>
      <w:jc w:val="left"/>
      <w:outlineLvl w:val="2"/>
    </w:pPr>
    <w:rPr>
      <w:rFonts w:ascii="黑体" w:eastAsia="黑体"/>
      <w:kern w:val="0"/>
      <w:sz w:val="24"/>
      <w:szCs w:val="21"/>
    </w:rPr>
  </w:style>
  <w:style w:type="character" w:customStyle="1" w:styleId="517">
    <w:name w:val="A正文 Char Char"/>
    <w:link w:val="518"/>
    <w:qFormat/>
    <w:uiPriority w:val="0"/>
    <w:rPr>
      <w:rFonts w:ascii="仿宋_GB2312" w:hAnsi="Tms Rmn" w:eastAsia="仿宋_GB2312"/>
      <w:color w:val="FF0000"/>
      <w:sz w:val="28"/>
    </w:rPr>
  </w:style>
  <w:style w:type="paragraph" w:customStyle="1" w:styleId="518">
    <w:name w:val="A正文"/>
    <w:basedOn w:val="1"/>
    <w:next w:val="26"/>
    <w:link w:val="517"/>
    <w:qFormat/>
    <w:uiPriority w:val="0"/>
    <w:pPr>
      <w:overflowPunct w:val="0"/>
      <w:autoSpaceDE w:val="0"/>
      <w:autoSpaceDN w:val="0"/>
      <w:adjustRightInd w:val="0"/>
      <w:spacing w:line="360" w:lineRule="auto"/>
      <w:ind w:left="105" w:leftChars="50" w:right="105" w:rightChars="50" w:firstLine="840" w:firstLineChars="300"/>
      <w:jc w:val="left"/>
      <w:textAlignment w:val="baseline"/>
    </w:pPr>
    <w:rPr>
      <w:rFonts w:ascii="仿宋_GB2312" w:hAnsi="Tms Rmn" w:eastAsia="仿宋_GB2312"/>
      <w:color w:val="FF0000"/>
      <w:kern w:val="0"/>
      <w:sz w:val="28"/>
      <w:szCs w:val="20"/>
    </w:rPr>
  </w:style>
  <w:style w:type="character" w:customStyle="1" w:styleId="519">
    <w:name w:val="font71"/>
    <w:semiHidden/>
    <w:qFormat/>
    <w:uiPriority w:val="0"/>
    <w:rPr>
      <w:rFonts w:hint="default" w:ascii="Times New Roman" w:hAnsi="Times New Roman" w:cs="Times New Roman"/>
      <w:color w:val="000000"/>
      <w:sz w:val="21"/>
      <w:szCs w:val="21"/>
      <w:u w:val="none"/>
    </w:rPr>
  </w:style>
  <w:style w:type="character" w:customStyle="1" w:styleId="520">
    <w:name w:val="样式2 Char"/>
    <w:link w:val="521"/>
    <w:semiHidden/>
    <w:qFormat/>
    <w:uiPriority w:val="0"/>
    <w:rPr>
      <w:b/>
      <w:bCs/>
      <w:color w:val="000000"/>
      <w:szCs w:val="16"/>
    </w:rPr>
  </w:style>
  <w:style w:type="paragraph" w:customStyle="1" w:styleId="521">
    <w:name w:val="样式2"/>
    <w:basedOn w:val="1"/>
    <w:link w:val="520"/>
    <w:semiHidden/>
    <w:qFormat/>
    <w:uiPriority w:val="0"/>
    <w:pPr>
      <w:tabs>
        <w:tab w:val="left" w:pos="1535"/>
        <w:tab w:val="left" w:pos="3105"/>
        <w:tab w:val="left" w:pos="4676"/>
        <w:tab w:val="left" w:pos="6247"/>
        <w:tab w:val="left" w:pos="7740"/>
        <w:tab w:val="left" w:pos="9288"/>
      </w:tabs>
      <w:spacing w:line="360" w:lineRule="auto"/>
      <w:jc w:val="center"/>
      <w:textAlignment w:val="baseline"/>
    </w:pPr>
    <w:rPr>
      <w:b/>
      <w:bCs/>
      <w:color w:val="000000"/>
      <w:kern w:val="0"/>
      <w:sz w:val="20"/>
      <w:szCs w:val="16"/>
    </w:rPr>
  </w:style>
  <w:style w:type="character" w:customStyle="1" w:styleId="522">
    <w:name w:val="样式20 Char"/>
    <w:link w:val="523"/>
    <w:semiHidden/>
    <w:qFormat/>
    <w:uiPriority w:val="0"/>
    <w:rPr>
      <w:rFonts w:hAnsi="宋体"/>
      <w:sz w:val="24"/>
      <w:szCs w:val="24"/>
    </w:rPr>
  </w:style>
  <w:style w:type="paragraph" w:customStyle="1" w:styleId="523">
    <w:name w:val="样式20"/>
    <w:basedOn w:val="1"/>
    <w:link w:val="522"/>
    <w:semiHidden/>
    <w:qFormat/>
    <w:uiPriority w:val="0"/>
    <w:pPr>
      <w:spacing w:line="360" w:lineRule="auto"/>
      <w:ind w:firstLine="480" w:firstLineChars="200"/>
    </w:pPr>
    <w:rPr>
      <w:rFonts w:hAnsi="宋体"/>
      <w:kern w:val="0"/>
      <w:sz w:val="24"/>
    </w:rPr>
  </w:style>
  <w:style w:type="character" w:customStyle="1" w:styleId="524">
    <w:name w:val="正文文本缩进 Char2"/>
    <w:basedOn w:val="70"/>
    <w:semiHidden/>
    <w:qFormat/>
    <w:uiPriority w:val="99"/>
    <w:rPr>
      <w:rFonts w:ascii="Times New Roman" w:hAnsi="Times New Roman" w:eastAsia="宋体" w:cs="Times New Roman"/>
      <w:szCs w:val="24"/>
    </w:rPr>
  </w:style>
  <w:style w:type="paragraph" w:customStyle="1" w:styleId="525">
    <w:name w:val="样式48"/>
    <w:basedOn w:val="349"/>
    <w:semiHidden/>
    <w:qFormat/>
    <w:uiPriority w:val="0"/>
    <w:pPr>
      <w:numPr>
        <w:numId w:val="6"/>
      </w:numPr>
      <w:spacing w:before="120" w:after="120"/>
      <w:ind w:left="0" w:firstLine="0"/>
    </w:pPr>
    <w:rPr>
      <w:rFonts w:asciiTheme="minorHAnsi" w:hAnsiTheme="minorHAnsi" w:cstheme="minorBidi"/>
    </w:rPr>
  </w:style>
  <w:style w:type="character" w:customStyle="1" w:styleId="526">
    <w:name w:val="纯文本 Char2"/>
    <w:basedOn w:val="70"/>
    <w:semiHidden/>
    <w:qFormat/>
    <w:uiPriority w:val="99"/>
    <w:rPr>
      <w:rFonts w:ascii="宋体" w:hAnsi="Courier New" w:eastAsia="宋体" w:cs="Courier New"/>
      <w:szCs w:val="21"/>
    </w:rPr>
  </w:style>
  <w:style w:type="paragraph" w:customStyle="1" w:styleId="527">
    <w:name w:val="样式32"/>
    <w:basedOn w:val="417"/>
    <w:semiHidden/>
    <w:qFormat/>
    <w:uiPriority w:val="0"/>
    <w:pPr>
      <w:keepNext/>
      <w:keepLines/>
      <w:spacing w:before="50" w:after="50"/>
      <w:ind w:left="3255" w:firstLine="0" w:firstLineChars="0"/>
      <w:outlineLvl w:val="2"/>
    </w:pPr>
    <w:rPr>
      <w:rFonts w:ascii="黑体" w:hAnsi="宋体" w:eastAsia="黑体" w:cs="Arial Unicode MS"/>
      <w:color w:val="000000"/>
      <w:lang w:val="en-US"/>
    </w:rPr>
  </w:style>
  <w:style w:type="character" w:customStyle="1" w:styleId="528">
    <w:name w:val="页眉 Char1"/>
    <w:basedOn w:val="70"/>
    <w:semiHidden/>
    <w:qFormat/>
    <w:uiPriority w:val="99"/>
    <w:rPr>
      <w:rFonts w:ascii="Times New Roman" w:hAnsi="Times New Roman" w:eastAsia="宋体" w:cs="Times New Roman"/>
      <w:sz w:val="18"/>
      <w:szCs w:val="18"/>
    </w:rPr>
  </w:style>
  <w:style w:type="character" w:customStyle="1" w:styleId="529">
    <w:name w:val="标题 Char1"/>
    <w:basedOn w:val="70"/>
    <w:qFormat/>
    <w:uiPriority w:val="10"/>
    <w:rPr>
      <w:rFonts w:eastAsia="宋体" w:asciiTheme="majorHAnsi" w:hAnsiTheme="majorHAnsi" w:cstheme="majorBidi"/>
      <w:b/>
      <w:bCs/>
      <w:sz w:val="32"/>
      <w:szCs w:val="32"/>
    </w:rPr>
  </w:style>
  <w:style w:type="character" w:customStyle="1" w:styleId="530">
    <w:name w:val="页脚 Char1"/>
    <w:basedOn w:val="70"/>
    <w:semiHidden/>
    <w:qFormat/>
    <w:uiPriority w:val="99"/>
    <w:rPr>
      <w:rFonts w:ascii="Times New Roman" w:hAnsi="Times New Roman" w:eastAsia="宋体" w:cs="Times New Roman"/>
      <w:sz w:val="18"/>
      <w:szCs w:val="18"/>
    </w:rPr>
  </w:style>
  <w:style w:type="paragraph" w:customStyle="1" w:styleId="531">
    <w:name w:val="xzz"/>
    <w:basedOn w:val="1"/>
    <w:semiHidden/>
    <w:qFormat/>
    <w:uiPriority w:val="0"/>
    <w:pPr>
      <w:spacing w:line="360" w:lineRule="auto"/>
      <w:ind w:firstLine="480" w:firstLineChars="200"/>
    </w:pPr>
    <w:rPr>
      <w:sz w:val="24"/>
    </w:rPr>
  </w:style>
  <w:style w:type="paragraph" w:customStyle="1" w:styleId="532">
    <w:name w:val="xl44"/>
    <w:basedOn w:val="1"/>
    <w:semiHidden/>
    <w:qFormat/>
    <w:uiPriority w:val="0"/>
    <w:pPr>
      <w:pBdr>
        <w:top w:val="single" w:color="auto" w:sz="4" w:space="0"/>
        <w:left w:val="single" w:color="auto" w:sz="4" w:space="0"/>
        <w:bottom w:val="double" w:color="auto" w:sz="6" w:space="0"/>
        <w:right w:val="single" w:color="auto" w:sz="4" w:space="0"/>
      </w:pBdr>
      <w:spacing w:before="100" w:beforeAutospacing="1" w:after="100" w:afterAutospacing="1" w:line="360" w:lineRule="auto"/>
      <w:jc w:val="left"/>
    </w:pPr>
    <w:rPr>
      <w:rFonts w:ascii="Arial Unicode MS" w:hAnsi="Arial Unicode MS" w:eastAsia="Arial Unicode MS" w:cs="Arial Unicode MS"/>
      <w:kern w:val="0"/>
      <w:sz w:val="24"/>
    </w:rPr>
  </w:style>
  <w:style w:type="paragraph" w:customStyle="1" w:styleId="533">
    <w:name w:val="xl55"/>
    <w:basedOn w:val="1"/>
    <w:semiHidden/>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Unicode MS" w:hAnsi="Arial Unicode MS" w:eastAsia="Arial Unicode MS" w:cs="Arial Unicode MS"/>
      <w:color w:val="FF0000"/>
      <w:kern w:val="0"/>
      <w:sz w:val="22"/>
      <w:szCs w:val="22"/>
    </w:rPr>
  </w:style>
  <w:style w:type="paragraph" w:customStyle="1" w:styleId="534">
    <w:name w:val="段"/>
    <w:semiHidden/>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535">
    <w:name w:val="样式 标题 3标题 3 CharReHead 3 WSAh3H3B Head条标题1.1.1Section头..."/>
    <w:basedOn w:val="5"/>
    <w:semiHidden/>
    <w:qFormat/>
    <w:uiPriority w:val="0"/>
    <w:pPr>
      <w:numPr>
        <w:numId w:val="7"/>
      </w:numPr>
      <w:tabs>
        <w:tab w:val="left" w:pos="360"/>
        <w:tab w:val="left" w:pos="720"/>
        <w:tab w:val="clear" w:pos="0"/>
      </w:tabs>
      <w:adjustRightInd w:val="0"/>
      <w:snapToGrid w:val="0"/>
      <w:spacing w:before="156" w:beforeLines="50" w:after="156" w:afterLines="50"/>
      <w:ind w:firstLineChars="0"/>
    </w:pPr>
    <w:rPr>
      <w:rFonts w:cs="宋体"/>
      <w:kern w:val="0"/>
      <w:sz w:val="30"/>
      <w:szCs w:val="30"/>
      <w:lang w:val="zh-CN"/>
    </w:rPr>
  </w:style>
  <w:style w:type="paragraph" w:customStyle="1" w:styleId="536">
    <w:name w:val="Char3"/>
    <w:basedOn w:val="1"/>
    <w:semiHidden/>
    <w:qFormat/>
    <w:uiPriority w:val="0"/>
    <w:pPr>
      <w:spacing w:line="360" w:lineRule="auto"/>
      <w:ind w:firstLine="200" w:firstLineChars="200"/>
    </w:pPr>
    <w:rPr>
      <w:rFonts w:ascii="宋体" w:hAnsi="宋体" w:cs="宋体"/>
      <w:sz w:val="24"/>
    </w:rPr>
  </w:style>
  <w:style w:type="paragraph" w:customStyle="1" w:styleId="537">
    <w:name w:val="xl29"/>
    <w:basedOn w:val="1"/>
    <w:semiHidden/>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hint="eastAsia" w:ascii="楷体_GB2312" w:hAnsi="Arial Unicode MS" w:eastAsia="楷体_GB2312" w:cs="Arial Unicode MS"/>
      <w:kern w:val="0"/>
      <w:sz w:val="16"/>
      <w:szCs w:val="16"/>
    </w:rPr>
  </w:style>
  <w:style w:type="paragraph" w:customStyle="1" w:styleId="538">
    <w:name w:val="hyp标题2"/>
    <w:basedOn w:val="4"/>
    <w:semiHidden/>
    <w:qFormat/>
    <w:uiPriority w:val="0"/>
    <w:pPr>
      <w:keepLines w:val="0"/>
      <w:widowControl/>
      <w:numPr>
        <w:numId w:val="8"/>
      </w:numPr>
      <w:tabs>
        <w:tab w:val="left" w:pos="432"/>
        <w:tab w:val="left" w:pos="576"/>
        <w:tab w:val="clear" w:pos="0"/>
        <w:tab w:val="clear" w:pos="709"/>
      </w:tabs>
      <w:adjustRightInd w:val="0"/>
      <w:snapToGrid w:val="0"/>
      <w:spacing w:before="120"/>
      <w:jc w:val="both"/>
    </w:pPr>
    <w:rPr>
      <w:rFonts w:eastAsia="黑体"/>
      <w:b w:val="0"/>
      <w:bCs w:val="0"/>
      <w:smallCaps w:val="0"/>
      <w:color w:val="000000"/>
      <w:kern w:val="0"/>
      <w:sz w:val="32"/>
      <w:szCs w:val="20"/>
    </w:rPr>
  </w:style>
  <w:style w:type="paragraph" w:customStyle="1" w:styleId="539">
    <w:name w:val="xl25"/>
    <w:basedOn w:val="1"/>
    <w:semiHidden/>
    <w:qFormat/>
    <w:uiPriority w:val="0"/>
    <w:pPr>
      <w:pBdr>
        <w:bottom w:val="single" w:color="auto" w:sz="4" w:space="0"/>
      </w:pBdr>
      <w:spacing w:before="100" w:beforeAutospacing="1" w:after="100" w:afterAutospacing="1" w:line="360" w:lineRule="auto"/>
      <w:jc w:val="left"/>
    </w:pPr>
    <w:rPr>
      <w:rFonts w:ascii="宋体" w:hAnsi="宋体"/>
      <w:kern w:val="0"/>
      <w:sz w:val="24"/>
    </w:rPr>
  </w:style>
  <w:style w:type="paragraph" w:customStyle="1" w:styleId="540">
    <w:name w:val="表格内容6"/>
    <w:basedOn w:val="541"/>
    <w:semiHidden/>
    <w:qFormat/>
    <w:uiPriority w:val="0"/>
    <w:pPr>
      <w:tabs>
        <w:tab w:val="left" w:pos="1535"/>
        <w:tab w:val="left" w:pos="3105"/>
        <w:tab w:val="left" w:pos="4676"/>
        <w:tab w:val="left" w:pos="6247"/>
        <w:tab w:val="left" w:pos="7740"/>
        <w:tab w:val="left" w:pos="9288"/>
      </w:tabs>
      <w:adjustRightInd w:val="0"/>
      <w:snapToGrid/>
      <w:spacing w:line="180" w:lineRule="atLeast"/>
    </w:pPr>
    <w:rPr>
      <w:rFonts w:ascii="Times New Roman" w:hAnsi="Times New Roman"/>
      <w:spacing w:val="-12"/>
      <w:sz w:val="15"/>
    </w:rPr>
  </w:style>
  <w:style w:type="paragraph" w:customStyle="1" w:styleId="541">
    <w:name w:val="表格内容1"/>
    <w:basedOn w:val="1"/>
    <w:semiHidden/>
    <w:qFormat/>
    <w:uiPriority w:val="0"/>
    <w:pPr>
      <w:tabs>
        <w:tab w:val="left" w:pos="1535"/>
        <w:tab w:val="left" w:pos="3105"/>
        <w:tab w:val="left" w:pos="4676"/>
        <w:tab w:val="left" w:pos="6247"/>
        <w:tab w:val="left" w:pos="7740"/>
        <w:tab w:val="left" w:pos="9288"/>
      </w:tabs>
      <w:snapToGrid w:val="0"/>
      <w:spacing w:line="240" w:lineRule="exact"/>
      <w:jc w:val="center"/>
      <w:textAlignment w:val="baseline"/>
    </w:pPr>
    <w:rPr>
      <w:rFonts w:ascii="宋体" w:hAnsi="宋体"/>
      <w:color w:val="000000"/>
      <w:kern w:val="0"/>
      <w:szCs w:val="16"/>
    </w:rPr>
  </w:style>
  <w:style w:type="paragraph" w:customStyle="1" w:styleId="542">
    <w:name w:val="样式 宋体 首行缩进:  0.99 厘米 行距: 1.5 倍行距"/>
    <w:basedOn w:val="1"/>
    <w:semiHidden/>
    <w:qFormat/>
    <w:uiPriority w:val="0"/>
    <w:pPr>
      <w:spacing w:line="360" w:lineRule="auto"/>
      <w:ind w:firstLine="560"/>
      <w:jc w:val="left"/>
    </w:pPr>
    <w:rPr>
      <w:kern w:val="0"/>
      <w:sz w:val="24"/>
      <w:szCs w:val="20"/>
    </w:rPr>
  </w:style>
  <w:style w:type="paragraph" w:customStyle="1" w:styleId="543">
    <w:name w:val="样式 标题 3 + 首行缩进:  2 字符"/>
    <w:basedOn w:val="5"/>
    <w:semiHidden/>
    <w:qFormat/>
    <w:uiPriority w:val="0"/>
    <w:pPr>
      <w:numPr>
        <w:ilvl w:val="0"/>
        <w:numId w:val="0"/>
      </w:numPr>
      <w:tabs>
        <w:tab w:val="left" w:pos="952"/>
        <w:tab w:val="clear" w:pos="0"/>
      </w:tabs>
      <w:spacing w:line="300" w:lineRule="auto"/>
      <w:ind w:left="952" w:hanging="680"/>
      <w:jc w:val="both"/>
    </w:pPr>
    <w:rPr>
      <w:rFonts w:eastAsia="黑体" w:cs="宋体"/>
      <w:b w:val="0"/>
      <w:szCs w:val="20"/>
    </w:rPr>
  </w:style>
  <w:style w:type="paragraph" w:customStyle="1" w:styleId="544">
    <w:name w:val="reader-word-layer reader-word-s1-18 reader-word-s1-24"/>
    <w:basedOn w:val="1"/>
    <w:semiHidden/>
    <w:qFormat/>
    <w:uiPriority w:val="0"/>
    <w:pPr>
      <w:spacing w:before="100" w:beforeAutospacing="1" w:after="100" w:afterAutospacing="1" w:line="360" w:lineRule="auto"/>
      <w:jc w:val="left"/>
    </w:pPr>
    <w:rPr>
      <w:rFonts w:ascii="宋体" w:hAnsi="宋体" w:cs="宋体"/>
      <w:kern w:val="0"/>
      <w:sz w:val="24"/>
    </w:rPr>
  </w:style>
  <w:style w:type="paragraph" w:customStyle="1" w:styleId="545">
    <w:name w:val="自动3"/>
    <w:basedOn w:val="1"/>
    <w:semiHidden/>
    <w:qFormat/>
    <w:uiPriority w:val="0"/>
    <w:pPr>
      <w:keepNext/>
      <w:keepLines/>
      <w:tabs>
        <w:tab w:val="left" w:pos="360"/>
      </w:tabs>
      <w:spacing w:before="50" w:after="50" w:line="360" w:lineRule="auto"/>
      <w:outlineLvl w:val="2"/>
    </w:pPr>
    <w:rPr>
      <w:rFonts w:hint="eastAsia" w:ascii="宋体" w:hAnsi="宋体"/>
      <w:b/>
      <w:color w:val="000000"/>
      <w:sz w:val="24"/>
    </w:rPr>
  </w:style>
  <w:style w:type="paragraph" w:customStyle="1" w:styleId="546">
    <w:name w:val="样式 样式12 + Times New Roman 自动设置"/>
    <w:basedOn w:val="349"/>
    <w:semiHidden/>
    <w:qFormat/>
    <w:uiPriority w:val="0"/>
    <w:pPr>
      <w:numPr>
        <w:numId w:val="0"/>
      </w:numPr>
      <w:tabs>
        <w:tab w:val="left" w:pos="540"/>
        <w:tab w:val="left" w:pos="860"/>
        <w:tab w:val="clear" w:pos="360"/>
      </w:tabs>
      <w:spacing w:before="50" w:after="50"/>
      <w:ind w:left="578" w:hanging="578"/>
    </w:pPr>
    <w:rPr>
      <w:rFonts w:asciiTheme="minorHAnsi" w:hAnsiTheme="minorHAnsi" w:cstheme="minorBidi"/>
      <w:szCs w:val="32"/>
    </w:rPr>
  </w:style>
  <w:style w:type="paragraph" w:customStyle="1" w:styleId="547">
    <w:name w:val="正文1"/>
    <w:basedOn w:val="1"/>
    <w:semiHidden/>
    <w:qFormat/>
    <w:uiPriority w:val="0"/>
    <w:pPr>
      <w:spacing w:line="360" w:lineRule="auto"/>
    </w:pPr>
    <w:rPr>
      <w:sz w:val="24"/>
    </w:rPr>
  </w:style>
  <w:style w:type="paragraph" w:customStyle="1" w:styleId="548">
    <w:name w:val="样式 样式12 + 自动设置 段前: 0.5 行 段后: 0.5 行1"/>
    <w:basedOn w:val="349"/>
    <w:semiHidden/>
    <w:qFormat/>
    <w:uiPriority w:val="0"/>
    <w:pPr>
      <w:numPr>
        <w:numId w:val="0"/>
      </w:numPr>
      <w:tabs>
        <w:tab w:val="left" w:pos="540"/>
        <w:tab w:val="left" w:pos="860"/>
        <w:tab w:val="clear" w:pos="360"/>
      </w:tabs>
      <w:spacing w:before="50" w:after="50"/>
      <w:ind w:left="860" w:hanging="576"/>
    </w:pPr>
    <w:rPr>
      <w:rFonts w:ascii="黑体" w:hAnsi="黑体" w:cs="宋体"/>
      <w:szCs w:val="20"/>
    </w:rPr>
  </w:style>
  <w:style w:type="paragraph" w:customStyle="1" w:styleId="549">
    <w:name w:val="表格，内容"/>
    <w:basedOn w:val="1"/>
    <w:semiHidden/>
    <w:qFormat/>
    <w:uiPriority w:val="0"/>
    <w:pPr>
      <w:spacing w:line="360" w:lineRule="auto"/>
      <w:jc w:val="center"/>
    </w:pPr>
    <w:rPr>
      <w:spacing w:val="10"/>
      <w:kern w:val="44"/>
    </w:rPr>
  </w:style>
  <w:style w:type="paragraph" w:customStyle="1" w:styleId="550">
    <w:name w:val="表图标题"/>
    <w:basedOn w:val="226"/>
    <w:semiHidden/>
    <w:qFormat/>
    <w:uiPriority w:val="0"/>
    <w:pPr>
      <w:tabs>
        <w:tab w:val="left" w:pos="3960"/>
      </w:tabs>
      <w:spacing w:line="240" w:lineRule="auto"/>
      <w:ind w:left="0" w:leftChars="0" w:right="0" w:rightChars="0" w:firstLine="0" w:firstLineChars="0"/>
    </w:pPr>
    <w:rPr>
      <w:rFonts w:asciiTheme="minorHAnsi" w:hAnsiTheme="minorHAnsi" w:cstheme="minorBidi"/>
      <w:b/>
      <w:bCs/>
      <w:snapToGrid/>
      <w:color w:val="auto"/>
      <w:sz w:val="24"/>
      <w:szCs w:val="24"/>
    </w:rPr>
  </w:style>
  <w:style w:type="paragraph" w:customStyle="1" w:styleId="551">
    <w:name w:val="列表1"/>
    <w:basedOn w:val="1"/>
    <w:next w:val="45"/>
    <w:semiHidden/>
    <w:qFormat/>
    <w:uiPriority w:val="0"/>
    <w:pPr>
      <w:spacing w:before="60" w:line="240" w:lineRule="exact"/>
      <w:jc w:val="center"/>
    </w:pPr>
    <w:rPr>
      <w:sz w:val="24"/>
      <w:szCs w:val="20"/>
    </w:rPr>
  </w:style>
  <w:style w:type="paragraph" w:customStyle="1" w:styleId="552">
    <w:name w:val="reader-word-layer reader-word-s3-16"/>
    <w:basedOn w:val="1"/>
    <w:qFormat/>
    <w:uiPriority w:val="0"/>
    <w:pPr>
      <w:spacing w:before="100" w:beforeAutospacing="1" w:after="100" w:afterAutospacing="1" w:line="360" w:lineRule="auto"/>
      <w:jc w:val="left"/>
    </w:pPr>
    <w:rPr>
      <w:rFonts w:ascii="宋体" w:hAnsi="宋体" w:cs="宋体"/>
      <w:kern w:val="0"/>
      <w:sz w:val="24"/>
    </w:rPr>
  </w:style>
  <w:style w:type="paragraph" w:customStyle="1" w:styleId="553">
    <w:name w:val="样式 标题 1 + 首行缩进:  2 字符1"/>
    <w:basedOn w:val="3"/>
    <w:semiHidden/>
    <w:qFormat/>
    <w:uiPriority w:val="0"/>
    <w:pPr>
      <w:numPr>
        <w:numId w:val="7"/>
      </w:numPr>
      <w:tabs>
        <w:tab w:val="left" w:pos="360"/>
        <w:tab w:val="clear" w:pos="0"/>
      </w:tabs>
      <w:adjustRightInd w:val="0"/>
      <w:spacing w:before="156" w:beforeLines="50" w:after="156" w:afterLines="50" w:line="240" w:lineRule="auto"/>
      <w:textAlignment w:val="baseline"/>
    </w:pPr>
    <w:rPr>
      <w:rFonts w:cs="宋体"/>
      <w:bCs/>
      <w:sz w:val="36"/>
      <w:szCs w:val="36"/>
    </w:rPr>
  </w:style>
  <w:style w:type="paragraph" w:customStyle="1" w:styleId="554">
    <w:name w:val="表格 32"/>
    <w:basedOn w:val="1"/>
    <w:semiHidden/>
    <w:qFormat/>
    <w:uiPriority w:val="0"/>
    <w:pPr>
      <w:autoSpaceDE w:val="0"/>
      <w:autoSpaceDN w:val="0"/>
      <w:adjustRightInd w:val="0"/>
      <w:spacing w:line="360" w:lineRule="auto"/>
      <w:ind w:firstLine="465"/>
      <w:jc w:val="center"/>
      <w:textAlignment w:val="baseline"/>
    </w:pPr>
    <w:rPr>
      <w:kern w:val="0"/>
      <w:sz w:val="24"/>
      <w:szCs w:val="20"/>
    </w:rPr>
  </w:style>
  <w:style w:type="paragraph" w:customStyle="1" w:styleId="555">
    <w:name w:val="Char Char Char Char Char Char1 Char"/>
    <w:basedOn w:val="1"/>
    <w:semiHidden/>
    <w:qFormat/>
    <w:uiPriority w:val="0"/>
    <w:pPr>
      <w:spacing w:line="360" w:lineRule="auto"/>
      <w:ind w:firstLine="200" w:firstLineChars="200"/>
    </w:pPr>
    <w:rPr>
      <w:rFonts w:ascii="宋体" w:hAnsi="宋体" w:cs="宋体"/>
      <w:sz w:val="24"/>
    </w:rPr>
  </w:style>
  <w:style w:type="paragraph" w:customStyle="1" w:styleId="556">
    <w:name w:val="表文字"/>
    <w:basedOn w:val="1"/>
    <w:semiHidden/>
    <w:qFormat/>
    <w:uiPriority w:val="0"/>
    <w:pPr>
      <w:adjustRightInd w:val="0"/>
      <w:snapToGrid w:val="0"/>
      <w:spacing w:before="25" w:beforeLines="25" w:after="25" w:afterLines="25" w:line="360" w:lineRule="auto"/>
      <w:ind w:left="-40" w:leftChars="-40" w:right="-40" w:rightChars="-40"/>
      <w:jc w:val="center"/>
      <w:textAlignment w:val="baseline"/>
    </w:pPr>
    <w:rPr>
      <w:snapToGrid w:val="0"/>
      <w:color w:val="000000"/>
      <w:spacing w:val="-6"/>
      <w:kern w:val="0"/>
      <w:szCs w:val="9"/>
    </w:rPr>
  </w:style>
  <w:style w:type="paragraph" w:customStyle="1" w:styleId="557">
    <w:name w:val="杠式表格"/>
    <w:basedOn w:val="1"/>
    <w:semiHidden/>
    <w:qFormat/>
    <w:uiPriority w:val="0"/>
    <w:pPr>
      <w:adjustRightInd w:val="0"/>
      <w:snapToGrid w:val="0"/>
      <w:spacing w:after="120" w:line="360" w:lineRule="auto"/>
      <w:jc w:val="center"/>
      <w:textAlignment w:val="baseline"/>
    </w:pPr>
    <w:rPr>
      <w:kern w:val="0"/>
      <w:szCs w:val="20"/>
    </w:rPr>
  </w:style>
  <w:style w:type="paragraph" w:customStyle="1" w:styleId="558">
    <w:name w:val="标题或表与下行间距"/>
    <w:basedOn w:val="1"/>
    <w:semiHidden/>
    <w:qFormat/>
    <w:uiPriority w:val="0"/>
    <w:pPr>
      <w:overflowPunct w:val="0"/>
      <w:topLinePunct/>
      <w:spacing w:line="360" w:lineRule="auto"/>
      <w:jc w:val="left"/>
      <w:outlineLvl w:val="0"/>
    </w:pPr>
    <w:rPr>
      <w:rFonts w:ascii="宋体" w:hAnsi="宋体"/>
      <w:szCs w:val="21"/>
    </w:rPr>
  </w:style>
  <w:style w:type="paragraph" w:customStyle="1" w:styleId="559">
    <w:name w:val="reader-word-layer reader-word-s3-15"/>
    <w:basedOn w:val="1"/>
    <w:qFormat/>
    <w:uiPriority w:val="0"/>
    <w:pPr>
      <w:spacing w:before="100" w:beforeAutospacing="1" w:after="100" w:afterAutospacing="1" w:line="360" w:lineRule="auto"/>
      <w:jc w:val="left"/>
    </w:pPr>
    <w:rPr>
      <w:rFonts w:ascii="宋体" w:hAnsi="宋体" w:cs="宋体"/>
      <w:kern w:val="0"/>
      <w:sz w:val="24"/>
    </w:rPr>
  </w:style>
  <w:style w:type="paragraph" w:customStyle="1" w:styleId="560">
    <w:name w:val="xz4"/>
    <w:basedOn w:val="1"/>
    <w:semiHidden/>
    <w:qFormat/>
    <w:uiPriority w:val="0"/>
    <w:pPr>
      <w:spacing w:before="259" w:beforeLines="50" w:line="360" w:lineRule="auto"/>
      <w:jc w:val="left"/>
      <w:outlineLvl w:val="3"/>
    </w:pPr>
    <w:rPr>
      <w:rFonts w:eastAsia="楷体_GB2312"/>
      <w:b/>
      <w:sz w:val="28"/>
    </w:rPr>
  </w:style>
  <w:style w:type="paragraph" w:customStyle="1" w:styleId="561">
    <w:name w:val="样式31"/>
    <w:basedOn w:val="1"/>
    <w:semiHidden/>
    <w:qFormat/>
    <w:uiPriority w:val="0"/>
    <w:pPr>
      <w:spacing w:line="360" w:lineRule="auto"/>
      <w:ind w:firstLine="1261" w:firstLineChars="598"/>
    </w:pPr>
    <w:rPr>
      <w:rFonts w:ascii="宋体"/>
      <w:b/>
      <w:szCs w:val="21"/>
    </w:rPr>
  </w:style>
  <w:style w:type="paragraph" w:customStyle="1" w:styleId="562">
    <w:name w:val="Char Char Char Char Char Char Char"/>
    <w:basedOn w:val="1"/>
    <w:semiHidden/>
    <w:qFormat/>
    <w:uiPriority w:val="0"/>
    <w:pPr>
      <w:spacing w:line="360" w:lineRule="auto"/>
    </w:pPr>
  </w:style>
  <w:style w:type="paragraph" w:customStyle="1" w:styleId="563">
    <w:name w:val="表框2"/>
    <w:basedOn w:val="1"/>
    <w:semiHidden/>
    <w:qFormat/>
    <w:uiPriority w:val="0"/>
    <w:pPr>
      <w:framePr w:hSpace="181" w:vSpace="181" w:wrap="notBeside" w:vAnchor="text" w:hAnchor="text" w:y="1"/>
      <w:pBdr>
        <w:top w:val="single" w:color="auto" w:sz="4" w:space="1"/>
        <w:left w:val="single" w:color="auto" w:sz="4" w:space="4"/>
        <w:bottom w:val="single" w:color="auto" w:sz="4" w:space="1"/>
        <w:right w:val="single" w:color="auto" w:sz="4" w:space="4"/>
      </w:pBdr>
      <w:adjustRightInd w:val="0"/>
      <w:snapToGrid w:val="0"/>
      <w:spacing w:line="360" w:lineRule="auto"/>
    </w:pPr>
    <w:rPr>
      <w:sz w:val="24"/>
      <w:szCs w:val="20"/>
    </w:rPr>
  </w:style>
  <w:style w:type="paragraph" w:customStyle="1" w:styleId="564">
    <w:name w:val="List Paragraph1"/>
    <w:basedOn w:val="1"/>
    <w:qFormat/>
    <w:uiPriority w:val="0"/>
    <w:pPr>
      <w:adjustRightInd w:val="0"/>
      <w:snapToGrid w:val="0"/>
      <w:spacing w:line="360" w:lineRule="auto"/>
      <w:ind w:firstLine="420" w:firstLineChars="200"/>
      <w:jc w:val="left"/>
    </w:pPr>
    <w:rPr>
      <w:kern w:val="0"/>
      <w:sz w:val="24"/>
      <w:szCs w:val="20"/>
    </w:rPr>
  </w:style>
  <w:style w:type="paragraph" w:customStyle="1" w:styleId="565">
    <w:name w:val="Char Char Char Char Char Char Char Char Char"/>
    <w:basedOn w:val="1"/>
    <w:semiHidden/>
    <w:qFormat/>
    <w:uiPriority w:val="0"/>
    <w:pPr>
      <w:spacing w:after="160" w:line="240" w:lineRule="exact"/>
      <w:jc w:val="left"/>
    </w:pPr>
    <w:rPr>
      <w:rFonts w:ascii="Verdana" w:hAnsi="Verdana" w:eastAsia="仿宋_GB2312"/>
      <w:kern w:val="0"/>
      <w:sz w:val="24"/>
      <w:szCs w:val="20"/>
      <w:lang w:eastAsia="en-US"/>
    </w:rPr>
  </w:style>
  <w:style w:type="paragraph" w:customStyle="1" w:styleId="566">
    <w:name w:val="样式40"/>
    <w:basedOn w:val="1"/>
    <w:semiHidden/>
    <w:qFormat/>
    <w:uiPriority w:val="0"/>
    <w:pPr>
      <w:keepNext/>
      <w:keepLines/>
      <w:tabs>
        <w:tab w:val="left" w:pos="720"/>
        <w:tab w:val="left" w:pos="864"/>
      </w:tabs>
      <w:spacing w:before="120" w:beforeLines="50" w:after="120" w:afterLines="50" w:line="360" w:lineRule="auto"/>
      <w:ind w:left="864" w:hanging="864"/>
      <w:outlineLvl w:val="3"/>
    </w:pPr>
    <w:rPr>
      <w:sz w:val="24"/>
      <w:szCs w:val="28"/>
    </w:rPr>
  </w:style>
  <w:style w:type="paragraph" w:customStyle="1" w:styleId="567">
    <w:name w:val="xl43"/>
    <w:basedOn w:val="1"/>
    <w:semiHidden/>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right"/>
    </w:pPr>
    <w:rPr>
      <w:rFonts w:ascii="Arial Unicode MS" w:hAnsi="Arial Unicode MS" w:eastAsia="Arial Unicode MS" w:cs="Arial Unicode MS"/>
      <w:kern w:val="0"/>
      <w:sz w:val="24"/>
    </w:rPr>
  </w:style>
  <w:style w:type="paragraph" w:customStyle="1" w:styleId="568">
    <w:name w:val="样式 标题 3标题 13 + 黑色 段前: 4 磅 段后: 10 磅 行距: 单倍行距"/>
    <w:basedOn w:val="1"/>
    <w:semiHidden/>
    <w:qFormat/>
    <w:uiPriority w:val="0"/>
    <w:pPr>
      <w:spacing w:line="360" w:lineRule="auto"/>
    </w:pPr>
    <w:rPr>
      <w:sz w:val="28"/>
    </w:rPr>
  </w:style>
  <w:style w:type="paragraph" w:customStyle="1" w:styleId="569">
    <w:name w:val="玲标题四"/>
    <w:basedOn w:val="1"/>
    <w:next w:val="61"/>
    <w:semiHidden/>
    <w:qFormat/>
    <w:uiPriority w:val="0"/>
    <w:pPr>
      <w:adjustRightInd w:val="0"/>
      <w:snapToGrid w:val="0"/>
      <w:spacing w:before="100" w:after="100" w:line="360" w:lineRule="auto"/>
      <w:jc w:val="left"/>
      <w:outlineLvl w:val="3"/>
    </w:pPr>
    <w:rPr>
      <w:rFonts w:eastAsia="黑体"/>
      <w:sz w:val="28"/>
      <w:szCs w:val="22"/>
    </w:rPr>
  </w:style>
  <w:style w:type="paragraph" w:customStyle="1" w:styleId="570">
    <w:name w:val="样式 (西文) 宋体 四号 黑色 左 首行缩进:  2 字符"/>
    <w:basedOn w:val="1"/>
    <w:semiHidden/>
    <w:qFormat/>
    <w:uiPriority w:val="0"/>
    <w:pPr>
      <w:spacing w:line="360" w:lineRule="auto"/>
      <w:ind w:firstLine="200" w:firstLineChars="200"/>
    </w:pPr>
    <w:rPr>
      <w:rFonts w:ascii="仿宋_GB2312" w:hAnsi="宋体" w:eastAsia="仿宋_GB2312" w:cs="宋体"/>
      <w:color w:val="000000"/>
      <w:sz w:val="28"/>
      <w:szCs w:val="28"/>
    </w:rPr>
  </w:style>
  <w:style w:type="paragraph" w:customStyle="1" w:styleId="571">
    <w:name w:val="表文排版"/>
    <w:basedOn w:val="26"/>
    <w:qFormat/>
    <w:uiPriority w:val="0"/>
    <w:pPr>
      <w:adjustRightInd w:val="0"/>
      <w:spacing w:after="0"/>
      <w:jc w:val="center"/>
    </w:pPr>
    <w:rPr>
      <w:rFonts w:ascii="Verdana" w:hAnsi="Verdana" w:eastAsia="Cambria Math" w:cs="Verdana"/>
    </w:rPr>
  </w:style>
  <w:style w:type="paragraph" w:customStyle="1" w:styleId="572">
    <w:name w:val="佛表"/>
    <w:basedOn w:val="45"/>
    <w:semiHidden/>
    <w:qFormat/>
    <w:uiPriority w:val="0"/>
    <w:pPr>
      <w:spacing w:line="0" w:lineRule="atLeast"/>
      <w:ind w:left="0" w:firstLine="0" w:firstLineChars="0"/>
      <w:jc w:val="center"/>
    </w:pPr>
    <w:rPr>
      <w:rFonts w:ascii="宋体" w:hAnsi="宋体"/>
      <w:color w:val="FF0000"/>
      <w:kern w:val="0"/>
      <w:szCs w:val="20"/>
      <w:lang w:val="sq-AL"/>
    </w:rPr>
  </w:style>
  <w:style w:type="paragraph" w:customStyle="1" w:styleId="573">
    <w:name w:val="表标题样式"/>
    <w:basedOn w:val="1"/>
    <w:semiHidden/>
    <w:qFormat/>
    <w:uiPriority w:val="0"/>
    <w:pPr>
      <w:adjustRightInd w:val="0"/>
      <w:snapToGrid w:val="0"/>
      <w:spacing w:line="500" w:lineRule="exact"/>
      <w:jc w:val="center"/>
    </w:pPr>
    <w:rPr>
      <w:rFonts w:eastAsia="黑体"/>
      <w:b/>
      <w:bCs/>
      <w:sz w:val="28"/>
      <w:szCs w:val="28"/>
    </w:rPr>
  </w:style>
  <w:style w:type="paragraph" w:customStyle="1" w:styleId="574">
    <w:name w:val="小四宋居中1.0"/>
    <w:basedOn w:val="1"/>
    <w:next w:val="1"/>
    <w:semiHidden/>
    <w:qFormat/>
    <w:uiPriority w:val="0"/>
    <w:pPr>
      <w:spacing w:line="460" w:lineRule="exact"/>
      <w:jc w:val="center"/>
    </w:pPr>
    <w:rPr>
      <w:rFonts w:ascii="仿宋_GB2312" w:eastAsia="仿宋_GB2312"/>
      <w:sz w:val="24"/>
    </w:rPr>
  </w:style>
  <w:style w:type="paragraph" w:customStyle="1" w:styleId="575">
    <w:name w:val="样式 标题 1 + 首行缩进:  2 字符"/>
    <w:basedOn w:val="3"/>
    <w:semiHidden/>
    <w:qFormat/>
    <w:uiPriority w:val="0"/>
    <w:pPr>
      <w:numPr>
        <w:numId w:val="0"/>
      </w:numPr>
      <w:tabs>
        <w:tab w:val="clear" w:pos="0"/>
      </w:tabs>
      <w:adjustRightInd w:val="0"/>
      <w:snapToGrid w:val="0"/>
      <w:spacing w:before="312" w:after="312" w:afterLines="100"/>
      <w:jc w:val="center"/>
    </w:pPr>
    <w:rPr>
      <w:bCs/>
      <w:kern w:val="2"/>
      <w:sz w:val="44"/>
      <w:szCs w:val="36"/>
    </w:rPr>
  </w:style>
  <w:style w:type="paragraph" w:customStyle="1" w:styleId="576">
    <w:name w:val="xl24"/>
    <w:basedOn w:val="1"/>
    <w:semiHidden/>
    <w:qFormat/>
    <w:uiPriority w:val="0"/>
    <w:pPr>
      <w:spacing w:before="100" w:beforeAutospacing="1" w:after="100" w:afterAutospacing="1" w:line="360" w:lineRule="auto"/>
      <w:jc w:val="left"/>
    </w:pPr>
    <w:rPr>
      <w:kern w:val="0"/>
      <w:sz w:val="24"/>
    </w:rPr>
  </w:style>
  <w:style w:type="paragraph" w:customStyle="1" w:styleId="577">
    <w:name w:val="WPSOffice手动目录 1"/>
    <w:qFormat/>
    <w:uiPriority w:val="0"/>
    <w:rPr>
      <w:rFonts w:ascii="Times New Roman" w:hAnsi="Times New Roman" w:eastAsia="宋体" w:cs="Times New Roman"/>
      <w:lang w:val="en-US" w:eastAsia="zh-CN" w:bidi="ar-SA"/>
    </w:rPr>
  </w:style>
  <w:style w:type="paragraph" w:customStyle="1" w:styleId="578">
    <w:name w:val="reader-word-layer reader-word-s1-4"/>
    <w:basedOn w:val="1"/>
    <w:qFormat/>
    <w:uiPriority w:val="0"/>
    <w:pPr>
      <w:spacing w:before="100" w:beforeAutospacing="1" w:after="100" w:afterAutospacing="1" w:line="360" w:lineRule="auto"/>
      <w:jc w:val="left"/>
    </w:pPr>
    <w:rPr>
      <w:rFonts w:ascii="宋体" w:hAnsi="宋体" w:cs="宋体"/>
      <w:kern w:val="0"/>
      <w:sz w:val="24"/>
    </w:rPr>
  </w:style>
  <w:style w:type="paragraph" w:customStyle="1" w:styleId="579">
    <w:name w:val="正文文字缩进 3"/>
    <w:basedOn w:val="1"/>
    <w:semiHidden/>
    <w:qFormat/>
    <w:uiPriority w:val="0"/>
    <w:pPr>
      <w:spacing w:line="360" w:lineRule="auto"/>
      <w:ind w:firstLine="555"/>
    </w:pPr>
    <w:rPr>
      <w:rFonts w:ascii="宋体" w:cs="宋体"/>
      <w:sz w:val="24"/>
    </w:rPr>
  </w:style>
  <w:style w:type="paragraph" w:customStyle="1" w:styleId="580">
    <w:name w:val="xl61"/>
    <w:basedOn w:val="1"/>
    <w:semiHidden/>
    <w:qFormat/>
    <w:uiPriority w:val="0"/>
    <w:pPr>
      <w:pBdr>
        <w:top w:val="single" w:color="auto" w:sz="4" w:space="0"/>
        <w:left w:val="single" w:color="auto" w:sz="4" w:space="0"/>
        <w:bottom w:val="single" w:color="auto" w:sz="8" w:space="0"/>
        <w:right w:val="single" w:color="auto" w:sz="4" w:space="0"/>
      </w:pBdr>
      <w:spacing w:before="100" w:beforeAutospacing="1" w:after="100" w:afterAutospacing="1" w:line="360" w:lineRule="auto"/>
      <w:jc w:val="center"/>
      <w:textAlignment w:val="center"/>
    </w:pPr>
    <w:rPr>
      <w:rFonts w:ascii="Arial Unicode MS" w:hAnsi="Arial Unicode MS" w:eastAsia="Arial Unicode MS" w:cs="Arial Unicode MS"/>
      <w:kern w:val="0"/>
      <w:sz w:val="22"/>
      <w:szCs w:val="22"/>
    </w:rPr>
  </w:style>
  <w:style w:type="paragraph" w:customStyle="1" w:styleId="581">
    <w:name w:val="Char Char Char"/>
    <w:basedOn w:val="22"/>
    <w:semiHidden/>
    <w:qFormat/>
    <w:uiPriority w:val="0"/>
    <w:pPr>
      <w:adjustRightInd w:val="0"/>
      <w:spacing w:line="436" w:lineRule="exact"/>
      <w:ind w:left="357"/>
      <w:jc w:val="left"/>
      <w:outlineLvl w:val="3"/>
    </w:pPr>
    <w:rPr>
      <w:rFonts w:ascii="Tahoma" w:hAnsi="Tahoma"/>
      <w:b/>
      <w:sz w:val="44"/>
    </w:rPr>
  </w:style>
  <w:style w:type="paragraph" w:customStyle="1" w:styleId="582">
    <w:name w:val="WPSOffice手动目录 3"/>
    <w:qFormat/>
    <w:uiPriority w:val="0"/>
    <w:pPr>
      <w:ind w:left="400" w:leftChars="400"/>
    </w:pPr>
    <w:rPr>
      <w:rFonts w:ascii="Times New Roman" w:hAnsi="Times New Roman" w:eastAsia="宋体" w:cs="Times New Roman"/>
      <w:lang w:val="en-US" w:eastAsia="zh-CN" w:bidi="ar-SA"/>
    </w:rPr>
  </w:style>
  <w:style w:type="paragraph" w:customStyle="1" w:styleId="583">
    <w:name w:val="样式 标题 2 + 段前: 0.5 行 段后: 0.5 行"/>
    <w:basedOn w:val="4"/>
    <w:semiHidden/>
    <w:qFormat/>
    <w:uiPriority w:val="0"/>
    <w:pPr>
      <w:numPr>
        <w:ilvl w:val="0"/>
        <w:numId w:val="0"/>
      </w:numPr>
      <w:tabs>
        <w:tab w:val="left" w:pos="567"/>
        <w:tab w:val="clear" w:pos="0"/>
        <w:tab w:val="clear" w:pos="709"/>
      </w:tabs>
      <w:spacing w:before="50" w:beforeLines="50" w:after="50" w:afterLines="50"/>
      <w:ind w:left="567" w:hanging="567"/>
      <w:jc w:val="both"/>
    </w:pPr>
    <w:rPr>
      <w:rFonts w:ascii="Arial" w:hAnsi="Arial" w:eastAsia="黑体" w:cs="宋体"/>
      <w:b w:val="0"/>
      <w:bCs w:val="0"/>
      <w:smallCaps w:val="0"/>
      <w:sz w:val="28"/>
      <w:szCs w:val="20"/>
    </w:rPr>
  </w:style>
  <w:style w:type="paragraph" w:customStyle="1" w:styleId="584">
    <w:name w:val="reader-word-layer reader-word-s3-14"/>
    <w:basedOn w:val="1"/>
    <w:qFormat/>
    <w:uiPriority w:val="0"/>
    <w:pPr>
      <w:spacing w:before="100" w:beforeAutospacing="1" w:after="100" w:afterAutospacing="1" w:line="360" w:lineRule="auto"/>
      <w:jc w:val="left"/>
    </w:pPr>
    <w:rPr>
      <w:rFonts w:ascii="宋体" w:hAnsi="宋体" w:cs="宋体"/>
      <w:kern w:val="0"/>
      <w:sz w:val="24"/>
    </w:rPr>
  </w:style>
  <w:style w:type="paragraph" w:customStyle="1" w:styleId="585">
    <w:name w:val="表格3"/>
    <w:basedOn w:val="1"/>
    <w:semiHidden/>
    <w:qFormat/>
    <w:uiPriority w:val="0"/>
    <w:pPr>
      <w:spacing w:line="320" w:lineRule="exact"/>
      <w:jc w:val="center"/>
    </w:pPr>
    <w:rPr>
      <w:rFonts w:cs="宋体"/>
      <w:sz w:val="18"/>
      <w:szCs w:val="20"/>
    </w:rPr>
  </w:style>
  <w:style w:type="paragraph" w:customStyle="1" w:styleId="586">
    <w:name w:val="二级"/>
    <w:basedOn w:val="4"/>
    <w:semiHidden/>
    <w:qFormat/>
    <w:uiPriority w:val="0"/>
    <w:pPr>
      <w:numPr>
        <w:ilvl w:val="0"/>
        <w:numId w:val="0"/>
      </w:numPr>
      <w:tabs>
        <w:tab w:val="clear" w:pos="0"/>
        <w:tab w:val="clear" w:pos="709"/>
      </w:tabs>
      <w:spacing w:before="120" w:beforeLines="50" w:after="120" w:afterLines="50"/>
      <w:jc w:val="both"/>
    </w:pPr>
    <w:rPr>
      <w:rFonts w:eastAsia="黑体"/>
      <w:smallCaps w:val="0"/>
      <w:sz w:val="28"/>
      <w:szCs w:val="32"/>
    </w:rPr>
  </w:style>
  <w:style w:type="paragraph" w:customStyle="1" w:styleId="587">
    <w:name w:val="表格11"/>
    <w:basedOn w:val="1"/>
    <w:semiHidden/>
    <w:qFormat/>
    <w:uiPriority w:val="0"/>
    <w:pPr>
      <w:adjustRightInd w:val="0"/>
      <w:snapToGrid w:val="0"/>
      <w:spacing w:line="360" w:lineRule="auto"/>
      <w:jc w:val="center"/>
    </w:pPr>
    <w:rPr>
      <w:rFonts w:cs="宋体"/>
      <w:bCs/>
      <w:kern w:val="0"/>
      <w:szCs w:val="21"/>
    </w:rPr>
  </w:style>
  <w:style w:type="paragraph" w:customStyle="1" w:styleId="588">
    <w:name w:val="样式27"/>
    <w:basedOn w:val="589"/>
    <w:semiHidden/>
    <w:qFormat/>
    <w:uiPriority w:val="0"/>
    <w:pPr>
      <w:spacing w:before="120" w:after="120"/>
      <w:jc w:val="center"/>
    </w:pPr>
    <w:rPr>
      <w:bCs/>
      <w:color w:val="000000"/>
    </w:rPr>
  </w:style>
  <w:style w:type="paragraph" w:customStyle="1" w:styleId="589">
    <w:name w:val="样式16"/>
    <w:basedOn w:val="1"/>
    <w:semiHidden/>
    <w:qFormat/>
    <w:uiPriority w:val="0"/>
    <w:pPr>
      <w:spacing w:before="156" w:beforeLines="50" w:after="156" w:afterLines="50" w:line="360" w:lineRule="auto"/>
    </w:pPr>
    <w:rPr>
      <w:b/>
      <w:szCs w:val="21"/>
    </w:rPr>
  </w:style>
  <w:style w:type="paragraph" w:customStyle="1" w:styleId="590">
    <w:name w:val="reader-word-layer reader-word-s11-13"/>
    <w:basedOn w:val="1"/>
    <w:qFormat/>
    <w:uiPriority w:val="0"/>
    <w:pPr>
      <w:spacing w:before="100" w:beforeAutospacing="1" w:after="100" w:afterAutospacing="1" w:line="360" w:lineRule="auto"/>
      <w:jc w:val="left"/>
    </w:pPr>
    <w:rPr>
      <w:rFonts w:ascii="宋体" w:hAnsi="宋体" w:cs="宋体"/>
      <w:kern w:val="0"/>
      <w:sz w:val="24"/>
    </w:rPr>
  </w:style>
  <w:style w:type="paragraph" w:customStyle="1" w:styleId="591">
    <w:name w:val="a表格"/>
    <w:basedOn w:val="1"/>
    <w:semiHidden/>
    <w:qFormat/>
    <w:uiPriority w:val="0"/>
    <w:pPr>
      <w:snapToGrid w:val="0"/>
      <w:spacing w:line="360" w:lineRule="auto"/>
      <w:jc w:val="center"/>
      <w:outlineLvl w:val="2"/>
    </w:pPr>
    <w:rPr>
      <w:szCs w:val="30"/>
    </w:rPr>
  </w:style>
  <w:style w:type="paragraph" w:customStyle="1" w:styleId="592">
    <w:name w:val="Char Char Char Char1"/>
    <w:basedOn w:val="1"/>
    <w:semiHidden/>
    <w:qFormat/>
    <w:uiPriority w:val="0"/>
    <w:pPr>
      <w:spacing w:line="360" w:lineRule="auto"/>
    </w:pPr>
    <w:rPr>
      <w:sz w:val="24"/>
    </w:rPr>
  </w:style>
  <w:style w:type="paragraph" w:customStyle="1" w:styleId="593">
    <w:name w:val="玲正文"/>
    <w:basedOn w:val="1"/>
    <w:next w:val="62"/>
    <w:semiHidden/>
    <w:qFormat/>
    <w:uiPriority w:val="0"/>
    <w:pPr>
      <w:spacing w:line="360" w:lineRule="auto"/>
      <w:ind w:firstLine="200" w:firstLineChars="200"/>
    </w:pPr>
    <w:rPr>
      <w:color w:val="000000"/>
      <w:sz w:val="24"/>
      <w:szCs w:val="22"/>
    </w:rPr>
  </w:style>
  <w:style w:type="paragraph" w:customStyle="1" w:styleId="594">
    <w:name w:val="xl26"/>
    <w:basedOn w:val="1"/>
    <w:semiHidden/>
    <w:qFormat/>
    <w:uiPriority w:val="0"/>
    <w:pPr>
      <w:pBdr>
        <w:bottom w:val="single" w:color="auto" w:sz="4" w:space="0"/>
      </w:pBdr>
      <w:spacing w:before="100" w:beforeAutospacing="1" w:after="100" w:afterAutospacing="1" w:line="360" w:lineRule="auto"/>
      <w:jc w:val="left"/>
    </w:pPr>
    <w:rPr>
      <w:kern w:val="0"/>
      <w:sz w:val="24"/>
    </w:rPr>
  </w:style>
  <w:style w:type="paragraph" w:customStyle="1" w:styleId="595">
    <w:name w:val="Char1 Char Char Char Char Char Char"/>
    <w:basedOn w:val="1"/>
    <w:next w:val="1"/>
    <w:semiHidden/>
    <w:qFormat/>
    <w:uiPriority w:val="0"/>
    <w:pPr>
      <w:spacing w:line="360" w:lineRule="auto"/>
      <w:ind w:firstLine="200" w:firstLineChars="200"/>
    </w:pPr>
    <w:rPr>
      <w:rFonts w:ascii="宋体" w:hAnsi="宋体" w:cs="宋体"/>
      <w:sz w:val="24"/>
    </w:rPr>
  </w:style>
  <w:style w:type="paragraph" w:customStyle="1" w:styleId="596">
    <w:name w:val="font10"/>
    <w:basedOn w:val="1"/>
    <w:qFormat/>
    <w:uiPriority w:val="0"/>
    <w:pPr>
      <w:spacing w:before="100" w:beforeAutospacing="1" w:after="100" w:afterAutospacing="1" w:line="360" w:lineRule="auto"/>
      <w:jc w:val="left"/>
    </w:pPr>
    <w:rPr>
      <w:rFonts w:hint="eastAsia" w:ascii="宋体" w:hAnsi="宋体"/>
      <w:b/>
      <w:bCs/>
      <w:kern w:val="0"/>
      <w:sz w:val="20"/>
      <w:szCs w:val="20"/>
    </w:rPr>
  </w:style>
  <w:style w:type="paragraph" w:customStyle="1" w:styleId="597">
    <w:name w:val="CM104"/>
    <w:basedOn w:val="263"/>
    <w:next w:val="263"/>
    <w:semiHidden/>
    <w:qFormat/>
    <w:uiPriority w:val="0"/>
    <w:pPr>
      <w:spacing w:after="543"/>
    </w:pPr>
    <w:rPr>
      <w:rFonts w:hAnsi="Times New Roman" w:cs="Times New Roman"/>
      <w:color w:val="auto"/>
    </w:rPr>
  </w:style>
  <w:style w:type="paragraph" w:customStyle="1" w:styleId="598">
    <w:name w:val="xl56"/>
    <w:basedOn w:val="1"/>
    <w:semiHidden/>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eastAsia="Arial Unicode MS"/>
      <w:color w:val="FF0000"/>
      <w:kern w:val="0"/>
      <w:sz w:val="22"/>
      <w:szCs w:val="22"/>
    </w:rPr>
  </w:style>
  <w:style w:type="paragraph" w:customStyle="1" w:styleId="599">
    <w:name w:val="表格内容2"/>
    <w:basedOn w:val="541"/>
    <w:semiHidden/>
    <w:qFormat/>
    <w:uiPriority w:val="0"/>
    <w:pPr>
      <w:adjustRightInd w:val="0"/>
      <w:spacing w:line="220" w:lineRule="exact"/>
    </w:pPr>
    <w:rPr>
      <w:rFonts w:ascii="Times New Roman" w:hAnsi="Times New Roman"/>
      <w:caps/>
      <w:sz w:val="18"/>
    </w:rPr>
  </w:style>
  <w:style w:type="paragraph" w:customStyle="1" w:styleId="600">
    <w:name w:val="xl23"/>
    <w:basedOn w:val="1"/>
    <w:semiHidden/>
    <w:qFormat/>
    <w:uiPriority w:val="0"/>
    <w:pPr>
      <w:spacing w:before="100" w:beforeAutospacing="1" w:after="100" w:afterAutospacing="1" w:line="360" w:lineRule="auto"/>
      <w:jc w:val="center"/>
    </w:pPr>
    <w:rPr>
      <w:rFonts w:ascii="Arial Unicode MS" w:hAnsi="Arial Unicode MS" w:eastAsia="Arial Unicode MS" w:cs="Arial Unicode MS"/>
      <w:kern w:val="0"/>
      <w:sz w:val="24"/>
    </w:rPr>
  </w:style>
  <w:style w:type="paragraph" w:customStyle="1" w:styleId="601">
    <w:name w:val="样式 样式12 + 自动设置 段前: 0.5 行 段后: 0.5 行"/>
    <w:basedOn w:val="349"/>
    <w:semiHidden/>
    <w:qFormat/>
    <w:uiPriority w:val="0"/>
    <w:pPr>
      <w:numPr>
        <w:numId w:val="0"/>
      </w:numPr>
      <w:tabs>
        <w:tab w:val="left" w:pos="540"/>
        <w:tab w:val="left" w:pos="860"/>
        <w:tab w:val="clear" w:pos="360"/>
      </w:tabs>
      <w:spacing w:before="50" w:after="50"/>
      <w:ind w:left="578" w:hanging="578"/>
    </w:pPr>
    <w:rPr>
      <w:rFonts w:ascii="黑体" w:hAnsi="黑体" w:cs="宋体"/>
      <w:szCs w:val="20"/>
    </w:rPr>
  </w:style>
  <w:style w:type="paragraph" w:customStyle="1" w:styleId="602">
    <w:name w:val="样式 标题 4标题 14 + 加粗 无下划线 自动设置 段前: 3 磅 段后: 10 磅4"/>
    <w:basedOn w:val="6"/>
    <w:semiHidden/>
    <w:qFormat/>
    <w:uiPriority w:val="0"/>
    <w:pPr>
      <w:keepNext/>
      <w:numPr>
        <w:numId w:val="9"/>
      </w:numPr>
      <w:tabs>
        <w:tab w:val="left" w:pos="432"/>
        <w:tab w:val="left" w:pos="864"/>
        <w:tab w:val="clear" w:pos="0"/>
      </w:tabs>
      <w:snapToGrid w:val="0"/>
      <w:spacing w:after="200" w:line="240" w:lineRule="auto"/>
      <w:jc w:val="both"/>
      <w:textAlignment w:val="auto"/>
    </w:pPr>
    <w:rPr>
      <w:smallCaps w:val="0"/>
      <w:szCs w:val="20"/>
    </w:rPr>
  </w:style>
  <w:style w:type="paragraph" w:customStyle="1" w:styleId="603">
    <w:name w:val="xl48"/>
    <w:basedOn w:val="1"/>
    <w:semiHidden/>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eastAsia="Arial Unicode MS"/>
      <w:color w:val="FF0000"/>
      <w:kern w:val="0"/>
      <w:sz w:val="22"/>
      <w:szCs w:val="22"/>
    </w:rPr>
  </w:style>
  <w:style w:type="paragraph" w:customStyle="1" w:styleId="604">
    <w:name w:val="xl28"/>
    <w:basedOn w:val="1"/>
    <w:semiHidden/>
    <w:qFormat/>
    <w:uiPriority w:val="0"/>
    <w:pPr>
      <w:pBdr>
        <w:top w:val="single" w:color="auto" w:sz="4" w:space="0"/>
        <w:left w:val="single" w:color="auto" w:sz="4" w:space="0"/>
        <w:bottom w:val="single" w:color="auto" w:sz="4" w:space="0"/>
        <w:right w:val="single" w:color="auto" w:sz="8" w:space="0"/>
      </w:pBdr>
      <w:spacing w:before="100" w:beforeAutospacing="1" w:after="100" w:afterAutospacing="1" w:line="360" w:lineRule="auto"/>
      <w:jc w:val="center"/>
      <w:textAlignment w:val="center"/>
    </w:pPr>
    <w:rPr>
      <w:rFonts w:hint="eastAsia" w:ascii="楷体_GB2312" w:hAnsi="Arial Unicode MS" w:eastAsia="楷体_GB2312" w:cs="Arial Unicode MS"/>
      <w:kern w:val="0"/>
      <w:sz w:val="16"/>
      <w:szCs w:val="16"/>
    </w:rPr>
  </w:style>
  <w:style w:type="paragraph" w:customStyle="1" w:styleId="605">
    <w:name w:val="图号"/>
    <w:basedOn w:val="1"/>
    <w:semiHidden/>
    <w:qFormat/>
    <w:uiPriority w:val="0"/>
    <w:pPr>
      <w:spacing w:after="120" w:line="460" w:lineRule="exact"/>
      <w:jc w:val="center"/>
      <w:outlineLvl w:val="0"/>
    </w:pPr>
    <w:rPr>
      <w:rFonts w:ascii="宋体" w:hAnsi="宋体"/>
      <w:b/>
      <w:color w:val="000000"/>
      <w:sz w:val="24"/>
    </w:rPr>
  </w:style>
  <w:style w:type="paragraph" w:customStyle="1" w:styleId="606">
    <w:name w:val="bg"/>
    <w:basedOn w:val="1"/>
    <w:semiHidden/>
    <w:qFormat/>
    <w:uiPriority w:val="0"/>
    <w:pPr>
      <w:adjustRightInd w:val="0"/>
      <w:snapToGrid w:val="0"/>
      <w:spacing w:before="50" w:beforeLines="50" w:line="360" w:lineRule="auto"/>
      <w:jc w:val="center"/>
    </w:pPr>
    <w:rPr>
      <w:rFonts w:cs="宋体"/>
      <w:kern w:val="0"/>
      <w:szCs w:val="21"/>
    </w:rPr>
  </w:style>
  <w:style w:type="paragraph" w:customStyle="1" w:styleId="607">
    <w:name w:val="xl49"/>
    <w:basedOn w:val="1"/>
    <w:semiHidden/>
    <w:qFormat/>
    <w:uiPriority w:val="0"/>
    <w:pPr>
      <w:pBdr>
        <w:top w:val="single" w:color="auto" w:sz="4" w:space="0"/>
        <w:left w:val="single" w:color="auto" w:sz="4" w:space="0"/>
        <w:bottom w:val="single" w:color="auto" w:sz="4" w:space="0"/>
        <w:right w:val="single" w:color="auto" w:sz="8" w:space="0"/>
      </w:pBdr>
      <w:spacing w:before="100" w:beforeAutospacing="1" w:after="100" w:afterAutospacing="1" w:line="360" w:lineRule="auto"/>
      <w:jc w:val="center"/>
      <w:textAlignment w:val="center"/>
    </w:pPr>
    <w:rPr>
      <w:rFonts w:eastAsia="Arial Unicode MS"/>
      <w:color w:val="FF0000"/>
      <w:kern w:val="0"/>
      <w:sz w:val="22"/>
      <w:szCs w:val="22"/>
    </w:rPr>
  </w:style>
  <w:style w:type="paragraph" w:customStyle="1" w:styleId="608">
    <w:name w:val="样式 标题 2 + 首行缩进:  2 字符"/>
    <w:basedOn w:val="4"/>
    <w:semiHidden/>
    <w:qFormat/>
    <w:uiPriority w:val="0"/>
    <w:pPr>
      <w:numPr>
        <w:ilvl w:val="0"/>
        <w:numId w:val="0"/>
      </w:numPr>
      <w:tabs>
        <w:tab w:val="left" w:pos="860"/>
        <w:tab w:val="clear" w:pos="0"/>
        <w:tab w:val="clear" w:pos="709"/>
      </w:tabs>
      <w:spacing w:line="300" w:lineRule="auto"/>
      <w:ind w:left="860" w:hanging="680"/>
      <w:jc w:val="both"/>
    </w:pPr>
    <w:rPr>
      <w:rFonts w:ascii="Arial" w:hAnsi="Arial" w:eastAsia="黑体" w:cs="宋体"/>
      <w:b w:val="0"/>
      <w:smallCaps w:val="0"/>
      <w:szCs w:val="20"/>
    </w:rPr>
  </w:style>
  <w:style w:type="paragraph" w:customStyle="1" w:styleId="609">
    <w:name w:val="表格体"/>
    <w:basedOn w:val="1"/>
    <w:semiHidden/>
    <w:qFormat/>
    <w:uiPriority w:val="0"/>
    <w:pPr>
      <w:adjustRightInd w:val="0"/>
      <w:snapToGrid w:val="0"/>
      <w:spacing w:line="360" w:lineRule="auto"/>
      <w:jc w:val="center"/>
    </w:pPr>
    <w:rPr>
      <w:sz w:val="18"/>
      <w:szCs w:val="20"/>
    </w:rPr>
  </w:style>
  <w:style w:type="paragraph" w:customStyle="1" w:styleId="610">
    <w:name w:val="正文 1.5 倍行距"/>
    <w:semiHidden/>
    <w:qFormat/>
    <w:uiPriority w:val="0"/>
    <w:pPr>
      <w:widowControl w:val="0"/>
      <w:spacing w:line="440" w:lineRule="exact"/>
    </w:pPr>
    <w:rPr>
      <w:rFonts w:ascii="宋体" w:hAnsi="宋体" w:eastAsia="宋体" w:cs="Times New Roman"/>
      <w:sz w:val="21"/>
      <w:szCs w:val="21"/>
      <w:lang w:val="en-US" w:eastAsia="zh-CN" w:bidi="ar-SA"/>
    </w:rPr>
  </w:style>
  <w:style w:type="paragraph" w:customStyle="1" w:styleId="611">
    <w:name w:val="md二级标题"/>
    <w:basedOn w:val="4"/>
    <w:next w:val="5"/>
    <w:semiHidden/>
    <w:qFormat/>
    <w:uiPriority w:val="0"/>
    <w:pPr>
      <w:widowControl/>
      <w:numPr>
        <w:ilvl w:val="0"/>
        <w:numId w:val="0"/>
      </w:numPr>
      <w:tabs>
        <w:tab w:val="center" w:pos="500"/>
        <w:tab w:val="clear" w:pos="0"/>
        <w:tab w:val="clear" w:pos="709"/>
      </w:tabs>
      <w:overflowPunct w:val="0"/>
      <w:spacing w:before="120" w:beforeLines="50" w:after="120" w:afterLines="50"/>
      <w:ind w:firstLine="207" w:firstLineChars="74"/>
      <w:contextualSpacing/>
      <w:textAlignment w:val="baseline"/>
    </w:pPr>
    <w:rPr>
      <w:rFonts w:ascii="仿宋_GB2312" w:eastAsia="仿宋_GB2312" w:cs="Arial"/>
      <w:b w:val="0"/>
      <w:smallCaps w:val="0"/>
      <w:kern w:val="0"/>
      <w:sz w:val="28"/>
    </w:rPr>
  </w:style>
  <w:style w:type="paragraph" w:customStyle="1" w:styleId="612">
    <w:name w:val="样式36"/>
    <w:basedOn w:val="566"/>
    <w:semiHidden/>
    <w:qFormat/>
    <w:uiPriority w:val="0"/>
    <w:pPr>
      <w:tabs>
        <w:tab w:val="clear" w:pos="720"/>
      </w:tabs>
    </w:pPr>
  </w:style>
  <w:style w:type="paragraph" w:customStyle="1" w:styleId="613">
    <w:name w:val="reader-word-layer reader-word-s3-20"/>
    <w:basedOn w:val="1"/>
    <w:qFormat/>
    <w:uiPriority w:val="0"/>
    <w:pPr>
      <w:spacing w:before="100" w:beforeAutospacing="1" w:after="100" w:afterAutospacing="1" w:line="360" w:lineRule="auto"/>
      <w:jc w:val="left"/>
    </w:pPr>
    <w:rPr>
      <w:rFonts w:ascii="宋体" w:hAnsi="宋体" w:cs="宋体"/>
      <w:kern w:val="0"/>
      <w:sz w:val="24"/>
    </w:rPr>
  </w:style>
  <w:style w:type="paragraph" w:customStyle="1" w:styleId="614">
    <w:name w:val="date4"/>
    <w:basedOn w:val="1"/>
    <w:qFormat/>
    <w:uiPriority w:val="0"/>
    <w:pPr>
      <w:spacing w:line="432" w:lineRule="auto"/>
      <w:jc w:val="center"/>
    </w:pPr>
    <w:rPr>
      <w:rFonts w:ascii="宋体" w:hAnsi="宋体" w:cs="宋体"/>
      <w:color w:val="807F7F"/>
      <w:kern w:val="0"/>
      <w:sz w:val="20"/>
      <w:szCs w:val="20"/>
    </w:rPr>
  </w:style>
  <w:style w:type="paragraph" w:customStyle="1" w:styleId="615">
    <w:name w:val="z正文"/>
    <w:basedOn w:val="27"/>
    <w:semiHidden/>
    <w:qFormat/>
    <w:uiPriority w:val="0"/>
    <w:pPr>
      <w:autoSpaceDE w:val="0"/>
      <w:autoSpaceDN w:val="0"/>
      <w:adjustRightInd w:val="0"/>
      <w:snapToGrid w:val="0"/>
      <w:spacing w:after="0"/>
      <w:ind w:left="0" w:leftChars="0"/>
      <w:textAlignment w:val="baseline"/>
    </w:pPr>
    <w:rPr>
      <w:rFonts w:asciiTheme="minorHAnsi" w:hAnsiTheme="minorHAnsi" w:cstheme="minorBidi"/>
      <w:kern w:val="0"/>
    </w:rPr>
  </w:style>
  <w:style w:type="paragraph" w:customStyle="1" w:styleId="616">
    <w:name w:val="样式 样式 样式31 + 自动设置 + 段前: 0.5 行 段后: 0.5 行"/>
    <w:basedOn w:val="617"/>
    <w:semiHidden/>
    <w:qFormat/>
    <w:uiPriority w:val="0"/>
    <w:pPr>
      <w:tabs>
        <w:tab w:val="left" w:pos="540"/>
      </w:tabs>
    </w:pPr>
    <w:rPr>
      <w:rFonts w:cs="宋体"/>
      <w:szCs w:val="20"/>
    </w:rPr>
  </w:style>
  <w:style w:type="paragraph" w:customStyle="1" w:styleId="617">
    <w:name w:val="样式 样式31 + 自动设置"/>
    <w:basedOn w:val="561"/>
    <w:semiHidden/>
    <w:qFormat/>
    <w:uiPriority w:val="0"/>
    <w:pPr>
      <w:keepNext/>
      <w:keepLines/>
      <w:tabs>
        <w:tab w:val="left" w:pos="540"/>
      </w:tabs>
      <w:spacing w:before="50" w:beforeLines="50" w:after="50" w:afterLines="50"/>
      <w:ind w:firstLine="0" w:firstLineChars="0"/>
      <w:outlineLvl w:val="1"/>
    </w:pPr>
    <w:rPr>
      <w:rFonts w:ascii="黑体" w:hAnsi="黑体" w:eastAsia="黑体"/>
      <w:b w:val="0"/>
      <w:sz w:val="28"/>
      <w:szCs w:val="32"/>
    </w:rPr>
  </w:style>
  <w:style w:type="paragraph" w:customStyle="1" w:styleId="618">
    <w:name w:val="样式41"/>
    <w:basedOn w:val="421"/>
    <w:semiHidden/>
    <w:qFormat/>
    <w:uiPriority w:val="0"/>
    <w:pPr>
      <w:tabs>
        <w:tab w:val="clear" w:pos="540"/>
        <w:tab w:val="clear" w:pos="720"/>
        <w:tab w:val="clear" w:pos="900"/>
      </w:tabs>
      <w:spacing w:before="120" w:after="120"/>
      <w:ind w:left="0"/>
      <w:outlineLvl w:val="1"/>
    </w:pPr>
    <w:rPr>
      <w:sz w:val="28"/>
      <w:szCs w:val="28"/>
    </w:rPr>
  </w:style>
  <w:style w:type="paragraph" w:customStyle="1" w:styleId="619">
    <w:name w:val="Char2"/>
    <w:basedOn w:val="1"/>
    <w:semiHidden/>
    <w:qFormat/>
    <w:uiPriority w:val="0"/>
    <w:pPr>
      <w:spacing w:line="360" w:lineRule="auto"/>
      <w:ind w:firstLine="200" w:firstLineChars="200"/>
    </w:pPr>
    <w:rPr>
      <w:rFonts w:ascii="宋体" w:hAnsi="宋体" w:cs="宋体"/>
      <w:sz w:val="24"/>
    </w:rPr>
  </w:style>
  <w:style w:type="paragraph" w:customStyle="1" w:styleId="620">
    <w:name w:val="xl22"/>
    <w:basedOn w:val="1"/>
    <w:semiHidden/>
    <w:qFormat/>
    <w:uiPriority w:val="0"/>
    <w:pPr>
      <w:spacing w:before="100" w:beforeAutospacing="1" w:after="100" w:afterAutospacing="1" w:line="360" w:lineRule="auto"/>
      <w:jc w:val="center"/>
      <w:textAlignment w:val="center"/>
    </w:pPr>
    <w:rPr>
      <w:rFonts w:ascii="Arial Unicode MS" w:hAnsi="Arial Unicode MS" w:eastAsia="Arial Unicode MS" w:cs="Arial Unicode MS"/>
      <w:kern w:val="0"/>
      <w:sz w:val="24"/>
    </w:rPr>
  </w:style>
  <w:style w:type="paragraph" w:customStyle="1" w:styleId="621">
    <w:name w:val="a封面－项目名称"/>
    <w:basedOn w:val="1"/>
    <w:next w:val="1"/>
    <w:semiHidden/>
    <w:qFormat/>
    <w:uiPriority w:val="0"/>
    <w:pPr>
      <w:spacing w:before="156" w:beforeLines="50" w:after="156" w:afterLines="50" w:line="360" w:lineRule="auto"/>
      <w:jc w:val="center"/>
    </w:pPr>
    <w:rPr>
      <w:rFonts w:eastAsia="黑体"/>
      <w:b/>
      <w:sz w:val="48"/>
    </w:rPr>
  </w:style>
  <w:style w:type="paragraph" w:customStyle="1" w:styleId="622">
    <w:name w:val="样式004"/>
    <w:basedOn w:val="48"/>
    <w:semiHidden/>
    <w:qFormat/>
    <w:uiPriority w:val="0"/>
    <w:pPr>
      <w:spacing w:beforeLines="50" w:after="0" w:afterLines="50"/>
      <w:ind w:left="0" w:leftChars="0" w:firstLine="422" w:firstLineChars="200"/>
      <w:jc w:val="center"/>
    </w:pPr>
    <w:rPr>
      <w:b/>
      <w:bCs/>
      <w:color w:val="000000"/>
      <w:sz w:val="21"/>
      <w:szCs w:val="21"/>
    </w:rPr>
  </w:style>
  <w:style w:type="paragraph" w:customStyle="1" w:styleId="623">
    <w:name w:val="表号1"/>
    <w:basedOn w:val="1"/>
    <w:semiHidden/>
    <w:qFormat/>
    <w:uiPriority w:val="0"/>
    <w:pPr>
      <w:adjustRightInd w:val="0"/>
      <w:snapToGrid w:val="0"/>
      <w:spacing w:line="360" w:lineRule="auto"/>
      <w:jc w:val="left"/>
    </w:pPr>
    <w:rPr>
      <w:color w:val="000000"/>
    </w:rPr>
  </w:style>
  <w:style w:type="paragraph" w:customStyle="1" w:styleId="624">
    <w:name w:val="表框1"/>
    <w:basedOn w:val="1"/>
    <w:semiHidden/>
    <w:qFormat/>
    <w:uiPriority w:val="0"/>
    <w:pPr>
      <w:pBdr>
        <w:top w:val="single" w:color="auto" w:sz="12" w:space="1"/>
        <w:left w:val="single" w:color="auto" w:sz="12" w:space="1"/>
        <w:bottom w:val="single" w:color="auto" w:sz="12" w:space="1"/>
        <w:right w:val="single" w:color="auto" w:sz="12" w:space="1"/>
      </w:pBdr>
      <w:adjustRightInd w:val="0"/>
      <w:snapToGrid w:val="0"/>
      <w:spacing w:line="360" w:lineRule="auto"/>
    </w:pPr>
    <w:rPr>
      <w:sz w:val="24"/>
      <w:szCs w:val="20"/>
    </w:rPr>
  </w:style>
  <w:style w:type="paragraph" w:customStyle="1" w:styleId="625">
    <w:name w:val="Char Char2"/>
    <w:basedOn w:val="1"/>
    <w:semiHidden/>
    <w:qFormat/>
    <w:uiPriority w:val="0"/>
    <w:pPr>
      <w:tabs>
        <w:tab w:val="left" w:pos="1200"/>
      </w:tabs>
      <w:spacing w:line="360" w:lineRule="auto"/>
      <w:ind w:left="1200" w:hanging="720"/>
    </w:pPr>
    <w:rPr>
      <w:rFonts w:ascii="宋体" w:hAnsi="宋体" w:cs="宋体"/>
      <w:sz w:val="24"/>
    </w:rPr>
  </w:style>
  <w:style w:type="paragraph" w:customStyle="1" w:styleId="626">
    <w:name w:val="font0"/>
    <w:basedOn w:val="1"/>
    <w:semiHidden/>
    <w:qFormat/>
    <w:uiPriority w:val="0"/>
    <w:pPr>
      <w:spacing w:before="100" w:after="100" w:line="360" w:lineRule="auto"/>
      <w:jc w:val="left"/>
    </w:pPr>
    <w:rPr>
      <w:rFonts w:hint="eastAsia" w:ascii="宋体" w:hAnsi="宋体"/>
      <w:kern w:val="0"/>
      <w:sz w:val="24"/>
      <w:szCs w:val="20"/>
    </w:rPr>
  </w:style>
  <w:style w:type="paragraph" w:customStyle="1" w:styleId="627">
    <w:name w:val="xl54"/>
    <w:basedOn w:val="1"/>
    <w:semiHidden/>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eastAsia="Arial Unicode MS"/>
      <w:color w:val="FF0000"/>
      <w:kern w:val="0"/>
      <w:sz w:val="22"/>
      <w:szCs w:val="22"/>
    </w:rPr>
  </w:style>
  <w:style w:type="paragraph" w:customStyle="1" w:styleId="628">
    <w:name w:val="表格格式"/>
    <w:next w:val="1"/>
    <w:semiHidden/>
    <w:qFormat/>
    <w:uiPriority w:val="0"/>
    <w:pPr>
      <w:widowControl w:val="0"/>
      <w:jc w:val="center"/>
    </w:pPr>
    <w:rPr>
      <w:rFonts w:ascii="宋体" w:hAnsi="宋体" w:eastAsia="宋体" w:cs="Times New Roman"/>
      <w:bCs/>
      <w:kern w:val="2"/>
      <w:sz w:val="21"/>
      <w:szCs w:val="18"/>
      <w:lang w:val="en-US" w:eastAsia="zh-CN" w:bidi="ar-SA"/>
    </w:rPr>
  </w:style>
  <w:style w:type="paragraph" w:customStyle="1" w:styleId="629">
    <w:name w:val="正文（首行缩近两字）"/>
    <w:basedOn w:val="1"/>
    <w:next w:val="1"/>
    <w:semiHidden/>
    <w:qFormat/>
    <w:uiPriority w:val="0"/>
    <w:pPr>
      <w:spacing w:line="360" w:lineRule="auto"/>
      <w:ind w:firstLine="420" w:firstLineChars="200"/>
    </w:pPr>
  </w:style>
  <w:style w:type="paragraph" w:customStyle="1" w:styleId="630">
    <w:name w:val="a表头"/>
    <w:basedOn w:val="1"/>
    <w:semiHidden/>
    <w:qFormat/>
    <w:uiPriority w:val="0"/>
    <w:pPr>
      <w:spacing w:line="360" w:lineRule="auto"/>
      <w:jc w:val="center"/>
    </w:pPr>
    <w:rPr>
      <w:rFonts w:eastAsia="楷体_GB2312"/>
      <w:b/>
      <w:sz w:val="24"/>
    </w:rPr>
  </w:style>
  <w:style w:type="paragraph" w:customStyle="1" w:styleId="631">
    <w:name w:val="标题“一”"/>
    <w:basedOn w:val="19"/>
    <w:next w:val="19"/>
    <w:semiHidden/>
    <w:qFormat/>
    <w:uiPriority w:val="0"/>
    <w:pPr>
      <w:tabs>
        <w:tab w:val="left" w:pos="1140"/>
      </w:tabs>
      <w:ind w:left="1140" w:hanging="720" w:firstLineChars="0"/>
    </w:pPr>
    <w:rPr>
      <w:rFonts w:ascii="宋体" w:hAnsi="宋体" w:eastAsia="黑体" w:cstheme="minorBidi"/>
      <w:sz w:val="28"/>
      <w:szCs w:val="22"/>
    </w:rPr>
  </w:style>
  <w:style w:type="paragraph" w:customStyle="1" w:styleId="632">
    <w:name w:val="报告书表格"/>
    <w:basedOn w:val="1"/>
    <w:semiHidden/>
    <w:qFormat/>
    <w:uiPriority w:val="0"/>
    <w:pPr>
      <w:adjustRightInd w:val="0"/>
      <w:snapToGrid w:val="0"/>
      <w:spacing w:before="60" w:after="60" w:line="240" w:lineRule="atLeast"/>
      <w:jc w:val="center"/>
      <w:textAlignment w:val="baseline"/>
    </w:pPr>
    <w:rPr>
      <w:kern w:val="0"/>
      <w:sz w:val="24"/>
      <w:szCs w:val="20"/>
    </w:rPr>
  </w:style>
  <w:style w:type="paragraph" w:customStyle="1" w:styleId="633">
    <w:name w:val="font9"/>
    <w:basedOn w:val="1"/>
    <w:qFormat/>
    <w:uiPriority w:val="0"/>
    <w:pPr>
      <w:spacing w:before="100" w:beforeAutospacing="1" w:after="100" w:afterAutospacing="1" w:line="360" w:lineRule="auto"/>
      <w:jc w:val="left"/>
    </w:pPr>
    <w:rPr>
      <w:rFonts w:eastAsia="Arial Unicode MS"/>
      <w:kern w:val="0"/>
      <w:sz w:val="18"/>
      <w:szCs w:val="18"/>
    </w:rPr>
  </w:style>
  <w:style w:type="paragraph" w:customStyle="1" w:styleId="634">
    <w:name w:val="缩进正文"/>
    <w:basedOn w:val="1"/>
    <w:semiHidden/>
    <w:qFormat/>
    <w:uiPriority w:val="0"/>
    <w:pPr>
      <w:tabs>
        <w:tab w:val="left" w:pos="8820"/>
      </w:tabs>
      <w:adjustRightInd w:val="0"/>
      <w:snapToGrid w:val="0"/>
      <w:spacing w:line="360" w:lineRule="auto"/>
      <w:jc w:val="center"/>
    </w:pPr>
    <w:rPr>
      <w:b/>
      <w:szCs w:val="21"/>
    </w:rPr>
  </w:style>
  <w:style w:type="paragraph" w:customStyle="1" w:styleId="635">
    <w:name w:val="标3"/>
    <w:basedOn w:val="1"/>
    <w:next w:val="1"/>
    <w:semiHidden/>
    <w:qFormat/>
    <w:uiPriority w:val="0"/>
    <w:pPr>
      <w:numPr>
        <w:ilvl w:val="2"/>
        <w:numId w:val="10"/>
      </w:numPr>
      <w:spacing w:before="240" w:beforeLines="100" w:after="240" w:afterLines="100" w:line="360" w:lineRule="auto"/>
      <w:ind w:firstLine="0"/>
      <w:outlineLvl w:val="2"/>
    </w:pPr>
    <w:rPr>
      <w:b/>
      <w:sz w:val="28"/>
    </w:rPr>
  </w:style>
  <w:style w:type="paragraph" w:customStyle="1" w:styleId="636">
    <w:name w:val="xl45"/>
    <w:basedOn w:val="1"/>
    <w:semiHidden/>
    <w:qFormat/>
    <w:uiPriority w:val="0"/>
    <w:pPr>
      <w:pBdr>
        <w:top w:val="double" w:color="auto" w:sz="6"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Unicode MS" w:hAnsi="Arial Unicode MS" w:eastAsia="Arial Unicode MS" w:cs="Arial Unicode MS"/>
      <w:kern w:val="0"/>
      <w:sz w:val="24"/>
    </w:rPr>
  </w:style>
  <w:style w:type="paragraph" w:customStyle="1" w:styleId="637">
    <w:name w:val="自建标题2"/>
    <w:basedOn w:val="1"/>
    <w:semiHidden/>
    <w:qFormat/>
    <w:uiPriority w:val="0"/>
    <w:pPr>
      <w:spacing w:line="360" w:lineRule="auto"/>
      <w:ind w:firstLine="413" w:firstLineChars="147"/>
      <w:outlineLvl w:val="1"/>
    </w:pPr>
    <w:rPr>
      <w:rFonts w:ascii="宋体" w:hAnsi="宋体"/>
      <w:b/>
      <w:sz w:val="28"/>
      <w:szCs w:val="28"/>
    </w:rPr>
  </w:style>
  <w:style w:type="paragraph" w:customStyle="1" w:styleId="638">
    <w:name w:val="样式57"/>
    <w:basedOn w:val="1"/>
    <w:semiHidden/>
    <w:qFormat/>
    <w:uiPriority w:val="0"/>
    <w:pPr>
      <w:spacing w:line="360" w:lineRule="auto"/>
      <w:ind w:firstLine="1365" w:firstLineChars="650"/>
    </w:pPr>
    <w:rPr>
      <w:rFonts w:ascii="黑体" w:eastAsia="黑体"/>
      <w:szCs w:val="21"/>
    </w:rPr>
  </w:style>
  <w:style w:type="paragraph" w:customStyle="1" w:styleId="639">
    <w:name w:val="xl32"/>
    <w:basedOn w:val="1"/>
    <w:semiHidden/>
    <w:qFormat/>
    <w:uiPriority w:val="0"/>
    <w:pPr>
      <w:pBdr>
        <w:top w:val="single" w:color="auto" w:sz="4" w:space="0"/>
        <w:left w:val="single" w:color="auto" w:sz="4" w:space="0"/>
        <w:bottom w:val="single" w:color="auto" w:sz="8" w:space="0"/>
        <w:right w:val="single" w:color="auto" w:sz="8" w:space="0"/>
      </w:pBdr>
      <w:spacing w:before="100" w:beforeAutospacing="1" w:after="100" w:afterAutospacing="1" w:line="360" w:lineRule="auto"/>
      <w:jc w:val="center"/>
      <w:textAlignment w:val="center"/>
    </w:pPr>
    <w:rPr>
      <w:rFonts w:hint="eastAsia" w:ascii="楷体_GB2312" w:hAnsi="Arial Unicode MS" w:eastAsia="楷体_GB2312" w:cs="Arial Unicode MS"/>
      <w:kern w:val="0"/>
      <w:sz w:val="16"/>
      <w:szCs w:val="16"/>
    </w:rPr>
  </w:style>
  <w:style w:type="paragraph" w:customStyle="1" w:styleId="640">
    <w:name w:val="Char Char Char Char"/>
    <w:basedOn w:val="1"/>
    <w:semiHidden/>
    <w:qFormat/>
    <w:uiPriority w:val="0"/>
    <w:pPr>
      <w:suppressLineNumbers/>
      <w:adjustRightInd w:val="0"/>
      <w:snapToGrid w:val="0"/>
      <w:spacing w:line="574" w:lineRule="exact"/>
    </w:pPr>
    <w:rPr>
      <w:rFonts w:eastAsia="仿宋_GB2312"/>
      <w:spacing w:val="-6"/>
      <w:kern w:val="32"/>
      <w:sz w:val="32"/>
    </w:rPr>
  </w:style>
  <w:style w:type="paragraph" w:customStyle="1" w:styleId="641">
    <w:name w:val="标题5"/>
    <w:basedOn w:val="467"/>
    <w:semiHidden/>
    <w:qFormat/>
    <w:uiPriority w:val="0"/>
    <w:pPr>
      <w:ind w:firstLine="560"/>
    </w:pPr>
    <w:rPr>
      <w:rFonts w:ascii="黑体" w:eastAsia="黑体"/>
      <w:sz w:val="28"/>
      <w:szCs w:val="28"/>
    </w:rPr>
  </w:style>
  <w:style w:type="paragraph" w:customStyle="1" w:styleId="642">
    <w:name w:val="xl42"/>
    <w:basedOn w:val="1"/>
    <w:semiHidden/>
    <w:qFormat/>
    <w:uiPriority w:val="0"/>
    <w:pPr>
      <w:pBdr>
        <w:left w:val="single" w:color="auto" w:sz="4" w:space="0"/>
        <w:bottom w:val="single" w:color="auto" w:sz="4" w:space="0"/>
        <w:right w:val="single" w:color="auto" w:sz="8" w:space="0"/>
      </w:pBdr>
      <w:spacing w:before="100" w:beforeAutospacing="1" w:after="100" w:afterAutospacing="1" w:line="360" w:lineRule="auto"/>
      <w:jc w:val="center"/>
      <w:textAlignment w:val="center"/>
    </w:pPr>
    <w:rPr>
      <w:rFonts w:ascii="宋体" w:hAnsi="宋体"/>
      <w:spacing w:val="-4"/>
      <w:kern w:val="0"/>
      <w:sz w:val="20"/>
      <w:szCs w:val="20"/>
    </w:rPr>
  </w:style>
  <w:style w:type="paragraph" w:customStyle="1" w:styleId="643">
    <w:name w:val="xl59"/>
    <w:basedOn w:val="1"/>
    <w:semiHidden/>
    <w:qFormat/>
    <w:uiPriority w:val="0"/>
    <w:pPr>
      <w:spacing w:before="100" w:beforeAutospacing="1" w:after="100" w:afterAutospacing="1" w:line="360" w:lineRule="auto"/>
      <w:jc w:val="center"/>
      <w:textAlignment w:val="center"/>
    </w:pPr>
    <w:rPr>
      <w:rFonts w:eastAsia="Arial Unicode MS"/>
      <w:kern w:val="0"/>
      <w:sz w:val="22"/>
      <w:szCs w:val="22"/>
    </w:rPr>
  </w:style>
  <w:style w:type="paragraph" w:customStyle="1" w:styleId="644">
    <w:name w:val="reader-word-layer reader-word-s1-1"/>
    <w:basedOn w:val="1"/>
    <w:qFormat/>
    <w:uiPriority w:val="0"/>
    <w:pPr>
      <w:spacing w:before="100" w:beforeAutospacing="1" w:after="100" w:afterAutospacing="1" w:line="360" w:lineRule="auto"/>
      <w:jc w:val="left"/>
    </w:pPr>
    <w:rPr>
      <w:rFonts w:ascii="宋体" w:hAnsi="宋体" w:cs="宋体"/>
      <w:kern w:val="0"/>
      <w:sz w:val="24"/>
    </w:rPr>
  </w:style>
  <w:style w:type="paragraph" w:customStyle="1" w:styleId="645">
    <w:name w:val="样式47"/>
    <w:basedOn w:val="351"/>
    <w:semiHidden/>
    <w:qFormat/>
    <w:uiPriority w:val="0"/>
    <w:pPr>
      <w:numPr>
        <w:numId w:val="6"/>
      </w:numPr>
      <w:tabs>
        <w:tab w:val="left" w:pos="900"/>
        <w:tab w:val="clear" w:pos="540"/>
      </w:tabs>
      <w:spacing w:before="156" w:after="156"/>
      <w:ind w:left="0" w:firstLine="0"/>
    </w:pPr>
    <w:rPr>
      <w:rFonts w:asciiTheme="minorHAnsi" w:hAnsiTheme="minorHAnsi" w:cstheme="minorBidi"/>
      <w:kern w:val="2"/>
    </w:rPr>
  </w:style>
  <w:style w:type="paragraph" w:customStyle="1" w:styleId="646">
    <w:name w:val="样式 样式12 + 自动设置"/>
    <w:basedOn w:val="349"/>
    <w:semiHidden/>
    <w:qFormat/>
    <w:uiPriority w:val="0"/>
    <w:pPr>
      <w:numPr>
        <w:numId w:val="0"/>
      </w:numPr>
      <w:tabs>
        <w:tab w:val="left" w:pos="540"/>
        <w:tab w:val="left" w:pos="860"/>
        <w:tab w:val="clear" w:pos="360"/>
      </w:tabs>
      <w:spacing w:before="50" w:after="50"/>
      <w:ind w:left="578" w:hanging="578"/>
    </w:pPr>
    <w:rPr>
      <w:rFonts w:ascii="黑体" w:hAnsi="黑体" w:cstheme="minorBidi"/>
      <w:szCs w:val="32"/>
    </w:rPr>
  </w:style>
  <w:style w:type="paragraph" w:customStyle="1" w:styleId="647">
    <w:name w:val="reader-word-layer reader-word-s2-0"/>
    <w:basedOn w:val="1"/>
    <w:qFormat/>
    <w:uiPriority w:val="0"/>
    <w:pPr>
      <w:spacing w:before="100" w:beforeAutospacing="1" w:after="100" w:afterAutospacing="1" w:line="360" w:lineRule="auto"/>
      <w:jc w:val="left"/>
    </w:pPr>
    <w:rPr>
      <w:rFonts w:ascii="宋体" w:hAnsi="宋体" w:cs="宋体"/>
      <w:kern w:val="0"/>
      <w:sz w:val="24"/>
    </w:rPr>
  </w:style>
  <w:style w:type="paragraph" w:customStyle="1" w:styleId="648">
    <w:name w:val="ST20_1"/>
    <w:basedOn w:val="1"/>
    <w:semiHidden/>
    <w:qFormat/>
    <w:uiPriority w:val="0"/>
    <w:pPr>
      <w:autoSpaceDE w:val="0"/>
      <w:autoSpaceDN w:val="0"/>
      <w:adjustRightInd w:val="0"/>
      <w:spacing w:line="312" w:lineRule="atLeast"/>
      <w:jc w:val="center"/>
      <w:textAlignment w:val="baseline"/>
    </w:pPr>
    <w:rPr>
      <w:rFonts w:ascii="宋体" w:hAnsi="Tms Rmn"/>
      <w:kern w:val="0"/>
      <w:sz w:val="24"/>
      <w:szCs w:val="20"/>
    </w:rPr>
  </w:style>
  <w:style w:type="paragraph" w:customStyle="1" w:styleId="649">
    <w:name w:val="样式 Arial 行距: 多倍行距 1.45 字行"/>
    <w:basedOn w:val="1"/>
    <w:semiHidden/>
    <w:qFormat/>
    <w:uiPriority w:val="0"/>
    <w:pPr>
      <w:adjustRightInd w:val="0"/>
      <w:snapToGrid w:val="0"/>
      <w:spacing w:line="360" w:lineRule="auto"/>
      <w:ind w:firstLine="560" w:firstLineChars="200"/>
    </w:pPr>
    <w:rPr>
      <w:rFonts w:ascii="仿宋_GB2312" w:eastAsia="仿宋_GB2312"/>
      <w:sz w:val="28"/>
    </w:rPr>
  </w:style>
  <w:style w:type="paragraph" w:customStyle="1" w:styleId="650">
    <w:name w:val="p17"/>
    <w:basedOn w:val="1"/>
    <w:semiHidden/>
    <w:qFormat/>
    <w:uiPriority w:val="0"/>
    <w:pPr>
      <w:spacing w:before="156" w:after="156" w:line="360" w:lineRule="auto"/>
      <w:ind w:left="576" w:hanging="576"/>
    </w:pPr>
    <w:rPr>
      <w:rFonts w:ascii="黑体" w:hAnsi="宋体" w:eastAsia="黑体" w:cs="宋体"/>
      <w:color w:val="000000"/>
      <w:kern w:val="0"/>
      <w:sz w:val="28"/>
      <w:szCs w:val="28"/>
    </w:rPr>
  </w:style>
  <w:style w:type="paragraph" w:customStyle="1" w:styleId="651">
    <w:name w:val="表格文字居中3"/>
    <w:basedOn w:val="1"/>
    <w:semiHidden/>
    <w:qFormat/>
    <w:uiPriority w:val="0"/>
    <w:pPr>
      <w:adjustRightInd w:val="0"/>
      <w:snapToGrid w:val="0"/>
      <w:spacing w:line="240" w:lineRule="atLeast"/>
      <w:jc w:val="center"/>
    </w:pPr>
    <w:rPr>
      <w:sz w:val="24"/>
      <w:szCs w:val="32"/>
    </w:rPr>
  </w:style>
  <w:style w:type="paragraph" w:customStyle="1" w:styleId="652">
    <w:name w:val="reader-word-layer reader-word-s1-12"/>
    <w:basedOn w:val="1"/>
    <w:semiHidden/>
    <w:qFormat/>
    <w:uiPriority w:val="0"/>
    <w:pPr>
      <w:spacing w:before="100" w:beforeAutospacing="1" w:after="100" w:afterAutospacing="1" w:line="360" w:lineRule="auto"/>
      <w:jc w:val="left"/>
    </w:pPr>
    <w:rPr>
      <w:rFonts w:ascii="宋体" w:hAnsi="宋体" w:cs="宋体"/>
      <w:kern w:val="0"/>
      <w:sz w:val="24"/>
    </w:rPr>
  </w:style>
  <w:style w:type="paragraph" w:customStyle="1" w:styleId="653">
    <w:name w:val="样式 标题 2标题 21标题 121节H2SeHead wsa2标题 1.1 + 黑体 四号 非加粗"/>
    <w:basedOn w:val="4"/>
    <w:semiHidden/>
    <w:qFormat/>
    <w:uiPriority w:val="0"/>
    <w:pPr>
      <w:numPr>
        <w:ilvl w:val="0"/>
        <w:numId w:val="0"/>
      </w:numPr>
      <w:tabs>
        <w:tab w:val="left" w:pos="425"/>
        <w:tab w:val="clear" w:pos="0"/>
        <w:tab w:val="clear" w:pos="709"/>
      </w:tabs>
      <w:spacing w:before="260" w:after="260" w:line="416" w:lineRule="auto"/>
      <w:ind w:left="425" w:hanging="425"/>
      <w:jc w:val="both"/>
    </w:pPr>
    <w:rPr>
      <w:rFonts w:ascii="黑体" w:hAnsi="黑体" w:eastAsia="黑体"/>
      <w:b w:val="0"/>
      <w:bCs w:val="0"/>
      <w:smallCaps w:val="0"/>
      <w:sz w:val="28"/>
      <w:szCs w:val="32"/>
    </w:rPr>
  </w:style>
  <w:style w:type="paragraph" w:customStyle="1" w:styleId="654">
    <w:name w:val="我的标题一级"/>
    <w:basedOn w:val="1"/>
    <w:semiHidden/>
    <w:qFormat/>
    <w:uiPriority w:val="0"/>
    <w:pPr>
      <w:keepNext/>
      <w:keepLines/>
      <w:tabs>
        <w:tab w:val="left" w:pos="0"/>
      </w:tabs>
      <w:adjustRightInd w:val="0"/>
      <w:spacing w:before="120" w:after="120" w:line="360" w:lineRule="auto"/>
      <w:outlineLvl w:val="1"/>
    </w:pPr>
    <w:rPr>
      <w:rFonts w:ascii="黑体" w:hAnsi="黑体" w:eastAsia="黑体" w:cs="宋体"/>
      <w:kern w:val="44"/>
      <w:sz w:val="30"/>
      <w:szCs w:val="20"/>
    </w:rPr>
  </w:style>
  <w:style w:type="paragraph" w:customStyle="1" w:styleId="655">
    <w:name w:val="xl58"/>
    <w:basedOn w:val="1"/>
    <w:semiHidden/>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eastAsia="Arial Unicode MS"/>
      <w:kern w:val="0"/>
      <w:sz w:val="18"/>
      <w:szCs w:val="18"/>
    </w:rPr>
  </w:style>
  <w:style w:type="paragraph" w:customStyle="1" w:styleId="656">
    <w:name w:val="my table header"/>
    <w:basedOn w:val="1"/>
    <w:semiHidden/>
    <w:qFormat/>
    <w:uiPriority w:val="0"/>
    <w:pPr>
      <w:spacing w:line="360" w:lineRule="exact"/>
      <w:ind w:left="567"/>
      <w:jc w:val="center"/>
    </w:pPr>
    <w:rPr>
      <w:rFonts w:ascii="黑体" w:eastAsia="黑体"/>
      <w:bCs/>
      <w:color w:val="000000"/>
      <w:szCs w:val="21"/>
    </w:rPr>
  </w:style>
  <w:style w:type="paragraph" w:customStyle="1" w:styleId="657">
    <w:name w:val="黑宋体"/>
    <w:basedOn w:val="6"/>
    <w:semiHidden/>
    <w:qFormat/>
    <w:uiPriority w:val="0"/>
    <w:pPr>
      <w:keepNext/>
      <w:keepLines/>
      <w:numPr>
        <w:ilvl w:val="0"/>
        <w:numId w:val="0"/>
      </w:numPr>
      <w:tabs>
        <w:tab w:val="clear" w:pos="0"/>
      </w:tabs>
      <w:snapToGrid w:val="0"/>
      <w:spacing w:before="0" w:after="0"/>
      <w:ind w:firstLine="482" w:firstLineChars="200"/>
      <w:jc w:val="both"/>
      <w:outlineLvl w:val="9"/>
    </w:pPr>
    <w:rPr>
      <w:bCs w:val="0"/>
      <w:smallCaps w:val="0"/>
      <w:color w:val="000000"/>
      <w:szCs w:val="28"/>
    </w:rPr>
  </w:style>
  <w:style w:type="paragraph" w:customStyle="1" w:styleId="658">
    <w:name w:val="Char3 Char Char Char"/>
    <w:basedOn w:val="1"/>
    <w:semiHidden/>
    <w:qFormat/>
    <w:uiPriority w:val="0"/>
    <w:pPr>
      <w:spacing w:line="360" w:lineRule="auto"/>
    </w:pPr>
    <w:rPr>
      <w:rFonts w:ascii="宋体" w:hAnsi="宋体" w:cs="宋体"/>
      <w:sz w:val="24"/>
    </w:rPr>
  </w:style>
  <w:style w:type="paragraph" w:customStyle="1" w:styleId="659">
    <w:name w:val="样式 仿宋_GB2312 四号 加粗 段前: 6 磅 段后: 6 磅"/>
    <w:basedOn w:val="1"/>
    <w:semiHidden/>
    <w:qFormat/>
    <w:uiPriority w:val="0"/>
    <w:pPr>
      <w:spacing w:before="120" w:after="120" w:line="360" w:lineRule="auto"/>
      <w:ind w:firstLine="562" w:firstLineChars="200"/>
      <w:outlineLvl w:val="3"/>
    </w:pPr>
    <w:rPr>
      <w:rFonts w:ascii="仿宋_GB2312" w:hAnsi="Arial" w:eastAsia="仿宋_GB2312" w:cs="宋体"/>
      <w:b/>
      <w:bCs/>
      <w:sz w:val="28"/>
      <w:szCs w:val="20"/>
    </w:rPr>
  </w:style>
  <w:style w:type="paragraph" w:customStyle="1" w:styleId="660">
    <w:name w:val="reader-word-layer reader-word-s1-18 reader-word-s1-22"/>
    <w:basedOn w:val="1"/>
    <w:semiHidden/>
    <w:qFormat/>
    <w:uiPriority w:val="0"/>
    <w:pPr>
      <w:spacing w:before="100" w:beforeAutospacing="1" w:after="100" w:afterAutospacing="1" w:line="360" w:lineRule="auto"/>
      <w:jc w:val="left"/>
    </w:pPr>
    <w:rPr>
      <w:rFonts w:ascii="宋体" w:hAnsi="宋体" w:cs="宋体"/>
      <w:kern w:val="0"/>
      <w:sz w:val="24"/>
    </w:rPr>
  </w:style>
  <w:style w:type="paragraph" w:customStyle="1" w:styleId="661">
    <w:name w:val="正文文字2"/>
    <w:basedOn w:val="1"/>
    <w:next w:val="1"/>
    <w:semiHidden/>
    <w:qFormat/>
    <w:uiPriority w:val="0"/>
    <w:pPr>
      <w:adjustRightInd w:val="0"/>
      <w:snapToGrid w:val="0"/>
      <w:spacing w:line="360" w:lineRule="auto"/>
      <w:ind w:left="100" w:leftChars="100" w:right="100" w:rightChars="100"/>
      <w:jc w:val="center"/>
    </w:pPr>
  </w:style>
  <w:style w:type="paragraph" w:customStyle="1" w:styleId="662">
    <w:name w:val="标题2何黎"/>
    <w:basedOn w:val="1"/>
    <w:next w:val="1"/>
    <w:semiHidden/>
    <w:qFormat/>
    <w:uiPriority w:val="0"/>
    <w:pPr>
      <w:numPr>
        <w:ilvl w:val="1"/>
        <w:numId w:val="10"/>
      </w:numPr>
      <w:tabs>
        <w:tab w:val="left" w:pos="630"/>
      </w:tabs>
      <w:spacing w:before="100" w:beforeLines="100" w:after="100" w:afterLines="100" w:line="360" w:lineRule="auto"/>
      <w:ind w:firstLine="0"/>
      <w:outlineLvl w:val="1"/>
    </w:pPr>
    <w:rPr>
      <w:rFonts w:eastAsia="黑体"/>
      <w:b/>
      <w:sz w:val="36"/>
    </w:rPr>
  </w:style>
  <w:style w:type="paragraph" w:customStyle="1" w:styleId="663">
    <w:name w:val="xl50"/>
    <w:basedOn w:val="1"/>
    <w:semiHidden/>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eastAsia="Arial Unicode MS"/>
      <w:kern w:val="0"/>
      <w:sz w:val="22"/>
      <w:szCs w:val="22"/>
    </w:rPr>
  </w:style>
  <w:style w:type="paragraph" w:customStyle="1" w:styleId="664">
    <w:name w:val="正文文本缩进1"/>
    <w:basedOn w:val="1"/>
    <w:semiHidden/>
    <w:qFormat/>
    <w:uiPriority w:val="0"/>
    <w:pPr>
      <w:spacing w:line="360" w:lineRule="auto"/>
      <w:ind w:firstLine="480" w:firstLineChars="200"/>
    </w:pPr>
    <w:rPr>
      <w:sz w:val="24"/>
    </w:rPr>
  </w:style>
  <w:style w:type="paragraph" w:customStyle="1" w:styleId="665">
    <w:name w:val="reader-word-layer reader-word-s1-15"/>
    <w:basedOn w:val="1"/>
    <w:semiHidden/>
    <w:qFormat/>
    <w:uiPriority w:val="0"/>
    <w:pPr>
      <w:spacing w:before="100" w:beforeAutospacing="1" w:after="100" w:afterAutospacing="1" w:line="360" w:lineRule="auto"/>
      <w:jc w:val="left"/>
    </w:pPr>
    <w:rPr>
      <w:rFonts w:ascii="宋体" w:hAnsi="宋体" w:cs="宋体"/>
      <w:kern w:val="0"/>
      <w:sz w:val="24"/>
    </w:rPr>
  </w:style>
  <w:style w:type="paragraph" w:customStyle="1" w:styleId="666">
    <w:name w:val="xl57"/>
    <w:basedOn w:val="1"/>
    <w:semiHidden/>
    <w:qFormat/>
    <w:uiPriority w:val="0"/>
    <w:pPr>
      <w:pBdr>
        <w:top w:val="single" w:color="auto" w:sz="4" w:space="0"/>
        <w:left w:val="single" w:color="auto" w:sz="4" w:space="0"/>
        <w:bottom w:val="single" w:color="auto" w:sz="4" w:space="0"/>
        <w:right w:val="single" w:color="auto" w:sz="8" w:space="0"/>
      </w:pBdr>
      <w:spacing w:before="100" w:beforeAutospacing="1" w:after="100" w:afterAutospacing="1" w:line="360" w:lineRule="auto"/>
      <w:jc w:val="center"/>
      <w:textAlignment w:val="center"/>
    </w:pPr>
    <w:rPr>
      <w:rFonts w:eastAsia="Arial Unicode MS"/>
      <w:color w:val="FF0000"/>
      <w:kern w:val="0"/>
      <w:sz w:val="22"/>
      <w:szCs w:val="22"/>
    </w:rPr>
  </w:style>
  <w:style w:type="paragraph" w:customStyle="1" w:styleId="667">
    <w:name w:val="xl34"/>
    <w:basedOn w:val="1"/>
    <w:semiHidden/>
    <w:qFormat/>
    <w:uiPriority w:val="0"/>
    <w:pPr>
      <w:spacing w:before="100" w:after="100" w:line="360" w:lineRule="auto"/>
      <w:jc w:val="center"/>
    </w:pPr>
    <w:rPr>
      <w:rFonts w:ascii="宋体"/>
      <w:kern w:val="0"/>
      <w:sz w:val="24"/>
      <w:szCs w:val="20"/>
    </w:rPr>
  </w:style>
  <w:style w:type="paragraph" w:customStyle="1" w:styleId="668">
    <w:name w:val="样式21"/>
    <w:basedOn w:val="417"/>
    <w:semiHidden/>
    <w:qFormat/>
    <w:uiPriority w:val="0"/>
    <w:pPr>
      <w:keepNext/>
      <w:keepLines/>
      <w:tabs>
        <w:tab w:val="left" w:pos="540"/>
      </w:tabs>
      <w:spacing w:before="50" w:after="50"/>
      <w:ind w:left="3255" w:hanging="1980" w:firstLineChars="0"/>
      <w:outlineLvl w:val="2"/>
    </w:pPr>
    <w:rPr>
      <w:rFonts w:ascii="黑体" w:hAnsi="宋体" w:eastAsia="黑体" w:cs="Arial Unicode MS"/>
      <w:color w:val="000000"/>
      <w:lang w:val="en-US"/>
    </w:rPr>
  </w:style>
  <w:style w:type="paragraph" w:customStyle="1" w:styleId="669">
    <w:name w:val="公式"/>
    <w:basedOn w:val="1"/>
    <w:semiHidden/>
    <w:qFormat/>
    <w:uiPriority w:val="0"/>
    <w:pPr>
      <w:overflowPunct w:val="0"/>
      <w:topLinePunct/>
      <w:adjustRightInd w:val="0"/>
      <w:snapToGrid w:val="0"/>
      <w:spacing w:line="360" w:lineRule="auto"/>
      <w:ind w:left="480" w:leftChars="200"/>
    </w:pPr>
    <w:rPr>
      <w:snapToGrid w:val="0"/>
      <w:kern w:val="0"/>
      <w:sz w:val="24"/>
      <w:szCs w:val="20"/>
    </w:rPr>
  </w:style>
  <w:style w:type="paragraph" w:customStyle="1" w:styleId="670">
    <w:name w:val="正文文本缩进 21"/>
    <w:basedOn w:val="1"/>
    <w:semiHidden/>
    <w:qFormat/>
    <w:uiPriority w:val="0"/>
    <w:pPr>
      <w:adjustRightInd w:val="0"/>
      <w:spacing w:line="360" w:lineRule="auto"/>
      <w:ind w:firstLine="480"/>
      <w:textAlignment w:val="baseline"/>
    </w:pPr>
    <w:rPr>
      <w:rFonts w:ascii="宋体"/>
      <w:kern w:val="0"/>
      <w:sz w:val="24"/>
      <w:szCs w:val="20"/>
    </w:rPr>
  </w:style>
  <w:style w:type="paragraph" w:customStyle="1" w:styleId="671">
    <w:name w:val="xl41"/>
    <w:basedOn w:val="1"/>
    <w:semiHidden/>
    <w:qFormat/>
    <w:uiPriority w:val="0"/>
    <w:pPr>
      <w:pBdr>
        <w:top w:val="single" w:color="auto" w:sz="4" w:space="0"/>
        <w:left w:val="single" w:color="auto" w:sz="8" w:space="0"/>
        <w:bottom w:val="single" w:color="auto" w:sz="4" w:space="0"/>
        <w:right w:val="single" w:color="auto" w:sz="4" w:space="0"/>
      </w:pBdr>
      <w:tabs>
        <w:tab w:val="left" w:pos="425"/>
      </w:tabs>
      <w:spacing w:before="100" w:beforeAutospacing="1" w:after="100" w:afterAutospacing="1" w:line="360" w:lineRule="auto"/>
      <w:jc w:val="center"/>
      <w:textAlignment w:val="center"/>
    </w:pPr>
    <w:rPr>
      <w:rFonts w:ascii="宋体" w:hAnsi="宋体"/>
      <w:spacing w:val="-4"/>
      <w:kern w:val="0"/>
      <w:sz w:val="20"/>
      <w:szCs w:val="20"/>
    </w:rPr>
  </w:style>
  <w:style w:type="paragraph" w:customStyle="1" w:styleId="672">
    <w:name w:val="xl27"/>
    <w:basedOn w:val="1"/>
    <w:semiHidden/>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hint="eastAsia" w:ascii="楷体_GB2312" w:hAnsi="Arial Unicode MS" w:eastAsia="楷体_GB2312" w:cs="Arial Unicode MS"/>
      <w:kern w:val="0"/>
      <w:sz w:val="16"/>
      <w:szCs w:val="16"/>
    </w:rPr>
  </w:style>
  <w:style w:type="paragraph" w:customStyle="1" w:styleId="673">
    <w:name w:val="Char Char Char Char1 Char Char Char"/>
    <w:basedOn w:val="1"/>
    <w:semiHidden/>
    <w:qFormat/>
    <w:uiPriority w:val="0"/>
    <w:pPr>
      <w:spacing w:line="360" w:lineRule="auto"/>
      <w:ind w:firstLine="200" w:firstLineChars="200"/>
    </w:pPr>
    <w:rPr>
      <w:rFonts w:ascii="宋体" w:hAnsi="宋体" w:cs="宋体"/>
      <w:sz w:val="24"/>
    </w:rPr>
  </w:style>
  <w:style w:type="paragraph" w:customStyle="1" w:styleId="674">
    <w:name w:val="xl51"/>
    <w:basedOn w:val="1"/>
    <w:semiHidden/>
    <w:qFormat/>
    <w:uiPriority w:val="0"/>
    <w:pPr>
      <w:pBdr>
        <w:top w:val="single" w:color="auto" w:sz="4" w:space="0"/>
        <w:left w:val="single" w:color="auto" w:sz="4" w:space="0"/>
        <w:bottom w:val="single" w:color="auto" w:sz="8" w:space="0"/>
        <w:right w:val="single" w:color="auto" w:sz="4" w:space="0"/>
      </w:pBdr>
      <w:spacing w:before="100" w:beforeAutospacing="1" w:after="100" w:afterAutospacing="1" w:line="360" w:lineRule="auto"/>
      <w:jc w:val="center"/>
      <w:textAlignment w:val="center"/>
    </w:pPr>
    <w:rPr>
      <w:rFonts w:eastAsia="Arial Unicode MS"/>
      <w:kern w:val="0"/>
      <w:sz w:val="22"/>
      <w:szCs w:val="22"/>
    </w:rPr>
  </w:style>
  <w:style w:type="paragraph" w:customStyle="1" w:styleId="675">
    <w:name w:val="玲表格正文"/>
    <w:basedOn w:val="1"/>
    <w:semiHidden/>
    <w:qFormat/>
    <w:uiPriority w:val="0"/>
    <w:pPr>
      <w:snapToGrid w:val="0"/>
      <w:spacing w:line="360" w:lineRule="auto"/>
      <w:jc w:val="center"/>
    </w:pPr>
    <w:rPr>
      <w:szCs w:val="21"/>
    </w:rPr>
  </w:style>
  <w:style w:type="paragraph" w:customStyle="1" w:styleId="676">
    <w:name w:val="自建标题3"/>
    <w:basedOn w:val="1"/>
    <w:semiHidden/>
    <w:qFormat/>
    <w:uiPriority w:val="0"/>
    <w:pPr>
      <w:spacing w:line="360" w:lineRule="auto"/>
      <w:outlineLvl w:val="2"/>
    </w:pPr>
    <w:rPr>
      <w:rFonts w:ascii="宋体" w:hAnsi="宋体"/>
      <w:b/>
      <w:bCs/>
      <w:sz w:val="28"/>
    </w:rPr>
  </w:style>
  <w:style w:type="paragraph" w:customStyle="1" w:styleId="677">
    <w:name w:val="二级标题"/>
    <w:basedOn w:val="4"/>
    <w:semiHidden/>
    <w:qFormat/>
    <w:uiPriority w:val="0"/>
    <w:pPr>
      <w:numPr>
        <w:ilvl w:val="0"/>
        <w:numId w:val="0"/>
      </w:numPr>
      <w:tabs>
        <w:tab w:val="clear" w:pos="0"/>
        <w:tab w:val="clear" w:pos="709"/>
      </w:tabs>
      <w:spacing w:before="156" w:beforeLines="50" w:after="156" w:afterLines="50"/>
      <w:jc w:val="both"/>
    </w:pPr>
    <w:rPr>
      <w:rFonts w:ascii="黑体" w:hAnsi="Arial" w:eastAsia="黑体"/>
      <w:smallCaps w:val="0"/>
      <w:sz w:val="28"/>
    </w:rPr>
  </w:style>
  <w:style w:type="paragraph" w:customStyle="1" w:styleId="678">
    <w:name w:val="表末文字"/>
    <w:basedOn w:val="1"/>
    <w:semiHidden/>
    <w:qFormat/>
    <w:uiPriority w:val="0"/>
    <w:pPr>
      <w:adjustRightInd w:val="0"/>
      <w:snapToGrid w:val="0"/>
      <w:spacing w:line="240" w:lineRule="atLeast"/>
      <w:ind w:firstLine="560" w:firstLineChars="200"/>
      <w:jc w:val="left"/>
    </w:pPr>
    <w:rPr>
      <w:snapToGrid w:val="0"/>
      <w:spacing w:val="20"/>
      <w:kern w:val="0"/>
      <w:sz w:val="24"/>
      <w:szCs w:val="32"/>
    </w:rPr>
  </w:style>
  <w:style w:type="paragraph" w:customStyle="1" w:styleId="679">
    <w:name w:val="xl40"/>
    <w:basedOn w:val="1"/>
    <w:semiHidden/>
    <w:qFormat/>
    <w:uiPriority w:val="0"/>
    <w:pPr>
      <w:pBdr>
        <w:top w:val="single" w:color="auto" w:sz="8" w:space="0"/>
        <w:left w:val="single" w:color="auto" w:sz="8" w:space="0"/>
        <w:bottom w:val="single" w:color="auto" w:sz="4" w:space="0"/>
        <w:right w:val="single" w:color="auto" w:sz="4" w:space="0"/>
      </w:pBdr>
      <w:tabs>
        <w:tab w:val="left" w:pos="425"/>
      </w:tabs>
      <w:spacing w:before="100" w:beforeAutospacing="1" w:after="100" w:afterAutospacing="1" w:line="360" w:lineRule="auto"/>
      <w:jc w:val="center"/>
      <w:textAlignment w:val="center"/>
    </w:pPr>
    <w:rPr>
      <w:rFonts w:ascii="宋体" w:hAnsi="宋体"/>
      <w:spacing w:val="-4"/>
      <w:kern w:val="0"/>
      <w:sz w:val="20"/>
      <w:szCs w:val="20"/>
    </w:rPr>
  </w:style>
  <w:style w:type="paragraph" w:customStyle="1" w:styleId="680">
    <w:name w:val="reader-word-layer reader-word-s1-18"/>
    <w:basedOn w:val="1"/>
    <w:semiHidden/>
    <w:qFormat/>
    <w:uiPriority w:val="0"/>
    <w:pPr>
      <w:spacing w:before="100" w:beforeAutospacing="1" w:after="100" w:afterAutospacing="1" w:line="360" w:lineRule="auto"/>
      <w:jc w:val="left"/>
    </w:pPr>
    <w:rPr>
      <w:rFonts w:ascii="宋体" w:hAnsi="宋体" w:cs="宋体"/>
      <w:kern w:val="0"/>
      <w:sz w:val="24"/>
    </w:rPr>
  </w:style>
  <w:style w:type="paragraph" w:customStyle="1" w:styleId="681">
    <w:name w:val="样式58"/>
    <w:basedOn w:val="1"/>
    <w:semiHidden/>
    <w:qFormat/>
    <w:uiPriority w:val="0"/>
    <w:pPr>
      <w:spacing w:line="360" w:lineRule="auto"/>
      <w:ind w:firstLine="480" w:firstLineChars="200"/>
    </w:pPr>
    <w:rPr>
      <w:rFonts w:hAnsi="宋体"/>
      <w:snapToGrid w:val="0"/>
      <w:sz w:val="24"/>
      <w:lang w:val="zh-CN"/>
    </w:rPr>
  </w:style>
  <w:style w:type="paragraph" w:customStyle="1" w:styleId="682">
    <w:name w:val="玲表格000"/>
    <w:basedOn w:val="1"/>
    <w:semiHidden/>
    <w:qFormat/>
    <w:uiPriority w:val="0"/>
    <w:pPr>
      <w:spacing w:line="360" w:lineRule="auto"/>
      <w:jc w:val="center"/>
    </w:pPr>
    <w:rPr>
      <w:szCs w:val="28"/>
    </w:rPr>
  </w:style>
  <w:style w:type="paragraph" w:customStyle="1" w:styleId="683">
    <w:name w:val="In Table"/>
    <w:basedOn w:val="1"/>
    <w:semiHidden/>
    <w:qFormat/>
    <w:uiPriority w:val="0"/>
    <w:pPr>
      <w:tabs>
        <w:tab w:val="left" w:pos="3960"/>
        <w:tab w:val="left" w:pos="5280"/>
      </w:tabs>
      <w:adjustRightInd w:val="0"/>
      <w:snapToGrid w:val="0"/>
      <w:spacing w:before="96" w:after="96" w:line="0" w:lineRule="atLeast"/>
      <w:jc w:val="center"/>
      <w:textAlignment w:val="baseline"/>
    </w:pPr>
    <w:rPr>
      <w:rFonts w:ascii="Tahoma" w:hAnsi="Tahoma" w:eastAsia="华文中宋"/>
      <w:kern w:val="0"/>
      <w:szCs w:val="20"/>
    </w:rPr>
  </w:style>
  <w:style w:type="paragraph" w:customStyle="1" w:styleId="684">
    <w:name w:val="正文(首行缩进)"/>
    <w:basedOn w:val="1"/>
    <w:semiHidden/>
    <w:qFormat/>
    <w:uiPriority w:val="0"/>
    <w:pPr>
      <w:spacing w:line="360" w:lineRule="auto"/>
      <w:ind w:firstLine="510"/>
    </w:pPr>
    <w:rPr>
      <w:rFonts w:ascii="宋体" w:hAnsi="宋体"/>
      <w:snapToGrid w:val="0"/>
      <w:kern w:val="0"/>
      <w:sz w:val="24"/>
    </w:rPr>
  </w:style>
  <w:style w:type="paragraph" w:customStyle="1" w:styleId="685">
    <w:name w:val="TB正文"/>
    <w:basedOn w:val="1"/>
    <w:semiHidden/>
    <w:qFormat/>
    <w:uiPriority w:val="0"/>
    <w:pPr>
      <w:snapToGrid w:val="0"/>
      <w:spacing w:line="360" w:lineRule="auto"/>
      <w:ind w:firstLine="200" w:firstLineChars="200"/>
    </w:pPr>
    <w:rPr>
      <w:rFonts w:eastAsia="仿宋_GB2312"/>
      <w:sz w:val="28"/>
      <w:szCs w:val="28"/>
    </w:rPr>
  </w:style>
  <w:style w:type="paragraph" w:customStyle="1" w:styleId="686">
    <w:name w:val="样式52"/>
    <w:basedOn w:val="505"/>
    <w:semiHidden/>
    <w:qFormat/>
    <w:uiPriority w:val="0"/>
    <w:pPr>
      <w:tabs>
        <w:tab w:val="left" w:pos="180"/>
      </w:tabs>
      <w:spacing w:before="120" w:after="120"/>
      <w:ind w:left="180" w:hanging="180"/>
    </w:pPr>
  </w:style>
  <w:style w:type="paragraph" w:customStyle="1" w:styleId="687">
    <w:name w:val="xl39"/>
    <w:basedOn w:val="1"/>
    <w:semiHidden/>
    <w:qFormat/>
    <w:uiPriority w:val="0"/>
    <w:pPr>
      <w:pBdr>
        <w:top w:val="single" w:color="auto" w:sz="4" w:space="0"/>
        <w:left w:val="single" w:color="auto" w:sz="4" w:space="0"/>
        <w:bottom w:val="single" w:color="auto" w:sz="4" w:space="0"/>
        <w:right w:val="single" w:color="auto" w:sz="8" w:space="0"/>
      </w:pBdr>
      <w:spacing w:before="100" w:beforeAutospacing="1" w:after="100" w:afterAutospacing="1" w:line="360" w:lineRule="auto"/>
      <w:jc w:val="center"/>
      <w:textAlignment w:val="center"/>
    </w:pPr>
    <w:rPr>
      <w:rFonts w:ascii="宋体" w:hAnsi="宋体"/>
      <w:spacing w:val="-4"/>
      <w:kern w:val="0"/>
      <w:sz w:val="20"/>
      <w:szCs w:val="20"/>
    </w:rPr>
  </w:style>
  <w:style w:type="paragraph" w:customStyle="1" w:styleId="688">
    <w:name w:val="xl31"/>
    <w:basedOn w:val="1"/>
    <w:semiHidden/>
    <w:qFormat/>
    <w:uiPriority w:val="0"/>
    <w:pPr>
      <w:pBdr>
        <w:top w:val="single" w:color="auto" w:sz="4" w:space="0"/>
        <w:left w:val="single" w:color="auto" w:sz="4" w:space="0"/>
        <w:bottom w:val="single" w:color="auto" w:sz="8" w:space="0"/>
        <w:right w:val="single" w:color="auto" w:sz="4" w:space="0"/>
      </w:pBdr>
      <w:spacing w:before="100" w:beforeAutospacing="1" w:after="100" w:afterAutospacing="1" w:line="360" w:lineRule="auto"/>
      <w:jc w:val="center"/>
      <w:textAlignment w:val="center"/>
    </w:pPr>
    <w:rPr>
      <w:rFonts w:hint="eastAsia" w:ascii="楷体_GB2312" w:hAnsi="Arial Unicode MS" w:eastAsia="楷体_GB2312" w:cs="Arial Unicode MS"/>
      <w:kern w:val="0"/>
      <w:sz w:val="16"/>
      <w:szCs w:val="16"/>
    </w:rPr>
  </w:style>
  <w:style w:type="paragraph" w:customStyle="1" w:styleId="689">
    <w:name w:val="样式35"/>
    <w:basedOn w:val="1"/>
    <w:semiHidden/>
    <w:qFormat/>
    <w:uiPriority w:val="0"/>
    <w:pPr>
      <w:adjustRightInd w:val="0"/>
      <w:snapToGrid w:val="0"/>
      <w:spacing w:line="360" w:lineRule="auto"/>
      <w:ind w:firstLine="1995" w:firstLineChars="950"/>
    </w:pPr>
    <w:rPr>
      <w:rFonts w:ascii="黑体" w:hAnsi="宋体" w:eastAsia="黑体"/>
      <w:szCs w:val="21"/>
    </w:rPr>
  </w:style>
  <w:style w:type="paragraph" w:customStyle="1" w:styleId="690">
    <w:name w:val="reader-word-layer reader-word-s1-21"/>
    <w:basedOn w:val="1"/>
    <w:semiHidden/>
    <w:qFormat/>
    <w:uiPriority w:val="0"/>
    <w:pPr>
      <w:spacing w:before="100" w:beforeAutospacing="1" w:after="100" w:afterAutospacing="1" w:line="360" w:lineRule="auto"/>
      <w:jc w:val="left"/>
    </w:pPr>
    <w:rPr>
      <w:rFonts w:ascii="宋体" w:hAnsi="宋体" w:cs="宋体"/>
      <w:kern w:val="0"/>
      <w:sz w:val="24"/>
    </w:rPr>
  </w:style>
  <w:style w:type="paragraph" w:customStyle="1" w:styleId="691">
    <w:name w:val="xl30"/>
    <w:basedOn w:val="1"/>
    <w:semiHidden/>
    <w:qFormat/>
    <w:uiPriority w:val="0"/>
    <w:pPr>
      <w:pBdr>
        <w:top w:val="single" w:color="auto" w:sz="4" w:space="0"/>
        <w:left w:val="single" w:color="auto" w:sz="4" w:space="0"/>
        <w:bottom w:val="single" w:color="auto" w:sz="4" w:space="0"/>
        <w:right w:val="single" w:color="auto" w:sz="8" w:space="0"/>
      </w:pBdr>
      <w:spacing w:before="100" w:beforeAutospacing="1" w:after="100" w:afterAutospacing="1" w:line="360" w:lineRule="auto"/>
      <w:jc w:val="center"/>
      <w:textAlignment w:val="center"/>
    </w:pPr>
    <w:rPr>
      <w:rFonts w:hint="eastAsia" w:ascii="楷体_GB2312" w:hAnsi="Arial Unicode MS" w:eastAsia="楷体_GB2312" w:cs="Arial Unicode MS"/>
      <w:kern w:val="0"/>
      <w:sz w:val="16"/>
      <w:szCs w:val="16"/>
    </w:rPr>
  </w:style>
  <w:style w:type="paragraph" w:customStyle="1" w:styleId="692">
    <w:name w:val="图头"/>
    <w:next w:val="547"/>
    <w:semiHidden/>
    <w:qFormat/>
    <w:uiPriority w:val="0"/>
    <w:pPr>
      <w:tabs>
        <w:tab w:val="left" w:pos="425"/>
        <w:tab w:val="left" w:pos="1470"/>
      </w:tabs>
      <w:adjustRightInd w:val="0"/>
      <w:spacing w:before="50" w:beforeLines="50" w:after="50" w:afterLines="50"/>
      <w:ind w:left="425" w:hanging="425"/>
      <w:jc w:val="center"/>
    </w:pPr>
    <w:rPr>
      <w:rFonts w:ascii="Times New Roman" w:hAnsi="Times New Roman" w:eastAsia="宋体" w:cs="Times New Roman"/>
      <w:spacing w:val="10"/>
      <w:sz w:val="24"/>
      <w:szCs w:val="24"/>
      <w:lang w:val="en-US" w:eastAsia="zh-CN" w:bidi="ar-SA"/>
    </w:rPr>
  </w:style>
  <w:style w:type="paragraph" w:customStyle="1" w:styleId="693">
    <w:name w:val="表头编号"/>
    <w:basedOn w:val="1"/>
    <w:semiHidden/>
    <w:qFormat/>
    <w:uiPriority w:val="0"/>
    <w:pPr>
      <w:adjustRightInd w:val="0"/>
      <w:snapToGrid w:val="0"/>
      <w:spacing w:line="360" w:lineRule="auto"/>
      <w:jc w:val="center"/>
    </w:pPr>
    <w:rPr>
      <w:color w:val="000000"/>
    </w:rPr>
  </w:style>
  <w:style w:type="paragraph" w:customStyle="1" w:styleId="694">
    <w:name w:val="样式001"/>
    <w:basedOn w:val="505"/>
    <w:semiHidden/>
    <w:qFormat/>
    <w:uiPriority w:val="0"/>
    <w:pPr>
      <w:tabs>
        <w:tab w:val="left" w:pos="180"/>
      </w:tabs>
      <w:spacing w:before="120" w:after="120"/>
      <w:ind w:left="180" w:hanging="180"/>
    </w:pPr>
  </w:style>
  <w:style w:type="paragraph" w:customStyle="1" w:styleId="695">
    <w:name w:val="reader-word-layer reader-word-s1-23"/>
    <w:basedOn w:val="1"/>
    <w:semiHidden/>
    <w:qFormat/>
    <w:uiPriority w:val="0"/>
    <w:pPr>
      <w:spacing w:before="100" w:beforeAutospacing="1" w:after="100" w:afterAutospacing="1" w:line="360" w:lineRule="auto"/>
      <w:jc w:val="left"/>
    </w:pPr>
    <w:rPr>
      <w:rFonts w:ascii="宋体" w:hAnsi="宋体" w:cs="宋体"/>
      <w:kern w:val="0"/>
      <w:sz w:val="24"/>
    </w:rPr>
  </w:style>
  <w:style w:type="paragraph" w:customStyle="1" w:styleId="696">
    <w:name w:val="Char Char Char Char Char Char Char Char Char Char Char Char Char Char Char Char Char Char Char Char Char Char"/>
    <w:basedOn w:val="1"/>
    <w:next w:val="1"/>
    <w:semiHidden/>
    <w:qFormat/>
    <w:uiPriority w:val="0"/>
    <w:pPr>
      <w:spacing w:line="360" w:lineRule="auto"/>
      <w:ind w:firstLine="200" w:firstLineChars="200"/>
    </w:pPr>
    <w:rPr>
      <w:rFonts w:ascii="宋体" w:hAnsi="宋体" w:cs="宋体"/>
      <w:sz w:val="24"/>
    </w:rPr>
  </w:style>
  <w:style w:type="paragraph" w:customStyle="1" w:styleId="697">
    <w:name w:val="xl53"/>
    <w:basedOn w:val="1"/>
    <w:semiHidden/>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eastAsia="Arial Unicode MS"/>
      <w:kern w:val="0"/>
      <w:sz w:val="20"/>
      <w:szCs w:val="20"/>
    </w:rPr>
  </w:style>
  <w:style w:type="paragraph" w:customStyle="1" w:styleId="698">
    <w:name w:val="*表格"/>
    <w:basedOn w:val="1"/>
    <w:semiHidden/>
    <w:qFormat/>
    <w:uiPriority w:val="0"/>
    <w:pPr>
      <w:numPr>
        <w:ilvl w:val="5"/>
        <w:numId w:val="11"/>
      </w:numPr>
      <w:spacing w:line="360" w:lineRule="auto"/>
      <w:ind w:left="0" w:firstLine="0"/>
      <w:textAlignment w:val="center"/>
    </w:pPr>
    <w:rPr>
      <w:szCs w:val="20"/>
    </w:rPr>
  </w:style>
  <w:style w:type="paragraph" w:customStyle="1" w:styleId="699">
    <w:name w:val="正文内容"/>
    <w:basedOn w:val="1"/>
    <w:semiHidden/>
    <w:qFormat/>
    <w:uiPriority w:val="0"/>
    <w:pPr>
      <w:adjustRightInd w:val="0"/>
      <w:snapToGrid w:val="0"/>
      <w:spacing w:line="360" w:lineRule="auto"/>
      <w:ind w:firstLine="510" w:firstLineChars="200"/>
      <w:jc w:val="left"/>
    </w:pPr>
    <w:rPr>
      <w:rFonts w:ascii="宋体" w:hAnsi="宋体" w:eastAsia="仿宋_GB2312"/>
      <w:snapToGrid w:val="0"/>
      <w:spacing w:val="4"/>
      <w:kern w:val="0"/>
      <w:sz w:val="24"/>
      <w:szCs w:val="20"/>
    </w:rPr>
  </w:style>
  <w:style w:type="paragraph" w:customStyle="1" w:styleId="700">
    <w:name w:val="样式56"/>
    <w:basedOn w:val="409"/>
    <w:semiHidden/>
    <w:qFormat/>
    <w:uiPriority w:val="0"/>
    <w:rPr>
      <w:rFonts w:ascii="仿宋_GB2312" w:hAnsi="仿宋_GB2312"/>
      <w:bCs/>
      <w:color w:val="auto"/>
    </w:rPr>
  </w:style>
  <w:style w:type="paragraph" w:customStyle="1" w:styleId="701">
    <w:name w:val="样式 标题 2标题2SeHead wsa2H21标题 1.1Chapter TitleChapter节标题 1..."/>
    <w:basedOn w:val="4"/>
    <w:semiHidden/>
    <w:qFormat/>
    <w:uiPriority w:val="0"/>
    <w:pPr>
      <w:numPr>
        <w:numId w:val="7"/>
      </w:numPr>
      <w:tabs>
        <w:tab w:val="left" w:pos="360"/>
        <w:tab w:val="left" w:pos="720"/>
        <w:tab w:val="clear" w:pos="0"/>
      </w:tabs>
    </w:pPr>
    <w:rPr>
      <w:rFonts w:cs="宋体"/>
      <w:smallCaps w:val="0"/>
      <w:kern w:val="0"/>
      <w:szCs w:val="30"/>
    </w:rPr>
  </w:style>
  <w:style w:type="paragraph" w:customStyle="1" w:styleId="702">
    <w:name w:val="reader-word-layer reader-word-s3-17"/>
    <w:basedOn w:val="1"/>
    <w:qFormat/>
    <w:uiPriority w:val="0"/>
    <w:pPr>
      <w:spacing w:before="100" w:beforeAutospacing="1" w:after="100" w:afterAutospacing="1" w:line="360" w:lineRule="auto"/>
      <w:jc w:val="left"/>
    </w:pPr>
    <w:rPr>
      <w:rFonts w:ascii="宋体" w:hAnsi="宋体" w:cs="宋体"/>
      <w:kern w:val="0"/>
      <w:sz w:val="24"/>
    </w:rPr>
  </w:style>
  <w:style w:type="paragraph" w:customStyle="1" w:styleId="703">
    <w:name w:val="Char Char Char Char Char Char Char Char Char1 Char"/>
    <w:basedOn w:val="1"/>
    <w:semiHidden/>
    <w:qFormat/>
    <w:uiPriority w:val="0"/>
    <w:pPr>
      <w:spacing w:line="360" w:lineRule="auto"/>
    </w:pPr>
    <w:rPr>
      <w:rFonts w:ascii="仿宋_GB2312" w:eastAsia="仿宋_GB2312"/>
      <w:b/>
      <w:sz w:val="32"/>
      <w:szCs w:val="32"/>
    </w:rPr>
  </w:style>
  <w:style w:type="paragraph" w:customStyle="1" w:styleId="704">
    <w:name w:val="LY正文"/>
    <w:basedOn w:val="1"/>
    <w:semiHidden/>
    <w:qFormat/>
    <w:uiPriority w:val="0"/>
    <w:pPr>
      <w:spacing w:line="300" w:lineRule="auto"/>
      <w:ind w:firstLine="567"/>
    </w:pPr>
    <w:rPr>
      <w:rFonts w:ascii="宋体" w:hAnsi="CG Times"/>
      <w:sz w:val="24"/>
      <w:szCs w:val="20"/>
    </w:rPr>
  </w:style>
  <w:style w:type="paragraph" w:customStyle="1" w:styleId="705">
    <w:name w:val="p20"/>
    <w:basedOn w:val="1"/>
    <w:semiHidden/>
    <w:qFormat/>
    <w:uiPriority w:val="0"/>
    <w:pPr>
      <w:spacing w:before="50" w:after="50" w:line="360" w:lineRule="auto"/>
      <w:ind w:left="720" w:hanging="720"/>
    </w:pPr>
    <w:rPr>
      <w:rFonts w:ascii="黑体" w:hAnsi="宋体" w:eastAsia="黑体" w:cs="宋体"/>
      <w:color w:val="000000"/>
      <w:kern w:val="0"/>
      <w:sz w:val="24"/>
    </w:rPr>
  </w:style>
  <w:style w:type="paragraph" w:customStyle="1" w:styleId="706">
    <w:name w:val="玲标题三"/>
    <w:basedOn w:val="1"/>
    <w:next w:val="61"/>
    <w:semiHidden/>
    <w:qFormat/>
    <w:uiPriority w:val="0"/>
    <w:pPr>
      <w:adjustRightInd w:val="0"/>
      <w:snapToGrid w:val="0"/>
      <w:spacing w:before="100" w:after="100" w:line="360" w:lineRule="auto"/>
      <w:jc w:val="left"/>
      <w:outlineLvl w:val="2"/>
    </w:pPr>
    <w:rPr>
      <w:rFonts w:eastAsia="黑体"/>
      <w:sz w:val="30"/>
      <w:szCs w:val="22"/>
    </w:rPr>
  </w:style>
  <w:style w:type="paragraph" w:customStyle="1" w:styleId="707">
    <w:name w:val="Char1 Char Char Char"/>
    <w:basedOn w:val="22"/>
    <w:semiHidden/>
    <w:qFormat/>
    <w:uiPriority w:val="0"/>
    <w:pPr>
      <w:adjustRightInd w:val="0"/>
      <w:spacing w:line="436" w:lineRule="exact"/>
      <w:ind w:left="357"/>
      <w:jc w:val="left"/>
      <w:outlineLvl w:val="3"/>
    </w:pPr>
    <w:rPr>
      <w:rFonts w:ascii="Tahoma" w:hAnsi="Tahoma"/>
      <w:b/>
      <w:sz w:val="24"/>
    </w:rPr>
  </w:style>
  <w:style w:type="paragraph" w:customStyle="1" w:styleId="708">
    <w:name w:val="样式 样式 样式12 + Times New Roman 自动设置 + 段前: 0.5 行 段后: 0.5 行"/>
    <w:basedOn w:val="1"/>
    <w:semiHidden/>
    <w:qFormat/>
    <w:uiPriority w:val="0"/>
    <w:pPr>
      <w:keepNext/>
      <w:keepLines/>
      <w:tabs>
        <w:tab w:val="left" w:pos="540"/>
      </w:tabs>
      <w:spacing w:before="50" w:beforeLines="50" w:after="50" w:afterLines="50" w:line="360" w:lineRule="auto"/>
      <w:ind w:left="578" w:hanging="578"/>
      <w:outlineLvl w:val="1"/>
    </w:pPr>
    <w:rPr>
      <w:rFonts w:eastAsia="黑体" w:cs="宋体"/>
      <w:sz w:val="28"/>
      <w:szCs w:val="20"/>
    </w:rPr>
  </w:style>
  <w:style w:type="paragraph" w:customStyle="1" w:styleId="709">
    <w:name w:val="图中文字格式"/>
    <w:basedOn w:val="1"/>
    <w:next w:val="1"/>
    <w:semiHidden/>
    <w:qFormat/>
    <w:uiPriority w:val="0"/>
    <w:pPr>
      <w:adjustRightInd w:val="0"/>
      <w:snapToGrid w:val="0"/>
      <w:spacing w:line="200" w:lineRule="atLeast"/>
    </w:pPr>
    <w:rPr>
      <w:spacing w:val="-20"/>
      <w:kern w:val="0"/>
      <w:sz w:val="18"/>
      <w:szCs w:val="18"/>
    </w:rPr>
  </w:style>
  <w:style w:type="paragraph" w:customStyle="1" w:styleId="710">
    <w:name w:val="默认段落字体 Para Char"/>
    <w:basedOn w:val="1"/>
    <w:next w:val="1"/>
    <w:semiHidden/>
    <w:qFormat/>
    <w:uiPriority w:val="0"/>
    <w:pPr>
      <w:spacing w:line="360" w:lineRule="auto"/>
      <w:ind w:firstLine="200" w:firstLineChars="200"/>
    </w:pPr>
  </w:style>
  <w:style w:type="paragraph" w:customStyle="1" w:styleId="711">
    <w:name w:val="xl35"/>
    <w:basedOn w:val="1"/>
    <w:semiHidden/>
    <w:qFormat/>
    <w:uiPriority w:val="0"/>
    <w:pPr>
      <w:spacing w:before="100" w:beforeAutospacing="1" w:after="100" w:afterAutospacing="1" w:line="360" w:lineRule="auto"/>
      <w:jc w:val="center"/>
    </w:pPr>
    <w:rPr>
      <w:rFonts w:hint="eastAsia" w:ascii="楷体_GB2312" w:hAnsi="Arial Unicode MS" w:eastAsia="楷体_GB2312" w:cs="Arial Unicode MS"/>
      <w:b/>
      <w:bCs/>
      <w:kern w:val="0"/>
      <w:sz w:val="24"/>
    </w:rPr>
  </w:style>
  <w:style w:type="paragraph" w:customStyle="1" w:styleId="712">
    <w:name w:val="表格编号"/>
    <w:basedOn w:val="1"/>
    <w:semiHidden/>
    <w:qFormat/>
    <w:uiPriority w:val="0"/>
    <w:pPr>
      <w:adjustRightInd w:val="0"/>
      <w:snapToGrid w:val="0"/>
      <w:spacing w:line="360" w:lineRule="auto"/>
      <w:jc w:val="right"/>
    </w:pPr>
    <w:rPr>
      <w:sz w:val="24"/>
      <w:szCs w:val="20"/>
    </w:rPr>
  </w:style>
  <w:style w:type="paragraph" w:customStyle="1" w:styleId="713">
    <w:name w:val="样式 标题 3 + 宋体 四号 段前: 0 磅 段后: 0 磅 行距: 单倍行距"/>
    <w:basedOn w:val="5"/>
    <w:semiHidden/>
    <w:qFormat/>
    <w:uiPriority w:val="0"/>
    <w:pPr>
      <w:numPr>
        <w:ilvl w:val="0"/>
        <w:numId w:val="0"/>
      </w:numPr>
      <w:tabs>
        <w:tab w:val="clear" w:pos="0"/>
      </w:tabs>
      <w:spacing w:line="240" w:lineRule="auto"/>
      <w:jc w:val="both"/>
    </w:pPr>
    <w:rPr>
      <w:rFonts w:cs="宋体"/>
      <w:szCs w:val="28"/>
    </w:rPr>
  </w:style>
  <w:style w:type="paragraph" w:customStyle="1" w:styleId="714">
    <w:name w:val="正文样式1"/>
    <w:basedOn w:val="1"/>
    <w:semiHidden/>
    <w:qFormat/>
    <w:uiPriority w:val="0"/>
    <w:pPr>
      <w:adjustRightInd w:val="0"/>
      <w:spacing w:line="288" w:lineRule="auto"/>
      <w:ind w:firstLine="360" w:firstLineChars="150"/>
      <w:textAlignment w:val="baseline"/>
    </w:pPr>
    <w:rPr>
      <w:kern w:val="0"/>
      <w:sz w:val="24"/>
      <w:szCs w:val="20"/>
    </w:rPr>
  </w:style>
  <w:style w:type="paragraph" w:customStyle="1" w:styleId="715">
    <w:name w:val="标准"/>
    <w:basedOn w:val="1"/>
    <w:semiHidden/>
    <w:qFormat/>
    <w:uiPriority w:val="0"/>
    <w:pPr>
      <w:adjustRightInd w:val="0"/>
      <w:spacing w:line="360" w:lineRule="auto"/>
      <w:ind w:left="905" w:hanging="425"/>
      <w:textAlignment w:val="baseline"/>
    </w:pPr>
    <w:rPr>
      <w:rFonts w:ascii="宋体"/>
      <w:kern w:val="0"/>
      <w:sz w:val="24"/>
      <w:szCs w:val="20"/>
    </w:rPr>
  </w:style>
  <w:style w:type="paragraph" w:customStyle="1" w:styleId="716">
    <w:name w:val="Char2 Char Char Char Char Char Char Char Char Char"/>
    <w:basedOn w:val="1"/>
    <w:semiHidden/>
    <w:qFormat/>
    <w:uiPriority w:val="0"/>
    <w:pPr>
      <w:spacing w:line="360" w:lineRule="auto"/>
      <w:ind w:firstLine="200" w:firstLineChars="200"/>
    </w:pPr>
    <w:rPr>
      <w:rFonts w:ascii="宋体" w:hAnsi="宋体" w:cs="宋体"/>
      <w:sz w:val="24"/>
    </w:rPr>
  </w:style>
  <w:style w:type="paragraph" w:customStyle="1" w:styleId="717">
    <w:name w:val="表头名称"/>
    <w:basedOn w:val="19"/>
    <w:semiHidden/>
    <w:qFormat/>
    <w:uiPriority w:val="0"/>
    <w:pPr>
      <w:autoSpaceDE w:val="0"/>
      <w:autoSpaceDN w:val="0"/>
      <w:adjustRightInd w:val="0"/>
      <w:ind w:firstLine="0" w:firstLineChars="0"/>
      <w:jc w:val="center"/>
    </w:pPr>
    <w:rPr>
      <w:rFonts w:ascii="宋体" w:hAnsi="宋体" w:cstheme="minorBidi"/>
      <w:kern w:val="0"/>
      <w:sz w:val="21"/>
      <w:szCs w:val="21"/>
    </w:rPr>
  </w:style>
  <w:style w:type="paragraph" w:customStyle="1" w:styleId="718">
    <w:name w:val="8 Char Char Char2 Char"/>
    <w:basedOn w:val="1"/>
    <w:semiHidden/>
    <w:qFormat/>
    <w:uiPriority w:val="0"/>
    <w:pPr>
      <w:spacing w:line="360" w:lineRule="auto"/>
    </w:pPr>
    <w:rPr>
      <w:rFonts w:ascii="Tahoma" w:hAnsi="Tahoma"/>
      <w:sz w:val="24"/>
      <w:szCs w:val="20"/>
    </w:rPr>
  </w:style>
  <w:style w:type="paragraph" w:customStyle="1" w:styleId="719">
    <w:name w:val="样式30"/>
    <w:basedOn w:val="1"/>
    <w:semiHidden/>
    <w:qFormat/>
    <w:uiPriority w:val="0"/>
    <w:pPr>
      <w:spacing w:before="156" w:beforeLines="50" w:after="156" w:afterLines="50" w:line="360" w:lineRule="auto"/>
      <w:ind w:firstLine="480" w:firstLineChars="200"/>
    </w:pPr>
    <w:rPr>
      <w:sz w:val="24"/>
    </w:rPr>
  </w:style>
  <w:style w:type="paragraph" w:customStyle="1" w:styleId="720">
    <w:name w:val="样式29"/>
    <w:basedOn w:val="349"/>
    <w:semiHidden/>
    <w:qFormat/>
    <w:uiPriority w:val="0"/>
    <w:pPr>
      <w:numPr>
        <w:ilvl w:val="0"/>
        <w:numId w:val="0"/>
      </w:numPr>
      <w:tabs>
        <w:tab w:val="left" w:pos="540"/>
        <w:tab w:val="left" w:pos="936"/>
        <w:tab w:val="clear" w:pos="360"/>
      </w:tabs>
      <w:spacing w:before="120" w:after="120"/>
      <w:ind w:left="936" w:hanging="576"/>
    </w:pPr>
    <w:rPr>
      <w:rFonts w:ascii="黑体" w:hAnsi="黑体" w:cstheme="minorBidi"/>
      <w:szCs w:val="32"/>
    </w:rPr>
  </w:style>
  <w:style w:type="paragraph" w:customStyle="1" w:styleId="721">
    <w:name w:val="T3"/>
    <w:basedOn w:val="499"/>
    <w:semiHidden/>
    <w:qFormat/>
    <w:uiPriority w:val="0"/>
    <w:pPr>
      <w:spacing w:before="0" w:after="120"/>
      <w:outlineLvl w:val="2"/>
    </w:pPr>
    <w:rPr>
      <w:rFonts w:eastAsia="Times New Roman"/>
    </w:rPr>
  </w:style>
  <w:style w:type="paragraph" w:customStyle="1" w:styleId="722">
    <w:name w:val="xl37"/>
    <w:basedOn w:val="1"/>
    <w:semiHidden/>
    <w:qFormat/>
    <w:uiPriority w:val="0"/>
    <w:pPr>
      <w:pBdr>
        <w:top w:val="single" w:color="auto" w:sz="8"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宋体" w:hAnsi="宋体"/>
      <w:spacing w:val="-4"/>
      <w:kern w:val="0"/>
      <w:sz w:val="20"/>
      <w:szCs w:val="20"/>
    </w:rPr>
  </w:style>
  <w:style w:type="paragraph" w:customStyle="1" w:styleId="723">
    <w:name w:val="样式 标题 1 + 段前: 0.5 行 段后: 0.5 行"/>
    <w:basedOn w:val="3"/>
    <w:semiHidden/>
    <w:qFormat/>
    <w:uiPriority w:val="0"/>
    <w:pPr>
      <w:numPr>
        <w:numId w:val="0"/>
      </w:numPr>
      <w:tabs>
        <w:tab w:val="left" w:pos="425"/>
        <w:tab w:val="clear" w:pos="0"/>
      </w:tabs>
      <w:spacing w:before="156" w:beforeLines="50" w:after="156" w:afterLines="50"/>
      <w:ind w:left="425" w:hanging="425"/>
      <w:jc w:val="left"/>
    </w:pPr>
    <w:rPr>
      <w:rFonts w:eastAsia="黑体" w:cs="宋体"/>
      <w:b w:val="0"/>
      <w:sz w:val="30"/>
      <w:szCs w:val="20"/>
    </w:rPr>
  </w:style>
  <w:style w:type="paragraph" w:customStyle="1" w:styleId="724">
    <w:name w:val="xl33"/>
    <w:basedOn w:val="1"/>
    <w:semiHidden/>
    <w:qFormat/>
    <w:uiPriority w:val="0"/>
    <w:pPr>
      <w:spacing w:before="100" w:beforeAutospacing="1" w:after="100" w:afterAutospacing="1" w:line="360" w:lineRule="auto"/>
      <w:jc w:val="center"/>
    </w:pPr>
    <w:rPr>
      <w:rFonts w:eastAsia="Arial Unicode MS"/>
      <w:b/>
      <w:bCs/>
      <w:kern w:val="0"/>
      <w:sz w:val="24"/>
    </w:rPr>
  </w:style>
  <w:style w:type="paragraph" w:customStyle="1" w:styleId="725">
    <w:name w:val="码头表"/>
    <w:basedOn w:val="1"/>
    <w:semiHidden/>
    <w:qFormat/>
    <w:uiPriority w:val="0"/>
    <w:pPr>
      <w:spacing w:line="360" w:lineRule="auto"/>
      <w:jc w:val="center"/>
    </w:pPr>
    <w:rPr>
      <w:rFonts w:ascii="宋体" w:hAnsi="宋体" w:cs="Arial Unicode MS"/>
    </w:rPr>
  </w:style>
  <w:style w:type="paragraph" w:customStyle="1" w:styleId="726">
    <w:name w:val="样式 宋体 小四 黑色 首行缩进:  2字符 行距: 1.5 倍行距1"/>
    <w:basedOn w:val="1"/>
    <w:semiHidden/>
    <w:qFormat/>
    <w:uiPriority w:val="0"/>
    <w:pPr>
      <w:spacing w:line="360" w:lineRule="auto"/>
      <w:ind w:firstLine="200" w:firstLineChars="200"/>
    </w:pPr>
    <w:rPr>
      <w:rFonts w:ascii="宋体" w:hAnsi="宋体"/>
      <w:color w:val="000000"/>
      <w:sz w:val="24"/>
      <w:szCs w:val="20"/>
    </w:rPr>
  </w:style>
  <w:style w:type="paragraph" w:customStyle="1" w:styleId="727">
    <w:name w:val="hyp标题4"/>
    <w:basedOn w:val="1"/>
    <w:semiHidden/>
    <w:qFormat/>
    <w:uiPriority w:val="0"/>
    <w:pPr>
      <w:keepNext/>
      <w:keepLines/>
      <w:tabs>
        <w:tab w:val="left" w:pos="1080"/>
      </w:tabs>
      <w:adjustRightInd w:val="0"/>
      <w:snapToGrid w:val="0"/>
      <w:spacing w:line="360" w:lineRule="auto"/>
      <w:textAlignment w:val="baseline"/>
      <w:outlineLvl w:val="3"/>
    </w:pPr>
    <w:rPr>
      <w:b/>
      <w:color w:val="000000"/>
      <w:kern w:val="0"/>
      <w:sz w:val="24"/>
      <w:szCs w:val="28"/>
    </w:rPr>
  </w:style>
  <w:style w:type="paragraph" w:customStyle="1" w:styleId="728">
    <w:name w:val="2"/>
    <w:basedOn w:val="1"/>
    <w:next w:val="26"/>
    <w:semiHidden/>
    <w:qFormat/>
    <w:uiPriority w:val="0"/>
    <w:pPr>
      <w:adjustRightInd w:val="0"/>
      <w:spacing w:line="360" w:lineRule="auto"/>
      <w:jc w:val="center"/>
      <w:textAlignment w:val="baseline"/>
    </w:pPr>
    <w:rPr>
      <w:kern w:val="0"/>
      <w:szCs w:val="20"/>
    </w:rPr>
  </w:style>
  <w:style w:type="paragraph" w:customStyle="1" w:styleId="729">
    <w:name w:val="WPSOffice手动目录 2"/>
    <w:qFormat/>
    <w:uiPriority w:val="0"/>
    <w:pPr>
      <w:ind w:left="200" w:leftChars="200"/>
    </w:pPr>
    <w:rPr>
      <w:rFonts w:ascii="Times New Roman" w:hAnsi="Times New Roman" w:eastAsia="宋体" w:cs="Times New Roman"/>
      <w:lang w:val="en-US" w:eastAsia="zh-CN" w:bidi="ar-SA"/>
    </w:rPr>
  </w:style>
  <w:style w:type="paragraph" w:customStyle="1" w:styleId="730">
    <w:name w:val="三级"/>
    <w:basedOn w:val="5"/>
    <w:semiHidden/>
    <w:qFormat/>
    <w:uiPriority w:val="0"/>
    <w:pPr>
      <w:numPr>
        <w:ilvl w:val="0"/>
        <w:numId w:val="0"/>
      </w:numPr>
      <w:tabs>
        <w:tab w:val="clear" w:pos="0"/>
      </w:tabs>
      <w:spacing w:before="120" w:beforeLines="50" w:after="120" w:afterLines="50"/>
      <w:jc w:val="both"/>
    </w:pPr>
    <w:rPr>
      <w:rFonts w:ascii="宋体" w:hAnsi="宋体"/>
      <w:bCs w:val="0"/>
      <w:sz w:val="24"/>
      <w:szCs w:val="32"/>
    </w:rPr>
  </w:style>
  <w:style w:type="paragraph" w:customStyle="1" w:styleId="731">
    <w:name w:val="xl38"/>
    <w:basedOn w:val="1"/>
    <w:semiHidden/>
    <w:qFormat/>
    <w:uiPriority w:val="0"/>
    <w:pPr>
      <w:pBdr>
        <w:top w:val="single" w:color="auto" w:sz="8" w:space="0"/>
        <w:left w:val="single" w:color="auto" w:sz="4" w:space="0"/>
        <w:bottom w:val="single" w:color="auto" w:sz="4" w:space="0"/>
        <w:right w:val="single" w:color="auto" w:sz="8" w:space="0"/>
      </w:pBdr>
      <w:spacing w:before="100" w:beforeAutospacing="1" w:after="100" w:afterAutospacing="1" w:line="360" w:lineRule="auto"/>
      <w:jc w:val="center"/>
      <w:textAlignment w:val="center"/>
    </w:pPr>
    <w:rPr>
      <w:rFonts w:ascii="宋体" w:hAnsi="宋体"/>
      <w:spacing w:val="-4"/>
      <w:kern w:val="0"/>
      <w:sz w:val="20"/>
      <w:szCs w:val="20"/>
    </w:rPr>
  </w:style>
  <w:style w:type="paragraph" w:customStyle="1" w:styleId="732">
    <w:name w:val="插图"/>
    <w:basedOn w:val="1"/>
    <w:semiHidden/>
    <w:qFormat/>
    <w:uiPriority w:val="0"/>
    <w:pPr>
      <w:overflowPunct w:val="0"/>
      <w:topLinePunct/>
      <w:adjustRightInd w:val="0"/>
      <w:snapToGrid w:val="0"/>
      <w:spacing w:line="360" w:lineRule="auto"/>
      <w:jc w:val="center"/>
    </w:pPr>
    <w:rPr>
      <w:rFonts w:ascii="宋体" w:hAnsi="宋体" w:eastAsia="幼圆"/>
      <w:snapToGrid w:val="0"/>
      <w:kern w:val="0"/>
      <w:sz w:val="24"/>
      <w:szCs w:val="20"/>
    </w:rPr>
  </w:style>
  <w:style w:type="paragraph" w:customStyle="1" w:styleId="733">
    <w:name w:val="正文3"/>
    <w:basedOn w:val="1"/>
    <w:qFormat/>
    <w:uiPriority w:val="0"/>
    <w:pPr>
      <w:adjustRightInd w:val="0"/>
      <w:snapToGrid w:val="0"/>
      <w:spacing w:line="360" w:lineRule="auto"/>
      <w:ind w:firstLine="510" w:firstLineChars="200"/>
      <w:jc w:val="left"/>
    </w:pPr>
    <w:rPr>
      <w:kern w:val="0"/>
      <w:sz w:val="24"/>
      <w:szCs w:val="20"/>
    </w:rPr>
  </w:style>
  <w:style w:type="paragraph" w:customStyle="1" w:styleId="734">
    <w:name w:val="reader-word-layer reader-word-s11-11"/>
    <w:basedOn w:val="1"/>
    <w:qFormat/>
    <w:uiPriority w:val="0"/>
    <w:pPr>
      <w:spacing w:before="100" w:beforeAutospacing="1" w:after="100" w:afterAutospacing="1" w:line="360" w:lineRule="auto"/>
      <w:jc w:val="left"/>
    </w:pPr>
    <w:rPr>
      <w:rFonts w:ascii="宋体" w:hAnsi="宋体" w:cs="宋体"/>
      <w:kern w:val="0"/>
      <w:sz w:val="24"/>
    </w:rPr>
  </w:style>
  <w:style w:type="paragraph" w:customStyle="1" w:styleId="735">
    <w:name w:val="Char2 Char Char Char Char Char Char Char Char1 Char Char Char Char"/>
    <w:basedOn w:val="1"/>
    <w:semiHidden/>
    <w:qFormat/>
    <w:uiPriority w:val="0"/>
    <w:pPr>
      <w:spacing w:after="160" w:line="240" w:lineRule="exact"/>
      <w:jc w:val="left"/>
    </w:pPr>
  </w:style>
  <w:style w:type="paragraph" w:customStyle="1" w:styleId="736">
    <w:name w:val="样式60"/>
    <w:basedOn w:val="1"/>
    <w:semiHidden/>
    <w:qFormat/>
    <w:uiPriority w:val="0"/>
    <w:pPr>
      <w:spacing w:line="360" w:lineRule="auto"/>
      <w:ind w:firstLine="480" w:firstLineChars="200"/>
    </w:pPr>
    <w:rPr>
      <w:snapToGrid w:val="0"/>
      <w:sz w:val="24"/>
      <w:lang w:val="zh-CN"/>
    </w:rPr>
  </w:style>
  <w:style w:type="paragraph" w:customStyle="1" w:styleId="737">
    <w:name w:val="xl52"/>
    <w:basedOn w:val="1"/>
    <w:semiHidden/>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eastAsia="Arial Unicode MS"/>
      <w:color w:val="FF0000"/>
      <w:kern w:val="0"/>
      <w:sz w:val="22"/>
      <w:szCs w:val="22"/>
    </w:rPr>
  </w:style>
  <w:style w:type="paragraph" w:customStyle="1" w:styleId="738">
    <w:name w:val="样式22"/>
    <w:basedOn w:val="417"/>
    <w:semiHidden/>
    <w:qFormat/>
    <w:uiPriority w:val="0"/>
    <w:pPr>
      <w:keepNext/>
      <w:keepLines/>
      <w:spacing w:before="50" w:after="50"/>
      <w:ind w:left="3255" w:firstLine="0" w:firstLineChars="0"/>
      <w:outlineLvl w:val="2"/>
    </w:pPr>
    <w:rPr>
      <w:rFonts w:ascii="黑体" w:hAnsi="宋体" w:eastAsia="黑体" w:cs="Arial Unicode MS"/>
      <w:color w:val="000000"/>
      <w:lang w:val="en-US"/>
    </w:rPr>
  </w:style>
  <w:style w:type="paragraph" w:customStyle="1" w:styleId="739">
    <w:name w:val="xl47"/>
    <w:basedOn w:val="1"/>
    <w:semiHidden/>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Arial Unicode MS" w:hAnsi="Arial Unicode MS" w:eastAsia="Arial Unicode MS" w:cs="Arial Unicode MS"/>
      <w:color w:val="FF0000"/>
      <w:kern w:val="0"/>
      <w:sz w:val="22"/>
      <w:szCs w:val="22"/>
    </w:rPr>
  </w:style>
  <w:style w:type="paragraph" w:customStyle="1" w:styleId="740">
    <w:name w:val="hyp标题1"/>
    <w:basedOn w:val="3"/>
    <w:semiHidden/>
    <w:qFormat/>
    <w:uiPriority w:val="0"/>
    <w:pPr>
      <w:keepNext w:val="0"/>
      <w:keepLines w:val="0"/>
      <w:numPr>
        <w:numId w:val="12"/>
      </w:numPr>
      <w:tabs>
        <w:tab w:val="left" w:pos="432"/>
        <w:tab w:val="clear" w:pos="0"/>
      </w:tabs>
      <w:adjustRightInd w:val="0"/>
      <w:snapToGrid w:val="0"/>
      <w:spacing w:before="120" w:after="120"/>
      <w:jc w:val="left"/>
      <w:textAlignment w:val="baseline"/>
    </w:pPr>
    <w:rPr>
      <w:rFonts w:ascii="黑体" w:hAnsi="黑体" w:eastAsia="黑体"/>
      <w:b w:val="0"/>
      <w:color w:val="000000"/>
      <w:sz w:val="44"/>
      <w:szCs w:val="44"/>
    </w:rPr>
  </w:style>
  <w:style w:type="paragraph" w:customStyle="1" w:styleId="741">
    <w:name w:val="表标题样式居中"/>
    <w:basedOn w:val="573"/>
    <w:semiHidden/>
    <w:qFormat/>
    <w:uiPriority w:val="0"/>
  </w:style>
  <w:style w:type="paragraph" w:customStyle="1" w:styleId="742">
    <w:name w:val="样式55"/>
    <w:basedOn w:val="367"/>
    <w:semiHidden/>
    <w:qFormat/>
    <w:uiPriority w:val="0"/>
    <w:pPr>
      <w:spacing w:before="120" w:after="120"/>
      <w:ind w:firstLine="480"/>
    </w:pPr>
  </w:style>
  <w:style w:type="paragraph" w:customStyle="1" w:styleId="743">
    <w:name w:val="图文1"/>
    <w:basedOn w:val="129"/>
    <w:semiHidden/>
    <w:qFormat/>
    <w:uiPriority w:val="0"/>
    <w:pPr>
      <w:snapToGrid w:val="0"/>
      <w:spacing w:before="120" w:beforeLines="50" w:after="120" w:afterLines="50"/>
      <w:textAlignment w:val="auto"/>
    </w:pPr>
    <w:rPr>
      <w:rFonts w:ascii="宋体" w:hAnsi="宋体"/>
      <w:snapToGrid/>
      <w:kern w:val="2"/>
      <w:sz w:val="28"/>
      <w:szCs w:val="21"/>
    </w:rPr>
  </w:style>
  <w:style w:type="paragraph" w:customStyle="1" w:styleId="744">
    <w:name w:val="样式"/>
    <w:basedOn w:val="1"/>
    <w:next w:val="19"/>
    <w:semiHidden/>
    <w:qFormat/>
    <w:uiPriority w:val="0"/>
    <w:pPr>
      <w:tabs>
        <w:tab w:val="left" w:pos="2268"/>
      </w:tabs>
      <w:adjustRightInd w:val="0"/>
      <w:spacing w:line="312" w:lineRule="auto"/>
      <w:ind w:left="425" w:firstLine="420"/>
    </w:pPr>
    <w:rPr>
      <w:color w:val="000000"/>
      <w:spacing w:val="-4"/>
      <w:kern w:val="0"/>
      <w:sz w:val="28"/>
      <w:szCs w:val="20"/>
    </w:rPr>
  </w:style>
  <w:style w:type="paragraph" w:customStyle="1" w:styleId="745">
    <w:name w:val="页面 3"/>
    <w:basedOn w:val="1"/>
    <w:semiHidden/>
    <w:qFormat/>
    <w:uiPriority w:val="0"/>
    <w:pPr>
      <w:adjustRightInd w:val="0"/>
      <w:spacing w:line="360" w:lineRule="auto"/>
      <w:ind w:left="-2" w:leftChars="-1" w:firstLine="456" w:firstLineChars="190"/>
      <w:jc w:val="center"/>
    </w:pPr>
    <w:rPr>
      <w:rFonts w:eastAsia="隶书"/>
      <w:kern w:val="0"/>
      <w:sz w:val="52"/>
      <w:szCs w:val="20"/>
    </w:rPr>
  </w:style>
  <w:style w:type="paragraph" w:customStyle="1" w:styleId="746">
    <w:name w:val="字元 字元"/>
    <w:basedOn w:val="1"/>
    <w:semiHidden/>
    <w:qFormat/>
    <w:uiPriority w:val="0"/>
    <w:pPr>
      <w:spacing w:line="360" w:lineRule="auto"/>
    </w:pPr>
    <w:rPr>
      <w:szCs w:val="21"/>
    </w:rPr>
  </w:style>
  <w:style w:type="paragraph" w:customStyle="1" w:styleId="747">
    <w:name w:val="az"/>
    <w:basedOn w:val="1"/>
    <w:semiHidden/>
    <w:qFormat/>
    <w:uiPriority w:val="0"/>
    <w:pPr>
      <w:spacing w:line="360" w:lineRule="auto"/>
      <w:ind w:firstLine="494" w:firstLineChars="200"/>
    </w:pPr>
    <w:rPr>
      <w:bCs/>
      <w:sz w:val="24"/>
    </w:rPr>
  </w:style>
  <w:style w:type="paragraph" w:customStyle="1" w:styleId="748">
    <w:name w:val="样式26"/>
    <w:basedOn w:val="589"/>
    <w:semiHidden/>
    <w:qFormat/>
    <w:uiPriority w:val="0"/>
    <w:pPr>
      <w:spacing w:before="0" w:beforeLines="0" w:after="0" w:afterLines="0"/>
      <w:jc w:val="center"/>
    </w:pPr>
    <w:rPr>
      <w:color w:val="000000"/>
      <w:lang w:val="zh-CN"/>
    </w:rPr>
  </w:style>
  <w:style w:type="paragraph" w:customStyle="1" w:styleId="749">
    <w:name w:val="样式 标题 4 + 宋体 小四 非加粗"/>
    <w:basedOn w:val="6"/>
    <w:semiHidden/>
    <w:qFormat/>
    <w:uiPriority w:val="0"/>
    <w:pPr>
      <w:keepNext/>
      <w:keepLines/>
      <w:numPr>
        <w:ilvl w:val="0"/>
        <w:numId w:val="0"/>
      </w:numPr>
      <w:tabs>
        <w:tab w:val="left" w:pos="864"/>
        <w:tab w:val="clear" w:pos="0"/>
      </w:tabs>
      <w:adjustRightInd/>
      <w:spacing w:before="280" w:after="290" w:line="376" w:lineRule="auto"/>
      <w:ind w:left="864" w:hanging="864"/>
      <w:jc w:val="both"/>
      <w:textAlignment w:val="auto"/>
    </w:pPr>
    <w:rPr>
      <w:rFonts w:ascii="宋体" w:hAnsi="宋体"/>
      <w:b w:val="0"/>
      <w:bCs w:val="0"/>
      <w:smallCaps w:val="0"/>
      <w:szCs w:val="28"/>
    </w:rPr>
  </w:style>
  <w:style w:type="paragraph" w:customStyle="1" w:styleId="750">
    <w:name w:val="xl46"/>
    <w:basedOn w:val="1"/>
    <w:semiHidden/>
    <w:qFormat/>
    <w:uiPriority w:val="0"/>
    <w:pPr>
      <w:pBdr>
        <w:top w:val="double" w:color="auto" w:sz="6" w:space="0"/>
        <w:left w:val="single" w:color="auto" w:sz="4" w:space="0"/>
        <w:bottom w:val="single" w:color="auto" w:sz="4" w:space="0"/>
        <w:right w:val="double" w:color="auto" w:sz="6" w:space="0"/>
      </w:pBdr>
      <w:spacing w:before="100" w:beforeAutospacing="1" w:after="100" w:afterAutospacing="1" w:line="360" w:lineRule="auto"/>
      <w:jc w:val="center"/>
      <w:textAlignment w:val="center"/>
    </w:pPr>
    <w:rPr>
      <w:rFonts w:ascii="Arial Unicode MS" w:hAnsi="Arial Unicode MS" w:eastAsia="Arial Unicode MS" w:cs="Arial Unicode MS"/>
      <w:kern w:val="0"/>
      <w:sz w:val="24"/>
    </w:rPr>
  </w:style>
  <w:style w:type="paragraph" w:customStyle="1" w:styleId="751">
    <w:name w:val="表格左对齐"/>
    <w:basedOn w:val="27"/>
    <w:semiHidden/>
    <w:qFormat/>
    <w:uiPriority w:val="0"/>
    <w:pPr>
      <w:adjustRightInd w:val="0"/>
      <w:snapToGrid w:val="0"/>
      <w:spacing w:after="0" w:line="240" w:lineRule="auto"/>
      <w:ind w:left="0" w:leftChars="0" w:firstLine="0" w:firstLineChars="0"/>
    </w:pPr>
    <w:rPr>
      <w:rFonts w:asciiTheme="minorHAnsi" w:hAnsiTheme="minorHAnsi" w:cstheme="minorBidi"/>
      <w:sz w:val="28"/>
      <w:szCs w:val="20"/>
    </w:rPr>
  </w:style>
  <w:style w:type="paragraph" w:customStyle="1" w:styleId="752">
    <w:name w:val="Char Char Char1 Char Char Char Char Char Char Char Char Char Char Char Char Char"/>
    <w:basedOn w:val="1"/>
    <w:semiHidden/>
    <w:qFormat/>
    <w:uiPriority w:val="0"/>
    <w:pPr>
      <w:spacing w:line="360" w:lineRule="auto"/>
      <w:ind w:firstLine="200" w:firstLineChars="200"/>
    </w:pPr>
    <w:rPr>
      <w:rFonts w:ascii="宋体" w:hAnsi="宋体" w:eastAsia="仿宋_GB2312" w:cs="宋体"/>
      <w:sz w:val="24"/>
    </w:rPr>
  </w:style>
  <w:style w:type="paragraph" w:customStyle="1" w:styleId="753">
    <w:name w:val="hyp样式4"/>
    <w:basedOn w:val="1"/>
    <w:semiHidden/>
    <w:qFormat/>
    <w:uiPriority w:val="0"/>
    <w:pPr>
      <w:keepNext/>
      <w:keepLines/>
      <w:numPr>
        <w:ilvl w:val="3"/>
        <w:numId w:val="8"/>
      </w:numPr>
      <w:tabs>
        <w:tab w:val="left" w:pos="1080"/>
      </w:tabs>
      <w:adjustRightInd w:val="0"/>
      <w:snapToGrid w:val="0"/>
      <w:spacing w:line="360" w:lineRule="auto"/>
      <w:ind w:firstLine="0"/>
      <w:textAlignment w:val="baseline"/>
      <w:outlineLvl w:val="3"/>
    </w:pPr>
    <w:rPr>
      <w:b/>
      <w:color w:val="000000"/>
      <w:kern w:val="0"/>
      <w:sz w:val="24"/>
      <w:szCs w:val="28"/>
    </w:rPr>
  </w:style>
  <w:style w:type="paragraph" w:customStyle="1" w:styleId="754">
    <w:name w:val="样式23"/>
    <w:basedOn w:val="5"/>
    <w:semiHidden/>
    <w:qFormat/>
    <w:uiPriority w:val="0"/>
    <w:pPr>
      <w:numPr>
        <w:ilvl w:val="0"/>
        <w:numId w:val="0"/>
      </w:numPr>
      <w:tabs>
        <w:tab w:val="left" w:pos="720"/>
        <w:tab w:val="clear" w:pos="0"/>
      </w:tabs>
      <w:spacing w:before="50" w:after="50"/>
      <w:ind w:left="480" w:hanging="480" w:hangingChars="200"/>
      <w:jc w:val="both"/>
    </w:pPr>
    <w:rPr>
      <w:rFonts w:ascii="黑体" w:hAnsi="黑体" w:eastAsia="黑体" w:cs="Arial Unicode MS"/>
      <w:b w:val="0"/>
      <w:bCs w:val="0"/>
      <w:sz w:val="24"/>
      <w:szCs w:val="24"/>
    </w:rPr>
  </w:style>
  <w:style w:type="paragraph" w:customStyle="1" w:styleId="755">
    <w:name w:val="样式 标题 3 + 段前: 0.5 行 段后: 0.5 行1"/>
    <w:basedOn w:val="5"/>
    <w:semiHidden/>
    <w:qFormat/>
    <w:uiPriority w:val="0"/>
    <w:pPr>
      <w:numPr>
        <w:ilvl w:val="0"/>
        <w:numId w:val="0"/>
      </w:numPr>
      <w:tabs>
        <w:tab w:val="left" w:pos="720"/>
        <w:tab w:val="clear" w:pos="0"/>
      </w:tabs>
      <w:spacing w:before="50" w:beforeLines="50" w:after="50" w:afterLines="50"/>
      <w:ind w:left="720" w:hanging="720"/>
      <w:jc w:val="both"/>
    </w:pPr>
    <w:rPr>
      <w:rFonts w:cs="宋体"/>
      <w:b w:val="0"/>
      <w:bCs w:val="0"/>
      <w:sz w:val="24"/>
      <w:szCs w:val="20"/>
    </w:rPr>
  </w:style>
  <w:style w:type="paragraph" w:customStyle="1" w:styleId="756">
    <w:name w:val="自定义正文 Char Char Char Char"/>
    <w:semiHidden/>
    <w:qFormat/>
    <w:uiPriority w:val="0"/>
    <w:pPr>
      <w:widowControl w:val="0"/>
      <w:topLinePunct/>
      <w:adjustRightInd w:val="0"/>
      <w:snapToGrid w:val="0"/>
      <w:spacing w:line="360" w:lineRule="auto"/>
      <w:ind w:firstLine="510"/>
      <w:jc w:val="both"/>
    </w:pPr>
    <w:rPr>
      <w:rFonts w:ascii="Times New Roman" w:hAnsi="Times New Roman" w:eastAsia="宋体" w:cs="Times New Roman"/>
      <w:kern w:val="2"/>
      <w:position w:val="-28"/>
      <w:sz w:val="28"/>
      <w:szCs w:val="28"/>
      <w:lang w:val="en-US" w:eastAsia="zh-CN" w:bidi="ar-SA"/>
    </w:rPr>
  </w:style>
  <w:style w:type="paragraph" w:customStyle="1" w:styleId="757">
    <w:name w:val="表"/>
    <w:basedOn w:val="463"/>
    <w:semiHidden/>
    <w:qFormat/>
    <w:uiPriority w:val="0"/>
    <w:pPr>
      <w:spacing w:before="50" w:after="50"/>
      <w:ind w:firstLine="200"/>
    </w:pPr>
  </w:style>
  <w:style w:type="paragraph" w:customStyle="1" w:styleId="758">
    <w:name w:val="正文2000"/>
    <w:basedOn w:val="1"/>
    <w:semiHidden/>
    <w:qFormat/>
    <w:uiPriority w:val="0"/>
    <w:pPr>
      <w:tabs>
        <w:tab w:val="left" w:pos="720"/>
      </w:tabs>
      <w:spacing w:line="360" w:lineRule="auto"/>
      <w:ind w:firstLine="560"/>
    </w:pPr>
    <w:rPr>
      <w:rFonts w:ascii="楷体_GB2312" w:eastAsia="楷体_GB2312"/>
      <w:sz w:val="24"/>
      <w:szCs w:val="20"/>
    </w:rPr>
  </w:style>
  <w:style w:type="paragraph" w:customStyle="1" w:styleId="759">
    <w:name w:val="样式 首行缩进:  2 字符"/>
    <w:basedOn w:val="1"/>
    <w:semiHidden/>
    <w:qFormat/>
    <w:uiPriority w:val="0"/>
    <w:pPr>
      <w:spacing w:line="360" w:lineRule="auto"/>
      <w:ind w:firstLine="480" w:firstLineChars="200"/>
    </w:pPr>
    <w:rPr>
      <w:rFonts w:ascii="宋体" w:hAnsi="宋体" w:cs="宋体"/>
      <w:sz w:val="24"/>
      <w:szCs w:val="20"/>
    </w:rPr>
  </w:style>
  <w:style w:type="paragraph" w:customStyle="1" w:styleId="760">
    <w:name w:val="自动标题3"/>
    <w:basedOn w:val="1"/>
    <w:semiHidden/>
    <w:qFormat/>
    <w:uiPriority w:val="0"/>
    <w:pPr>
      <w:tabs>
        <w:tab w:val="left" w:pos="720"/>
      </w:tabs>
      <w:spacing w:line="360" w:lineRule="auto"/>
      <w:ind w:left="720" w:hanging="720"/>
    </w:pPr>
  </w:style>
  <w:style w:type="paragraph" w:customStyle="1" w:styleId="761">
    <w:name w:val="玲表格标题"/>
    <w:basedOn w:val="1"/>
    <w:semiHidden/>
    <w:qFormat/>
    <w:uiPriority w:val="0"/>
    <w:pPr>
      <w:spacing w:line="360" w:lineRule="auto"/>
      <w:jc w:val="center"/>
    </w:pPr>
    <w:rPr>
      <w:sz w:val="24"/>
      <w:szCs w:val="22"/>
    </w:rPr>
  </w:style>
  <w:style w:type="paragraph" w:customStyle="1" w:styleId="762">
    <w:name w:val="小表"/>
    <w:basedOn w:val="1"/>
    <w:semiHidden/>
    <w:qFormat/>
    <w:uiPriority w:val="0"/>
    <w:pPr>
      <w:overflowPunct w:val="0"/>
      <w:autoSpaceDE w:val="0"/>
      <w:autoSpaceDN w:val="0"/>
      <w:adjustRightInd w:val="0"/>
      <w:spacing w:line="360" w:lineRule="auto"/>
      <w:jc w:val="center"/>
      <w:textAlignment w:val="bottom"/>
    </w:pPr>
    <w:rPr>
      <w:kern w:val="0"/>
      <w:szCs w:val="20"/>
    </w:rPr>
  </w:style>
  <w:style w:type="paragraph" w:customStyle="1" w:styleId="763">
    <w:name w:val="玲表格字体"/>
    <w:basedOn w:val="1"/>
    <w:semiHidden/>
    <w:qFormat/>
    <w:uiPriority w:val="0"/>
    <w:pPr>
      <w:spacing w:line="360" w:lineRule="auto"/>
      <w:jc w:val="center"/>
    </w:pPr>
    <w:rPr>
      <w:kern w:val="0"/>
      <w:szCs w:val="20"/>
    </w:rPr>
  </w:style>
  <w:style w:type="paragraph" w:customStyle="1" w:styleId="764">
    <w:name w:val="xz3"/>
    <w:basedOn w:val="1"/>
    <w:semiHidden/>
    <w:qFormat/>
    <w:uiPriority w:val="0"/>
    <w:pPr>
      <w:spacing w:before="50" w:beforeLines="50" w:line="360" w:lineRule="auto"/>
      <w:jc w:val="left"/>
      <w:outlineLvl w:val="2"/>
    </w:pPr>
    <w:rPr>
      <w:rFonts w:ascii="楷体_GB2312" w:eastAsia="楷体_GB2312"/>
      <w:b/>
      <w:sz w:val="30"/>
      <w:szCs w:val="32"/>
    </w:rPr>
  </w:style>
  <w:style w:type="paragraph" w:customStyle="1" w:styleId="765">
    <w:name w:val="表边框和内容样式"/>
    <w:basedOn w:val="1"/>
    <w:semiHidden/>
    <w:qFormat/>
    <w:uiPriority w:val="0"/>
    <w:pPr>
      <w:adjustRightInd w:val="0"/>
      <w:snapToGrid w:val="0"/>
      <w:spacing w:line="500" w:lineRule="exact"/>
      <w:jc w:val="center"/>
    </w:pPr>
    <w:rPr>
      <w:rFonts w:ascii="宋体" w:hAnsi="宋体"/>
      <w:sz w:val="24"/>
    </w:rPr>
  </w:style>
  <w:style w:type="paragraph" w:customStyle="1" w:styleId="766">
    <w:name w:val="xl36"/>
    <w:basedOn w:val="1"/>
    <w:semiHidden/>
    <w:qFormat/>
    <w:uiPriority w:val="0"/>
    <w:pPr>
      <w:spacing w:before="100" w:beforeAutospacing="1" w:after="100" w:afterAutospacing="1" w:line="360" w:lineRule="auto"/>
      <w:jc w:val="center"/>
    </w:pPr>
    <w:rPr>
      <w:rFonts w:ascii="宋体" w:hAnsi="宋体"/>
      <w:spacing w:val="-4"/>
      <w:kern w:val="0"/>
      <w:sz w:val="24"/>
      <w:szCs w:val="28"/>
    </w:rPr>
  </w:style>
  <w:style w:type="paragraph" w:customStyle="1" w:styleId="767">
    <w:name w:val="普通(Web)2"/>
    <w:basedOn w:val="1"/>
    <w:semiHidden/>
    <w:qFormat/>
    <w:uiPriority w:val="0"/>
    <w:pPr>
      <w:spacing w:before="225" w:after="225" w:line="345" w:lineRule="atLeast"/>
      <w:jc w:val="left"/>
    </w:pPr>
    <w:rPr>
      <w:rFonts w:ascii="宋体" w:hAnsi="宋体" w:cs="宋体"/>
      <w:kern w:val="0"/>
      <w:szCs w:val="21"/>
    </w:rPr>
  </w:style>
  <w:style w:type="paragraph" w:customStyle="1" w:styleId="768">
    <w:name w:val="hyp标题3"/>
    <w:basedOn w:val="5"/>
    <w:semiHidden/>
    <w:qFormat/>
    <w:uiPriority w:val="0"/>
    <w:pPr>
      <w:numPr>
        <w:numId w:val="8"/>
      </w:numPr>
      <w:tabs>
        <w:tab w:val="left" w:pos="432"/>
        <w:tab w:val="left" w:pos="720"/>
        <w:tab w:val="clear" w:pos="0"/>
      </w:tabs>
      <w:adjustRightInd w:val="0"/>
      <w:snapToGrid w:val="0"/>
      <w:ind w:firstLine="0" w:firstLineChars="0"/>
      <w:jc w:val="both"/>
      <w:textAlignment w:val="baseline"/>
    </w:pPr>
    <w:rPr>
      <w:rFonts w:eastAsia="黑体"/>
      <w:b w:val="0"/>
      <w:bCs w:val="0"/>
      <w:color w:val="000000"/>
      <w:kern w:val="0"/>
      <w:sz w:val="30"/>
      <w:szCs w:val="20"/>
    </w:rPr>
  </w:style>
  <w:style w:type="paragraph" w:customStyle="1" w:styleId="769">
    <w:name w:val="自动1"/>
    <w:basedOn w:val="1"/>
    <w:semiHidden/>
    <w:qFormat/>
    <w:uiPriority w:val="0"/>
    <w:pPr>
      <w:keepNext/>
      <w:keepLines/>
      <w:tabs>
        <w:tab w:val="left" w:pos="360"/>
      </w:tabs>
      <w:spacing w:before="120" w:after="120" w:line="360" w:lineRule="auto"/>
      <w:outlineLvl w:val="0"/>
    </w:pPr>
    <w:rPr>
      <w:rFonts w:hint="eastAsia" w:ascii="黑体" w:hAnsi="Arial Unicode MS" w:eastAsia="黑体"/>
      <w:b/>
      <w:bCs/>
      <w:color w:val="000000"/>
      <w:kern w:val="44"/>
      <w:sz w:val="30"/>
      <w:szCs w:val="30"/>
    </w:rPr>
  </w:style>
  <w:style w:type="paragraph" w:customStyle="1" w:styleId="770">
    <w:name w:val="表格文本格式"/>
    <w:semiHidden/>
    <w:qFormat/>
    <w:uiPriority w:val="0"/>
    <w:pPr>
      <w:jc w:val="center"/>
    </w:pPr>
    <w:rPr>
      <w:rFonts w:ascii="宋体" w:hAnsi="宋体" w:eastAsia="宋体" w:cs="宋体"/>
      <w:sz w:val="21"/>
      <w:szCs w:val="21"/>
      <w:lang w:val="en-US" w:eastAsia="zh-CN" w:bidi="ar-SA"/>
    </w:rPr>
  </w:style>
  <w:style w:type="paragraph" w:customStyle="1" w:styleId="771">
    <w:name w:val="內文 (Web)"/>
    <w:basedOn w:val="1"/>
    <w:semiHidden/>
    <w:qFormat/>
    <w:uiPriority w:val="0"/>
    <w:pPr>
      <w:spacing w:before="100" w:beforeAutospacing="1" w:after="100" w:afterAutospacing="1" w:line="360" w:lineRule="auto"/>
      <w:jc w:val="left"/>
    </w:pPr>
    <w:rPr>
      <w:rFonts w:ascii="宋体" w:hAnsi="宋体"/>
      <w:kern w:val="0"/>
      <w:sz w:val="24"/>
      <w:szCs w:val="28"/>
    </w:rPr>
  </w:style>
  <w:style w:type="paragraph" w:customStyle="1" w:styleId="772">
    <w:name w:val="样式 样式 首行缩进:  2 字符 + 首行缩进:  2 字符"/>
    <w:basedOn w:val="1"/>
    <w:semiHidden/>
    <w:qFormat/>
    <w:uiPriority w:val="0"/>
    <w:pPr>
      <w:spacing w:line="360" w:lineRule="auto"/>
      <w:ind w:firstLine="560" w:firstLineChars="200"/>
    </w:pPr>
    <w:rPr>
      <w:rFonts w:cs="宋体"/>
      <w:sz w:val="24"/>
      <w:szCs w:val="20"/>
    </w:rPr>
  </w:style>
  <w:style w:type="paragraph" w:customStyle="1" w:styleId="773">
    <w:name w:val="-"/>
    <w:basedOn w:val="1"/>
    <w:semiHidden/>
    <w:qFormat/>
    <w:uiPriority w:val="0"/>
    <w:pPr>
      <w:spacing w:before="100" w:beforeAutospacing="1" w:after="100" w:afterAutospacing="1" w:line="360" w:lineRule="auto"/>
      <w:jc w:val="left"/>
    </w:pPr>
    <w:rPr>
      <w:rFonts w:ascii="宋体" w:hAnsi="宋体" w:cs="宋体"/>
      <w:kern w:val="0"/>
      <w:sz w:val="24"/>
    </w:rPr>
  </w:style>
  <w:style w:type="paragraph" w:customStyle="1" w:styleId="774">
    <w:name w:val="表头文字"/>
    <w:basedOn w:val="1"/>
    <w:semiHidden/>
    <w:qFormat/>
    <w:uiPriority w:val="0"/>
    <w:pPr>
      <w:spacing w:line="360" w:lineRule="auto"/>
      <w:jc w:val="center"/>
    </w:pPr>
    <w:rPr>
      <w:rFonts w:ascii="宋体" w:hAnsi="宋体"/>
      <w:b/>
      <w:snapToGrid w:val="0"/>
      <w:spacing w:val="-10"/>
      <w:kern w:val="0"/>
      <w:sz w:val="24"/>
      <w:szCs w:val="30"/>
    </w:rPr>
  </w:style>
  <w:style w:type="paragraph" w:customStyle="1" w:styleId="775">
    <w:name w:val="表格（小）"/>
    <w:basedOn w:val="1"/>
    <w:semiHidden/>
    <w:qFormat/>
    <w:uiPriority w:val="0"/>
    <w:pPr>
      <w:adjustRightInd w:val="0"/>
      <w:snapToGrid w:val="0"/>
      <w:spacing w:line="360" w:lineRule="auto"/>
    </w:pPr>
    <w:rPr>
      <w:snapToGrid w:val="0"/>
      <w:kern w:val="0"/>
      <w:szCs w:val="20"/>
    </w:rPr>
  </w:style>
  <w:style w:type="paragraph" w:customStyle="1" w:styleId="776">
    <w:name w:val="数字表格"/>
    <w:basedOn w:val="226"/>
    <w:semiHidden/>
    <w:qFormat/>
    <w:uiPriority w:val="0"/>
    <w:pPr>
      <w:adjustRightInd w:val="0"/>
      <w:snapToGrid w:val="0"/>
      <w:spacing w:line="240" w:lineRule="auto"/>
      <w:ind w:left="0" w:leftChars="0" w:right="0" w:rightChars="0" w:firstLine="0" w:firstLineChars="0"/>
    </w:pPr>
    <w:rPr>
      <w:rFonts w:ascii="楷体_GB2312" w:eastAsia="楷体_GB2312" w:hAnsiTheme="minorHAnsi" w:cstheme="minorBidi"/>
      <w:snapToGrid/>
      <w:color w:val="auto"/>
      <w:sz w:val="21"/>
      <w:szCs w:val="24"/>
    </w:rPr>
  </w:style>
  <w:style w:type="paragraph" w:customStyle="1" w:styleId="777">
    <w:name w:val="xl60"/>
    <w:basedOn w:val="1"/>
    <w:semiHidden/>
    <w:qFormat/>
    <w:uiPriority w:val="0"/>
    <w:pPr>
      <w:spacing w:before="100" w:beforeAutospacing="1" w:after="100" w:afterAutospacing="1" w:line="360" w:lineRule="auto"/>
      <w:jc w:val="center"/>
      <w:textAlignment w:val="center"/>
    </w:pPr>
    <w:rPr>
      <w:rFonts w:ascii="Arial Unicode MS" w:hAnsi="Arial Unicode MS" w:eastAsia="Arial Unicode MS" w:cs="Arial Unicode MS"/>
      <w:kern w:val="0"/>
      <w:sz w:val="22"/>
      <w:szCs w:val="22"/>
    </w:rPr>
  </w:style>
  <w:style w:type="paragraph" w:customStyle="1" w:styleId="778">
    <w:name w:val="表格文字居中"/>
    <w:semiHidden/>
    <w:qFormat/>
    <w:uiPriority w:val="0"/>
    <w:pPr>
      <w:adjustRightInd w:val="0"/>
      <w:snapToGrid w:val="0"/>
      <w:spacing w:before="10" w:beforeLines="10" w:after="10" w:afterLines="10"/>
      <w:jc w:val="center"/>
    </w:pPr>
    <w:rPr>
      <w:rFonts w:ascii="宋体" w:hAnsi="宋体" w:eastAsia="宋体" w:cs="Times New Roman"/>
      <w:sz w:val="24"/>
      <w:lang w:val="en-US" w:eastAsia="zh-CN" w:bidi="ar-SA"/>
    </w:rPr>
  </w:style>
  <w:style w:type="paragraph" w:customStyle="1" w:styleId="779">
    <w:name w:val="正文标准样式"/>
    <w:basedOn w:val="1"/>
    <w:semiHidden/>
    <w:qFormat/>
    <w:uiPriority w:val="0"/>
    <w:pPr>
      <w:adjustRightInd w:val="0"/>
      <w:spacing w:line="300" w:lineRule="auto"/>
      <w:ind w:firstLine="482"/>
      <w:textAlignment w:val="baseline"/>
    </w:pPr>
    <w:rPr>
      <w:kern w:val="0"/>
      <w:sz w:val="24"/>
      <w:szCs w:val="20"/>
    </w:rPr>
  </w:style>
  <w:style w:type="paragraph" w:customStyle="1" w:styleId="780">
    <w:name w:val="reader-word-layer reader-word-s1-2"/>
    <w:basedOn w:val="1"/>
    <w:qFormat/>
    <w:uiPriority w:val="0"/>
    <w:pPr>
      <w:spacing w:before="100" w:beforeAutospacing="1" w:after="100" w:afterAutospacing="1" w:line="360" w:lineRule="auto"/>
      <w:jc w:val="left"/>
    </w:pPr>
    <w:rPr>
      <w:rFonts w:ascii="宋体" w:hAnsi="宋体" w:cs="宋体"/>
      <w:kern w:val="0"/>
      <w:sz w:val="24"/>
    </w:rPr>
  </w:style>
  <w:style w:type="paragraph" w:customStyle="1" w:styleId="781">
    <w:name w:val="表号"/>
    <w:basedOn w:val="1"/>
    <w:semiHidden/>
    <w:qFormat/>
    <w:uiPriority w:val="0"/>
    <w:pPr>
      <w:tabs>
        <w:tab w:val="left" w:pos="8478"/>
        <w:tab w:val="right" w:pos="9638"/>
      </w:tabs>
      <w:adjustRightInd w:val="0"/>
      <w:snapToGrid w:val="0"/>
      <w:spacing w:line="360" w:lineRule="auto"/>
      <w:ind w:right="312" w:rightChars="130"/>
      <w:jc w:val="right"/>
    </w:pPr>
    <w:rPr>
      <w:spacing w:val="-4"/>
    </w:rPr>
  </w:style>
  <w:style w:type="paragraph" w:customStyle="1" w:styleId="782">
    <w:name w:val="1文章"/>
    <w:basedOn w:val="1"/>
    <w:semiHidden/>
    <w:qFormat/>
    <w:uiPriority w:val="0"/>
    <w:pPr>
      <w:snapToGrid w:val="0"/>
      <w:spacing w:line="360" w:lineRule="auto"/>
    </w:pPr>
    <w:rPr>
      <w:color w:val="000000"/>
      <w:szCs w:val="20"/>
    </w:rPr>
  </w:style>
  <w:style w:type="paragraph" w:customStyle="1" w:styleId="783">
    <w:name w:val="样式 样式 样式 样式31 + 自动设置 + 段前: 0.5 行 段后: 0.5 行 + 段前: 0.5 行 段后: 0.5 行"/>
    <w:basedOn w:val="1"/>
    <w:semiHidden/>
    <w:qFormat/>
    <w:uiPriority w:val="0"/>
    <w:pPr>
      <w:keepNext/>
      <w:keepLines/>
      <w:tabs>
        <w:tab w:val="left" w:pos="540"/>
      </w:tabs>
      <w:spacing w:before="50" w:beforeLines="50" w:after="50" w:afterLines="50" w:line="360" w:lineRule="auto"/>
      <w:outlineLvl w:val="1"/>
    </w:pPr>
    <w:rPr>
      <w:rFonts w:ascii="黑体" w:hAnsi="黑体" w:eastAsia="黑体" w:cs="宋体"/>
      <w:sz w:val="28"/>
      <w:szCs w:val="20"/>
    </w:rPr>
  </w:style>
  <w:style w:type="paragraph" w:customStyle="1" w:styleId="784">
    <w:name w:val="reader-word-layer reader-word-s1-10"/>
    <w:basedOn w:val="1"/>
    <w:qFormat/>
    <w:uiPriority w:val="0"/>
    <w:pPr>
      <w:spacing w:before="100" w:beforeAutospacing="1" w:after="100" w:afterAutospacing="1" w:line="360" w:lineRule="auto"/>
      <w:jc w:val="left"/>
    </w:pPr>
    <w:rPr>
      <w:rFonts w:ascii="宋体" w:hAnsi="宋体" w:cs="宋体"/>
      <w:kern w:val="0"/>
      <w:sz w:val="24"/>
    </w:rPr>
  </w:style>
  <w:style w:type="paragraph" w:customStyle="1" w:styleId="785">
    <w:name w:val="*正文"/>
    <w:semiHidden/>
    <w:qFormat/>
    <w:uiPriority w:val="0"/>
    <w:pPr>
      <w:numPr>
        <w:ilvl w:val="4"/>
        <w:numId w:val="11"/>
      </w:numPr>
      <w:spacing w:line="360" w:lineRule="auto"/>
      <w:ind w:left="0" w:firstLine="200" w:firstLineChars="200"/>
      <w:jc w:val="both"/>
      <w:textAlignment w:val="baseline"/>
    </w:pPr>
    <w:rPr>
      <w:rFonts w:ascii="Times New Roman" w:hAnsi="Times New Roman" w:eastAsia="宋体" w:cs="Times New Roman"/>
      <w:color w:val="000000"/>
      <w:sz w:val="24"/>
      <w:lang w:val="en-US" w:eastAsia="zh-CN" w:bidi="ar-SA"/>
    </w:rPr>
  </w:style>
  <w:style w:type="paragraph" w:customStyle="1" w:styleId="786">
    <w:name w:val="reader-word-layer reader-word-s3-19"/>
    <w:basedOn w:val="1"/>
    <w:qFormat/>
    <w:uiPriority w:val="0"/>
    <w:pPr>
      <w:spacing w:before="100" w:beforeAutospacing="1" w:after="100" w:afterAutospacing="1" w:line="360" w:lineRule="auto"/>
      <w:jc w:val="left"/>
    </w:pPr>
    <w:rPr>
      <w:rFonts w:ascii="宋体" w:hAnsi="宋体" w:cs="宋体"/>
      <w:kern w:val="0"/>
      <w:sz w:val="24"/>
    </w:rPr>
  </w:style>
  <w:style w:type="paragraph" w:customStyle="1" w:styleId="787">
    <w:name w:val="玲表格00"/>
    <w:basedOn w:val="1"/>
    <w:semiHidden/>
    <w:qFormat/>
    <w:uiPriority w:val="0"/>
    <w:pPr>
      <w:spacing w:line="360" w:lineRule="auto"/>
      <w:jc w:val="center"/>
    </w:pPr>
    <w:rPr>
      <w:color w:val="000000"/>
      <w:sz w:val="24"/>
    </w:rPr>
  </w:style>
  <w:style w:type="paragraph" w:customStyle="1" w:styleId="788">
    <w:name w:val="xl62"/>
    <w:basedOn w:val="1"/>
    <w:semiHidden/>
    <w:qFormat/>
    <w:uiPriority w:val="0"/>
    <w:pPr>
      <w:pBdr>
        <w:bottom w:val="single" w:color="auto" w:sz="4" w:space="0"/>
      </w:pBdr>
      <w:adjustRightInd w:val="0"/>
      <w:snapToGrid w:val="0"/>
      <w:spacing w:before="100" w:after="100" w:line="500" w:lineRule="exact"/>
      <w:jc w:val="center"/>
    </w:pPr>
    <w:rPr>
      <w:rFonts w:hint="eastAsia" w:ascii="宋体" w:hAnsi="宋体"/>
      <w:kern w:val="0"/>
      <w:sz w:val="24"/>
      <w:szCs w:val="20"/>
    </w:rPr>
  </w:style>
  <w:style w:type="paragraph" w:customStyle="1" w:styleId="789">
    <w:name w:val="样式25"/>
    <w:basedOn w:val="1"/>
    <w:semiHidden/>
    <w:qFormat/>
    <w:uiPriority w:val="0"/>
    <w:pPr>
      <w:keepNext/>
      <w:keepLines/>
      <w:tabs>
        <w:tab w:val="left" w:pos="0"/>
        <w:tab w:val="left" w:pos="720"/>
      </w:tabs>
      <w:spacing w:before="156" w:beforeLines="50" w:after="156" w:afterLines="50" w:line="360" w:lineRule="auto"/>
      <w:outlineLvl w:val="3"/>
    </w:pPr>
    <w:rPr>
      <w:sz w:val="24"/>
      <w:szCs w:val="28"/>
      <w:lang w:val="zh-CN"/>
    </w:rPr>
  </w:style>
  <w:style w:type="paragraph" w:customStyle="1" w:styleId="790">
    <w:name w:val="reader-word-layer reader-word-s1-11"/>
    <w:basedOn w:val="1"/>
    <w:qFormat/>
    <w:uiPriority w:val="0"/>
    <w:pPr>
      <w:spacing w:before="100" w:beforeAutospacing="1" w:after="100" w:afterAutospacing="1" w:line="360" w:lineRule="auto"/>
      <w:jc w:val="left"/>
    </w:pPr>
    <w:rPr>
      <w:rFonts w:ascii="宋体" w:hAnsi="宋体" w:cs="宋体"/>
      <w:kern w:val="0"/>
      <w:sz w:val="24"/>
    </w:rPr>
  </w:style>
  <w:style w:type="paragraph" w:customStyle="1" w:styleId="791">
    <w:name w:val="表格内容空行"/>
    <w:basedOn w:val="1"/>
    <w:semiHidden/>
    <w:qFormat/>
    <w:uiPriority w:val="0"/>
    <w:pPr>
      <w:tabs>
        <w:tab w:val="left" w:pos="1535"/>
        <w:tab w:val="left" w:pos="3105"/>
        <w:tab w:val="left" w:pos="4676"/>
        <w:tab w:val="left" w:pos="6247"/>
        <w:tab w:val="left" w:pos="7740"/>
        <w:tab w:val="left" w:pos="9288"/>
      </w:tabs>
      <w:adjustRightInd w:val="0"/>
      <w:snapToGrid w:val="0"/>
      <w:spacing w:before="15" w:beforeLines="15" w:after="15" w:afterLines="15" w:line="240" w:lineRule="exact"/>
      <w:jc w:val="center"/>
      <w:textAlignment w:val="baseline"/>
    </w:pPr>
    <w:rPr>
      <w:color w:val="000000"/>
      <w:kern w:val="0"/>
      <w:szCs w:val="16"/>
    </w:rPr>
  </w:style>
  <w:style w:type="table" w:customStyle="1" w:styleId="792">
    <w:name w:val="何黎的表格样式"/>
    <w:basedOn w:val="63"/>
    <w:semiHidden/>
    <w:qFormat/>
    <w:uiPriority w:val="0"/>
    <w:pPr>
      <w:snapToGrid w:val="0"/>
      <w:jc w:val="center"/>
    </w:pPr>
    <w:tblP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
    <w:tcPr>
      <w:tcMar>
        <w:top w:w="57" w:type="dxa"/>
        <w:bottom w:w="57" w:type="dxa"/>
      </w:tcMar>
      <w:vAlign w:val="center"/>
    </w:tcPr>
  </w:style>
  <w:style w:type="character" w:customStyle="1" w:styleId="793">
    <w:name w:val="正文缩进 Char1"/>
    <w:basedOn w:val="70"/>
    <w:qFormat/>
    <w:uiPriority w:val="0"/>
    <w:rPr>
      <w:rFonts w:hint="default" w:ascii="Times New Roman" w:hAnsi="Times New Roman" w:cs="Times New Roman"/>
      <w:kern w:val="2"/>
      <w:sz w:val="24"/>
      <w:szCs w:val="24"/>
    </w:rPr>
  </w:style>
  <w:style w:type="character" w:customStyle="1" w:styleId="794">
    <w:name w:val="font101"/>
    <w:basedOn w:val="70"/>
    <w:qFormat/>
    <w:uiPriority w:val="0"/>
    <w:rPr>
      <w:rFonts w:hint="eastAsia" w:ascii="宋体" w:hAnsi="宋体" w:eastAsia="宋体" w:cs="宋体"/>
      <w:b/>
      <w:color w:val="000000"/>
      <w:sz w:val="21"/>
      <w:szCs w:val="21"/>
      <w:u w:val="none"/>
    </w:rPr>
  </w:style>
  <w:style w:type="table" w:customStyle="1" w:styleId="795">
    <w:name w:val="表格主题1"/>
    <w:basedOn w:val="6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96">
    <w:name w:val="Unresolved Mention"/>
    <w:basedOn w:val="70"/>
    <w:semiHidden/>
    <w:unhideWhenUsed/>
    <w:qFormat/>
    <w:uiPriority w:val="99"/>
    <w:rPr>
      <w:color w:val="605E5C"/>
      <w:shd w:val="clear" w:color="auto" w:fill="E1DFDD"/>
    </w:rPr>
  </w:style>
  <w:style w:type="table" w:customStyle="1" w:styleId="797">
    <w:name w:val="浅色底纹1"/>
    <w:basedOn w:val="63"/>
    <w:qFormat/>
    <w:uiPriority w:val="60"/>
    <w:rPr>
      <w:rFonts w:ascii="Calibri" w:hAnsi="Calibri"/>
      <w:color w:val="00000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798">
    <w:name w:val="浅色底纹 - 着色 41"/>
    <w:basedOn w:val="63"/>
    <w:qFormat/>
    <w:uiPriority w:val="60"/>
    <w:rPr>
      <w:rFonts w:ascii="Calibri" w:hAnsi="Calibri"/>
      <w:color w:val="5F497A"/>
    </w:rPr>
    <w:tblPr>
      <w:tblBorders>
        <w:top w:val="single" w:color="8064A2" w:sz="8" w:space="0"/>
        <w:bottom w:val="single" w:color="8064A2" w:sz="8" w:space="0"/>
      </w:tblBorders>
    </w:tblPr>
    <w:tblStylePr w:type="firstRow">
      <w:pPr>
        <w:spacing w:before="0" w:after="0" w:line="240" w:lineRule="auto"/>
      </w:pPr>
      <w:rPr>
        <w:b/>
        <w:bCs/>
      </w:rPr>
      <w:tcPr>
        <w:tcBorders>
          <w:top w:val="single" w:color="8064A2" w:sz="8" w:space="0"/>
          <w:left w:val="nil"/>
          <w:bottom w:val="single" w:color="8064A2" w:sz="8" w:space="0"/>
          <w:right w:val="nil"/>
          <w:insideH w:val="nil"/>
          <w:insideV w:val="nil"/>
        </w:tcBorders>
      </w:tcPr>
    </w:tblStylePr>
    <w:tblStylePr w:type="lastRow">
      <w:pPr>
        <w:spacing w:before="0" w:after="0" w:line="240" w:lineRule="auto"/>
      </w:pPr>
      <w:rPr>
        <w:b/>
        <w:bCs/>
      </w:rPr>
      <w:tcPr>
        <w:tcBorders>
          <w:top w:val="single" w:color="8064A2" w:sz="8" w:space="0"/>
          <w:left w:val="nil"/>
          <w:bottom w:val="single" w:color="8064A2"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DFD8E8"/>
      </w:tcPr>
    </w:tblStylePr>
    <w:tblStylePr w:type="band1Horz">
      <w:tcPr>
        <w:tcBorders>
          <w:left w:val="nil"/>
          <w:right w:val="nil"/>
          <w:insideH w:val="nil"/>
          <w:insideV w:val="nil"/>
        </w:tcBorders>
        <w:shd w:val="clear" w:color="auto" w:fill="DFD8E8"/>
      </w:tcPr>
    </w:tblStylePr>
  </w:style>
  <w:style w:type="character" w:customStyle="1" w:styleId="799">
    <w:name w:val="列表 字符"/>
    <w:link w:val="45"/>
    <w:qFormat/>
    <w:uiPriority w:val="99"/>
    <w:rPr>
      <w:kern w:val="2"/>
      <w:sz w:val="21"/>
      <w:szCs w:val="24"/>
    </w:rPr>
  </w:style>
  <w:style w:type="paragraph" w:customStyle="1" w:styleId="800">
    <w:name w:val="正文 报告"/>
    <w:basedOn w:val="1"/>
    <w:qFormat/>
    <w:uiPriority w:val="0"/>
    <w:pPr>
      <w:spacing w:line="360" w:lineRule="auto"/>
      <w:ind w:firstLine="200" w:firstLineChars="200"/>
      <w:jc w:val="left"/>
    </w:pPr>
    <w:rPr>
      <w:rFonts w:ascii="宋体" w:hAnsi="Tahoma" w:eastAsia="华文中宋" w:cs="Tahoma"/>
      <w:kern w:val="0"/>
      <w:sz w:val="24"/>
    </w:rPr>
  </w:style>
  <w:style w:type="paragraph" w:customStyle="1" w:styleId="801">
    <w:name w:val="样式 样式 (中文) 仿宋_GB2312 居中1 + 小四"/>
    <w:basedOn w:val="1"/>
    <w:qFormat/>
    <w:uiPriority w:val="0"/>
    <w:pPr>
      <w:spacing w:line="360" w:lineRule="auto"/>
      <w:jc w:val="center"/>
    </w:pPr>
    <w:rPr>
      <w:rFonts w:hAnsi="宋体"/>
      <w:color w:val="000000"/>
      <w:szCs w:val="21"/>
    </w:rPr>
  </w:style>
  <w:style w:type="table" w:customStyle="1" w:styleId="802">
    <w:name w:val="网格型模版1"/>
    <w:basedOn w:val="63"/>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03">
    <w:name w:val="3级标题"/>
    <w:basedOn w:val="5"/>
    <w:link w:val="804"/>
    <w:qFormat/>
    <w:uiPriority w:val="0"/>
    <w:pPr>
      <w:widowControl/>
      <w:numPr>
        <w:ilvl w:val="0"/>
        <w:numId w:val="13"/>
      </w:numPr>
      <w:tabs>
        <w:tab w:val="clear" w:pos="0"/>
      </w:tabs>
      <w:spacing w:before="120" w:after="120"/>
      <w:ind w:firstLine="0" w:firstLineChars="0"/>
      <w:jc w:val="both"/>
    </w:pPr>
    <w:rPr>
      <w:kern w:val="0"/>
      <w:szCs w:val="32"/>
      <w:lang w:val="zh-CN" w:eastAsia="zh-CN"/>
    </w:rPr>
  </w:style>
  <w:style w:type="character" w:customStyle="1" w:styleId="804">
    <w:name w:val="3级标题 Char"/>
    <w:link w:val="803"/>
    <w:qFormat/>
    <w:uiPriority w:val="0"/>
    <w:rPr>
      <w:b/>
      <w:bCs/>
      <w:sz w:val="28"/>
      <w:szCs w:val="32"/>
      <w:lang w:val="zh-CN" w:eastAsia="zh-CN"/>
    </w:rPr>
  </w:style>
  <w:style w:type="paragraph" w:customStyle="1" w:styleId="805">
    <w:name w:val="xl98"/>
    <w:basedOn w:val="1"/>
    <w:qFormat/>
    <w:uiPriority w:val="0"/>
    <w:pPr>
      <w:pBdr>
        <w:bottom w:val="single" w:color="auto" w:sz="4" w:space="0"/>
        <w:right w:val="single" w:color="auto" w:sz="4" w:space="0"/>
      </w:pBdr>
      <w:spacing w:before="100" w:beforeAutospacing="1" w:after="100" w:afterAutospacing="1" w:line="360" w:lineRule="auto"/>
      <w:jc w:val="center"/>
      <w:textAlignment w:val="center"/>
    </w:pPr>
    <w:rPr>
      <w:rFonts w:ascii="宋体" w:hAnsi="宋体" w:cs="宋体"/>
      <w:color w:val="000000"/>
      <w:kern w:val="0"/>
      <w:szCs w:val="21"/>
    </w:rPr>
  </w:style>
  <w:style w:type="paragraph" w:customStyle="1" w:styleId="806">
    <w:name w:val="font12"/>
    <w:basedOn w:val="1"/>
    <w:qFormat/>
    <w:uiPriority w:val="0"/>
    <w:pPr>
      <w:spacing w:before="100" w:beforeAutospacing="1" w:after="100" w:afterAutospacing="1" w:line="360" w:lineRule="auto"/>
      <w:jc w:val="left"/>
    </w:pPr>
    <w:rPr>
      <w:kern w:val="0"/>
      <w:szCs w:val="21"/>
    </w:rPr>
  </w:style>
  <w:style w:type="paragraph" w:customStyle="1" w:styleId="807">
    <w:name w:val="font13"/>
    <w:basedOn w:val="1"/>
    <w:qFormat/>
    <w:uiPriority w:val="0"/>
    <w:pPr>
      <w:spacing w:before="100" w:beforeAutospacing="1" w:after="100" w:afterAutospacing="1" w:line="360" w:lineRule="auto"/>
      <w:jc w:val="left"/>
    </w:pPr>
    <w:rPr>
      <w:rFonts w:ascii="宋体" w:hAnsi="宋体" w:cs="宋体"/>
      <w:kern w:val="0"/>
      <w:szCs w:val="21"/>
    </w:rPr>
  </w:style>
  <w:style w:type="paragraph" w:customStyle="1" w:styleId="808">
    <w:name w:val="font14"/>
    <w:basedOn w:val="1"/>
    <w:qFormat/>
    <w:uiPriority w:val="0"/>
    <w:pPr>
      <w:spacing w:before="100" w:beforeAutospacing="1" w:after="100" w:afterAutospacing="1" w:line="360" w:lineRule="auto"/>
      <w:jc w:val="left"/>
    </w:pPr>
    <w:rPr>
      <w:color w:val="000000"/>
      <w:kern w:val="0"/>
      <w:szCs w:val="21"/>
    </w:rPr>
  </w:style>
  <w:style w:type="table" w:customStyle="1" w:styleId="809">
    <w:name w:val="网格型2"/>
    <w:basedOn w:val="63"/>
    <w:qFormat/>
    <w:uiPriority w:val="59"/>
    <w:rPr>
      <w:rFonts w:ascii="Calibri" w:hAnsi="Calibri" w:eastAsia="楷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0">
    <w:name w:val="网格型3"/>
    <w:basedOn w:val="63"/>
    <w:qFormat/>
    <w:uiPriority w:val="59"/>
    <w:rPr>
      <w:rFonts w:ascii="Calibri" w:hAnsi="Calibri" w:eastAsia="楷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1">
    <w:name w:val="网格型4"/>
    <w:basedOn w:val="63"/>
    <w:qFormat/>
    <w:uiPriority w:val="59"/>
    <w:rPr>
      <w:rFonts w:ascii="Calibri" w:hAnsi="Calibri" w:eastAsia="楷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2">
    <w:name w:val="网格型16"/>
    <w:basedOn w:val="63"/>
    <w:unhideWhenUsed/>
    <w:qFormat/>
    <w:uiPriority w:val="59"/>
    <w:rPr>
      <w:rFonts w:ascii="Calibri" w:hAnsi="Calibri" w:eastAsia="楷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3">
    <w:name w:val="网格型5"/>
    <w:basedOn w:val="63"/>
    <w:qFormat/>
    <w:uiPriority w:val="59"/>
    <w:rPr>
      <w:rFonts w:ascii="Calibri" w:hAnsi="Calibr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4">
    <w:name w:val="网格型6"/>
    <w:basedOn w:val="63"/>
    <w:qFormat/>
    <w:uiPriority w:val="3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5">
    <w:name w:val="浅色底纹2"/>
    <w:basedOn w:val="63"/>
    <w:qFormat/>
    <w:uiPriority w:val="60"/>
    <w:rPr>
      <w:rFonts w:ascii="Calibri" w:hAnsi="Calibri"/>
      <w:color w:val="00000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816">
    <w:name w:val="浅色底纹 - 着色 42"/>
    <w:basedOn w:val="63"/>
    <w:qFormat/>
    <w:uiPriority w:val="60"/>
    <w:rPr>
      <w:rFonts w:ascii="Calibri" w:hAnsi="Calibri"/>
      <w:color w:val="5F497A"/>
    </w:rPr>
    <w:tblPr>
      <w:tblBorders>
        <w:top w:val="single" w:color="8064A2" w:sz="8" w:space="0"/>
        <w:bottom w:val="single" w:color="8064A2" w:sz="8" w:space="0"/>
      </w:tblBorders>
    </w:tblPr>
    <w:tblStylePr w:type="firstRow">
      <w:pPr>
        <w:spacing w:before="0" w:after="0" w:line="240" w:lineRule="auto"/>
      </w:pPr>
      <w:rPr>
        <w:b/>
        <w:bCs/>
      </w:rPr>
      <w:tcPr>
        <w:tcBorders>
          <w:top w:val="single" w:color="8064A2" w:sz="8" w:space="0"/>
          <w:left w:val="nil"/>
          <w:bottom w:val="single" w:color="8064A2" w:sz="8" w:space="0"/>
          <w:right w:val="nil"/>
          <w:insideH w:val="nil"/>
          <w:insideV w:val="nil"/>
        </w:tcBorders>
      </w:tcPr>
    </w:tblStylePr>
    <w:tblStylePr w:type="lastRow">
      <w:pPr>
        <w:spacing w:before="0" w:after="0" w:line="240" w:lineRule="auto"/>
      </w:pPr>
      <w:rPr>
        <w:b/>
        <w:bCs/>
      </w:rPr>
      <w:tcPr>
        <w:tcBorders>
          <w:top w:val="single" w:color="8064A2" w:sz="8" w:space="0"/>
          <w:left w:val="nil"/>
          <w:bottom w:val="single" w:color="8064A2"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DFD8E8"/>
      </w:tcPr>
    </w:tblStylePr>
    <w:tblStylePr w:type="band1Horz">
      <w:tcPr>
        <w:tcBorders>
          <w:left w:val="nil"/>
          <w:right w:val="nil"/>
          <w:insideH w:val="nil"/>
          <w:insideV w:val="nil"/>
        </w:tcBorders>
        <w:shd w:val="clear" w:color="auto" w:fill="DFD8E8"/>
      </w:tcPr>
    </w:tblStylePr>
  </w:style>
  <w:style w:type="table" w:customStyle="1" w:styleId="817">
    <w:name w:val="网格型模版11"/>
    <w:basedOn w:val="63"/>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8">
    <w:name w:val="网格型21"/>
    <w:basedOn w:val="63"/>
    <w:qFormat/>
    <w:uiPriority w:val="59"/>
    <w:rPr>
      <w:rFonts w:ascii="Calibri" w:hAnsi="Calibri" w:eastAsia="楷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9">
    <w:name w:val="网格型31"/>
    <w:basedOn w:val="63"/>
    <w:qFormat/>
    <w:uiPriority w:val="59"/>
    <w:rPr>
      <w:rFonts w:ascii="Calibri" w:hAnsi="Calibri" w:eastAsia="楷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0">
    <w:name w:val="网格型41"/>
    <w:basedOn w:val="63"/>
    <w:qFormat/>
    <w:uiPriority w:val="59"/>
    <w:rPr>
      <w:rFonts w:ascii="Calibri" w:hAnsi="Calibri" w:eastAsia="楷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1">
    <w:name w:val="网格型161"/>
    <w:basedOn w:val="63"/>
    <w:unhideWhenUsed/>
    <w:qFormat/>
    <w:uiPriority w:val="59"/>
    <w:rPr>
      <w:rFonts w:ascii="Calibri" w:hAnsi="Calibri" w:eastAsia="楷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2">
    <w:name w:val="网格型51"/>
    <w:basedOn w:val="63"/>
    <w:qFormat/>
    <w:uiPriority w:val="59"/>
    <w:rPr>
      <w:rFonts w:ascii="Calibri" w:hAnsi="Calibr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3">
    <w:name w:val="网格型7"/>
    <w:basedOn w:val="63"/>
    <w:qFormat/>
    <w:uiPriority w:val="3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4">
    <w:name w:val="浅色底纹3"/>
    <w:basedOn w:val="63"/>
    <w:qFormat/>
    <w:uiPriority w:val="60"/>
    <w:rPr>
      <w:rFonts w:ascii="Calibri" w:hAnsi="Calibri"/>
      <w:color w:val="000000"/>
    </w:rPr>
    <w:tblPr>
      <w:tblBorders>
        <w:top w:val="single" w:color="000000" w:sz="8" w:space="0"/>
        <w:bottom w:val="single" w:color="000000" w:sz="8" w:space="0"/>
      </w:tblBorders>
    </w:tblPr>
    <w:tblStylePr w:type="fir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cPr>
        <w:tcBorders>
          <w:top w:val="single" w:color="000000" w:sz="8" w:space="0"/>
          <w:left w:val="nil"/>
          <w:bottom w:val="single" w:color="000000"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C0C0C0"/>
      </w:tcPr>
    </w:tblStylePr>
    <w:tblStylePr w:type="band1Horz">
      <w:tcPr>
        <w:tcBorders>
          <w:left w:val="nil"/>
          <w:right w:val="nil"/>
          <w:insideH w:val="nil"/>
          <w:insideV w:val="nil"/>
        </w:tcBorders>
        <w:shd w:val="clear" w:color="auto" w:fill="C0C0C0"/>
      </w:tcPr>
    </w:tblStylePr>
  </w:style>
  <w:style w:type="table" w:customStyle="1" w:styleId="825">
    <w:name w:val="浅色底纹 - 着色 43"/>
    <w:basedOn w:val="63"/>
    <w:qFormat/>
    <w:uiPriority w:val="60"/>
    <w:rPr>
      <w:rFonts w:ascii="Calibri" w:hAnsi="Calibri"/>
      <w:color w:val="5F497A"/>
    </w:rPr>
    <w:tblPr>
      <w:tblBorders>
        <w:top w:val="single" w:color="8064A2" w:sz="8" w:space="0"/>
        <w:bottom w:val="single" w:color="8064A2" w:sz="8" w:space="0"/>
      </w:tblBorders>
    </w:tblPr>
    <w:tblStylePr w:type="firstRow">
      <w:pPr>
        <w:spacing w:before="0" w:after="0" w:line="240" w:lineRule="auto"/>
      </w:pPr>
      <w:rPr>
        <w:b/>
        <w:bCs/>
      </w:rPr>
      <w:tcPr>
        <w:tcBorders>
          <w:top w:val="single" w:color="8064A2" w:sz="8" w:space="0"/>
          <w:left w:val="nil"/>
          <w:bottom w:val="single" w:color="8064A2" w:sz="8" w:space="0"/>
          <w:right w:val="nil"/>
          <w:insideH w:val="nil"/>
          <w:insideV w:val="nil"/>
        </w:tcBorders>
      </w:tcPr>
    </w:tblStylePr>
    <w:tblStylePr w:type="lastRow">
      <w:pPr>
        <w:spacing w:before="0" w:after="0" w:line="240" w:lineRule="auto"/>
      </w:pPr>
      <w:rPr>
        <w:b/>
        <w:bCs/>
      </w:rPr>
      <w:tcPr>
        <w:tcBorders>
          <w:top w:val="single" w:color="8064A2" w:sz="8" w:space="0"/>
          <w:left w:val="nil"/>
          <w:bottom w:val="single" w:color="8064A2"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DFD8E8"/>
      </w:tcPr>
    </w:tblStylePr>
    <w:tblStylePr w:type="band1Horz">
      <w:tcPr>
        <w:tcBorders>
          <w:left w:val="nil"/>
          <w:right w:val="nil"/>
          <w:insideH w:val="nil"/>
          <w:insideV w:val="nil"/>
        </w:tcBorders>
        <w:shd w:val="clear" w:color="auto" w:fill="DFD8E8"/>
      </w:tcPr>
    </w:tblStylePr>
  </w:style>
  <w:style w:type="table" w:customStyle="1" w:styleId="826">
    <w:name w:val="网格型13"/>
    <w:basedOn w:val="63"/>
    <w:qFormat/>
    <w:uiPriority w:val="39"/>
    <w:rPr>
      <w:rFonts w:ascii="Calibri" w:hAnsi="Calibr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27">
    <w:name w:val="xl99"/>
    <w:basedOn w:val="1"/>
    <w:qFormat/>
    <w:uiPriority w:val="0"/>
    <w:pPr>
      <w:pBdr>
        <w:left w:val="single" w:color="auto" w:sz="4" w:space="0"/>
      </w:pBdr>
      <w:spacing w:before="100" w:beforeAutospacing="1" w:after="100" w:afterAutospacing="1" w:line="360" w:lineRule="auto"/>
      <w:jc w:val="center"/>
      <w:textAlignment w:val="center"/>
    </w:pPr>
    <w:rPr>
      <w:rFonts w:ascii="宋体" w:hAnsi="宋体" w:cs="宋体"/>
      <w:color w:val="000000"/>
      <w:kern w:val="0"/>
      <w:szCs w:val="21"/>
    </w:rPr>
  </w:style>
  <w:style w:type="paragraph" w:customStyle="1" w:styleId="828">
    <w:name w:val="xl100"/>
    <w:basedOn w:val="1"/>
    <w:qFormat/>
    <w:uiPriority w:val="0"/>
    <w:pPr>
      <w:pBdr>
        <w:right w:val="single" w:color="auto" w:sz="4" w:space="0"/>
      </w:pBdr>
      <w:spacing w:before="100" w:beforeAutospacing="1" w:after="100" w:afterAutospacing="1" w:line="360" w:lineRule="auto"/>
      <w:jc w:val="center"/>
      <w:textAlignment w:val="center"/>
    </w:pPr>
    <w:rPr>
      <w:rFonts w:ascii="宋体" w:hAnsi="宋体" w:cs="宋体"/>
      <w:color w:val="000000"/>
      <w:kern w:val="0"/>
      <w:szCs w:val="21"/>
    </w:rPr>
  </w:style>
  <w:style w:type="paragraph" w:customStyle="1" w:styleId="829">
    <w:name w:val="xl101"/>
    <w:basedOn w:val="1"/>
    <w:qFormat/>
    <w:uiPriority w:val="0"/>
    <w:pPr>
      <w:pBdr>
        <w:left w:val="single" w:color="auto" w:sz="4" w:space="0"/>
        <w:bottom w:val="single" w:color="auto" w:sz="4" w:space="0"/>
      </w:pBdr>
      <w:spacing w:before="100" w:beforeAutospacing="1" w:after="100" w:afterAutospacing="1" w:line="360" w:lineRule="auto"/>
      <w:jc w:val="center"/>
      <w:textAlignment w:val="center"/>
    </w:pPr>
    <w:rPr>
      <w:rFonts w:ascii="宋体" w:hAnsi="宋体" w:cs="宋体"/>
      <w:color w:val="000000"/>
      <w:kern w:val="0"/>
      <w:szCs w:val="21"/>
    </w:rPr>
  </w:style>
  <w:style w:type="paragraph" w:customStyle="1" w:styleId="830">
    <w:name w:val="xl102"/>
    <w:basedOn w:val="1"/>
    <w:qFormat/>
    <w:uiPriority w:val="0"/>
    <w:pPr>
      <w:pBdr>
        <w:bottom w:val="single" w:color="auto" w:sz="4" w:space="0"/>
        <w:right w:val="single" w:color="auto" w:sz="4" w:space="0"/>
      </w:pBdr>
      <w:spacing w:before="100" w:beforeAutospacing="1" w:after="100" w:afterAutospacing="1" w:line="360" w:lineRule="auto"/>
      <w:jc w:val="center"/>
      <w:textAlignment w:val="center"/>
    </w:pPr>
    <w:rPr>
      <w:rFonts w:ascii="宋体" w:hAnsi="宋体" w:cs="宋体"/>
      <w:color w:val="000000"/>
      <w:kern w:val="0"/>
      <w:szCs w:val="21"/>
    </w:rPr>
  </w:style>
  <w:style w:type="paragraph" w:customStyle="1" w:styleId="831">
    <w:name w:val="xl103"/>
    <w:basedOn w:val="1"/>
    <w:qFormat/>
    <w:uiPriority w:val="0"/>
    <w:pPr>
      <w:pBdr>
        <w:top w:val="single" w:color="auto" w:sz="4" w:space="0"/>
        <w:left w:val="single" w:color="auto" w:sz="4" w:space="0"/>
        <w:right w:val="single" w:color="auto" w:sz="4" w:space="0"/>
      </w:pBdr>
      <w:spacing w:before="100" w:beforeAutospacing="1" w:after="100" w:afterAutospacing="1" w:line="360" w:lineRule="auto"/>
      <w:jc w:val="center"/>
    </w:pPr>
    <w:rPr>
      <w:rFonts w:ascii="宋体" w:hAnsi="宋体" w:cs="宋体"/>
      <w:kern w:val="0"/>
      <w:sz w:val="24"/>
    </w:rPr>
  </w:style>
  <w:style w:type="paragraph" w:customStyle="1" w:styleId="832">
    <w:name w:val="xl104"/>
    <w:basedOn w:val="1"/>
    <w:qFormat/>
    <w:uiPriority w:val="0"/>
    <w:pPr>
      <w:pBdr>
        <w:left w:val="single" w:color="auto" w:sz="4" w:space="0"/>
        <w:bottom w:val="single" w:color="auto" w:sz="4" w:space="0"/>
        <w:right w:val="single" w:color="auto" w:sz="4" w:space="0"/>
      </w:pBdr>
      <w:spacing w:before="100" w:beforeAutospacing="1" w:after="100" w:afterAutospacing="1" w:line="360" w:lineRule="auto"/>
      <w:jc w:val="center"/>
    </w:pPr>
    <w:rPr>
      <w:rFonts w:ascii="宋体" w:hAnsi="宋体" w:cs="宋体"/>
      <w:kern w:val="0"/>
      <w:sz w:val="24"/>
    </w:rPr>
  </w:style>
  <w:style w:type="paragraph" w:customStyle="1" w:styleId="833">
    <w:name w:val="xl105"/>
    <w:basedOn w:val="1"/>
    <w:qFormat/>
    <w:uiPriority w:val="0"/>
    <w:pPr>
      <w:pBdr>
        <w:top w:val="single" w:color="auto" w:sz="4" w:space="0"/>
        <w:left w:val="single" w:color="auto" w:sz="4" w:space="0"/>
        <w:right w:val="single" w:color="auto" w:sz="4" w:space="0"/>
      </w:pBdr>
      <w:spacing w:before="100" w:beforeAutospacing="1" w:after="100" w:afterAutospacing="1" w:line="360" w:lineRule="auto"/>
      <w:jc w:val="center"/>
      <w:textAlignment w:val="center"/>
    </w:pPr>
    <w:rPr>
      <w:kern w:val="0"/>
      <w:sz w:val="24"/>
    </w:rPr>
  </w:style>
  <w:style w:type="paragraph" w:customStyle="1" w:styleId="834">
    <w:name w:val="xl106"/>
    <w:basedOn w:val="1"/>
    <w:qFormat/>
    <w:uiPriority w:val="0"/>
    <w:pPr>
      <w:pBdr>
        <w:left w:val="single" w:color="auto" w:sz="4" w:space="0"/>
        <w:right w:val="single" w:color="auto" w:sz="4" w:space="0"/>
      </w:pBdr>
      <w:spacing w:before="100" w:beforeAutospacing="1" w:after="100" w:afterAutospacing="1" w:line="360" w:lineRule="auto"/>
      <w:jc w:val="center"/>
      <w:textAlignment w:val="center"/>
    </w:pPr>
    <w:rPr>
      <w:kern w:val="0"/>
      <w:sz w:val="24"/>
    </w:rPr>
  </w:style>
  <w:style w:type="paragraph" w:customStyle="1" w:styleId="835">
    <w:name w:val="xl107"/>
    <w:basedOn w:val="1"/>
    <w:qFormat/>
    <w:uiPriority w:val="0"/>
    <w:pPr>
      <w:pBdr>
        <w:left w:val="single" w:color="auto" w:sz="4" w:space="0"/>
        <w:bottom w:val="single" w:color="auto" w:sz="4" w:space="0"/>
        <w:right w:val="single" w:color="auto" w:sz="4" w:space="0"/>
      </w:pBdr>
      <w:spacing w:before="100" w:beforeAutospacing="1" w:after="100" w:afterAutospacing="1" w:line="360" w:lineRule="auto"/>
      <w:jc w:val="center"/>
      <w:textAlignment w:val="center"/>
    </w:pPr>
    <w:rPr>
      <w:kern w:val="0"/>
      <w:sz w:val="24"/>
    </w:rPr>
  </w:style>
  <w:style w:type="paragraph" w:customStyle="1" w:styleId="836">
    <w:name w:val="xl108"/>
    <w:basedOn w:val="1"/>
    <w:qFormat/>
    <w:uiPriority w:val="0"/>
    <w:pPr>
      <w:pBdr>
        <w:top w:val="single" w:color="auto" w:sz="4" w:space="0"/>
        <w:left w:val="single" w:color="auto" w:sz="4" w:space="0"/>
        <w:right w:val="single" w:color="auto" w:sz="4" w:space="0"/>
      </w:pBdr>
      <w:spacing w:before="100" w:beforeAutospacing="1" w:after="100" w:afterAutospacing="1" w:line="360" w:lineRule="auto"/>
      <w:jc w:val="left"/>
      <w:textAlignment w:val="center"/>
    </w:pPr>
    <w:rPr>
      <w:kern w:val="0"/>
      <w:sz w:val="24"/>
    </w:rPr>
  </w:style>
  <w:style w:type="paragraph" w:customStyle="1" w:styleId="837">
    <w:name w:val="xl109"/>
    <w:basedOn w:val="1"/>
    <w:qFormat/>
    <w:uiPriority w:val="0"/>
    <w:pPr>
      <w:pBdr>
        <w:left w:val="single" w:color="auto" w:sz="4" w:space="0"/>
        <w:right w:val="single" w:color="auto" w:sz="4" w:space="0"/>
      </w:pBdr>
      <w:spacing w:before="100" w:beforeAutospacing="1" w:after="100" w:afterAutospacing="1" w:line="360" w:lineRule="auto"/>
      <w:jc w:val="left"/>
      <w:textAlignment w:val="center"/>
    </w:pPr>
    <w:rPr>
      <w:kern w:val="0"/>
      <w:sz w:val="24"/>
    </w:rPr>
  </w:style>
  <w:style w:type="paragraph" w:customStyle="1" w:styleId="838">
    <w:name w:val="xl110"/>
    <w:basedOn w:val="1"/>
    <w:qFormat/>
    <w:uiPriority w:val="0"/>
    <w:pPr>
      <w:pBdr>
        <w:left w:val="single" w:color="auto" w:sz="4" w:space="0"/>
        <w:bottom w:val="single" w:color="auto" w:sz="4" w:space="0"/>
        <w:right w:val="single" w:color="auto" w:sz="4" w:space="0"/>
      </w:pBdr>
      <w:spacing w:before="100" w:beforeAutospacing="1" w:after="100" w:afterAutospacing="1" w:line="360" w:lineRule="auto"/>
      <w:jc w:val="left"/>
      <w:textAlignment w:val="center"/>
    </w:pPr>
    <w:rPr>
      <w:kern w:val="0"/>
      <w:sz w:val="24"/>
    </w:rPr>
  </w:style>
  <w:style w:type="paragraph" w:customStyle="1" w:styleId="839">
    <w:name w:val="xl111"/>
    <w:basedOn w:val="1"/>
    <w:qFormat/>
    <w:uiPriority w:val="0"/>
    <w:pPr>
      <w:pBdr>
        <w:top w:val="single" w:color="auto" w:sz="4" w:space="0"/>
        <w:left w:val="single" w:color="auto" w:sz="4" w:space="0"/>
        <w:bottom w:val="single" w:color="auto" w:sz="4" w:space="0"/>
      </w:pBdr>
      <w:spacing w:before="100" w:beforeAutospacing="1" w:after="100" w:afterAutospacing="1" w:line="360" w:lineRule="auto"/>
      <w:jc w:val="center"/>
      <w:textAlignment w:val="center"/>
    </w:pPr>
    <w:rPr>
      <w:rFonts w:ascii="宋体" w:hAnsi="宋体" w:cs="宋体"/>
      <w:kern w:val="0"/>
      <w:sz w:val="24"/>
    </w:rPr>
  </w:style>
  <w:style w:type="paragraph" w:customStyle="1" w:styleId="840">
    <w:name w:val="xl112"/>
    <w:basedOn w:val="1"/>
    <w:qFormat/>
    <w:uiPriority w:val="0"/>
    <w:pPr>
      <w:pBdr>
        <w:top w:val="single" w:color="auto" w:sz="4" w:space="0"/>
        <w:bottom w:val="single" w:color="auto" w:sz="4" w:space="0"/>
        <w:right w:val="single" w:color="auto" w:sz="4" w:space="0"/>
      </w:pBdr>
      <w:spacing w:before="100" w:beforeAutospacing="1" w:after="100" w:afterAutospacing="1" w:line="360" w:lineRule="auto"/>
      <w:jc w:val="center"/>
      <w:textAlignment w:val="center"/>
    </w:pPr>
    <w:rPr>
      <w:rFonts w:ascii="宋体" w:hAnsi="宋体" w:cs="宋体"/>
      <w:kern w:val="0"/>
      <w:sz w:val="24"/>
    </w:rPr>
  </w:style>
  <w:style w:type="paragraph" w:customStyle="1" w:styleId="841">
    <w:name w:val="xl113"/>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left"/>
    </w:pPr>
    <w:rPr>
      <w:rFonts w:ascii="宋体" w:hAnsi="宋体" w:cs="宋体"/>
      <w:kern w:val="0"/>
      <w:sz w:val="24"/>
    </w:rPr>
  </w:style>
  <w:style w:type="paragraph" w:customStyle="1" w:styleId="842">
    <w:name w:val="xl11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left"/>
      <w:textAlignment w:val="center"/>
    </w:pPr>
    <w:rPr>
      <w:rFonts w:ascii="宋体" w:hAnsi="宋体" w:cs="宋体"/>
      <w:kern w:val="0"/>
      <w:sz w:val="24"/>
    </w:rPr>
  </w:style>
  <w:style w:type="paragraph" w:customStyle="1" w:styleId="843">
    <w:name w:val="xl11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left"/>
      <w:textAlignment w:val="center"/>
    </w:pPr>
    <w:rPr>
      <w:rFonts w:ascii="宋体" w:hAnsi="宋体" w:cs="宋体"/>
      <w:kern w:val="0"/>
      <w:sz w:val="24"/>
    </w:rPr>
  </w:style>
  <w:style w:type="paragraph" w:customStyle="1" w:styleId="844">
    <w:name w:val="xl11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360" w:lineRule="auto"/>
      <w:jc w:val="left"/>
      <w:textAlignment w:val="center"/>
    </w:pPr>
    <w:rPr>
      <w:rFonts w:ascii="宋体" w:hAnsi="宋体" w:cs="宋体"/>
      <w:kern w:val="0"/>
      <w:sz w:val="24"/>
    </w:rPr>
  </w:style>
  <w:style w:type="paragraph" w:customStyle="1" w:styleId="845">
    <w:name w:val="xl117"/>
    <w:basedOn w:val="1"/>
    <w:qFormat/>
    <w:uiPriority w:val="0"/>
    <w:pPr>
      <w:pBdr>
        <w:top w:val="single" w:color="auto" w:sz="4" w:space="0"/>
        <w:left w:val="single" w:color="auto" w:sz="4" w:space="0"/>
        <w:bottom w:val="single" w:color="auto" w:sz="4" w:space="0"/>
      </w:pBdr>
      <w:shd w:val="clear" w:color="000000" w:fill="FFFF00"/>
      <w:spacing w:before="100" w:beforeAutospacing="1" w:after="100" w:afterAutospacing="1" w:line="360" w:lineRule="auto"/>
      <w:jc w:val="center"/>
    </w:pPr>
    <w:rPr>
      <w:rFonts w:ascii="宋体" w:hAnsi="宋体" w:cs="宋体"/>
      <w:kern w:val="0"/>
      <w:sz w:val="24"/>
    </w:rPr>
  </w:style>
  <w:style w:type="paragraph" w:customStyle="1" w:styleId="846">
    <w:name w:val="xl118"/>
    <w:basedOn w:val="1"/>
    <w:qFormat/>
    <w:uiPriority w:val="0"/>
    <w:pPr>
      <w:pBdr>
        <w:top w:val="single" w:color="auto" w:sz="4" w:space="0"/>
        <w:bottom w:val="single" w:color="auto" w:sz="4" w:space="0"/>
        <w:right w:val="single" w:color="auto" w:sz="4" w:space="0"/>
      </w:pBdr>
      <w:shd w:val="clear" w:color="000000" w:fill="FFFF00"/>
      <w:spacing w:before="100" w:beforeAutospacing="1" w:after="100" w:afterAutospacing="1" w:line="360" w:lineRule="auto"/>
      <w:jc w:val="center"/>
    </w:pPr>
    <w:rPr>
      <w:rFonts w:ascii="宋体" w:hAnsi="宋体" w:cs="宋体"/>
      <w:kern w:val="0"/>
      <w:sz w:val="24"/>
    </w:rPr>
  </w:style>
  <w:style w:type="paragraph" w:customStyle="1" w:styleId="847">
    <w:name w:val="正文22222"/>
    <w:basedOn w:val="1"/>
    <w:link w:val="848"/>
    <w:qFormat/>
    <w:uiPriority w:val="0"/>
    <w:pPr>
      <w:spacing w:line="360" w:lineRule="auto"/>
      <w:ind w:firstLine="480" w:firstLineChars="200"/>
    </w:pPr>
    <w:rPr>
      <w:sz w:val="24"/>
      <w:szCs w:val="22"/>
    </w:rPr>
  </w:style>
  <w:style w:type="character" w:customStyle="1" w:styleId="848">
    <w:name w:val="正文22222 Char"/>
    <w:link w:val="847"/>
    <w:qFormat/>
    <w:uiPriority w:val="0"/>
    <w:rPr>
      <w:kern w:val="2"/>
      <w:sz w:val="24"/>
      <w:szCs w:val="22"/>
    </w:rPr>
  </w:style>
  <w:style w:type="paragraph" w:customStyle="1" w:styleId="849">
    <w:name w:val="xl119"/>
    <w:basedOn w:val="1"/>
    <w:qFormat/>
    <w:uiPriority w:val="0"/>
    <w:pPr>
      <w:pBdr>
        <w:top w:val="single" w:color="auto" w:sz="4" w:space="0"/>
        <w:left w:val="single" w:color="auto" w:sz="4" w:space="0"/>
        <w:bottom w:val="single" w:color="auto" w:sz="4" w:space="0"/>
      </w:pBdr>
      <w:shd w:val="clear" w:color="000000" w:fill="FFFF00"/>
      <w:spacing w:before="100" w:beforeAutospacing="1" w:after="100" w:afterAutospacing="1" w:line="360" w:lineRule="auto"/>
      <w:jc w:val="center"/>
    </w:pPr>
    <w:rPr>
      <w:rFonts w:ascii="宋体" w:hAnsi="宋体" w:cs="宋体"/>
      <w:kern w:val="0"/>
      <w:sz w:val="24"/>
    </w:rPr>
  </w:style>
  <w:style w:type="paragraph" w:customStyle="1" w:styleId="850">
    <w:name w:val="xl120"/>
    <w:basedOn w:val="1"/>
    <w:qFormat/>
    <w:uiPriority w:val="0"/>
    <w:pPr>
      <w:pBdr>
        <w:top w:val="single" w:color="auto" w:sz="4" w:space="0"/>
        <w:bottom w:val="single" w:color="auto" w:sz="4" w:space="0"/>
        <w:right w:val="single" w:color="auto" w:sz="4" w:space="0"/>
      </w:pBdr>
      <w:shd w:val="clear" w:color="000000" w:fill="FFFF00"/>
      <w:spacing w:before="100" w:beforeAutospacing="1" w:after="100" w:afterAutospacing="1" w:line="360" w:lineRule="auto"/>
      <w:jc w:val="center"/>
    </w:pPr>
    <w:rPr>
      <w:rFonts w:ascii="宋体" w:hAnsi="宋体" w:cs="宋体"/>
      <w:kern w:val="0"/>
      <w:sz w:val="24"/>
    </w:rPr>
  </w:style>
  <w:style w:type="table" w:customStyle="1" w:styleId="851">
    <w:name w:val="网格型14"/>
    <w:basedOn w:val="63"/>
    <w:qFormat/>
    <w:uiPriority w:val="39"/>
    <w:rPr>
      <w:rFonts w:ascii="Calibri" w:hAnsi="Calibr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52">
    <w:name w:val="Char Char Char Char Char Char1 Char Char Char Char"/>
    <w:basedOn w:val="1"/>
    <w:qFormat/>
    <w:uiPriority w:val="0"/>
    <w:pPr>
      <w:spacing w:after="160" w:line="240" w:lineRule="exact"/>
      <w:jc w:val="left"/>
    </w:pPr>
    <w:rPr>
      <w:rFonts w:ascii="Verdana" w:hAnsi="Verdana"/>
      <w:kern w:val="0"/>
      <w:sz w:val="20"/>
      <w:szCs w:val="20"/>
      <w:lang w:eastAsia="en-US"/>
    </w:rPr>
  </w:style>
  <w:style w:type="paragraph" w:customStyle="1" w:styleId="853">
    <w:name w:val="表格正文 YP"/>
    <w:basedOn w:val="1"/>
    <w:link w:val="854"/>
    <w:qFormat/>
    <w:uiPriority w:val="0"/>
    <w:pPr>
      <w:jc w:val="center"/>
    </w:pPr>
    <w:rPr>
      <w:rFonts w:hAnsi="宋体"/>
      <w:szCs w:val="21"/>
    </w:rPr>
  </w:style>
  <w:style w:type="character" w:customStyle="1" w:styleId="854">
    <w:name w:val="表格正文 YP Char"/>
    <w:link w:val="853"/>
    <w:qFormat/>
    <w:uiPriority w:val="0"/>
    <w:rPr>
      <w:rFonts w:hAnsi="宋体"/>
      <w:kern w:val="2"/>
      <w:sz w:val="21"/>
      <w:szCs w:val="21"/>
    </w:rPr>
  </w:style>
  <w:style w:type="table" w:customStyle="1" w:styleId="855">
    <w:name w:val="网格型15"/>
    <w:basedOn w:val="63"/>
    <w:qFormat/>
    <w:uiPriority w:val="3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56">
    <w:name w:val="A正文 Char"/>
    <w:qFormat/>
    <w:uiPriority w:val="0"/>
    <w:rPr>
      <w:sz w:val="24"/>
      <w:szCs w:val="24"/>
    </w:rPr>
  </w:style>
  <w:style w:type="table" w:customStyle="1" w:styleId="857">
    <w:name w:val="网格型8"/>
    <w:basedOn w:val="63"/>
    <w:qFormat/>
    <w:uiPriority w:val="39"/>
    <w:rPr>
      <w:rFonts w:ascii="Calibri" w:hAnsi="Calibri" w:eastAsia="Times New Roman"/>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58">
    <w:name w:val="bjh-p"/>
    <w:basedOn w:val="70"/>
    <w:qFormat/>
    <w:uiPriority w:val="0"/>
  </w:style>
  <w:style w:type="paragraph" w:customStyle="1" w:styleId="859">
    <w:name w:val="xl121"/>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60">
    <w:name w:val="xl122"/>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table" w:customStyle="1" w:styleId="861">
    <w:name w:val="常用"/>
    <w:basedOn w:val="63"/>
    <w:qFormat/>
    <w:uiPriority w:val="99"/>
    <w:rPr>
      <w:rFonts w:asciiTheme="minorHAnsi" w:hAnsiTheme="minorHAnsi" w:eastAsiaTheme="minorEastAsia" w:cstheme="minorBidi"/>
      <w:kern w:val="2"/>
      <w:sz w:val="21"/>
      <w:szCs w:val="22"/>
    </w:rPr>
  </w:style>
  <w:style w:type="paragraph" w:customStyle="1" w:styleId="862">
    <w:name w:val="表格（5号）"/>
    <w:basedOn w:val="1"/>
    <w:qFormat/>
    <w:uiPriority w:val="0"/>
    <w:pPr>
      <w:spacing w:line="360" w:lineRule="exact"/>
      <w:ind w:left="-63" w:leftChars="-30" w:right="-63"/>
      <w:jc w:val="center"/>
    </w:pPr>
    <w:rPr>
      <w:rFonts w:ascii="Arial" w:hAnsi="Arial"/>
      <w:color w:val="000000"/>
      <w:sz w:val="18"/>
      <w:szCs w:val="20"/>
    </w:rPr>
  </w:style>
  <w:style w:type="paragraph" w:customStyle="1" w:styleId="863">
    <w:name w:val="表头样式1"/>
    <w:basedOn w:val="1"/>
    <w:qFormat/>
    <w:uiPriority w:val="0"/>
    <w:pPr>
      <w:spacing w:before="156" w:beforeLines="50"/>
      <w:jc w:val="center"/>
    </w:pPr>
    <w:rPr>
      <w:rFonts w:eastAsia="黑体"/>
      <w:b/>
      <w:sz w:val="24"/>
      <w:szCs w:val="20"/>
    </w:rPr>
  </w:style>
  <w:style w:type="paragraph" w:customStyle="1" w:styleId="864">
    <w:name w:val="0正文"/>
    <w:qFormat/>
    <w:uiPriority w:val="99"/>
    <w:pPr>
      <w:widowControl w:val="0"/>
      <w:spacing w:line="360" w:lineRule="auto"/>
      <w:ind w:firstLine="720" w:firstLineChars="200"/>
    </w:pPr>
    <w:rPr>
      <w:rFonts w:ascii="Calibri" w:hAnsi="Calibri" w:eastAsia="宋体" w:cs="Times New Roman"/>
      <w:sz w:val="24"/>
      <w:szCs w:val="22"/>
      <w:lang w:val="en-US" w:eastAsia="zh-CN" w:bidi="ar-SA"/>
    </w:rPr>
  </w:style>
  <w:style w:type="paragraph" w:customStyle="1" w:styleId="865">
    <w:name w:val="表格居中"/>
    <w:basedOn w:val="45"/>
    <w:next w:val="1"/>
    <w:qFormat/>
    <w:uiPriority w:val="0"/>
    <w:pPr>
      <w:spacing w:line="240" w:lineRule="auto"/>
      <w:ind w:left="0" w:firstLine="0" w:firstLineChars="0"/>
      <w:jc w:val="center"/>
    </w:pPr>
    <w:rPr>
      <w:rFonts w:ascii="Times New Roman" w:hAnsi="Times New Roman"/>
      <w:sz w:val="21"/>
      <w:szCs w:val="21"/>
    </w:rPr>
  </w:style>
  <w:style w:type="paragraph" w:customStyle="1" w:styleId="866">
    <w:name w:val="Table Paragraph"/>
    <w:basedOn w:val="1"/>
    <w:qFormat/>
    <w:uiPriority w:val="1"/>
    <w:pPr>
      <w:jc w:val="center"/>
    </w:pPr>
    <w:rPr>
      <w:rFonts w:ascii="宋体" w:hAnsi="宋体" w:eastAsia="宋体" w:cs="宋体"/>
      <w:lang w:val="zh-CN" w:eastAsia="zh-CN" w:bidi="zh-CN"/>
    </w:rPr>
  </w:style>
  <w:style w:type="paragraph" w:customStyle="1" w:styleId="867">
    <w:name w:val="表1表2"/>
    <w:basedOn w:val="1"/>
    <w:qFormat/>
    <w:uiPriority w:val="0"/>
    <w:pPr>
      <w:autoSpaceDE w:val="0"/>
      <w:autoSpaceDN w:val="0"/>
      <w:adjustRightInd w:val="0"/>
      <w:snapToGrid w:val="0"/>
      <w:spacing w:line="360" w:lineRule="auto"/>
      <w:ind w:firstLine="200" w:firstLineChars="200"/>
      <w:jc w:val="center"/>
    </w:pPr>
    <w:rPr>
      <w:kern w:val="0"/>
      <w:szCs w:val="20"/>
    </w:rPr>
  </w:style>
  <w:style w:type="paragraph" w:customStyle="1" w:styleId="868">
    <w:name w:val="图 标题"/>
    <w:basedOn w:val="230"/>
    <w:qFormat/>
    <w:uiPriority w:val="0"/>
    <w:pPr>
      <w:spacing w:line="240" w:lineRule="auto"/>
      <w:ind w:firstLine="360" w:firstLineChars="0"/>
      <w:jc w:val="center"/>
    </w:pPr>
    <w:rPr>
      <w:rFonts w:ascii="宋体" w:hAnsi="宋体"/>
      <w:b/>
    </w:rPr>
  </w:style>
  <w:style w:type="paragraph" w:customStyle="1" w:styleId="869">
    <w:name w:val="表 标题"/>
    <w:basedOn w:val="870"/>
    <w:next w:val="1"/>
    <w:qFormat/>
    <w:uiPriority w:val="0"/>
    <w:pPr>
      <w:tabs>
        <w:tab w:val="right" w:leader="dot" w:pos="8889"/>
      </w:tabs>
      <w:spacing w:before="156" w:beforeLines="50" w:line="240" w:lineRule="auto"/>
      <w:ind w:leftChars="0" w:firstLine="0" w:firstLineChars="0"/>
      <w:jc w:val="center"/>
    </w:pPr>
    <w:rPr>
      <w:rFonts w:cs="宋体"/>
      <w:b/>
      <w:szCs w:val="20"/>
    </w:rPr>
  </w:style>
  <w:style w:type="paragraph" w:customStyle="1" w:styleId="870">
    <w:name w:val="table of figures"/>
    <w:basedOn w:val="1"/>
    <w:next w:val="1"/>
    <w:qFormat/>
    <w:uiPriority w:val="0"/>
    <w:pPr>
      <w:widowControl/>
      <w:tabs>
        <w:tab w:val="right" w:leader="dot" w:pos="8889"/>
      </w:tabs>
      <w:spacing w:line="360" w:lineRule="auto"/>
      <w:jc w:val="left"/>
    </w:pPr>
    <w:rPr>
      <w:kern w:val="0"/>
      <w:sz w:val="24"/>
    </w:rPr>
  </w:style>
</w:styles>
</file>

<file path=word/_rels/document.xml.rels><?xml version="1.0" encoding="UTF-8" standalone="yes"?>
<Relationships xmlns="http://schemas.openxmlformats.org/package/2006/relationships"><Relationship Id="rId99" Type="http://schemas.openxmlformats.org/officeDocument/2006/relationships/image" Target="media/image57.jpeg"/><Relationship Id="rId98" Type="http://schemas.openxmlformats.org/officeDocument/2006/relationships/image" Target="media/image56.jpeg"/><Relationship Id="rId97" Type="http://schemas.openxmlformats.org/officeDocument/2006/relationships/image" Target="media/image55.jpeg"/><Relationship Id="rId96" Type="http://schemas.openxmlformats.org/officeDocument/2006/relationships/image" Target="media/image54.jpeg"/><Relationship Id="rId95" Type="http://schemas.openxmlformats.org/officeDocument/2006/relationships/image" Target="media/image53.jpeg"/><Relationship Id="rId94" Type="http://schemas.openxmlformats.org/officeDocument/2006/relationships/image" Target="media/image52.jpeg"/><Relationship Id="rId93" Type="http://schemas.openxmlformats.org/officeDocument/2006/relationships/image" Target="media/image51.jpeg"/><Relationship Id="rId92" Type="http://schemas.openxmlformats.org/officeDocument/2006/relationships/image" Target="media/image50.jpeg"/><Relationship Id="rId91" Type="http://schemas.openxmlformats.org/officeDocument/2006/relationships/image" Target="media/image49.jpeg"/><Relationship Id="rId90" Type="http://schemas.openxmlformats.org/officeDocument/2006/relationships/image" Target="media/image48.jpeg"/><Relationship Id="rId9" Type="http://schemas.openxmlformats.org/officeDocument/2006/relationships/footer" Target="footer4.xml"/><Relationship Id="rId89" Type="http://schemas.openxmlformats.org/officeDocument/2006/relationships/image" Target="media/image47.jpeg"/><Relationship Id="rId88" Type="http://schemas.openxmlformats.org/officeDocument/2006/relationships/image" Target="media/image46.png"/><Relationship Id="rId87" Type="http://schemas.openxmlformats.org/officeDocument/2006/relationships/image" Target="media/image45.png"/><Relationship Id="rId86" Type="http://schemas.openxmlformats.org/officeDocument/2006/relationships/image" Target="media/image44.wmf"/><Relationship Id="rId85" Type="http://schemas.openxmlformats.org/officeDocument/2006/relationships/oleObject" Target="embeddings/oleObject29.bin"/><Relationship Id="rId84" Type="http://schemas.openxmlformats.org/officeDocument/2006/relationships/image" Target="media/image43.wmf"/><Relationship Id="rId83" Type="http://schemas.openxmlformats.org/officeDocument/2006/relationships/oleObject" Target="embeddings/oleObject28.bin"/><Relationship Id="rId82" Type="http://schemas.openxmlformats.org/officeDocument/2006/relationships/image" Target="media/image42.wmf"/><Relationship Id="rId81" Type="http://schemas.openxmlformats.org/officeDocument/2006/relationships/oleObject" Target="embeddings/oleObject27.bin"/><Relationship Id="rId80" Type="http://schemas.openxmlformats.org/officeDocument/2006/relationships/image" Target="media/image41.jpeg"/><Relationship Id="rId8" Type="http://schemas.openxmlformats.org/officeDocument/2006/relationships/footer" Target="footer3.xml"/><Relationship Id="rId79" Type="http://schemas.openxmlformats.org/officeDocument/2006/relationships/image" Target="media/image40.jpeg"/><Relationship Id="rId78" Type="http://schemas.openxmlformats.org/officeDocument/2006/relationships/image" Target="media/image39.png"/><Relationship Id="rId77" Type="http://schemas.openxmlformats.org/officeDocument/2006/relationships/image" Target="media/image38.wmf"/><Relationship Id="rId76" Type="http://schemas.openxmlformats.org/officeDocument/2006/relationships/oleObject" Target="embeddings/oleObject26.bin"/><Relationship Id="rId75" Type="http://schemas.openxmlformats.org/officeDocument/2006/relationships/image" Target="media/image37.wmf"/><Relationship Id="rId74" Type="http://schemas.openxmlformats.org/officeDocument/2006/relationships/oleObject" Target="embeddings/oleObject25.bin"/><Relationship Id="rId73" Type="http://schemas.openxmlformats.org/officeDocument/2006/relationships/image" Target="media/image36.png"/><Relationship Id="rId72" Type="http://schemas.openxmlformats.org/officeDocument/2006/relationships/oleObject" Target="embeddings/oleObject24.bin"/><Relationship Id="rId71" Type="http://schemas.openxmlformats.org/officeDocument/2006/relationships/oleObject" Target="embeddings/oleObject23.bin"/><Relationship Id="rId70" Type="http://schemas.openxmlformats.org/officeDocument/2006/relationships/image" Target="media/image35.wmf"/><Relationship Id="rId7" Type="http://schemas.openxmlformats.org/officeDocument/2006/relationships/header" Target="header3.xml"/><Relationship Id="rId69" Type="http://schemas.openxmlformats.org/officeDocument/2006/relationships/oleObject" Target="embeddings/oleObject22.bin"/><Relationship Id="rId68" Type="http://schemas.openxmlformats.org/officeDocument/2006/relationships/image" Target="media/image34.wmf"/><Relationship Id="rId67" Type="http://schemas.openxmlformats.org/officeDocument/2006/relationships/oleObject" Target="embeddings/oleObject21.bin"/><Relationship Id="rId66" Type="http://schemas.openxmlformats.org/officeDocument/2006/relationships/image" Target="media/image33.wmf"/><Relationship Id="rId65" Type="http://schemas.openxmlformats.org/officeDocument/2006/relationships/oleObject" Target="embeddings/oleObject20.bin"/><Relationship Id="rId64" Type="http://schemas.openxmlformats.org/officeDocument/2006/relationships/image" Target="media/image32.wmf"/><Relationship Id="rId63" Type="http://schemas.openxmlformats.org/officeDocument/2006/relationships/oleObject" Target="embeddings/oleObject19.bin"/><Relationship Id="rId62" Type="http://schemas.openxmlformats.org/officeDocument/2006/relationships/image" Target="media/image31.png"/><Relationship Id="rId61" Type="http://schemas.openxmlformats.org/officeDocument/2006/relationships/image" Target="media/image30.wmf"/><Relationship Id="rId60" Type="http://schemas.openxmlformats.org/officeDocument/2006/relationships/oleObject" Target="embeddings/oleObject18.bin"/><Relationship Id="rId6" Type="http://schemas.openxmlformats.org/officeDocument/2006/relationships/footer" Target="footer2.xml"/><Relationship Id="rId59" Type="http://schemas.openxmlformats.org/officeDocument/2006/relationships/image" Target="media/image29.wmf"/><Relationship Id="rId58" Type="http://schemas.openxmlformats.org/officeDocument/2006/relationships/oleObject" Target="embeddings/oleObject17.bin"/><Relationship Id="rId57" Type="http://schemas.openxmlformats.org/officeDocument/2006/relationships/image" Target="media/image28.wmf"/><Relationship Id="rId56" Type="http://schemas.openxmlformats.org/officeDocument/2006/relationships/oleObject" Target="embeddings/oleObject16.bin"/><Relationship Id="rId55" Type="http://schemas.openxmlformats.org/officeDocument/2006/relationships/image" Target="media/image27.wmf"/><Relationship Id="rId54" Type="http://schemas.openxmlformats.org/officeDocument/2006/relationships/oleObject" Target="embeddings/oleObject15.bin"/><Relationship Id="rId53" Type="http://schemas.openxmlformats.org/officeDocument/2006/relationships/image" Target="media/image26.wmf"/><Relationship Id="rId52" Type="http://schemas.openxmlformats.org/officeDocument/2006/relationships/oleObject" Target="embeddings/oleObject14.bin"/><Relationship Id="rId51" Type="http://schemas.openxmlformats.org/officeDocument/2006/relationships/image" Target="media/image25.wmf"/><Relationship Id="rId50" Type="http://schemas.openxmlformats.org/officeDocument/2006/relationships/oleObject" Target="embeddings/oleObject13.bin"/><Relationship Id="rId5" Type="http://schemas.openxmlformats.org/officeDocument/2006/relationships/header" Target="header2.xml"/><Relationship Id="rId49" Type="http://schemas.openxmlformats.org/officeDocument/2006/relationships/image" Target="media/image24.wmf"/><Relationship Id="rId48" Type="http://schemas.openxmlformats.org/officeDocument/2006/relationships/oleObject" Target="embeddings/oleObject12.bin"/><Relationship Id="rId47" Type="http://schemas.openxmlformats.org/officeDocument/2006/relationships/image" Target="media/image23.png"/><Relationship Id="rId46" Type="http://schemas.openxmlformats.org/officeDocument/2006/relationships/image" Target="media/image22.png"/><Relationship Id="rId45" Type="http://schemas.openxmlformats.org/officeDocument/2006/relationships/image" Target="media/image21.png"/><Relationship Id="rId44" Type="http://schemas.openxmlformats.org/officeDocument/2006/relationships/image" Target="media/image20.emf"/><Relationship Id="rId43" Type="http://schemas.openxmlformats.org/officeDocument/2006/relationships/oleObject" Target="embeddings/oleObject11.bin"/><Relationship Id="rId42" Type="http://schemas.openxmlformats.org/officeDocument/2006/relationships/image" Target="media/image19.emf"/><Relationship Id="rId41" Type="http://schemas.openxmlformats.org/officeDocument/2006/relationships/oleObject" Target="embeddings/oleObject10.bin"/><Relationship Id="rId40" Type="http://schemas.openxmlformats.org/officeDocument/2006/relationships/image" Target="media/image18.wmf"/><Relationship Id="rId4" Type="http://schemas.openxmlformats.org/officeDocument/2006/relationships/footer" Target="footer1.xml"/><Relationship Id="rId39" Type="http://schemas.openxmlformats.org/officeDocument/2006/relationships/oleObject" Target="embeddings/oleObject9.bin"/><Relationship Id="rId38" Type="http://schemas.openxmlformats.org/officeDocument/2006/relationships/image" Target="media/image17.emf"/><Relationship Id="rId37" Type="http://schemas.openxmlformats.org/officeDocument/2006/relationships/oleObject" Target="embeddings/oleObject8.bin"/><Relationship Id="rId36" Type="http://schemas.openxmlformats.org/officeDocument/2006/relationships/image" Target="media/image16.emf"/><Relationship Id="rId35" Type="http://schemas.openxmlformats.org/officeDocument/2006/relationships/oleObject" Target="embeddings/oleObject7.bin"/><Relationship Id="rId34" Type="http://schemas.openxmlformats.org/officeDocument/2006/relationships/image" Target="media/image15.emf"/><Relationship Id="rId33" Type="http://schemas.openxmlformats.org/officeDocument/2006/relationships/oleObject" Target="embeddings/oleObject6.bin"/><Relationship Id="rId32" Type="http://schemas.openxmlformats.org/officeDocument/2006/relationships/image" Target="media/image14.emf"/><Relationship Id="rId31" Type="http://schemas.openxmlformats.org/officeDocument/2006/relationships/oleObject" Target="embeddings/oleObject5.bin"/><Relationship Id="rId30" Type="http://schemas.openxmlformats.org/officeDocument/2006/relationships/image" Target="media/image13.png"/><Relationship Id="rId3" Type="http://schemas.openxmlformats.org/officeDocument/2006/relationships/header" Target="header1.xml"/><Relationship Id="rId29" Type="http://schemas.openxmlformats.org/officeDocument/2006/relationships/image" Target="media/image12.wmf"/><Relationship Id="rId28" Type="http://schemas.openxmlformats.org/officeDocument/2006/relationships/oleObject" Target="embeddings/oleObject4.bin"/><Relationship Id="rId27" Type="http://schemas.openxmlformats.org/officeDocument/2006/relationships/image" Target="media/image11.wmf"/><Relationship Id="rId26" Type="http://schemas.openxmlformats.org/officeDocument/2006/relationships/oleObject" Target="embeddings/oleObject3.bin"/><Relationship Id="rId25" Type="http://schemas.openxmlformats.org/officeDocument/2006/relationships/image" Target="media/image10.wmf"/><Relationship Id="rId24" Type="http://schemas.openxmlformats.org/officeDocument/2006/relationships/oleObject" Target="embeddings/oleObject2.bin"/><Relationship Id="rId23" Type="http://schemas.openxmlformats.org/officeDocument/2006/relationships/image" Target="media/image9.wmf"/><Relationship Id="rId22" Type="http://schemas.openxmlformats.org/officeDocument/2006/relationships/oleObject" Target="embeddings/oleObject1.bin"/><Relationship Id="rId21" Type="http://schemas.openxmlformats.org/officeDocument/2006/relationships/image" Target="media/image8.png"/><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png"/><Relationship Id="rId17" Type="http://schemas.openxmlformats.org/officeDocument/2006/relationships/image" Target="media/image4.png"/><Relationship Id="rId16" Type="http://schemas.openxmlformats.org/officeDocument/2006/relationships/image" Target="media/image3.png"/><Relationship Id="rId15" Type="http://schemas.openxmlformats.org/officeDocument/2006/relationships/image" Target="media/image2.png"/><Relationship Id="rId14" Type="http://schemas.openxmlformats.org/officeDocument/2006/relationships/image" Target="media/image1.png"/><Relationship Id="rId13" Type="http://schemas.openxmlformats.org/officeDocument/2006/relationships/theme" Target="theme/theme1.xml"/><Relationship Id="rId12" Type="http://schemas.openxmlformats.org/officeDocument/2006/relationships/footer" Target="footer7.xml"/><Relationship Id="rId116" Type="http://schemas.openxmlformats.org/officeDocument/2006/relationships/fontTable" Target="fontTable.xml"/><Relationship Id="rId115" Type="http://schemas.openxmlformats.org/officeDocument/2006/relationships/numbering" Target="numbering.xml"/><Relationship Id="rId114" Type="http://schemas.openxmlformats.org/officeDocument/2006/relationships/customXml" Target="../customXml/item1.xml"/><Relationship Id="rId113" Type="http://schemas.openxmlformats.org/officeDocument/2006/relationships/image" Target="media/image69.png"/><Relationship Id="rId112" Type="http://schemas.openxmlformats.org/officeDocument/2006/relationships/image" Target="media/image68.png"/><Relationship Id="rId111" Type="http://schemas.openxmlformats.org/officeDocument/2006/relationships/image" Target="media/image67.png"/><Relationship Id="rId110" Type="http://schemas.openxmlformats.org/officeDocument/2006/relationships/image" Target="media/image66.png"/><Relationship Id="rId11" Type="http://schemas.openxmlformats.org/officeDocument/2006/relationships/footer" Target="footer6.xml"/><Relationship Id="rId109" Type="http://schemas.openxmlformats.org/officeDocument/2006/relationships/image" Target="media/image65.png"/><Relationship Id="rId108" Type="http://schemas.openxmlformats.org/officeDocument/2006/relationships/image" Target="media/image64.png"/><Relationship Id="rId107" Type="http://schemas.openxmlformats.org/officeDocument/2006/relationships/image" Target="media/image63.png"/><Relationship Id="rId106" Type="http://schemas.openxmlformats.org/officeDocument/2006/relationships/image" Target="media/image62.png"/><Relationship Id="rId105" Type="http://schemas.openxmlformats.org/officeDocument/2006/relationships/image" Target="media/image61.emf"/><Relationship Id="rId104" Type="http://schemas.openxmlformats.org/officeDocument/2006/relationships/oleObject" Target="embeddings/oleObject31.bin"/><Relationship Id="rId103" Type="http://schemas.openxmlformats.org/officeDocument/2006/relationships/image" Target="media/image60.emf"/><Relationship Id="rId102" Type="http://schemas.openxmlformats.org/officeDocument/2006/relationships/oleObject" Target="embeddings/oleObject30.bin"/><Relationship Id="rId101" Type="http://schemas.openxmlformats.org/officeDocument/2006/relationships/image" Target="media/image59.jpeg"/><Relationship Id="rId100" Type="http://schemas.openxmlformats.org/officeDocument/2006/relationships/image" Target="media/image58.jpeg"/><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报告书模板</Template>
  <Company>宁波环科院</Company>
  <Pages>225</Pages>
  <Words>139875</Words>
  <Characters>157627</Characters>
  <Lines>1798</Lines>
  <Paragraphs>506</Paragraphs>
  <TotalTime>3</TotalTime>
  <ScaleCrop>false</ScaleCrop>
  <LinksUpToDate>false</LinksUpToDate>
  <CharactersWithSpaces>163741</CharactersWithSpaces>
  <Application>WPS Office_11.8.2.10605_F1E327BC-269C-435d-A152-05C5408002CA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2019-04-29T23:44:00Z</dcterms:created>
  <dc:creator>YUQQ</dc:creator>
  <cp:lastModifiedBy>admin123</cp:lastModifiedBy>
  <cp:lastPrinted>2019-12-18T09:07:00Z</cp:lastPrinted>
  <dcterms:modified xsi:type="dcterms:W3CDTF">2024-08-14T17:12:44Z</dcterms:modified>
  <dc:title>1</dc:title>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2052-11.8.2.10605</vt:lpwstr>
  </property>
</Properties>
</file>