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ind w:firstLine="0" w:firstLineChars="0"/>
        <w:jc w:val="center"/>
        <w:rPr>
          <w:b/>
          <w:sz w:val="40"/>
          <w:szCs w:val="36"/>
        </w:rPr>
      </w:pPr>
    </w:p>
    <w:p>
      <w:pPr>
        <w:spacing w:line="240" w:lineRule="auto"/>
        <w:ind w:firstLine="0" w:firstLineChars="0"/>
        <w:jc w:val="center"/>
        <w:rPr>
          <w:b/>
          <w:sz w:val="40"/>
          <w:szCs w:val="36"/>
        </w:rPr>
      </w:pPr>
    </w:p>
    <w:p>
      <w:pPr>
        <w:spacing w:line="240" w:lineRule="auto"/>
        <w:ind w:firstLine="0" w:firstLineChars="0"/>
        <w:jc w:val="center"/>
        <w:rPr>
          <w:b/>
          <w:sz w:val="40"/>
          <w:szCs w:val="36"/>
        </w:rPr>
      </w:pPr>
    </w:p>
    <w:p>
      <w:pPr>
        <w:spacing w:line="240" w:lineRule="auto"/>
        <w:ind w:firstLine="0" w:firstLineChars="0"/>
        <w:jc w:val="center"/>
        <w:rPr>
          <w:b/>
          <w:sz w:val="40"/>
          <w:szCs w:val="36"/>
        </w:rPr>
      </w:pPr>
    </w:p>
    <w:p>
      <w:pPr>
        <w:spacing w:line="240" w:lineRule="auto"/>
        <w:ind w:firstLine="0" w:firstLineChars="0"/>
        <w:jc w:val="center"/>
        <w:rPr>
          <w:b/>
          <w:sz w:val="40"/>
          <w:szCs w:val="36"/>
        </w:rPr>
      </w:pPr>
    </w:p>
    <w:p>
      <w:pPr>
        <w:widowControl w:val="0"/>
        <w:spacing w:line="900" w:lineRule="exact"/>
        <w:ind w:firstLine="0" w:firstLineChars="0"/>
        <w:jc w:val="center"/>
        <w:rPr>
          <w:rFonts w:eastAsia="方正小标宋简体"/>
          <w:color w:val="000000"/>
          <w:sz w:val="44"/>
          <w:szCs w:val="44"/>
        </w:rPr>
      </w:pPr>
      <w:bookmarkStart w:id="0" w:name="_Hlk105664017"/>
      <w:r>
        <w:rPr>
          <w:rFonts w:hint="eastAsia" w:eastAsia="方正小标宋简体"/>
          <w:color w:val="000000"/>
          <w:sz w:val="44"/>
          <w:szCs w:val="44"/>
        </w:rPr>
        <w:t>韶关市综合立体交通网规划</w:t>
      </w:r>
    </w:p>
    <w:p>
      <w:pPr>
        <w:widowControl w:val="0"/>
        <w:spacing w:line="900" w:lineRule="exact"/>
        <w:ind w:firstLine="0" w:firstLineChars="0"/>
        <w:jc w:val="center"/>
        <w:rPr>
          <w:rFonts w:eastAsia="方正小标宋简体"/>
          <w:color w:val="000000"/>
          <w:sz w:val="44"/>
          <w:szCs w:val="44"/>
        </w:rPr>
      </w:pPr>
      <w:r>
        <w:rPr>
          <w:rFonts w:hint="eastAsia" w:eastAsia="方正小标宋简体"/>
          <w:color w:val="000000"/>
          <w:sz w:val="44"/>
          <w:szCs w:val="44"/>
        </w:rPr>
        <w:t>（2</w:t>
      </w:r>
      <w:r>
        <w:rPr>
          <w:rFonts w:eastAsia="方正小标宋简体"/>
          <w:color w:val="000000"/>
          <w:sz w:val="44"/>
          <w:szCs w:val="44"/>
        </w:rPr>
        <w:t>021-2035</w:t>
      </w:r>
      <w:r>
        <w:rPr>
          <w:rFonts w:hint="eastAsia" w:eastAsia="方正小标宋简体"/>
          <w:color w:val="000000"/>
          <w:sz w:val="44"/>
          <w:szCs w:val="44"/>
        </w:rPr>
        <w:t>年）</w:t>
      </w:r>
    </w:p>
    <w:bookmarkEnd w:id="0"/>
    <w:p>
      <w:pPr>
        <w:ind w:firstLine="0" w:firstLineChars="0"/>
        <w:jc w:val="center"/>
        <w:rPr>
          <w:rFonts w:eastAsia="方正小标宋简体"/>
          <w:color w:val="000000"/>
          <w:sz w:val="44"/>
          <w:szCs w:val="44"/>
        </w:rPr>
      </w:pPr>
    </w:p>
    <w:p>
      <w:pPr>
        <w:spacing w:line="240" w:lineRule="auto"/>
        <w:ind w:firstLine="0" w:firstLineChars="0"/>
        <w:jc w:val="center"/>
        <w:rPr>
          <w:b/>
          <w:sz w:val="52"/>
          <w:szCs w:val="48"/>
        </w:rPr>
      </w:pPr>
    </w:p>
    <w:p>
      <w:pPr>
        <w:spacing w:line="240" w:lineRule="auto"/>
        <w:ind w:firstLine="0" w:firstLineChars="0"/>
        <w:jc w:val="center"/>
        <w:rPr>
          <w:b/>
          <w:sz w:val="52"/>
          <w:szCs w:val="48"/>
        </w:rPr>
      </w:pPr>
    </w:p>
    <w:p>
      <w:pPr>
        <w:spacing w:line="240" w:lineRule="auto"/>
        <w:ind w:firstLine="0" w:firstLineChars="0"/>
        <w:jc w:val="center"/>
        <w:rPr>
          <w:b/>
          <w:sz w:val="52"/>
          <w:szCs w:val="48"/>
        </w:rPr>
      </w:pPr>
    </w:p>
    <w:p>
      <w:pPr>
        <w:spacing w:line="240" w:lineRule="auto"/>
        <w:ind w:firstLine="0" w:firstLineChars="0"/>
        <w:jc w:val="center"/>
        <w:rPr>
          <w:b/>
          <w:sz w:val="52"/>
          <w:szCs w:val="48"/>
        </w:rPr>
      </w:pPr>
    </w:p>
    <w:p>
      <w:pPr>
        <w:spacing w:line="240" w:lineRule="auto"/>
        <w:ind w:firstLine="0" w:firstLineChars="0"/>
        <w:jc w:val="center"/>
        <w:rPr>
          <w:b/>
          <w:sz w:val="52"/>
          <w:szCs w:val="48"/>
        </w:rPr>
      </w:pPr>
    </w:p>
    <w:p>
      <w:pPr>
        <w:widowControl w:val="0"/>
        <w:spacing w:line="240" w:lineRule="auto"/>
        <w:ind w:firstLine="0" w:firstLineChars="0"/>
        <w:jc w:val="center"/>
        <w:rPr>
          <w:rFonts w:ascii="华文中宋" w:hAnsi="华文中宋" w:eastAsia="华文中宋"/>
          <w:b/>
          <w:sz w:val="36"/>
          <w:szCs w:val="36"/>
        </w:rPr>
      </w:pPr>
    </w:p>
    <w:p>
      <w:pPr>
        <w:widowControl w:val="0"/>
        <w:spacing w:line="240" w:lineRule="auto"/>
        <w:ind w:firstLine="0" w:firstLineChars="0"/>
        <w:jc w:val="center"/>
        <w:rPr>
          <w:rFonts w:ascii="华文中宋" w:hAnsi="华文中宋" w:eastAsia="华文中宋"/>
          <w:b/>
          <w:sz w:val="36"/>
          <w:szCs w:val="36"/>
        </w:rPr>
      </w:pPr>
    </w:p>
    <w:p>
      <w:pPr>
        <w:widowControl w:val="0"/>
        <w:spacing w:line="560" w:lineRule="exact"/>
        <w:ind w:firstLine="0" w:firstLineChars="0"/>
        <w:jc w:val="center"/>
        <w:rPr>
          <w:rFonts w:ascii="华文中宋" w:hAnsi="华文中宋" w:eastAsia="华文中宋"/>
          <w:sz w:val="44"/>
          <w:szCs w:val="44"/>
          <w:lang w:bidi="ar"/>
        </w:rPr>
      </w:pPr>
    </w:p>
    <w:p>
      <w:pPr>
        <w:widowControl w:val="0"/>
        <w:spacing w:line="560" w:lineRule="exact"/>
        <w:ind w:firstLine="0" w:firstLineChars="0"/>
        <w:jc w:val="center"/>
        <w:rPr>
          <w:rFonts w:ascii="仿宋" w:hAnsi="仿宋"/>
          <w:sz w:val="32"/>
          <w:szCs w:val="32"/>
          <w:lang w:bidi="ar"/>
        </w:rPr>
      </w:pPr>
      <w:r>
        <w:rPr>
          <w:rFonts w:hint="eastAsia" w:ascii="仿宋" w:hAnsi="仿宋"/>
          <w:sz w:val="32"/>
          <w:szCs w:val="32"/>
          <w:lang w:bidi="ar"/>
        </w:rPr>
        <w:t>2023年</w:t>
      </w:r>
      <w:r>
        <w:rPr>
          <w:rFonts w:hint="eastAsia" w:ascii="仿宋" w:hAnsi="仿宋"/>
          <w:sz w:val="32"/>
          <w:szCs w:val="32"/>
          <w:lang w:val="en-US" w:eastAsia="zh-CN" w:bidi="ar"/>
        </w:rPr>
        <w:t>8</w:t>
      </w:r>
      <w:r>
        <w:rPr>
          <w:rFonts w:hint="eastAsia" w:ascii="仿宋" w:hAnsi="仿宋"/>
          <w:sz w:val="32"/>
          <w:szCs w:val="32"/>
          <w:lang w:bidi="ar"/>
        </w:rPr>
        <w:t>月</w:t>
      </w:r>
    </w:p>
    <w:p>
      <w:pPr>
        <w:widowControl w:val="0"/>
        <w:spacing w:line="560" w:lineRule="exact"/>
        <w:ind w:firstLine="0" w:firstLineChars="0"/>
        <w:jc w:val="center"/>
        <w:rPr>
          <w:rFonts w:ascii="华文中宋" w:hAnsi="华文中宋" w:eastAsia="华文中宋"/>
          <w:sz w:val="44"/>
          <w:szCs w:val="44"/>
          <w:lang w:bidi="ar"/>
        </w:rPr>
        <w:sectPr>
          <w:headerReference r:id="rId7" w:type="first"/>
          <w:footerReference r:id="rId10" w:type="first"/>
          <w:headerReference r:id="rId5" w:type="default"/>
          <w:footerReference r:id="rId8" w:type="default"/>
          <w:headerReference r:id="rId6" w:type="even"/>
          <w:footerReference r:id="rId9" w:type="even"/>
          <w:pgSz w:w="11906" w:h="16838"/>
          <w:pgMar w:top="1701" w:right="1418" w:bottom="1701" w:left="1418" w:header="0" w:footer="0" w:gutter="567"/>
          <w:cols w:space="720" w:num="1"/>
          <w:titlePg/>
          <w:docGrid w:type="lines" w:linePitch="381" w:charSpace="0"/>
        </w:sectPr>
      </w:pPr>
    </w:p>
    <w:p>
      <w:pPr>
        <w:widowControl w:val="0"/>
        <w:snapToGrid w:val="0"/>
        <w:spacing w:line="324" w:lineRule="auto"/>
        <w:ind w:firstLine="0" w:firstLineChars="0"/>
        <w:jc w:val="center"/>
        <w:rPr>
          <w:rFonts w:ascii="隶书" w:hAnsi="黑体" w:eastAsia="隶书"/>
        </w:rPr>
      </w:pPr>
      <w:bookmarkStart w:id="1" w:name="_Toc67664668"/>
      <w:bookmarkStart w:id="2" w:name="_Toc75528722"/>
      <w:bookmarkStart w:id="3" w:name="_Toc46486222"/>
      <w:bookmarkStart w:id="4" w:name="_Toc12619"/>
      <w:bookmarkStart w:id="5" w:name="_Toc76648561"/>
      <w:bookmarkStart w:id="6" w:name="_Toc67474642"/>
      <w:bookmarkStart w:id="7" w:name="_Toc62033289"/>
      <w:bookmarkStart w:id="8" w:name="_Toc75793276"/>
      <w:r>
        <w:rPr>
          <w:rFonts w:hint="eastAsia" w:eastAsia="方正小标宋简体"/>
          <w:color w:val="000000"/>
          <w:sz w:val="44"/>
          <w:szCs w:val="44"/>
        </w:rPr>
        <w:t>目  录</w:t>
      </w:r>
      <w:bookmarkEnd w:id="1"/>
      <w:bookmarkEnd w:id="2"/>
      <w:bookmarkEnd w:id="3"/>
      <w:bookmarkEnd w:id="4"/>
      <w:bookmarkEnd w:id="5"/>
      <w:bookmarkEnd w:id="6"/>
      <w:bookmarkEnd w:id="7"/>
      <w:bookmarkEnd w:id="8"/>
      <w:r>
        <w:rPr>
          <w:rFonts w:eastAsia="方正小标宋简体"/>
          <w:color w:val="000000"/>
          <w:sz w:val="44"/>
          <w:szCs w:val="44"/>
        </w:rPr>
        <w:fldChar w:fldCharType="begin"/>
      </w:r>
      <w:r>
        <w:rPr>
          <w:rFonts w:eastAsia="方正小标宋简体"/>
          <w:color w:val="000000"/>
          <w:sz w:val="44"/>
          <w:szCs w:val="44"/>
        </w:rPr>
        <w:instrText xml:space="preserve"> TOC \o "1-2" \h \z \u </w:instrText>
      </w:r>
      <w:r>
        <w:rPr>
          <w:rFonts w:eastAsia="方正小标宋简体"/>
          <w:color w:val="000000"/>
          <w:sz w:val="44"/>
          <w:szCs w:val="44"/>
        </w:rPr>
        <w:fldChar w:fldCharType="separate"/>
      </w:r>
    </w:p>
    <w:p>
      <w:pPr>
        <w:pStyle w:val="19"/>
        <w:tabs>
          <w:tab w:val="right" w:leader="dot" w:pos="8503"/>
        </w:tabs>
      </w:pPr>
      <w:r>
        <w:fldChar w:fldCharType="begin"/>
      </w:r>
      <w:r>
        <w:instrText xml:space="preserve"> HYPERLINK \l "_Toc1579" </w:instrText>
      </w:r>
      <w:r>
        <w:fldChar w:fldCharType="separate"/>
      </w:r>
      <w:r>
        <w:rPr>
          <w:rFonts w:hint="eastAsia" w:ascii="黑体" w:hAnsi="黑体" w:cs="方正小标宋简体"/>
          <w:bCs/>
          <w:szCs w:val="32"/>
        </w:rPr>
        <w:t xml:space="preserve">前 </w:t>
      </w:r>
      <w:r>
        <w:rPr>
          <w:rFonts w:ascii="黑体" w:hAnsi="黑体" w:cs="方正小标宋简体"/>
          <w:bCs/>
          <w:szCs w:val="32"/>
        </w:rPr>
        <w:t xml:space="preserve"> </w:t>
      </w:r>
      <w:r>
        <w:rPr>
          <w:rFonts w:hint="eastAsia" w:ascii="黑体" w:hAnsi="黑体" w:cs="方正小标宋简体"/>
          <w:bCs/>
          <w:szCs w:val="32"/>
        </w:rPr>
        <w:t>言</w:t>
      </w:r>
      <w:r>
        <w:tab/>
      </w:r>
      <w:r>
        <w:fldChar w:fldCharType="begin"/>
      </w:r>
      <w:r>
        <w:instrText xml:space="preserve"> PAGEREF _Toc1579 \h </w:instrText>
      </w:r>
      <w:r>
        <w:fldChar w:fldCharType="separate"/>
      </w:r>
      <w:r>
        <w:t>- 1 -</w:t>
      </w:r>
      <w:r>
        <w:fldChar w:fldCharType="end"/>
      </w:r>
      <w:r>
        <w:fldChar w:fldCharType="end"/>
      </w:r>
    </w:p>
    <w:p>
      <w:pPr>
        <w:pStyle w:val="19"/>
        <w:tabs>
          <w:tab w:val="right" w:leader="dot" w:pos="8503"/>
        </w:tabs>
      </w:pPr>
      <w:r>
        <w:fldChar w:fldCharType="begin"/>
      </w:r>
      <w:r>
        <w:instrText xml:space="preserve"> HYPERLINK \l "_Toc30937" </w:instrText>
      </w:r>
      <w:r>
        <w:fldChar w:fldCharType="separate"/>
      </w:r>
      <w:r>
        <w:rPr>
          <w:rFonts w:hint="eastAsia"/>
        </w:rPr>
        <w:t>第1章 规划基础</w:t>
      </w:r>
      <w:r>
        <w:tab/>
      </w:r>
      <w:r>
        <w:fldChar w:fldCharType="begin"/>
      </w:r>
      <w:r>
        <w:instrText xml:space="preserve"> PAGEREF _Toc30937 \h </w:instrText>
      </w:r>
      <w:r>
        <w:fldChar w:fldCharType="separate"/>
      </w:r>
      <w:r>
        <w:t>- 1 -</w:t>
      </w:r>
      <w:r>
        <w:fldChar w:fldCharType="end"/>
      </w:r>
      <w:r>
        <w:fldChar w:fldCharType="end"/>
      </w:r>
    </w:p>
    <w:p>
      <w:pPr>
        <w:pStyle w:val="24"/>
        <w:tabs>
          <w:tab w:val="right" w:leader="dot" w:pos="8503"/>
        </w:tabs>
        <w:ind w:firstLine="320"/>
      </w:pPr>
      <w:r>
        <w:fldChar w:fldCharType="begin"/>
      </w:r>
      <w:r>
        <w:instrText xml:space="preserve"> HYPERLINK \l "_Toc30548" </w:instrText>
      </w:r>
      <w:r>
        <w:fldChar w:fldCharType="separate"/>
      </w:r>
      <w:r>
        <w:rPr>
          <w:rFonts w:hint="eastAsia"/>
        </w:rPr>
        <w:t>1.1 发展现状</w:t>
      </w:r>
      <w:r>
        <w:tab/>
      </w:r>
      <w:r>
        <w:fldChar w:fldCharType="begin"/>
      </w:r>
      <w:r>
        <w:instrText xml:space="preserve"> PAGEREF _Toc30548 \h </w:instrText>
      </w:r>
      <w:r>
        <w:fldChar w:fldCharType="separate"/>
      </w:r>
      <w:r>
        <w:t>- 1 -</w:t>
      </w:r>
      <w:r>
        <w:fldChar w:fldCharType="end"/>
      </w:r>
      <w:r>
        <w:fldChar w:fldCharType="end"/>
      </w:r>
    </w:p>
    <w:p>
      <w:pPr>
        <w:pStyle w:val="24"/>
        <w:tabs>
          <w:tab w:val="right" w:leader="dot" w:pos="8503"/>
        </w:tabs>
        <w:ind w:firstLine="320"/>
      </w:pPr>
      <w:r>
        <w:fldChar w:fldCharType="begin"/>
      </w:r>
      <w:r>
        <w:instrText xml:space="preserve"> HYPERLINK \l "_Toc20224" </w:instrText>
      </w:r>
      <w:r>
        <w:fldChar w:fldCharType="separate"/>
      </w:r>
      <w:r>
        <w:rPr>
          <w:rFonts w:hint="eastAsia"/>
        </w:rPr>
        <w:t>1.2 形势要求</w:t>
      </w:r>
      <w:r>
        <w:tab/>
      </w:r>
      <w:r>
        <w:fldChar w:fldCharType="begin"/>
      </w:r>
      <w:r>
        <w:instrText xml:space="preserve"> PAGEREF _Toc20224 \h </w:instrText>
      </w:r>
      <w:r>
        <w:fldChar w:fldCharType="separate"/>
      </w:r>
      <w:r>
        <w:t>- 6 -</w:t>
      </w:r>
      <w:r>
        <w:fldChar w:fldCharType="end"/>
      </w:r>
      <w:r>
        <w:fldChar w:fldCharType="end"/>
      </w:r>
    </w:p>
    <w:p>
      <w:pPr>
        <w:pStyle w:val="24"/>
        <w:tabs>
          <w:tab w:val="right" w:leader="dot" w:pos="8503"/>
        </w:tabs>
        <w:ind w:firstLine="320"/>
      </w:pPr>
      <w:r>
        <w:fldChar w:fldCharType="begin"/>
      </w:r>
      <w:r>
        <w:instrText xml:space="preserve"> HYPERLINK \l "_Toc2705" </w:instrText>
      </w:r>
      <w:r>
        <w:fldChar w:fldCharType="separate"/>
      </w:r>
      <w:r>
        <w:rPr>
          <w:rFonts w:hint="eastAsia"/>
        </w:rPr>
        <w:t>1.3 运输需求</w:t>
      </w:r>
      <w:r>
        <w:tab/>
      </w:r>
      <w:r>
        <w:fldChar w:fldCharType="begin"/>
      </w:r>
      <w:r>
        <w:instrText xml:space="preserve"> PAGEREF _Toc2705 \h </w:instrText>
      </w:r>
      <w:r>
        <w:fldChar w:fldCharType="separate"/>
      </w:r>
      <w:r>
        <w:t>- 8 -</w:t>
      </w:r>
      <w:r>
        <w:fldChar w:fldCharType="end"/>
      </w:r>
      <w:r>
        <w:fldChar w:fldCharType="end"/>
      </w:r>
    </w:p>
    <w:p>
      <w:pPr>
        <w:pStyle w:val="19"/>
        <w:tabs>
          <w:tab w:val="right" w:leader="dot" w:pos="8503"/>
        </w:tabs>
      </w:pPr>
      <w:r>
        <w:fldChar w:fldCharType="begin"/>
      </w:r>
      <w:r>
        <w:instrText xml:space="preserve"> HYPERLINK \l "_Toc7247" </w:instrText>
      </w:r>
      <w:r>
        <w:fldChar w:fldCharType="separate"/>
      </w:r>
      <w:r>
        <w:rPr>
          <w:rFonts w:hint="eastAsia"/>
          <w:lang w:val="zh-CN"/>
        </w:rPr>
        <w:t>第2章 总体要求</w:t>
      </w:r>
      <w:r>
        <w:tab/>
      </w:r>
      <w:r>
        <w:fldChar w:fldCharType="begin"/>
      </w:r>
      <w:r>
        <w:instrText xml:space="preserve"> PAGEREF _Toc7247 \h </w:instrText>
      </w:r>
      <w:r>
        <w:fldChar w:fldCharType="separate"/>
      </w:r>
      <w:r>
        <w:t>- 10 -</w:t>
      </w:r>
      <w:r>
        <w:fldChar w:fldCharType="end"/>
      </w:r>
      <w:r>
        <w:fldChar w:fldCharType="end"/>
      </w:r>
    </w:p>
    <w:p>
      <w:pPr>
        <w:pStyle w:val="24"/>
        <w:tabs>
          <w:tab w:val="right" w:leader="dot" w:pos="8503"/>
        </w:tabs>
        <w:ind w:firstLine="320"/>
      </w:pPr>
      <w:r>
        <w:fldChar w:fldCharType="begin"/>
      </w:r>
      <w:r>
        <w:instrText xml:space="preserve"> HYPERLINK \l "_Toc13621" </w:instrText>
      </w:r>
      <w:r>
        <w:fldChar w:fldCharType="separate"/>
      </w:r>
      <w:r>
        <w:rPr>
          <w:rFonts w:hint="eastAsia"/>
        </w:rPr>
        <w:t>2.1 指导思想</w:t>
      </w:r>
      <w:r>
        <w:tab/>
      </w:r>
      <w:r>
        <w:fldChar w:fldCharType="begin"/>
      </w:r>
      <w:r>
        <w:instrText xml:space="preserve"> PAGEREF _Toc13621 \h </w:instrText>
      </w:r>
      <w:r>
        <w:fldChar w:fldCharType="separate"/>
      </w:r>
      <w:r>
        <w:t>- 10 -</w:t>
      </w:r>
      <w:r>
        <w:fldChar w:fldCharType="end"/>
      </w:r>
      <w:r>
        <w:fldChar w:fldCharType="end"/>
      </w:r>
    </w:p>
    <w:p>
      <w:pPr>
        <w:pStyle w:val="24"/>
        <w:tabs>
          <w:tab w:val="right" w:leader="dot" w:pos="8503"/>
        </w:tabs>
        <w:ind w:firstLine="320"/>
      </w:pPr>
      <w:r>
        <w:fldChar w:fldCharType="begin"/>
      </w:r>
      <w:r>
        <w:instrText xml:space="preserve"> HYPERLINK \l "_Toc28115" </w:instrText>
      </w:r>
      <w:r>
        <w:fldChar w:fldCharType="separate"/>
      </w:r>
      <w:r>
        <w:rPr>
          <w:rFonts w:hint="eastAsia"/>
        </w:rPr>
        <w:t>2.2 基本原则</w:t>
      </w:r>
      <w:r>
        <w:tab/>
      </w:r>
      <w:r>
        <w:fldChar w:fldCharType="begin"/>
      </w:r>
      <w:r>
        <w:instrText xml:space="preserve"> PAGEREF _Toc28115 \h </w:instrText>
      </w:r>
      <w:r>
        <w:fldChar w:fldCharType="separate"/>
      </w:r>
      <w:r>
        <w:t>- 10 -</w:t>
      </w:r>
      <w:r>
        <w:fldChar w:fldCharType="end"/>
      </w:r>
      <w:r>
        <w:fldChar w:fldCharType="end"/>
      </w:r>
    </w:p>
    <w:p>
      <w:pPr>
        <w:pStyle w:val="24"/>
        <w:tabs>
          <w:tab w:val="right" w:leader="dot" w:pos="8503"/>
        </w:tabs>
        <w:ind w:firstLine="320"/>
      </w:pPr>
      <w:r>
        <w:fldChar w:fldCharType="begin"/>
      </w:r>
      <w:r>
        <w:instrText xml:space="preserve"> HYPERLINK \l "_Toc12534" </w:instrText>
      </w:r>
      <w:r>
        <w:fldChar w:fldCharType="separate"/>
      </w:r>
      <w:r>
        <w:rPr>
          <w:rFonts w:hint="eastAsia"/>
        </w:rPr>
        <w:t>2.3 发展目标</w:t>
      </w:r>
      <w:r>
        <w:tab/>
      </w:r>
      <w:r>
        <w:fldChar w:fldCharType="begin"/>
      </w:r>
      <w:r>
        <w:instrText xml:space="preserve"> PAGEREF _Toc12534 \h </w:instrText>
      </w:r>
      <w:r>
        <w:fldChar w:fldCharType="separate"/>
      </w:r>
      <w:r>
        <w:t>- 12 -</w:t>
      </w:r>
      <w:r>
        <w:fldChar w:fldCharType="end"/>
      </w:r>
      <w:r>
        <w:fldChar w:fldCharType="end"/>
      </w:r>
    </w:p>
    <w:p>
      <w:pPr>
        <w:pStyle w:val="19"/>
        <w:tabs>
          <w:tab w:val="right" w:leader="dot" w:pos="8503"/>
        </w:tabs>
      </w:pPr>
      <w:r>
        <w:fldChar w:fldCharType="begin"/>
      </w:r>
      <w:r>
        <w:instrText xml:space="preserve"> HYPERLINK \l "_Toc31687" </w:instrText>
      </w:r>
      <w:r>
        <w:fldChar w:fldCharType="separate"/>
      </w:r>
      <w:r>
        <w:rPr>
          <w:rFonts w:hint="eastAsia"/>
          <w:lang w:val="zh-CN"/>
        </w:rPr>
        <w:t>第3章 综合立体的交通发展格局</w:t>
      </w:r>
      <w:r>
        <w:tab/>
      </w:r>
      <w:r>
        <w:fldChar w:fldCharType="begin"/>
      </w:r>
      <w:r>
        <w:instrText xml:space="preserve"> PAGEREF _Toc31687 \h </w:instrText>
      </w:r>
      <w:r>
        <w:fldChar w:fldCharType="separate"/>
      </w:r>
      <w:r>
        <w:t>- 13 -</w:t>
      </w:r>
      <w:r>
        <w:fldChar w:fldCharType="end"/>
      </w:r>
      <w:r>
        <w:fldChar w:fldCharType="end"/>
      </w:r>
    </w:p>
    <w:p>
      <w:pPr>
        <w:pStyle w:val="24"/>
        <w:tabs>
          <w:tab w:val="right" w:leader="dot" w:pos="8503"/>
        </w:tabs>
        <w:ind w:firstLine="320"/>
      </w:pPr>
      <w:r>
        <w:fldChar w:fldCharType="begin"/>
      </w:r>
      <w:r>
        <w:instrText xml:space="preserve"> HYPERLINK \l "_Toc3353" </w:instrText>
      </w:r>
      <w:r>
        <w:fldChar w:fldCharType="separate"/>
      </w:r>
      <w:r>
        <w:rPr>
          <w:rFonts w:hint="eastAsia"/>
        </w:rPr>
        <w:t>3.1 结构合理的规模总</w:t>
      </w:r>
      <w:r>
        <w:t>量</w:t>
      </w:r>
      <w:r>
        <w:tab/>
      </w:r>
      <w:r>
        <w:fldChar w:fldCharType="begin"/>
      </w:r>
      <w:r>
        <w:instrText xml:space="preserve"> PAGEREF _Toc3353 \h </w:instrText>
      </w:r>
      <w:r>
        <w:fldChar w:fldCharType="separate"/>
      </w:r>
      <w:r>
        <w:t>- 13 -</w:t>
      </w:r>
      <w:r>
        <w:fldChar w:fldCharType="end"/>
      </w:r>
      <w:r>
        <w:fldChar w:fldCharType="end"/>
      </w:r>
    </w:p>
    <w:p>
      <w:pPr>
        <w:pStyle w:val="24"/>
        <w:tabs>
          <w:tab w:val="right" w:leader="dot" w:pos="8503"/>
        </w:tabs>
        <w:ind w:firstLine="320"/>
      </w:pPr>
      <w:r>
        <w:fldChar w:fldCharType="begin"/>
      </w:r>
      <w:r>
        <w:instrText xml:space="preserve"> HYPERLINK \l "_Toc14466" </w:instrText>
      </w:r>
      <w:r>
        <w:fldChar w:fldCharType="separate"/>
      </w:r>
      <w:r>
        <w:rPr>
          <w:rFonts w:hint="eastAsia"/>
        </w:rPr>
        <w:t>3.2 切</w:t>
      </w:r>
      <w:r>
        <w:t>合</w:t>
      </w:r>
      <w:r>
        <w:rPr>
          <w:rFonts w:hint="eastAsia"/>
        </w:rPr>
        <w:t>时代</w:t>
      </w:r>
      <w:r>
        <w:t>的</w:t>
      </w:r>
      <w:r>
        <w:rPr>
          <w:rFonts w:hint="eastAsia"/>
        </w:rPr>
        <w:t>发展路径</w:t>
      </w:r>
      <w:r>
        <w:tab/>
      </w:r>
      <w:r>
        <w:fldChar w:fldCharType="begin"/>
      </w:r>
      <w:r>
        <w:instrText xml:space="preserve"> PAGEREF _Toc14466 \h </w:instrText>
      </w:r>
      <w:r>
        <w:fldChar w:fldCharType="separate"/>
      </w:r>
      <w:r>
        <w:t>- 14 -</w:t>
      </w:r>
      <w:r>
        <w:fldChar w:fldCharType="end"/>
      </w:r>
      <w:r>
        <w:fldChar w:fldCharType="end"/>
      </w:r>
    </w:p>
    <w:p>
      <w:pPr>
        <w:pStyle w:val="24"/>
        <w:tabs>
          <w:tab w:val="right" w:leader="dot" w:pos="8503"/>
        </w:tabs>
        <w:ind w:firstLine="320"/>
      </w:pPr>
      <w:r>
        <w:fldChar w:fldCharType="begin"/>
      </w:r>
      <w:r>
        <w:instrText xml:space="preserve"> HYPERLINK \l "_Toc14874" </w:instrText>
      </w:r>
      <w:r>
        <w:fldChar w:fldCharType="separate"/>
      </w:r>
      <w:r>
        <w:rPr>
          <w:rFonts w:hint="eastAsia"/>
        </w:rPr>
        <w:t xml:space="preserve">3.3 </w:t>
      </w:r>
      <w:r>
        <w:t>全面拓展</w:t>
      </w:r>
      <w:r>
        <w:rPr>
          <w:rFonts w:hint="eastAsia"/>
        </w:rPr>
        <w:t>的运输通道</w:t>
      </w:r>
      <w:r>
        <w:tab/>
      </w:r>
      <w:r>
        <w:fldChar w:fldCharType="begin"/>
      </w:r>
      <w:r>
        <w:instrText xml:space="preserve"> PAGEREF _Toc14874 \h </w:instrText>
      </w:r>
      <w:r>
        <w:fldChar w:fldCharType="separate"/>
      </w:r>
      <w:r>
        <w:t>- 15 -</w:t>
      </w:r>
      <w:r>
        <w:fldChar w:fldCharType="end"/>
      </w:r>
      <w:r>
        <w:fldChar w:fldCharType="end"/>
      </w:r>
    </w:p>
    <w:p>
      <w:pPr>
        <w:pStyle w:val="19"/>
        <w:tabs>
          <w:tab w:val="right" w:leader="dot" w:pos="8503"/>
        </w:tabs>
      </w:pPr>
      <w:r>
        <w:fldChar w:fldCharType="begin"/>
      </w:r>
      <w:r>
        <w:instrText xml:space="preserve"> HYPERLINK \l "_Toc1039" </w:instrText>
      </w:r>
      <w:r>
        <w:fldChar w:fldCharType="separate"/>
      </w:r>
      <w:r>
        <w:rPr>
          <w:rFonts w:hint="eastAsia"/>
          <w:lang w:val="zh-CN"/>
        </w:rPr>
        <w:t>第4章 外联内通的综合交通网络</w:t>
      </w:r>
      <w:r>
        <w:tab/>
      </w:r>
      <w:r>
        <w:fldChar w:fldCharType="begin"/>
      </w:r>
      <w:r>
        <w:instrText xml:space="preserve"> PAGEREF _Toc1039 \h </w:instrText>
      </w:r>
      <w:r>
        <w:fldChar w:fldCharType="separate"/>
      </w:r>
      <w:r>
        <w:t>- 16 -</w:t>
      </w:r>
      <w:r>
        <w:fldChar w:fldCharType="end"/>
      </w:r>
      <w:r>
        <w:fldChar w:fldCharType="end"/>
      </w:r>
    </w:p>
    <w:p>
      <w:pPr>
        <w:pStyle w:val="24"/>
        <w:tabs>
          <w:tab w:val="right" w:leader="dot" w:pos="8503"/>
        </w:tabs>
        <w:ind w:firstLine="320"/>
      </w:pPr>
      <w:r>
        <w:fldChar w:fldCharType="begin"/>
      </w:r>
      <w:r>
        <w:instrText xml:space="preserve"> HYPERLINK \l "_Toc27493" </w:instrText>
      </w:r>
      <w:r>
        <w:fldChar w:fldCharType="separate"/>
      </w:r>
      <w:r>
        <w:rPr>
          <w:rFonts w:hint="eastAsia"/>
        </w:rPr>
        <w:t>4.1 “外联”畅通的骨架网</w:t>
      </w:r>
      <w:r>
        <w:tab/>
      </w:r>
      <w:r>
        <w:fldChar w:fldCharType="begin"/>
      </w:r>
      <w:r>
        <w:instrText xml:space="preserve"> PAGEREF _Toc27493 \h </w:instrText>
      </w:r>
      <w:r>
        <w:fldChar w:fldCharType="separate"/>
      </w:r>
      <w:r>
        <w:t>- 16 -</w:t>
      </w:r>
      <w:r>
        <w:fldChar w:fldCharType="end"/>
      </w:r>
      <w:r>
        <w:fldChar w:fldCharType="end"/>
      </w:r>
    </w:p>
    <w:p>
      <w:pPr>
        <w:pStyle w:val="24"/>
        <w:tabs>
          <w:tab w:val="right" w:leader="dot" w:pos="8503"/>
        </w:tabs>
        <w:ind w:firstLine="320"/>
      </w:pPr>
      <w:r>
        <w:fldChar w:fldCharType="begin"/>
      </w:r>
      <w:r>
        <w:instrText xml:space="preserve"> HYPERLINK \l "_Toc4461" </w:instrText>
      </w:r>
      <w:r>
        <w:fldChar w:fldCharType="separate"/>
      </w:r>
      <w:r>
        <w:rPr>
          <w:rFonts w:hint="eastAsia"/>
        </w:rPr>
        <w:t>4.2 “内通”畅顺的干线网</w:t>
      </w:r>
      <w:r>
        <w:tab/>
      </w:r>
      <w:r>
        <w:fldChar w:fldCharType="begin"/>
      </w:r>
      <w:r>
        <w:instrText xml:space="preserve"> PAGEREF _Toc4461 \h </w:instrText>
      </w:r>
      <w:r>
        <w:fldChar w:fldCharType="separate"/>
      </w:r>
      <w:r>
        <w:t>- 18 -</w:t>
      </w:r>
      <w:r>
        <w:fldChar w:fldCharType="end"/>
      </w:r>
      <w:r>
        <w:fldChar w:fldCharType="end"/>
      </w:r>
    </w:p>
    <w:p>
      <w:pPr>
        <w:pStyle w:val="24"/>
        <w:tabs>
          <w:tab w:val="right" w:leader="dot" w:pos="8503"/>
        </w:tabs>
        <w:ind w:firstLine="320"/>
      </w:pPr>
      <w:r>
        <w:fldChar w:fldCharType="begin"/>
      </w:r>
      <w:r>
        <w:instrText xml:space="preserve"> HYPERLINK \l "_Toc18470" </w:instrText>
      </w:r>
      <w:r>
        <w:fldChar w:fldCharType="separate"/>
      </w:r>
      <w:r>
        <w:rPr>
          <w:rFonts w:hint="eastAsia"/>
        </w:rPr>
        <w:t>4.3 “广泛”畅达的基础网</w:t>
      </w:r>
      <w:r>
        <w:tab/>
      </w:r>
      <w:r>
        <w:fldChar w:fldCharType="begin"/>
      </w:r>
      <w:r>
        <w:instrText xml:space="preserve"> PAGEREF _Toc18470 \h </w:instrText>
      </w:r>
      <w:r>
        <w:fldChar w:fldCharType="separate"/>
      </w:r>
      <w:r>
        <w:t>- 19 -</w:t>
      </w:r>
      <w:r>
        <w:fldChar w:fldCharType="end"/>
      </w:r>
      <w:r>
        <w:fldChar w:fldCharType="end"/>
      </w:r>
    </w:p>
    <w:p>
      <w:pPr>
        <w:pStyle w:val="24"/>
        <w:tabs>
          <w:tab w:val="right" w:leader="dot" w:pos="8503"/>
        </w:tabs>
        <w:ind w:firstLine="320"/>
      </w:pPr>
      <w:r>
        <w:fldChar w:fldCharType="begin"/>
      </w:r>
      <w:r>
        <w:instrText xml:space="preserve"> HYPERLINK \l "_Toc12987" </w:instrText>
      </w:r>
      <w:r>
        <w:fldChar w:fldCharType="separate"/>
      </w:r>
      <w:r>
        <w:rPr>
          <w:rFonts w:hint="eastAsia"/>
        </w:rPr>
        <w:t>4.4 “特色”畅享的交旅网</w:t>
      </w:r>
      <w:r>
        <w:tab/>
      </w:r>
      <w:r>
        <w:fldChar w:fldCharType="begin"/>
      </w:r>
      <w:r>
        <w:instrText xml:space="preserve"> PAGEREF _Toc12987 \h </w:instrText>
      </w:r>
      <w:r>
        <w:fldChar w:fldCharType="separate"/>
      </w:r>
      <w:r>
        <w:t>- 22 -</w:t>
      </w:r>
      <w:r>
        <w:fldChar w:fldCharType="end"/>
      </w:r>
      <w:r>
        <w:fldChar w:fldCharType="end"/>
      </w:r>
    </w:p>
    <w:p>
      <w:pPr>
        <w:pStyle w:val="19"/>
        <w:tabs>
          <w:tab w:val="right" w:leader="dot" w:pos="8503"/>
        </w:tabs>
      </w:pPr>
      <w:r>
        <w:fldChar w:fldCharType="begin"/>
      </w:r>
      <w:r>
        <w:instrText xml:space="preserve"> HYPERLINK \l "_Toc27441" </w:instrText>
      </w:r>
      <w:r>
        <w:fldChar w:fldCharType="separate"/>
      </w:r>
      <w:r>
        <w:rPr>
          <w:rFonts w:hint="eastAsia"/>
          <w:lang w:val="zh-CN"/>
        </w:rPr>
        <w:t>第5章 高效便捷的综合交通枢纽</w:t>
      </w:r>
      <w:r>
        <w:tab/>
      </w:r>
      <w:r>
        <w:fldChar w:fldCharType="begin"/>
      </w:r>
      <w:r>
        <w:instrText xml:space="preserve"> PAGEREF _Toc27441 \h </w:instrText>
      </w:r>
      <w:r>
        <w:fldChar w:fldCharType="separate"/>
      </w:r>
      <w:r>
        <w:t>- 24 -</w:t>
      </w:r>
      <w:r>
        <w:fldChar w:fldCharType="end"/>
      </w:r>
      <w:r>
        <w:fldChar w:fldCharType="end"/>
      </w:r>
    </w:p>
    <w:p>
      <w:pPr>
        <w:pStyle w:val="24"/>
        <w:tabs>
          <w:tab w:val="right" w:leader="dot" w:pos="8503"/>
        </w:tabs>
        <w:ind w:firstLine="320"/>
      </w:pPr>
      <w:r>
        <w:fldChar w:fldCharType="begin"/>
      </w:r>
      <w:r>
        <w:instrText xml:space="preserve"> HYPERLINK \l "_Toc11231" </w:instrText>
      </w:r>
      <w:r>
        <w:fldChar w:fldCharType="separate"/>
      </w:r>
      <w:r>
        <w:rPr>
          <w:rFonts w:hint="eastAsia"/>
        </w:rPr>
        <w:t>5.1 功能</w:t>
      </w:r>
      <w:r>
        <w:t>明确的</w:t>
      </w:r>
      <w:r>
        <w:rPr>
          <w:rFonts w:hint="eastAsia"/>
        </w:rPr>
        <w:t>内</w:t>
      </w:r>
      <w:r>
        <w:t>河</w:t>
      </w:r>
      <w:r>
        <w:rPr>
          <w:rFonts w:hint="eastAsia"/>
        </w:rPr>
        <w:t>港口枢纽</w:t>
      </w:r>
      <w:r>
        <w:tab/>
      </w:r>
      <w:r>
        <w:fldChar w:fldCharType="begin"/>
      </w:r>
      <w:r>
        <w:instrText xml:space="preserve"> PAGEREF _Toc11231 \h </w:instrText>
      </w:r>
      <w:r>
        <w:fldChar w:fldCharType="separate"/>
      </w:r>
      <w:r>
        <w:t>- 24 -</w:t>
      </w:r>
      <w:r>
        <w:fldChar w:fldCharType="end"/>
      </w:r>
      <w:r>
        <w:fldChar w:fldCharType="end"/>
      </w:r>
    </w:p>
    <w:p>
      <w:pPr>
        <w:pStyle w:val="24"/>
        <w:tabs>
          <w:tab w:val="right" w:leader="dot" w:pos="8503"/>
        </w:tabs>
        <w:ind w:firstLine="320"/>
      </w:pPr>
      <w:r>
        <w:fldChar w:fldCharType="begin"/>
      </w:r>
      <w:r>
        <w:instrText xml:space="preserve"> HYPERLINK \l "_Toc29586" </w:instrText>
      </w:r>
      <w:r>
        <w:fldChar w:fldCharType="separate"/>
      </w:r>
      <w:r>
        <w:rPr>
          <w:rFonts w:hint="eastAsia"/>
        </w:rPr>
        <w:t>5.2 布</w:t>
      </w:r>
      <w:r>
        <w:t>局合理的</w:t>
      </w:r>
      <w:r>
        <w:rPr>
          <w:rFonts w:hint="eastAsia"/>
        </w:rPr>
        <w:t>民航运输枢纽</w:t>
      </w:r>
      <w:r>
        <w:tab/>
      </w:r>
      <w:r>
        <w:fldChar w:fldCharType="begin"/>
      </w:r>
      <w:r>
        <w:instrText xml:space="preserve"> PAGEREF _Toc29586 \h </w:instrText>
      </w:r>
      <w:r>
        <w:fldChar w:fldCharType="separate"/>
      </w:r>
      <w:r>
        <w:t>- 25 -</w:t>
      </w:r>
      <w:r>
        <w:fldChar w:fldCharType="end"/>
      </w:r>
      <w:r>
        <w:fldChar w:fldCharType="end"/>
      </w:r>
    </w:p>
    <w:p>
      <w:pPr>
        <w:pStyle w:val="24"/>
        <w:tabs>
          <w:tab w:val="right" w:leader="dot" w:pos="8503"/>
        </w:tabs>
        <w:ind w:firstLine="320"/>
      </w:pPr>
      <w:r>
        <w:fldChar w:fldCharType="begin"/>
      </w:r>
      <w:r>
        <w:instrText xml:space="preserve"> HYPERLINK \l "_Toc26484" </w:instrText>
      </w:r>
      <w:r>
        <w:fldChar w:fldCharType="separate"/>
      </w:r>
      <w:r>
        <w:rPr>
          <w:rFonts w:hint="eastAsia"/>
        </w:rPr>
        <w:t>5.3 层</w:t>
      </w:r>
      <w:r>
        <w:t>级</w:t>
      </w:r>
      <w:r>
        <w:rPr>
          <w:rFonts w:hint="eastAsia"/>
        </w:rPr>
        <w:t>有</w:t>
      </w:r>
      <w:r>
        <w:t>序的</w:t>
      </w:r>
      <w:r>
        <w:rPr>
          <w:rFonts w:hint="eastAsia"/>
        </w:rPr>
        <w:t>综合客运枢纽</w:t>
      </w:r>
      <w:r>
        <w:tab/>
      </w:r>
      <w:r>
        <w:fldChar w:fldCharType="begin"/>
      </w:r>
      <w:r>
        <w:instrText xml:space="preserve"> PAGEREF _Toc26484 \h </w:instrText>
      </w:r>
      <w:r>
        <w:fldChar w:fldCharType="separate"/>
      </w:r>
      <w:r>
        <w:t>- 26 -</w:t>
      </w:r>
      <w:r>
        <w:fldChar w:fldCharType="end"/>
      </w:r>
      <w:r>
        <w:fldChar w:fldCharType="end"/>
      </w:r>
    </w:p>
    <w:p>
      <w:pPr>
        <w:pStyle w:val="24"/>
        <w:tabs>
          <w:tab w:val="right" w:leader="dot" w:pos="8503"/>
        </w:tabs>
        <w:ind w:firstLine="320"/>
      </w:pPr>
      <w:r>
        <w:fldChar w:fldCharType="begin"/>
      </w:r>
      <w:r>
        <w:instrText xml:space="preserve"> HYPERLINK \l "_Toc12876" </w:instrText>
      </w:r>
      <w:r>
        <w:fldChar w:fldCharType="separate"/>
      </w:r>
      <w:r>
        <w:rPr>
          <w:rFonts w:hint="eastAsia"/>
        </w:rPr>
        <w:t>5.4 保</w:t>
      </w:r>
      <w:r>
        <w:t>障有力的</w:t>
      </w:r>
      <w:r>
        <w:rPr>
          <w:rFonts w:hint="eastAsia"/>
        </w:rPr>
        <w:t>综合货运枢纽</w:t>
      </w:r>
      <w:r>
        <w:tab/>
      </w:r>
      <w:r>
        <w:fldChar w:fldCharType="begin"/>
      </w:r>
      <w:r>
        <w:instrText xml:space="preserve"> PAGEREF _Toc12876 \h </w:instrText>
      </w:r>
      <w:r>
        <w:fldChar w:fldCharType="separate"/>
      </w:r>
      <w:r>
        <w:t>- 27 -</w:t>
      </w:r>
      <w:r>
        <w:fldChar w:fldCharType="end"/>
      </w:r>
      <w:r>
        <w:fldChar w:fldCharType="end"/>
      </w:r>
    </w:p>
    <w:p>
      <w:pPr>
        <w:pStyle w:val="24"/>
        <w:tabs>
          <w:tab w:val="right" w:leader="dot" w:pos="8503"/>
        </w:tabs>
        <w:ind w:firstLine="320"/>
      </w:pPr>
      <w:r>
        <w:fldChar w:fldCharType="begin"/>
      </w:r>
      <w:r>
        <w:instrText xml:space="preserve"> HYPERLINK \l "_Toc2041" </w:instrText>
      </w:r>
      <w:r>
        <w:fldChar w:fldCharType="separate"/>
      </w:r>
      <w:r>
        <w:rPr>
          <w:rFonts w:hint="eastAsia"/>
        </w:rPr>
        <w:t>5.5 服务有</w:t>
      </w:r>
      <w:r>
        <w:t>质的</w:t>
      </w:r>
      <w:r>
        <w:rPr>
          <w:rFonts w:hint="eastAsia"/>
        </w:rPr>
        <w:t>旅游集散中心</w:t>
      </w:r>
      <w:r>
        <w:tab/>
      </w:r>
      <w:r>
        <w:fldChar w:fldCharType="begin"/>
      </w:r>
      <w:r>
        <w:instrText xml:space="preserve"> PAGEREF _Toc2041 \h </w:instrText>
      </w:r>
      <w:r>
        <w:fldChar w:fldCharType="separate"/>
      </w:r>
      <w:r>
        <w:t>- 27 -</w:t>
      </w:r>
      <w:r>
        <w:fldChar w:fldCharType="end"/>
      </w:r>
      <w:r>
        <w:fldChar w:fldCharType="end"/>
      </w:r>
    </w:p>
    <w:p>
      <w:pPr>
        <w:pStyle w:val="19"/>
        <w:tabs>
          <w:tab w:val="right" w:leader="dot" w:pos="8503"/>
        </w:tabs>
      </w:pPr>
      <w:r>
        <w:fldChar w:fldCharType="begin"/>
      </w:r>
      <w:r>
        <w:instrText xml:space="preserve"> HYPERLINK \l "_Toc10054" </w:instrText>
      </w:r>
      <w:r>
        <w:fldChar w:fldCharType="separate"/>
      </w:r>
      <w:r>
        <w:rPr>
          <w:rFonts w:hint="eastAsia"/>
          <w:lang w:val="zh-CN"/>
        </w:rPr>
        <w:t>第6章 统筹融合的综合交通体系</w:t>
      </w:r>
      <w:r>
        <w:tab/>
      </w:r>
      <w:r>
        <w:fldChar w:fldCharType="begin"/>
      </w:r>
      <w:r>
        <w:instrText xml:space="preserve"> PAGEREF _Toc10054 \h </w:instrText>
      </w:r>
      <w:r>
        <w:fldChar w:fldCharType="separate"/>
      </w:r>
      <w:r>
        <w:t>- 29 -</w:t>
      </w:r>
      <w:r>
        <w:fldChar w:fldCharType="end"/>
      </w:r>
      <w:r>
        <w:fldChar w:fldCharType="end"/>
      </w:r>
    </w:p>
    <w:p>
      <w:pPr>
        <w:pStyle w:val="24"/>
        <w:tabs>
          <w:tab w:val="right" w:leader="dot" w:pos="8503"/>
        </w:tabs>
        <w:ind w:firstLine="320"/>
      </w:pPr>
      <w:r>
        <w:fldChar w:fldCharType="begin"/>
      </w:r>
      <w:r>
        <w:instrText xml:space="preserve"> HYPERLINK \l "_Toc24467" </w:instrText>
      </w:r>
      <w:r>
        <w:fldChar w:fldCharType="separate"/>
      </w:r>
      <w:r>
        <w:rPr>
          <w:rFonts w:hint="eastAsia" w:cs="楷体"/>
        </w:rPr>
        <w:t>6.1 运输方式间融合发展</w:t>
      </w:r>
      <w:r>
        <w:tab/>
      </w:r>
      <w:r>
        <w:fldChar w:fldCharType="begin"/>
      </w:r>
      <w:r>
        <w:instrText xml:space="preserve"> PAGEREF _Toc24467 \h </w:instrText>
      </w:r>
      <w:r>
        <w:fldChar w:fldCharType="separate"/>
      </w:r>
      <w:r>
        <w:t>- 29 -</w:t>
      </w:r>
      <w:r>
        <w:fldChar w:fldCharType="end"/>
      </w:r>
      <w:r>
        <w:fldChar w:fldCharType="end"/>
      </w:r>
    </w:p>
    <w:p>
      <w:pPr>
        <w:pStyle w:val="24"/>
        <w:tabs>
          <w:tab w:val="right" w:leader="dot" w:pos="8503"/>
        </w:tabs>
        <w:ind w:firstLine="320"/>
      </w:pPr>
      <w:r>
        <w:fldChar w:fldCharType="begin"/>
      </w:r>
      <w:r>
        <w:instrText xml:space="preserve"> HYPERLINK \l "_Toc20096" </w:instrText>
      </w:r>
      <w:r>
        <w:fldChar w:fldCharType="separate"/>
      </w:r>
      <w:r>
        <w:rPr>
          <w:rFonts w:hint="eastAsia"/>
        </w:rPr>
        <w:t>6.2 区域一体化融合发</w:t>
      </w:r>
      <w:r>
        <w:t>展</w:t>
      </w:r>
      <w:r>
        <w:tab/>
      </w:r>
      <w:r>
        <w:fldChar w:fldCharType="begin"/>
      </w:r>
      <w:r>
        <w:instrText xml:space="preserve"> PAGEREF _Toc20096 \h </w:instrText>
      </w:r>
      <w:r>
        <w:fldChar w:fldCharType="separate"/>
      </w:r>
      <w:r>
        <w:t>- 31 -</w:t>
      </w:r>
      <w:r>
        <w:fldChar w:fldCharType="end"/>
      </w:r>
      <w:r>
        <w:fldChar w:fldCharType="end"/>
      </w:r>
    </w:p>
    <w:p>
      <w:pPr>
        <w:pStyle w:val="24"/>
        <w:tabs>
          <w:tab w:val="right" w:leader="dot" w:pos="8503"/>
        </w:tabs>
        <w:ind w:firstLine="320"/>
      </w:pPr>
      <w:r>
        <w:fldChar w:fldCharType="begin"/>
      </w:r>
      <w:r>
        <w:instrText xml:space="preserve"> HYPERLINK \l "_Toc27372" </w:instrText>
      </w:r>
      <w:r>
        <w:fldChar w:fldCharType="separate"/>
      </w:r>
      <w:r>
        <w:rPr>
          <w:rFonts w:hint="eastAsia"/>
        </w:rPr>
        <w:t xml:space="preserve">6.3 </w:t>
      </w:r>
      <w:r>
        <w:t>“</w:t>
      </w:r>
      <w:r>
        <w:rPr>
          <w:rFonts w:hint="eastAsia"/>
        </w:rPr>
        <w:t>交通+</w:t>
      </w:r>
      <w:r>
        <w:t>”</w:t>
      </w:r>
      <w:r>
        <w:rPr>
          <w:rFonts w:hint="eastAsia"/>
        </w:rPr>
        <w:t>产业融合发展</w:t>
      </w:r>
      <w:r>
        <w:tab/>
      </w:r>
      <w:r>
        <w:fldChar w:fldCharType="begin"/>
      </w:r>
      <w:r>
        <w:instrText xml:space="preserve"> PAGEREF _Toc27372 \h </w:instrText>
      </w:r>
      <w:r>
        <w:fldChar w:fldCharType="separate"/>
      </w:r>
      <w:r>
        <w:t>- 32 -</w:t>
      </w:r>
      <w:r>
        <w:fldChar w:fldCharType="end"/>
      </w:r>
      <w:r>
        <w:fldChar w:fldCharType="end"/>
      </w:r>
    </w:p>
    <w:p>
      <w:pPr>
        <w:pStyle w:val="19"/>
        <w:tabs>
          <w:tab w:val="right" w:leader="dot" w:pos="8503"/>
        </w:tabs>
      </w:pPr>
      <w:r>
        <w:fldChar w:fldCharType="begin"/>
      </w:r>
      <w:r>
        <w:instrText xml:space="preserve"> HYPERLINK \l "_Toc2047" </w:instrText>
      </w:r>
      <w:r>
        <w:fldChar w:fldCharType="separate"/>
      </w:r>
      <w:r>
        <w:rPr>
          <w:rFonts w:hint="eastAsia"/>
          <w:lang w:val="zh-CN"/>
        </w:rPr>
        <w:t>第7章 高质量发展的综合交通体系</w:t>
      </w:r>
      <w:r>
        <w:tab/>
      </w:r>
      <w:r>
        <w:fldChar w:fldCharType="begin"/>
      </w:r>
      <w:r>
        <w:instrText xml:space="preserve"> PAGEREF _Toc2047 \h </w:instrText>
      </w:r>
      <w:r>
        <w:fldChar w:fldCharType="separate"/>
      </w:r>
      <w:r>
        <w:t>- 35 -</w:t>
      </w:r>
      <w:r>
        <w:fldChar w:fldCharType="end"/>
      </w:r>
      <w:r>
        <w:fldChar w:fldCharType="end"/>
      </w:r>
    </w:p>
    <w:p>
      <w:pPr>
        <w:pStyle w:val="24"/>
        <w:tabs>
          <w:tab w:val="right" w:leader="dot" w:pos="8503"/>
        </w:tabs>
        <w:ind w:firstLine="320"/>
      </w:pPr>
      <w:r>
        <w:fldChar w:fldCharType="begin"/>
      </w:r>
      <w:r>
        <w:instrText xml:space="preserve"> HYPERLINK \l "_Toc4079" </w:instrText>
      </w:r>
      <w:r>
        <w:fldChar w:fldCharType="separate"/>
      </w:r>
      <w:r>
        <w:rPr>
          <w:rFonts w:hint="eastAsia"/>
        </w:rPr>
        <w:t>7.1 交通安全应急保障</w:t>
      </w:r>
      <w:r>
        <w:tab/>
      </w:r>
      <w:r>
        <w:fldChar w:fldCharType="begin"/>
      </w:r>
      <w:r>
        <w:instrText xml:space="preserve"> PAGEREF _Toc4079 \h </w:instrText>
      </w:r>
      <w:r>
        <w:fldChar w:fldCharType="separate"/>
      </w:r>
      <w:r>
        <w:t>- 35 -</w:t>
      </w:r>
      <w:r>
        <w:fldChar w:fldCharType="end"/>
      </w:r>
      <w:r>
        <w:fldChar w:fldCharType="end"/>
      </w:r>
    </w:p>
    <w:p>
      <w:pPr>
        <w:pStyle w:val="24"/>
        <w:tabs>
          <w:tab w:val="right" w:leader="dot" w:pos="8503"/>
        </w:tabs>
        <w:ind w:firstLine="320"/>
      </w:pPr>
      <w:r>
        <w:fldChar w:fldCharType="begin"/>
      </w:r>
      <w:r>
        <w:instrText xml:space="preserve"> HYPERLINK \l "_Toc30743" </w:instrText>
      </w:r>
      <w:r>
        <w:fldChar w:fldCharType="separate"/>
      </w:r>
      <w:r>
        <w:rPr>
          <w:rFonts w:hint="eastAsia"/>
        </w:rPr>
        <w:t>7.2 智慧交通运输体系</w:t>
      </w:r>
      <w:r>
        <w:tab/>
      </w:r>
      <w:r>
        <w:fldChar w:fldCharType="begin"/>
      </w:r>
      <w:r>
        <w:instrText xml:space="preserve"> PAGEREF _Toc30743 \h </w:instrText>
      </w:r>
      <w:r>
        <w:fldChar w:fldCharType="separate"/>
      </w:r>
      <w:r>
        <w:t>- 36 -</w:t>
      </w:r>
      <w:r>
        <w:fldChar w:fldCharType="end"/>
      </w:r>
      <w:r>
        <w:fldChar w:fldCharType="end"/>
      </w:r>
    </w:p>
    <w:p>
      <w:pPr>
        <w:pStyle w:val="24"/>
        <w:tabs>
          <w:tab w:val="right" w:leader="dot" w:pos="8503"/>
        </w:tabs>
        <w:ind w:firstLine="320"/>
      </w:pPr>
      <w:r>
        <w:fldChar w:fldCharType="begin"/>
      </w:r>
      <w:r>
        <w:instrText xml:space="preserve"> HYPERLINK \l "_Toc10092" </w:instrText>
      </w:r>
      <w:r>
        <w:fldChar w:fldCharType="separate"/>
      </w:r>
      <w:r>
        <w:rPr>
          <w:rFonts w:hint="eastAsia"/>
        </w:rPr>
        <w:t>7.3 绿色交通发</w:t>
      </w:r>
      <w:r>
        <w:t>展</w:t>
      </w:r>
      <w:r>
        <w:rPr>
          <w:rFonts w:hint="eastAsia"/>
        </w:rPr>
        <w:t>体系</w:t>
      </w:r>
      <w:r>
        <w:tab/>
      </w:r>
      <w:r>
        <w:fldChar w:fldCharType="begin"/>
      </w:r>
      <w:r>
        <w:instrText xml:space="preserve"> PAGEREF _Toc10092 \h </w:instrText>
      </w:r>
      <w:r>
        <w:fldChar w:fldCharType="separate"/>
      </w:r>
      <w:r>
        <w:t>- 37 -</w:t>
      </w:r>
      <w:r>
        <w:fldChar w:fldCharType="end"/>
      </w:r>
      <w:r>
        <w:fldChar w:fldCharType="end"/>
      </w:r>
    </w:p>
    <w:p>
      <w:pPr>
        <w:pStyle w:val="24"/>
        <w:tabs>
          <w:tab w:val="right" w:leader="dot" w:pos="8503"/>
        </w:tabs>
        <w:ind w:firstLine="320"/>
      </w:pPr>
      <w:r>
        <w:fldChar w:fldCharType="begin"/>
      </w:r>
      <w:r>
        <w:instrText xml:space="preserve"> HYPERLINK \l "_Toc27381" </w:instrText>
      </w:r>
      <w:r>
        <w:fldChar w:fldCharType="separate"/>
      </w:r>
      <w:r>
        <w:rPr>
          <w:rFonts w:hint="eastAsia"/>
        </w:rPr>
        <w:t>7.4 交通行业治理能力</w:t>
      </w:r>
      <w:r>
        <w:tab/>
      </w:r>
      <w:r>
        <w:fldChar w:fldCharType="begin"/>
      </w:r>
      <w:r>
        <w:instrText xml:space="preserve"> PAGEREF _Toc27381 \h </w:instrText>
      </w:r>
      <w:r>
        <w:fldChar w:fldCharType="separate"/>
      </w:r>
      <w:r>
        <w:t>- 38 -</w:t>
      </w:r>
      <w:r>
        <w:fldChar w:fldCharType="end"/>
      </w:r>
      <w:r>
        <w:fldChar w:fldCharType="end"/>
      </w:r>
    </w:p>
    <w:p>
      <w:pPr>
        <w:pStyle w:val="19"/>
        <w:tabs>
          <w:tab w:val="right" w:leader="dot" w:pos="8503"/>
        </w:tabs>
      </w:pPr>
      <w:r>
        <w:fldChar w:fldCharType="begin"/>
      </w:r>
      <w:r>
        <w:instrText xml:space="preserve"> HYPERLINK \l "_Toc20722" </w:instrText>
      </w:r>
      <w:r>
        <w:fldChar w:fldCharType="separate"/>
      </w:r>
      <w:r>
        <w:rPr>
          <w:rFonts w:hint="eastAsia"/>
          <w:lang w:val="zh-CN"/>
        </w:rPr>
        <w:t>第8章 协</w:t>
      </w:r>
      <w:r>
        <w:rPr>
          <w:lang w:val="zh-CN"/>
        </w:rPr>
        <w:t>同</w:t>
      </w:r>
      <w:r>
        <w:rPr>
          <w:rFonts w:hint="eastAsia"/>
          <w:lang w:val="zh-CN"/>
        </w:rPr>
        <w:t>国土空间的综合</w:t>
      </w:r>
      <w:r>
        <w:rPr>
          <w:lang w:val="zh-CN"/>
        </w:rPr>
        <w:t>交通体系</w:t>
      </w:r>
      <w:r>
        <w:tab/>
      </w:r>
      <w:r>
        <w:fldChar w:fldCharType="begin"/>
      </w:r>
      <w:r>
        <w:instrText xml:space="preserve"> PAGEREF _Toc20722 \h </w:instrText>
      </w:r>
      <w:r>
        <w:fldChar w:fldCharType="separate"/>
      </w:r>
      <w:r>
        <w:t>- 40 -</w:t>
      </w:r>
      <w:r>
        <w:fldChar w:fldCharType="end"/>
      </w:r>
      <w:r>
        <w:fldChar w:fldCharType="end"/>
      </w:r>
    </w:p>
    <w:p>
      <w:pPr>
        <w:pStyle w:val="24"/>
        <w:tabs>
          <w:tab w:val="right" w:leader="dot" w:pos="8503"/>
        </w:tabs>
        <w:ind w:firstLine="320"/>
      </w:pPr>
      <w:r>
        <w:fldChar w:fldCharType="begin"/>
      </w:r>
      <w:r>
        <w:instrText xml:space="preserve"> HYPERLINK \l "_Toc23965" </w:instrText>
      </w:r>
      <w:r>
        <w:fldChar w:fldCharType="separate"/>
      </w:r>
      <w:r>
        <w:rPr>
          <w:rFonts w:hint="eastAsia"/>
        </w:rPr>
        <w:t>8.1 实现存量与增量的有机统一</w:t>
      </w:r>
      <w:r>
        <w:tab/>
      </w:r>
      <w:r>
        <w:fldChar w:fldCharType="begin"/>
      </w:r>
      <w:r>
        <w:instrText xml:space="preserve"> PAGEREF _Toc23965 \h </w:instrText>
      </w:r>
      <w:r>
        <w:fldChar w:fldCharType="separate"/>
      </w:r>
      <w:r>
        <w:t>- 40 -</w:t>
      </w:r>
      <w:r>
        <w:fldChar w:fldCharType="end"/>
      </w:r>
      <w:r>
        <w:fldChar w:fldCharType="end"/>
      </w:r>
    </w:p>
    <w:p>
      <w:pPr>
        <w:pStyle w:val="24"/>
        <w:tabs>
          <w:tab w:val="right" w:leader="dot" w:pos="8503"/>
        </w:tabs>
        <w:ind w:firstLine="320"/>
      </w:pPr>
      <w:r>
        <w:fldChar w:fldCharType="begin"/>
      </w:r>
      <w:r>
        <w:instrText xml:space="preserve"> HYPERLINK \l "_Toc19041" </w:instrText>
      </w:r>
      <w:r>
        <w:fldChar w:fldCharType="separate"/>
      </w:r>
      <w:r>
        <w:rPr>
          <w:rFonts w:hint="eastAsia"/>
        </w:rPr>
        <w:t>8.2 共建规划“一张图”动态协调机制</w:t>
      </w:r>
      <w:r>
        <w:tab/>
      </w:r>
      <w:r>
        <w:fldChar w:fldCharType="begin"/>
      </w:r>
      <w:r>
        <w:instrText xml:space="preserve"> PAGEREF _Toc19041 \h </w:instrText>
      </w:r>
      <w:r>
        <w:fldChar w:fldCharType="separate"/>
      </w:r>
      <w:r>
        <w:t>- 40 -</w:t>
      </w:r>
      <w:r>
        <w:fldChar w:fldCharType="end"/>
      </w:r>
      <w:r>
        <w:fldChar w:fldCharType="end"/>
      </w:r>
    </w:p>
    <w:p>
      <w:pPr>
        <w:pStyle w:val="24"/>
        <w:tabs>
          <w:tab w:val="right" w:leader="dot" w:pos="8503"/>
        </w:tabs>
        <w:ind w:firstLine="320"/>
      </w:pPr>
      <w:r>
        <w:fldChar w:fldCharType="begin"/>
      </w:r>
      <w:r>
        <w:instrText xml:space="preserve"> HYPERLINK \l "_Toc8123" </w:instrText>
      </w:r>
      <w:r>
        <w:fldChar w:fldCharType="separate"/>
      </w:r>
      <w:r>
        <w:rPr>
          <w:rFonts w:hint="eastAsia"/>
        </w:rPr>
        <w:t>8.3 合理预控用地需求规模</w:t>
      </w:r>
      <w:r>
        <w:tab/>
      </w:r>
      <w:r>
        <w:fldChar w:fldCharType="begin"/>
      </w:r>
      <w:r>
        <w:instrText xml:space="preserve"> PAGEREF _Toc8123 \h </w:instrText>
      </w:r>
      <w:r>
        <w:fldChar w:fldCharType="separate"/>
      </w:r>
      <w:r>
        <w:t>- 40 -</w:t>
      </w:r>
      <w:r>
        <w:fldChar w:fldCharType="end"/>
      </w:r>
      <w:r>
        <w:fldChar w:fldCharType="end"/>
      </w:r>
    </w:p>
    <w:p>
      <w:pPr>
        <w:pStyle w:val="19"/>
        <w:tabs>
          <w:tab w:val="right" w:leader="dot" w:pos="8503"/>
        </w:tabs>
      </w:pPr>
      <w:r>
        <w:fldChar w:fldCharType="begin"/>
      </w:r>
      <w:r>
        <w:instrText xml:space="preserve"> HYPERLINK \l "_Toc4339" </w:instrText>
      </w:r>
      <w:r>
        <w:fldChar w:fldCharType="separate"/>
      </w:r>
      <w:r>
        <w:rPr>
          <w:rFonts w:hint="eastAsia"/>
        </w:rPr>
        <w:t xml:space="preserve">第9章 </w:t>
      </w:r>
      <w:r>
        <w:rPr>
          <w:rFonts w:hint="eastAsia"/>
          <w:lang w:val="zh-CN"/>
        </w:rPr>
        <w:t>强化保障措施</w:t>
      </w:r>
      <w:r>
        <w:tab/>
      </w:r>
      <w:r>
        <w:fldChar w:fldCharType="begin"/>
      </w:r>
      <w:r>
        <w:instrText xml:space="preserve"> PAGEREF _Toc4339 \h </w:instrText>
      </w:r>
      <w:r>
        <w:fldChar w:fldCharType="separate"/>
      </w:r>
      <w:r>
        <w:t>- 42 -</w:t>
      </w:r>
      <w:r>
        <w:fldChar w:fldCharType="end"/>
      </w:r>
      <w:r>
        <w:fldChar w:fldCharType="end"/>
      </w:r>
    </w:p>
    <w:p>
      <w:pPr>
        <w:pStyle w:val="24"/>
        <w:tabs>
          <w:tab w:val="right" w:leader="dot" w:pos="8503"/>
        </w:tabs>
        <w:ind w:firstLine="320"/>
      </w:pPr>
      <w:r>
        <w:fldChar w:fldCharType="begin"/>
      </w:r>
      <w:r>
        <w:instrText xml:space="preserve"> HYPERLINK \l "_Toc23784" </w:instrText>
      </w:r>
      <w:r>
        <w:fldChar w:fldCharType="separate"/>
      </w:r>
      <w:r>
        <w:rPr>
          <w:rFonts w:hint="eastAsia"/>
        </w:rPr>
        <w:t>9.1 加强组织保障</w:t>
      </w:r>
      <w:r>
        <w:tab/>
      </w:r>
      <w:r>
        <w:fldChar w:fldCharType="begin"/>
      </w:r>
      <w:r>
        <w:instrText xml:space="preserve"> PAGEREF _Toc23784 \h </w:instrText>
      </w:r>
      <w:r>
        <w:fldChar w:fldCharType="separate"/>
      </w:r>
      <w:r>
        <w:t>- 42 -</w:t>
      </w:r>
      <w:r>
        <w:fldChar w:fldCharType="end"/>
      </w:r>
      <w:r>
        <w:fldChar w:fldCharType="end"/>
      </w:r>
    </w:p>
    <w:p>
      <w:pPr>
        <w:pStyle w:val="24"/>
        <w:tabs>
          <w:tab w:val="right" w:leader="dot" w:pos="8503"/>
        </w:tabs>
        <w:ind w:firstLine="320"/>
      </w:pPr>
      <w:r>
        <w:fldChar w:fldCharType="begin"/>
      </w:r>
      <w:r>
        <w:instrText xml:space="preserve"> HYPERLINK \l "_Toc32735" </w:instrText>
      </w:r>
      <w:r>
        <w:fldChar w:fldCharType="separate"/>
      </w:r>
      <w:r>
        <w:rPr>
          <w:rFonts w:hint="eastAsia"/>
        </w:rPr>
        <w:t>9.2 强化资金保障</w:t>
      </w:r>
      <w:r>
        <w:tab/>
      </w:r>
      <w:r>
        <w:fldChar w:fldCharType="begin"/>
      </w:r>
      <w:r>
        <w:instrText xml:space="preserve"> PAGEREF _Toc32735 \h </w:instrText>
      </w:r>
      <w:r>
        <w:fldChar w:fldCharType="separate"/>
      </w:r>
      <w:r>
        <w:t>- 42 -</w:t>
      </w:r>
      <w:r>
        <w:fldChar w:fldCharType="end"/>
      </w:r>
      <w:r>
        <w:fldChar w:fldCharType="end"/>
      </w:r>
    </w:p>
    <w:p>
      <w:pPr>
        <w:pStyle w:val="24"/>
        <w:tabs>
          <w:tab w:val="right" w:leader="dot" w:pos="8503"/>
        </w:tabs>
        <w:ind w:firstLine="320"/>
      </w:pPr>
      <w:r>
        <w:fldChar w:fldCharType="begin"/>
      </w:r>
      <w:r>
        <w:instrText xml:space="preserve"> HYPERLINK \l "_Toc4454" </w:instrText>
      </w:r>
      <w:r>
        <w:fldChar w:fldCharType="separate"/>
      </w:r>
      <w:r>
        <w:rPr>
          <w:rFonts w:hint="eastAsia"/>
        </w:rPr>
        <w:t>9.3 强化用地保障</w:t>
      </w:r>
      <w:r>
        <w:tab/>
      </w:r>
      <w:r>
        <w:fldChar w:fldCharType="begin"/>
      </w:r>
      <w:r>
        <w:instrText xml:space="preserve"> PAGEREF _Toc4454 \h </w:instrText>
      </w:r>
      <w:r>
        <w:fldChar w:fldCharType="separate"/>
      </w:r>
      <w:r>
        <w:t>- 43 -</w:t>
      </w:r>
      <w:r>
        <w:fldChar w:fldCharType="end"/>
      </w:r>
      <w:r>
        <w:fldChar w:fldCharType="end"/>
      </w:r>
    </w:p>
    <w:p>
      <w:pPr>
        <w:pStyle w:val="24"/>
        <w:tabs>
          <w:tab w:val="right" w:leader="dot" w:pos="8503"/>
        </w:tabs>
        <w:ind w:firstLine="320"/>
      </w:pPr>
      <w:r>
        <w:fldChar w:fldCharType="begin"/>
      </w:r>
      <w:r>
        <w:instrText xml:space="preserve"> HYPERLINK \l "_Toc191" </w:instrText>
      </w:r>
      <w:r>
        <w:fldChar w:fldCharType="separate"/>
      </w:r>
      <w:r>
        <w:rPr>
          <w:rFonts w:hint="eastAsia"/>
        </w:rPr>
        <w:t>9.4 加强实施管理</w:t>
      </w:r>
      <w:r>
        <w:tab/>
      </w:r>
      <w:r>
        <w:fldChar w:fldCharType="begin"/>
      </w:r>
      <w:r>
        <w:instrText xml:space="preserve"> PAGEREF _Toc191 \h </w:instrText>
      </w:r>
      <w:r>
        <w:fldChar w:fldCharType="separate"/>
      </w:r>
      <w:r>
        <w:t>- 43 -</w:t>
      </w:r>
      <w:r>
        <w:fldChar w:fldCharType="end"/>
      </w:r>
      <w:r>
        <w:fldChar w:fldCharType="end"/>
      </w:r>
    </w:p>
    <w:p>
      <w:pPr>
        <w:pStyle w:val="19"/>
        <w:tabs>
          <w:tab w:val="right" w:leader="dot" w:pos="8503"/>
        </w:tabs>
      </w:pPr>
      <w:r>
        <w:fldChar w:fldCharType="begin"/>
      </w:r>
      <w:r>
        <w:instrText xml:space="preserve"> HYPERLINK \l "_Toc19798" </w:instrText>
      </w:r>
      <w:r>
        <w:fldChar w:fldCharType="separate"/>
      </w:r>
      <w:r>
        <w:rPr>
          <w:rFonts w:hint="eastAsia" w:ascii="黑体" w:hAnsi="黑体" w:cs="黑体"/>
          <w:bCs/>
          <w:szCs w:val="32"/>
          <w:lang w:val="zh-CN"/>
        </w:rPr>
        <w:t>附表1韶关市综合立体交通网重点项目计划表（2021-2035年）</w:t>
      </w:r>
      <w:r>
        <w:tab/>
      </w:r>
      <w:r>
        <w:fldChar w:fldCharType="begin"/>
      </w:r>
      <w:r>
        <w:instrText xml:space="preserve"> PAGEREF _Toc19798 \h </w:instrText>
      </w:r>
      <w:r>
        <w:fldChar w:fldCharType="separate"/>
      </w:r>
      <w:r>
        <w:t>- 45 -</w:t>
      </w:r>
      <w:r>
        <w:fldChar w:fldCharType="end"/>
      </w:r>
      <w:r>
        <w:fldChar w:fldCharType="end"/>
      </w:r>
    </w:p>
    <w:p>
      <w:pPr>
        <w:pStyle w:val="19"/>
        <w:tabs>
          <w:tab w:val="right" w:leader="dot" w:pos="8503"/>
        </w:tabs>
      </w:pPr>
      <w:r>
        <w:fldChar w:fldCharType="begin"/>
      </w:r>
      <w:r>
        <w:instrText xml:space="preserve"> HYPERLINK \l "_Toc17496" </w:instrText>
      </w:r>
      <w:r>
        <w:fldChar w:fldCharType="separate"/>
      </w:r>
      <w:r>
        <w:rPr>
          <w:rFonts w:hint="eastAsia" w:ascii="黑体" w:hAnsi="黑体" w:cs="黑体"/>
          <w:bCs/>
          <w:szCs w:val="32"/>
        </w:rPr>
        <w:t>附表2韶关市综合立体交通网重点项目计划表（展望至2050年）</w:t>
      </w:r>
      <w:r>
        <w:tab/>
      </w:r>
      <w:r>
        <w:fldChar w:fldCharType="begin"/>
      </w:r>
      <w:r>
        <w:instrText xml:space="preserve"> PAGEREF _Toc17496 \h </w:instrText>
      </w:r>
      <w:r>
        <w:fldChar w:fldCharType="separate"/>
      </w:r>
      <w:r>
        <w:t>- 46 -</w:t>
      </w:r>
      <w:r>
        <w:fldChar w:fldCharType="end"/>
      </w:r>
      <w:r>
        <w:fldChar w:fldCharType="end"/>
      </w:r>
    </w:p>
    <w:p>
      <w:pPr>
        <w:pStyle w:val="19"/>
        <w:tabs>
          <w:tab w:val="right" w:leader="dot" w:pos="8503"/>
        </w:tabs>
      </w:pPr>
      <w:r>
        <w:fldChar w:fldCharType="begin"/>
      </w:r>
      <w:r>
        <w:instrText xml:space="preserve"> HYPERLINK \l "_Toc753" </w:instrText>
      </w:r>
      <w:r>
        <w:fldChar w:fldCharType="separate"/>
      </w:r>
      <w:r>
        <w:rPr>
          <w:rFonts w:hint="eastAsia" w:ascii="黑体" w:hAnsi="黑体" w:cs="黑体"/>
          <w:bCs/>
          <w:szCs w:val="32"/>
        </w:rPr>
        <w:t>附图1韶关市对外运输通道分布图</w:t>
      </w:r>
      <w:r>
        <w:tab/>
      </w:r>
      <w:r>
        <w:fldChar w:fldCharType="begin"/>
      </w:r>
      <w:r>
        <w:instrText xml:space="preserve"> PAGEREF _Toc753 \h </w:instrText>
      </w:r>
      <w:r>
        <w:fldChar w:fldCharType="separate"/>
      </w:r>
      <w:r>
        <w:t>- 48 -</w:t>
      </w:r>
      <w:r>
        <w:fldChar w:fldCharType="end"/>
      </w:r>
      <w:r>
        <w:fldChar w:fldCharType="end"/>
      </w:r>
    </w:p>
    <w:p>
      <w:pPr>
        <w:pStyle w:val="19"/>
        <w:tabs>
          <w:tab w:val="right" w:leader="dot" w:pos="8503"/>
        </w:tabs>
      </w:pPr>
      <w:r>
        <w:fldChar w:fldCharType="begin"/>
      </w:r>
      <w:r>
        <w:instrText xml:space="preserve"> HYPERLINK \l "_Toc28281" </w:instrText>
      </w:r>
      <w:r>
        <w:fldChar w:fldCharType="separate"/>
      </w:r>
      <w:r>
        <w:rPr>
          <w:rFonts w:hint="eastAsia" w:ascii="黑体" w:hAnsi="黑体" w:cs="黑体"/>
          <w:bCs/>
          <w:szCs w:val="32"/>
        </w:rPr>
        <w:t>附图2韶关市综合立体交通网布局总图</w:t>
      </w:r>
      <w:r>
        <w:tab/>
      </w:r>
      <w:r>
        <w:fldChar w:fldCharType="begin"/>
      </w:r>
      <w:r>
        <w:instrText xml:space="preserve"> PAGEREF _Toc28281 \h </w:instrText>
      </w:r>
      <w:r>
        <w:fldChar w:fldCharType="separate"/>
      </w:r>
      <w:r>
        <w:t>- 49 -</w:t>
      </w:r>
      <w:r>
        <w:fldChar w:fldCharType="end"/>
      </w:r>
      <w:r>
        <w:fldChar w:fldCharType="end"/>
      </w:r>
    </w:p>
    <w:p>
      <w:pPr>
        <w:pStyle w:val="19"/>
        <w:tabs>
          <w:tab w:val="right" w:leader="dot" w:pos="8503"/>
        </w:tabs>
      </w:pPr>
      <w:r>
        <w:fldChar w:fldCharType="begin"/>
      </w:r>
      <w:r>
        <w:instrText xml:space="preserve"> HYPERLINK \l "_Toc13840" </w:instrText>
      </w:r>
      <w:r>
        <w:fldChar w:fldCharType="separate"/>
      </w:r>
      <w:r>
        <w:rPr>
          <w:rFonts w:hint="eastAsia" w:ascii="黑体" w:hAnsi="黑体" w:cs="黑体"/>
          <w:bCs/>
          <w:szCs w:val="32"/>
        </w:rPr>
        <w:t>附图3韶关市轨道交通网布局示意图</w:t>
      </w:r>
      <w:r>
        <w:tab/>
      </w:r>
      <w:r>
        <w:fldChar w:fldCharType="begin"/>
      </w:r>
      <w:r>
        <w:instrText xml:space="preserve"> PAGEREF _Toc13840 \h </w:instrText>
      </w:r>
      <w:r>
        <w:fldChar w:fldCharType="separate"/>
      </w:r>
      <w:r>
        <w:t>- 50 -</w:t>
      </w:r>
      <w:r>
        <w:fldChar w:fldCharType="end"/>
      </w:r>
      <w:r>
        <w:fldChar w:fldCharType="end"/>
      </w:r>
    </w:p>
    <w:p>
      <w:pPr>
        <w:pStyle w:val="19"/>
        <w:tabs>
          <w:tab w:val="right" w:leader="dot" w:pos="8503"/>
        </w:tabs>
      </w:pPr>
      <w:r>
        <w:fldChar w:fldCharType="begin"/>
      </w:r>
      <w:r>
        <w:instrText xml:space="preserve"> HYPERLINK \l "_Toc27360" </w:instrText>
      </w:r>
      <w:r>
        <w:fldChar w:fldCharType="separate"/>
      </w:r>
      <w:r>
        <w:rPr>
          <w:rFonts w:hint="eastAsia" w:ascii="黑体" w:hAnsi="黑体" w:cs="黑体"/>
          <w:bCs/>
          <w:szCs w:val="32"/>
        </w:rPr>
        <w:t>附图4韶关市高速公路网布局示意图</w:t>
      </w:r>
      <w:r>
        <w:tab/>
      </w:r>
      <w:r>
        <w:fldChar w:fldCharType="begin"/>
      </w:r>
      <w:r>
        <w:instrText xml:space="preserve"> PAGEREF _Toc27360 \h </w:instrText>
      </w:r>
      <w:r>
        <w:fldChar w:fldCharType="separate"/>
      </w:r>
      <w:r>
        <w:t>- 51 -</w:t>
      </w:r>
      <w:r>
        <w:fldChar w:fldCharType="end"/>
      </w:r>
      <w:r>
        <w:fldChar w:fldCharType="end"/>
      </w:r>
    </w:p>
    <w:p>
      <w:pPr>
        <w:pStyle w:val="19"/>
        <w:tabs>
          <w:tab w:val="right" w:leader="dot" w:pos="8503"/>
        </w:tabs>
      </w:pPr>
      <w:r>
        <w:fldChar w:fldCharType="begin"/>
      </w:r>
      <w:r>
        <w:instrText xml:space="preserve"> HYPERLINK \l "_Toc17061" </w:instrText>
      </w:r>
      <w:r>
        <w:fldChar w:fldCharType="separate"/>
      </w:r>
      <w:r>
        <w:rPr>
          <w:rFonts w:hint="eastAsia" w:ascii="黑体" w:hAnsi="黑体" w:cs="黑体"/>
          <w:bCs/>
          <w:szCs w:val="32"/>
        </w:rPr>
        <w:t>附图5韶关市城市快速路及主干路网布局示意图</w:t>
      </w:r>
      <w:r>
        <w:tab/>
      </w:r>
      <w:r>
        <w:fldChar w:fldCharType="begin"/>
      </w:r>
      <w:r>
        <w:instrText xml:space="preserve"> PAGEREF _Toc17061 \h </w:instrText>
      </w:r>
      <w:r>
        <w:fldChar w:fldCharType="separate"/>
      </w:r>
      <w:r>
        <w:t>- 52 -</w:t>
      </w:r>
      <w:r>
        <w:fldChar w:fldCharType="end"/>
      </w:r>
      <w:r>
        <w:fldChar w:fldCharType="end"/>
      </w:r>
    </w:p>
    <w:p>
      <w:pPr>
        <w:pStyle w:val="19"/>
        <w:tabs>
          <w:tab w:val="right" w:leader="dot" w:pos="8503"/>
        </w:tabs>
      </w:pPr>
      <w:r>
        <w:fldChar w:fldCharType="begin"/>
      </w:r>
      <w:r>
        <w:instrText xml:space="preserve"> HYPERLINK \l "_Toc21802" </w:instrText>
      </w:r>
      <w:r>
        <w:fldChar w:fldCharType="separate"/>
      </w:r>
      <w:r>
        <w:rPr>
          <w:rFonts w:hint="eastAsia" w:ascii="黑体" w:hAnsi="黑体" w:cs="黑体"/>
          <w:bCs/>
          <w:szCs w:val="32"/>
        </w:rPr>
        <w:t>附图6韶关市普通国省干线主骨架布局示意图</w:t>
      </w:r>
      <w:r>
        <w:tab/>
      </w:r>
      <w:r>
        <w:fldChar w:fldCharType="begin"/>
      </w:r>
      <w:r>
        <w:instrText xml:space="preserve"> PAGEREF _Toc21802 \h </w:instrText>
      </w:r>
      <w:r>
        <w:fldChar w:fldCharType="separate"/>
      </w:r>
      <w:r>
        <w:t>- 53 -</w:t>
      </w:r>
      <w:r>
        <w:fldChar w:fldCharType="end"/>
      </w:r>
      <w:r>
        <w:fldChar w:fldCharType="end"/>
      </w:r>
    </w:p>
    <w:p>
      <w:pPr>
        <w:pStyle w:val="19"/>
        <w:tabs>
          <w:tab w:val="right" w:leader="dot" w:pos="8503"/>
        </w:tabs>
      </w:pPr>
      <w:r>
        <w:fldChar w:fldCharType="begin"/>
      </w:r>
      <w:r>
        <w:instrText xml:space="preserve"> HYPERLINK \l "_Toc6866" </w:instrText>
      </w:r>
      <w:r>
        <w:fldChar w:fldCharType="separate"/>
      </w:r>
      <w:r>
        <w:rPr>
          <w:rFonts w:hint="eastAsia" w:ascii="黑体" w:hAnsi="黑体" w:cs="黑体"/>
          <w:bCs/>
          <w:szCs w:val="32"/>
        </w:rPr>
        <w:t>附图7韶关市特色旅游公路布局示意图</w:t>
      </w:r>
      <w:r>
        <w:tab/>
      </w:r>
      <w:r>
        <w:fldChar w:fldCharType="begin"/>
      </w:r>
      <w:r>
        <w:instrText xml:space="preserve"> PAGEREF _Toc6866 \h </w:instrText>
      </w:r>
      <w:r>
        <w:fldChar w:fldCharType="separate"/>
      </w:r>
      <w:r>
        <w:t>- 54 -</w:t>
      </w:r>
      <w:r>
        <w:fldChar w:fldCharType="end"/>
      </w:r>
      <w:r>
        <w:fldChar w:fldCharType="end"/>
      </w:r>
    </w:p>
    <w:p>
      <w:pPr>
        <w:pStyle w:val="19"/>
        <w:tabs>
          <w:tab w:val="right" w:leader="dot" w:pos="8503"/>
        </w:tabs>
      </w:pPr>
      <w:r>
        <w:fldChar w:fldCharType="begin"/>
      </w:r>
      <w:r>
        <w:instrText xml:space="preserve"> HYPERLINK \l "_Toc12836" </w:instrText>
      </w:r>
      <w:r>
        <w:fldChar w:fldCharType="separate"/>
      </w:r>
      <w:r>
        <w:rPr>
          <w:rFonts w:hint="eastAsia" w:ascii="黑体" w:hAnsi="黑体" w:cs="黑体"/>
          <w:bCs/>
          <w:szCs w:val="32"/>
        </w:rPr>
        <w:t>附图8韶关市民用机场布局示意图</w:t>
      </w:r>
      <w:r>
        <w:tab/>
      </w:r>
      <w:r>
        <w:fldChar w:fldCharType="begin"/>
      </w:r>
      <w:r>
        <w:instrText xml:space="preserve"> PAGEREF _Toc12836 \h </w:instrText>
      </w:r>
      <w:r>
        <w:fldChar w:fldCharType="separate"/>
      </w:r>
      <w:r>
        <w:t>- 55 -</w:t>
      </w:r>
      <w:r>
        <w:fldChar w:fldCharType="end"/>
      </w:r>
      <w:r>
        <w:fldChar w:fldCharType="end"/>
      </w:r>
    </w:p>
    <w:p>
      <w:pPr>
        <w:pStyle w:val="19"/>
        <w:tabs>
          <w:tab w:val="right" w:leader="dot" w:pos="8503"/>
        </w:tabs>
      </w:pPr>
      <w:r>
        <w:fldChar w:fldCharType="begin"/>
      </w:r>
      <w:r>
        <w:instrText xml:space="preserve"> HYPERLINK \l "_Toc21375" </w:instrText>
      </w:r>
      <w:r>
        <w:fldChar w:fldCharType="separate"/>
      </w:r>
      <w:r>
        <w:rPr>
          <w:rFonts w:hint="eastAsia" w:ascii="黑体" w:hAnsi="黑体" w:cs="黑体"/>
          <w:bCs/>
          <w:szCs w:val="32"/>
        </w:rPr>
        <w:t>附图9韶关市港口及内河航道布局示意图</w:t>
      </w:r>
      <w:r>
        <w:tab/>
      </w:r>
      <w:r>
        <w:fldChar w:fldCharType="begin"/>
      </w:r>
      <w:r>
        <w:instrText xml:space="preserve"> PAGEREF _Toc21375 \h </w:instrText>
      </w:r>
      <w:r>
        <w:fldChar w:fldCharType="separate"/>
      </w:r>
      <w:r>
        <w:t>- 56 -</w:t>
      </w:r>
      <w:r>
        <w:fldChar w:fldCharType="end"/>
      </w:r>
      <w:r>
        <w:fldChar w:fldCharType="end"/>
      </w:r>
    </w:p>
    <w:p>
      <w:pPr>
        <w:pStyle w:val="19"/>
        <w:tabs>
          <w:tab w:val="right" w:leader="dot" w:pos="8503"/>
        </w:tabs>
      </w:pPr>
      <w:r>
        <w:fldChar w:fldCharType="begin"/>
      </w:r>
      <w:r>
        <w:instrText xml:space="preserve"> HYPERLINK \l "_Toc6379" </w:instrText>
      </w:r>
      <w:r>
        <w:fldChar w:fldCharType="separate"/>
      </w:r>
      <w:r>
        <w:rPr>
          <w:rFonts w:hint="eastAsia" w:ascii="黑体" w:hAnsi="黑体" w:cs="黑体"/>
          <w:bCs/>
          <w:szCs w:val="32"/>
        </w:rPr>
        <w:t>附图10韶关市油气管道布局示意图</w:t>
      </w:r>
      <w:r>
        <w:tab/>
      </w:r>
      <w:r>
        <w:fldChar w:fldCharType="begin"/>
      </w:r>
      <w:r>
        <w:instrText xml:space="preserve"> PAGEREF _Toc6379 \h </w:instrText>
      </w:r>
      <w:r>
        <w:fldChar w:fldCharType="separate"/>
      </w:r>
      <w:r>
        <w:t>- 57 -</w:t>
      </w:r>
      <w:r>
        <w:fldChar w:fldCharType="end"/>
      </w:r>
      <w:r>
        <w:fldChar w:fldCharType="end"/>
      </w:r>
    </w:p>
    <w:p>
      <w:pPr>
        <w:pStyle w:val="19"/>
        <w:tabs>
          <w:tab w:val="right" w:leader="dot" w:pos="8503"/>
        </w:tabs>
      </w:pPr>
      <w:r>
        <w:fldChar w:fldCharType="begin"/>
      </w:r>
      <w:r>
        <w:instrText xml:space="preserve"> HYPERLINK \l "_Toc28130" </w:instrText>
      </w:r>
      <w:r>
        <w:fldChar w:fldCharType="separate"/>
      </w:r>
      <w:r>
        <w:rPr>
          <w:rFonts w:hint="eastAsia" w:ascii="黑体" w:hAnsi="黑体" w:cs="黑体"/>
          <w:bCs/>
          <w:szCs w:val="32"/>
        </w:rPr>
        <w:t>附图11韶关市综合客运枢纽布局示意图</w:t>
      </w:r>
      <w:r>
        <w:tab/>
      </w:r>
      <w:r>
        <w:fldChar w:fldCharType="begin"/>
      </w:r>
      <w:r>
        <w:instrText xml:space="preserve"> PAGEREF _Toc28130 \h </w:instrText>
      </w:r>
      <w:r>
        <w:fldChar w:fldCharType="separate"/>
      </w:r>
      <w:r>
        <w:t>- 58 -</w:t>
      </w:r>
      <w:r>
        <w:fldChar w:fldCharType="end"/>
      </w:r>
      <w:r>
        <w:fldChar w:fldCharType="end"/>
      </w:r>
    </w:p>
    <w:p>
      <w:pPr>
        <w:pStyle w:val="19"/>
        <w:tabs>
          <w:tab w:val="right" w:leader="dot" w:pos="8503"/>
        </w:tabs>
      </w:pPr>
      <w:r>
        <w:fldChar w:fldCharType="begin"/>
      </w:r>
      <w:r>
        <w:instrText xml:space="preserve"> HYPERLINK \l "_Toc23103" </w:instrText>
      </w:r>
      <w:r>
        <w:fldChar w:fldCharType="separate"/>
      </w:r>
      <w:r>
        <w:rPr>
          <w:rFonts w:hint="eastAsia" w:ascii="黑体" w:hAnsi="黑体" w:cs="黑体"/>
          <w:bCs/>
          <w:szCs w:val="32"/>
        </w:rPr>
        <w:t>附图12韶关市综合货运枢纽布局示意图</w:t>
      </w:r>
      <w:r>
        <w:tab/>
      </w:r>
      <w:r>
        <w:fldChar w:fldCharType="begin"/>
      </w:r>
      <w:r>
        <w:instrText xml:space="preserve"> PAGEREF _Toc23103 \h </w:instrText>
      </w:r>
      <w:r>
        <w:fldChar w:fldCharType="separate"/>
      </w:r>
      <w:r>
        <w:t>- 59 -</w:t>
      </w:r>
      <w:r>
        <w:fldChar w:fldCharType="end"/>
      </w:r>
      <w:r>
        <w:fldChar w:fldCharType="end"/>
      </w:r>
    </w:p>
    <w:p>
      <w:pPr>
        <w:pStyle w:val="19"/>
        <w:tabs>
          <w:tab w:val="right" w:leader="dot" w:pos="8503"/>
        </w:tabs>
      </w:pPr>
      <w:r>
        <w:fldChar w:fldCharType="begin"/>
      </w:r>
      <w:r>
        <w:instrText xml:space="preserve"> HYPERLINK \l "_Toc657" </w:instrText>
      </w:r>
      <w:r>
        <w:fldChar w:fldCharType="separate"/>
      </w:r>
      <w:r>
        <w:rPr>
          <w:rFonts w:hint="eastAsia" w:ascii="黑体" w:hAnsi="黑体" w:cs="黑体"/>
          <w:bCs/>
          <w:szCs w:val="32"/>
        </w:rPr>
        <w:t>附图13韶关市综合立体交通布局与产业衔接示意图</w:t>
      </w:r>
      <w:r>
        <w:tab/>
      </w:r>
      <w:r>
        <w:fldChar w:fldCharType="begin"/>
      </w:r>
      <w:r>
        <w:instrText xml:space="preserve"> PAGEREF _Toc657 \h </w:instrText>
      </w:r>
      <w:r>
        <w:fldChar w:fldCharType="separate"/>
      </w:r>
      <w:r>
        <w:t>- 60 -</w:t>
      </w:r>
      <w:r>
        <w:fldChar w:fldCharType="end"/>
      </w:r>
      <w:r>
        <w:fldChar w:fldCharType="end"/>
      </w:r>
    </w:p>
    <w:p>
      <w:pPr>
        <w:pStyle w:val="19"/>
        <w:tabs>
          <w:tab w:val="right" w:leader="dot" w:pos="8503"/>
        </w:tabs>
      </w:pPr>
      <w:r>
        <w:fldChar w:fldCharType="begin"/>
      </w:r>
      <w:r>
        <w:instrText xml:space="preserve"> HYPERLINK \l "_Toc29645" </w:instrText>
      </w:r>
      <w:r>
        <w:fldChar w:fldCharType="separate"/>
      </w:r>
      <w:r>
        <w:rPr>
          <w:rFonts w:hint="eastAsia" w:ascii="黑体" w:hAnsi="黑体" w:cs="黑体"/>
          <w:bCs/>
          <w:szCs w:val="32"/>
        </w:rPr>
        <w:t>附图14韶关市与粤港澳大湾区轨道交通衔接示意图</w:t>
      </w:r>
      <w:r>
        <w:tab/>
      </w:r>
      <w:r>
        <w:fldChar w:fldCharType="begin"/>
      </w:r>
      <w:r>
        <w:instrText xml:space="preserve"> PAGEREF _Toc29645 \h </w:instrText>
      </w:r>
      <w:r>
        <w:fldChar w:fldCharType="separate"/>
      </w:r>
      <w:r>
        <w:t>- 61 -</w:t>
      </w:r>
      <w:r>
        <w:fldChar w:fldCharType="end"/>
      </w:r>
      <w:r>
        <w:fldChar w:fldCharType="end"/>
      </w:r>
    </w:p>
    <w:p>
      <w:pPr>
        <w:pStyle w:val="19"/>
        <w:tabs>
          <w:tab w:val="right" w:leader="dot" w:pos="8503"/>
        </w:tabs>
      </w:pPr>
      <w:r>
        <w:fldChar w:fldCharType="begin"/>
      </w:r>
      <w:r>
        <w:instrText xml:space="preserve"> HYPERLINK \l "_Toc2610" </w:instrText>
      </w:r>
      <w:r>
        <w:fldChar w:fldCharType="separate"/>
      </w:r>
      <w:r>
        <w:rPr>
          <w:rFonts w:hint="eastAsia" w:ascii="黑体" w:hAnsi="黑体" w:cs="黑体"/>
          <w:bCs/>
          <w:szCs w:val="32"/>
        </w:rPr>
        <w:t>附图15韶关市与粤港澳大湾区高速公路衔接示意图</w:t>
      </w:r>
      <w:r>
        <w:tab/>
      </w:r>
      <w:r>
        <w:fldChar w:fldCharType="begin"/>
      </w:r>
      <w:r>
        <w:instrText xml:space="preserve"> PAGEREF _Toc2610 \h </w:instrText>
      </w:r>
      <w:r>
        <w:fldChar w:fldCharType="separate"/>
      </w:r>
      <w:r>
        <w:t>- 62 -</w:t>
      </w:r>
      <w:r>
        <w:fldChar w:fldCharType="end"/>
      </w:r>
      <w:r>
        <w:fldChar w:fldCharType="end"/>
      </w:r>
    </w:p>
    <w:p>
      <w:pPr>
        <w:widowControl w:val="0"/>
        <w:snapToGrid w:val="0"/>
        <w:spacing w:line="324" w:lineRule="auto"/>
        <w:ind w:firstLine="0" w:firstLineChars="0"/>
        <w:jc w:val="center"/>
        <w:rPr>
          <w:rFonts w:ascii="隶书" w:hAnsi="黑体" w:eastAsia="隶书"/>
        </w:rPr>
      </w:pPr>
      <w:r>
        <w:rPr>
          <w:rFonts w:ascii="隶书" w:hAnsi="黑体" w:eastAsia="隶书"/>
        </w:rPr>
        <w:fldChar w:fldCharType="end"/>
      </w:r>
    </w:p>
    <w:p>
      <w:pPr>
        <w:widowControl w:val="0"/>
        <w:snapToGrid w:val="0"/>
        <w:spacing w:line="324" w:lineRule="auto"/>
        <w:ind w:firstLine="0" w:firstLineChars="0"/>
        <w:jc w:val="center"/>
        <w:rPr>
          <w:rFonts w:eastAsia="方正黑体_GBK"/>
          <w:sz w:val="30"/>
          <w:szCs w:val="30"/>
        </w:rPr>
      </w:pPr>
      <w:r>
        <w:rPr>
          <w:rFonts w:eastAsia="方正黑体_GBK"/>
          <w:sz w:val="30"/>
          <w:szCs w:val="30"/>
        </w:rPr>
        <w:t xml:space="preserve"> </w:t>
      </w:r>
    </w:p>
    <w:p>
      <w:pPr>
        <w:pStyle w:val="19"/>
        <w:tabs>
          <w:tab w:val="right" w:leader="dot" w:pos="8493"/>
        </w:tabs>
        <w:sectPr>
          <w:headerReference r:id="rId11" w:type="default"/>
          <w:footerReference r:id="rId12" w:type="default"/>
          <w:footerReference r:id="rId13" w:type="even"/>
          <w:pgSz w:w="11906" w:h="16838"/>
          <w:pgMar w:top="1701" w:right="1418" w:bottom="1701" w:left="1418" w:header="0" w:footer="0" w:gutter="567"/>
          <w:pgNumType w:fmt="upperRoman" w:start="1"/>
          <w:cols w:space="720" w:num="1"/>
          <w:docGrid w:type="lines" w:linePitch="381" w:charSpace="0"/>
        </w:sectPr>
      </w:pPr>
    </w:p>
    <w:p>
      <w:pPr>
        <w:pStyle w:val="2"/>
        <w:keepNext w:val="0"/>
        <w:keepLines w:val="0"/>
        <w:widowControl w:val="0"/>
        <w:numPr>
          <w:ilvl w:val="0"/>
          <w:numId w:val="0"/>
        </w:numPr>
        <w:spacing w:before="381" w:beforeLines="100" w:after="381" w:line="360" w:lineRule="auto"/>
        <w:rPr>
          <w:rFonts w:ascii="黑体" w:hAnsi="黑体" w:cs="方正小标宋简体"/>
          <w:bCs/>
          <w:szCs w:val="32"/>
        </w:rPr>
      </w:pPr>
      <w:bookmarkStart w:id="9" w:name="_Toc89093757"/>
      <w:bookmarkStart w:id="10" w:name="_Toc138604590"/>
      <w:bookmarkStart w:id="11" w:name="_Toc57713180"/>
      <w:bookmarkStart w:id="12" w:name="_Toc75793277"/>
      <w:bookmarkStart w:id="13" w:name="_Toc118385032"/>
      <w:bookmarkStart w:id="14" w:name="_Toc75528723"/>
      <w:bookmarkStart w:id="15" w:name="_Toc138604362"/>
      <w:bookmarkStart w:id="16" w:name="_Toc27305"/>
      <w:bookmarkStart w:id="17" w:name="_Toc77779533"/>
      <w:bookmarkStart w:id="18" w:name="_Toc67664669"/>
      <w:bookmarkStart w:id="19" w:name="_Toc1579"/>
      <w:r>
        <w:rPr>
          <w:rFonts w:hint="eastAsia" w:ascii="黑体" w:hAnsi="黑体" w:cs="方正小标宋简体"/>
          <w:bCs/>
          <w:szCs w:val="32"/>
        </w:rPr>
        <w:t xml:space="preserve">前 </w:t>
      </w:r>
      <w:r>
        <w:rPr>
          <w:rFonts w:ascii="黑体" w:hAnsi="黑体" w:cs="方正小标宋简体"/>
          <w:bCs/>
          <w:szCs w:val="32"/>
        </w:rPr>
        <w:t xml:space="preserve"> </w:t>
      </w:r>
      <w:r>
        <w:rPr>
          <w:rFonts w:hint="eastAsia" w:ascii="黑体" w:hAnsi="黑体" w:cs="方正小标宋简体"/>
          <w:bCs/>
          <w:szCs w:val="32"/>
        </w:rPr>
        <w:t>言</w:t>
      </w:r>
      <w:bookmarkEnd w:id="9"/>
      <w:bookmarkEnd w:id="10"/>
      <w:bookmarkEnd w:id="11"/>
      <w:bookmarkEnd w:id="12"/>
      <w:bookmarkEnd w:id="13"/>
      <w:bookmarkEnd w:id="14"/>
      <w:bookmarkEnd w:id="15"/>
      <w:bookmarkEnd w:id="16"/>
      <w:bookmarkEnd w:id="17"/>
      <w:bookmarkEnd w:id="18"/>
      <w:bookmarkEnd w:id="19"/>
    </w:p>
    <w:p>
      <w:pPr>
        <w:widowControl w:val="0"/>
        <w:snapToGrid w:val="0"/>
        <w:spacing w:line="560" w:lineRule="exact"/>
        <w:ind w:firstLine="640"/>
        <w:jc w:val="both"/>
        <w:rPr>
          <w:rFonts w:ascii="仿宋" w:hAnsi="仿宋"/>
          <w:sz w:val="32"/>
          <w:szCs w:val="32"/>
          <w:lang w:bidi="ar"/>
        </w:rPr>
      </w:pPr>
      <w:r>
        <w:rPr>
          <w:rFonts w:hint="eastAsia" w:ascii="仿宋" w:hAnsi="仿宋"/>
          <w:sz w:val="32"/>
          <w:szCs w:val="32"/>
          <w:lang w:bidi="ar"/>
        </w:rPr>
        <w:t>建设交通强国是党中央立足国情、着眼全局、面向未来作出的重大战略决策，是建设现代化经济体系的先行领域，是全面建成社会主义现代化强国的重要支撑，是新时代做好交通工作的总抓手；为统筹推进交通强国建设，国</w:t>
      </w:r>
      <w:r>
        <w:rPr>
          <w:rFonts w:ascii="仿宋" w:hAnsi="仿宋"/>
          <w:sz w:val="32"/>
          <w:szCs w:val="32"/>
          <w:lang w:bidi="ar"/>
        </w:rPr>
        <w:t>家层面</w:t>
      </w:r>
      <w:r>
        <w:rPr>
          <w:rFonts w:hint="eastAsia" w:ascii="仿宋" w:hAnsi="仿宋"/>
          <w:sz w:val="32"/>
          <w:szCs w:val="32"/>
          <w:lang w:bidi="ar"/>
        </w:rPr>
        <w:t>制定了《交通强国建设纲要》，</w:t>
      </w:r>
      <w:r>
        <w:rPr>
          <w:rFonts w:ascii="仿宋" w:hAnsi="仿宋"/>
          <w:sz w:val="32"/>
          <w:szCs w:val="32"/>
          <w:lang w:bidi="ar"/>
        </w:rPr>
        <w:t>随之</w:t>
      </w:r>
      <w:r>
        <w:rPr>
          <w:rFonts w:hint="eastAsia" w:ascii="仿宋" w:hAnsi="仿宋"/>
          <w:sz w:val="32"/>
          <w:szCs w:val="32"/>
          <w:lang w:bidi="ar"/>
        </w:rPr>
        <w:t>编制</w:t>
      </w:r>
      <w:r>
        <w:rPr>
          <w:rFonts w:ascii="仿宋" w:hAnsi="仿宋"/>
          <w:sz w:val="32"/>
          <w:szCs w:val="32"/>
          <w:lang w:bidi="ar"/>
        </w:rPr>
        <w:t>了</w:t>
      </w:r>
      <w:r>
        <w:rPr>
          <w:rFonts w:hint="eastAsia" w:ascii="仿宋" w:hAnsi="仿宋"/>
          <w:sz w:val="32"/>
          <w:szCs w:val="32"/>
          <w:lang w:bidi="ar"/>
        </w:rPr>
        <w:t>《国家综合立体交通网规划纲要》，</w:t>
      </w:r>
      <w:r>
        <w:rPr>
          <w:rFonts w:ascii="仿宋" w:hAnsi="仿宋"/>
          <w:sz w:val="32"/>
          <w:szCs w:val="32"/>
          <w:lang w:bidi="ar"/>
        </w:rPr>
        <w:t>支撑现代化经济体系和社会主义现代化强国建设。</w:t>
      </w:r>
    </w:p>
    <w:p>
      <w:pPr>
        <w:widowControl w:val="0"/>
        <w:snapToGrid w:val="0"/>
        <w:spacing w:line="560" w:lineRule="exact"/>
        <w:ind w:firstLine="640"/>
        <w:jc w:val="both"/>
        <w:rPr>
          <w:rFonts w:ascii="仿宋" w:hAnsi="仿宋"/>
          <w:sz w:val="32"/>
          <w:szCs w:val="32"/>
          <w:lang w:bidi="ar"/>
        </w:rPr>
      </w:pPr>
      <w:r>
        <w:rPr>
          <w:rFonts w:hint="eastAsia" w:ascii="仿宋" w:hAnsi="仿宋"/>
          <w:sz w:val="32"/>
          <w:szCs w:val="32"/>
          <w:lang w:bidi="ar"/>
        </w:rPr>
        <w:t>交通</w:t>
      </w:r>
      <w:r>
        <w:rPr>
          <w:rFonts w:ascii="仿宋" w:hAnsi="仿宋"/>
          <w:sz w:val="32"/>
          <w:szCs w:val="32"/>
          <w:lang w:bidi="ar"/>
        </w:rPr>
        <w:t>强国作为</w:t>
      </w:r>
      <w:r>
        <w:rPr>
          <w:rFonts w:hint="eastAsia" w:ascii="仿宋" w:hAnsi="仿宋"/>
          <w:sz w:val="32"/>
          <w:szCs w:val="32"/>
          <w:lang w:bidi="ar"/>
        </w:rPr>
        <w:t>宏观</w:t>
      </w:r>
      <w:r>
        <w:rPr>
          <w:rFonts w:ascii="仿宋" w:hAnsi="仿宋"/>
          <w:sz w:val="32"/>
          <w:szCs w:val="32"/>
          <w:lang w:bidi="ar"/>
        </w:rPr>
        <w:t>战略，综合立体交通网</w:t>
      </w:r>
      <w:r>
        <w:rPr>
          <w:rFonts w:hint="eastAsia" w:ascii="仿宋" w:hAnsi="仿宋"/>
          <w:sz w:val="32"/>
          <w:szCs w:val="32"/>
          <w:lang w:bidi="ar"/>
        </w:rPr>
        <w:t>作</w:t>
      </w:r>
      <w:r>
        <w:rPr>
          <w:rFonts w:ascii="仿宋" w:hAnsi="仿宋"/>
          <w:sz w:val="32"/>
          <w:szCs w:val="32"/>
          <w:lang w:bidi="ar"/>
        </w:rPr>
        <w:t>为空间规划，</w:t>
      </w:r>
      <w:r>
        <w:rPr>
          <w:rFonts w:hint="eastAsia" w:ascii="仿宋" w:hAnsi="仿宋"/>
          <w:sz w:val="32"/>
          <w:szCs w:val="32"/>
          <w:lang w:bidi="ar"/>
        </w:rPr>
        <w:t>从</w:t>
      </w:r>
      <w:r>
        <w:rPr>
          <w:rFonts w:ascii="仿宋" w:hAnsi="仿宋"/>
          <w:sz w:val="32"/>
          <w:szCs w:val="32"/>
          <w:lang w:bidi="ar"/>
        </w:rPr>
        <w:t>国家至地市自上而下</w:t>
      </w:r>
      <w:r>
        <w:rPr>
          <w:rFonts w:hint="eastAsia" w:ascii="仿宋" w:hAnsi="仿宋"/>
          <w:sz w:val="32"/>
          <w:szCs w:val="32"/>
          <w:lang w:bidi="ar"/>
        </w:rPr>
        <w:t>传导</w:t>
      </w:r>
      <w:r>
        <w:rPr>
          <w:rFonts w:ascii="仿宋" w:hAnsi="仿宋"/>
          <w:sz w:val="32"/>
          <w:szCs w:val="32"/>
          <w:lang w:bidi="ar"/>
        </w:rPr>
        <w:t>，自下而上深化</w:t>
      </w:r>
      <w:r>
        <w:rPr>
          <w:rFonts w:hint="eastAsia" w:ascii="仿宋" w:hAnsi="仿宋"/>
          <w:sz w:val="32"/>
          <w:szCs w:val="32"/>
          <w:lang w:bidi="ar"/>
        </w:rPr>
        <w:t>，</w:t>
      </w:r>
      <w:r>
        <w:rPr>
          <w:rFonts w:ascii="仿宋" w:hAnsi="仿宋"/>
          <w:sz w:val="32"/>
          <w:szCs w:val="32"/>
          <w:lang w:bidi="ar"/>
        </w:rPr>
        <w:t>形成</w:t>
      </w:r>
      <w:r>
        <w:rPr>
          <w:rFonts w:hint="eastAsia" w:ascii="仿宋" w:hAnsi="仿宋"/>
          <w:sz w:val="32"/>
          <w:szCs w:val="32"/>
          <w:lang w:bidi="ar"/>
        </w:rPr>
        <w:t>深度</w:t>
      </w:r>
      <w:r>
        <w:rPr>
          <w:rFonts w:ascii="仿宋" w:hAnsi="仿宋"/>
          <w:sz w:val="32"/>
          <w:szCs w:val="32"/>
          <w:lang w:bidi="ar"/>
        </w:rPr>
        <w:t>和广度</w:t>
      </w:r>
      <w:r>
        <w:rPr>
          <w:rFonts w:hint="eastAsia" w:ascii="仿宋" w:hAnsi="仿宋"/>
          <w:sz w:val="32"/>
          <w:szCs w:val="32"/>
          <w:lang w:bidi="ar"/>
        </w:rPr>
        <w:t>融</w:t>
      </w:r>
      <w:r>
        <w:rPr>
          <w:rFonts w:ascii="仿宋" w:hAnsi="仿宋"/>
          <w:sz w:val="32"/>
          <w:szCs w:val="32"/>
          <w:lang w:bidi="ar"/>
        </w:rPr>
        <w:t>合的有机整体</w:t>
      </w:r>
      <w:r>
        <w:rPr>
          <w:rFonts w:hint="eastAsia" w:ascii="仿宋" w:hAnsi="仿宋"/>
          <w:sz w:val="32"/>
          <w:szCs w:val="32"/>
          <w:lang w:bidi="ar"/>
        </w:rPr>
        <w:t>，</w:t>
      </w:r>
      <w:r>
        <w:rPr>
          <w:rFonts w:ascii="仿宋" w:hAnsi="仿宋"/>
          <w:sz w:val="32"/>
          <w:szCs w:val="32"/>
          <w:lang w:bidi="ar"/>
        </w:rPr>
        <w:t>基于此</w:t>
      </w:r>
      <w:r>
        <w:rPr>
          <w:rFonts w:hint="eastAsia" w:ascii="仿宋" w:hAnsi="仿宋"/>
          <w:sz w:val="32"/>
          <w:szCs w:val="32"/>
          <w:lang w:bidi="ar"/>
        </w:rPr>
        <w:t>广东省交通运输厅印发了《关于各地市开展综合立体交通网规划编制工作的指导意见》。</w:t>
      </w:r>
      <w:r>
        <w:rPr>
          <w:rFonts w:ascii="仿宋" w:hAnsi="仿宋"/>
          <w:sz w:val="32"/>
          <w:szCs w:val="32"/>
          <w:lang w:bidi="ar"/>
        </w:rPr>
        <w:t>与</w:t>
      </w:r>
      <w:r>
        <w:rPr>
          <w:rFonts w:hint="eastAsia" w:ascii="仿宋" w:hAnsi="仿宋"/>
          <w:sz w:val="32"/>
          <w:szCs w:val="32"/>
          <w:lang w:bidi="ar"/>
        </w:rPr>
        <w:t>此</w:t>
      </w:r>
      <w:r>
        <w:rPr>
          <w:rFonts w:ascii="仿宋" w:hAnsi="仿宋"/>
          <w:sz w:val="32"/>
          <w:szCs w:val="32"/>
          <w:lang w:bidi="ar"/>
        </w:rPr>
        <w:t>同时，</w:t>
      </w:r>
      <w:r>
        <w:rPr>
          <w:rFonts w:hint="eastAsia" w:ascii="仿宋" w:hAnsi="仿宋"/>
          <w:sz w:val="32"/>
          <w:szCs w:val="32"/>
          <w:lang w:bidi="ar"/>
        </w:rPr>
        <w:t>韶</w:t>
      </w:r>
      <w:r>
        <w:rPr>
          <w:rFonts w:ascii="仿宋" w:hAnsi="仿宋"/>
          <w:sz w:val="32"/>
          <w:szCs w:val="32"/>
          <w:lang w:bidi="ar"/>
        </w:rPr>
        <w:t>关市</w:t>
      </w:r>
      <w:r>
        <w:rPr>
          <w:rFonts w:hint="eastAsia" w:ascii="仿宋" w:hAnsi="仿宋"/>
          <w:sz w:val="32"/>
          <w:szCs w:val="32"/>
          <w:lang w:bidi="ar"/>
        </w:rPr>
        <w:t>经</w:t>
      </w:r>
      <w:r>
        <w:rPr>
          <w:rFonts w:ascii="仿宋" w:hAnsi="仿宋"/>
          <w:sz w:val="32"/>
          <w:szCs w:val="32"/>
          <w:lang w:bidi="ar"/>
        </w:rPr>
        <w:t>济社会</w:t>
      </w:r>
      <w:r>
        <w:rPr>
          <w:rFonts w:hint="eastAsia" w:ascii="仿宋" w:hAnsi="仿宋"/>
          <w:sz w:val="32"/>
          <w:szCs w:val="32"/>
          <w:lang w:bidi="ar"/>
        </w:rPr>
        <w:t>正迈</w:t>
      </w:r>
      <w:r>
        <w:rPr>
          <w:rFonts w:ascii="仿宋" w:hAnsi="仿宋"/>
          <w:sz w:val="32"/>
          <w:szCs w:val="32"/>
          <w:lang w:bidi="ar"/>
        </w:rPr>
        <w:t>入</w:t>
      </w:r>
      <w:r>
        <w:rPr>
          <w:rFonts w:hint="eastAsia" w:ascii="仿宋" w:hAnsi="仿宋"/>
          <w:sz w:val="32"/>
          <w:szCs w:val="32"/>
          <w:lang w:bidi="ar"/>
        </w:rPr>
        <w:t>新发</w:t>
      </w:r>
      <w:r>
        <w:rPr>
          <w:rFonts w:ascii="仿宋" w:hAnsi="仿宋"/>
          <w:sz w:val="32"/>
          <w:szCs w:val="32"/>
          <w:lang w:bidi="ar"/>
        </w:rPr>
        <w:t>展格</w:t>
      </w:r>
      <w:r>
        <w:rPr>
          <w:rFonts w:hint="eastAsia" w:ascii="仿宋" w:hAnsi="仿宋"/>
          <w:sz w:val="32"/>
          <w:szCs w:val="32"/>
          <w:lang w:bidi="ar"/>
        </w:rPr>
        <w:t>局</w:t>
      </w:r>
      <w:r>
        <w:rPr>
          <w:rFonts w:ascii="仿宋" w:hAnsi="仿宋"/>
          <w:sz w:val="32"/>
          <w:szCs w:val="32"/>
          <w:lang w:bidi="ar"/>
        </w:rPr>
        <w:t>的关键期，</w:t>
      </w:r>
      <w:r>
        <w:rPr>
          <w:rFonts w:hint="eastAsia" w:ascii="仿宋" w:hAnsi="仿宋"/>
          <w:sz w:val="32"/>
          <w:szCs w:val="32"/>
          <w:lang w:bidi="ar"/>
        </w:rPr>
        <w:t>交通</w:t>
      </w:r>
      <w:r>
        <w:rPr>
          <w:rFonts w:ascii="仿宋" w:hAnsi="仿宋"/>
          <w:sz w:val="32"/>
          <w:szCs w:val="32"/>
          <w:lang w:bidi="ar"/>
        </w:rPr>
        <w:t>运输也进入</w:t>
      </w:r>
      <w:r>
        <w:rPr>
          <w:rFonts w:hint="eastAsia" w:ascii="仿宋" w:hAnsi="仿宋"/>
          <w:sz w:val="32"/>
          <w:szCs w:val="32"/>
          <w:lang w:bidi="ar"/>
        </w:rPr>
        <w:t>高</w:t>
      </w:r>
      <w:r>
        <w:rPr>
          <w:rFonts w:ascii="仿宋" w:hAnsi="仿宋"/>
          <w:sz w:val="32"/>
          <w:szCs w:val="32"/>
          <w:lang w:bidi="ar"/>
        </w:rPr>
        <w:t>质量发展的转型期，</w:t>
      </w:r>
      <w:r>
        <w:rPr>
          <w:rFonts w:hint="eastAsia" w:ascii="仿宋" w:hAnsi="仿宋"/>
          <w:sz w:val="32"/>
          <w:szCs w:val="32"/>
          <w:lang w:bidi="ar"/>
        </w:rPr>
        <w:t>编制《韶关市综合立体交通网规划》，对积极</w:t>
      </w:r>
      <w:r>
        <w:rPr>
          <w:rFonts w:ascii="仿宋" w:hAnsi="仿宋"/>
          <w:sz w:val="32"/>
          <w:szCs w:val="32"/>
          <w:lang w:bidi="ar"/>
        </w:rPr>
        <w:t>推</w:t>
      </w:r>
      <w:r>
        <w:rPr>
          <w:rFonts w:hint="eastAsia" w:ascii="仿宋" w:hAnsi="仿宋"/>
          <w:sz w:val="32"/>
          <w:szCs w:val="32"/>
          <w:lang w:bidi="ar"/>
        </w:rPr>
        <w:t>进区</w:t>
      </w:r>
      <w:r>
        <w:rPr>
          <w:rFonts w:ascii="仿宋" w:hAnsi="仿宋"/>
          <w:sz w:val="32"/>
          <w:szCs w:val="32"/>
          <w:lang w:bidi="ar"/>
        </w:rPr>
        <w:t>域性</w:t>
      </w:r>
      <w:r>
        <w:rPr>
          <w:rFonts w:hint="eastAsia" w:ascii="仿宋" w:hAnsi="仿宋"/>
          <w:sz w:val="32"/>
          <w:szCs w:val="32"/>
          <w:lang w:bidi="ar"/>
        </w:rPr>
        <w:t>交通</w:t>
      </w:r>
      <w:r>
        <w:rPr>
          <w:rFonts w:ascii="仿宋" w:hAnsi="仿宋"/>
          <w:sz w:val="32"/>
          <w:szCs w:val="32"/>
          <w:lang w:bidi="ar"/>
        </w:rPr>
        <w:t>枢纽</w:t>
      </w:r>
      <w:r>
        <w:rPr>
          <w:rFonts w:hint="eastAsia" w:ascii="仿宋" w:hAnsi="仿宋"/>
          <w:sz w:val="32"/>
          <w:szCs w:val="32"/>
          <w:lang w:bidi="ar"/>
        </w:rPr>
        <w:t>建设具</w:t>
      </w:r>
      <w:r>
        <w:rPr>
          <w:rFonts w:ascii="仿宋" w:hAnsi="仿宋"/>
          <w:sz w:val="32"/>
          <w:szCs w:val="32"/>
          <w:lang w:bidi="ar"/>
        </w:rPr>
        <w:t>有重要意义。</w:t>
      </w:r>
    </w:p>
    <w:p>
      <w:pPr>
        <w:widowControl w:val="0"/>
        <w:snapToGrid w:val="0"/>
        <w:spacing w:line="560" w:lineRule="exact"/>
        <w:ind w:firstLine="640"/>
        <w:jc w:val="both"/>
        <w:rPr>
          <w:rFonts w:ascii="仿宋" w:hAnsi="仿宋"/>
          <w:sz w:val="32"/>
          <w:szCs w:val="32"/>
          <w:lang w:bidi="ar"/>
        </w:rPr>
      </w:pPr>
      <w:r>
        <w:rPr>
          <w:rFonts w:hint="eastAsia" w:ascii="仿宋" w:hAnsi="仿宋"/>
          <w:sz w:val="32"/>
          <w:szCs w:val="32"/>
          <w:lang w:bidi="ar"/>
        </w:rPr>
        <w:t>“善谋者胜，远谋者兴”。韶</w:t>
      </w:r>
      <w:r>
        <w:rPr>
          <w:rFonts w:ascii="仿宋" w:hAnsi="仿宋"/>
          <w:sz w:val="32"/>
          <w:szCs w:val="32"/>
          <w:lang w:bidi="ar"/>
        </w:rPr>
        <w:t>关特有的人文精神</w:t>
      </w:r>
      <w:r>
        <w:rPr>
          <w:rFonts w:hint="eastAsia" w:ascii="仿宋" w:hAnsi="仿宋"/>
          <w:sz w:val="32"/>
          <w:szCs w:val="32"/>
          <w:lang w:bidi="ar"/>
        </w:rPr>
        <w:t>为实</w:t>
      </w:r>
      <w:r>
        <w:rPr>
          <w:rFonts w:ascii="仿宋" w:hAnsi="仿宋"/>
          <w:sz w:val="32"/>
          <w:szCs w:val="32"/>
          <w:lang w:bidi="ar"/>
        </w:rPr>
        <w:t>现其历史上枢纽地位的伟大复兴提供了</w:t>
      </w:r>
      <w:r>
        <w:rPr>
          <w:rFonts w:hint="eastAsia" w:ascii="仿宋" w:hAnsi="仿宋"/>
          <w:sz w:val="32"/>
          <w:szCs w:val="32"/>
          <w:lang w:bidi="ar"/>
        </w:rPr>
        <w:t>绵绵不绝</w:t>
      </w:r>
      <w:r>
        <w:rPr>
          <w:rFonts w:ascii="仿宋" w:hAnsi="仿宋"/>
          <w:sz w:val="32"/>
          <w:szCs w:val="32"/>
          <w:lang w:bidi="ar"/>
        </w:rPr>
        <w:t>的动力</w:t>
      </w:r>
      <w:r>
        <w:rPr>
          <w:rFonts w:hint="eastAsia" w:ascii="仿宋" w:hAnsi="仿宋"/>
          <w:sz w:val="32"/>
          <w:szCs w:val="32"/>
          <w:lang w:bidi="ar"/>
        </w:rPr>
        <w:t>，交通</w:t>
      </w:r>
      <w:r>
        <w:rPr>
          <w:rFonts w:ascii="仿宋" w:hAnsi="仿宋"/>
          <w:sz w:val="32"/>
          <w:szCs w:val="32"/>
          <w:lang w:bidi="ar"/>
        </w:rPr>
        <w:t>强国、交通强省战略</w:t>
      </w:r>
      <w:r>
        <w:rPr>
          <w:rFonts w:hint="eastAsia" w:ascii="仿宋" w:hAnsi="仿宋"/>
          <w:sz w:val="32"/>
          <w:szCs w:val="32"/>
          <w:lang w:bidi="ar"/>
        </w:rPr>
        <w:t>又</w:t>
      </w:r>
      <w:r>
        <w:rPr>
          <w:rFonts w:ascii="仿宋" w:hAnsi="仿宋"/>
          <w:sz w:val="32"/>
          <w:szCs w:val="32"/>
          <w:lang w:bidi="ar"/>
        </w:rPr>
        <w:t>为其</w:t>
      </w:r>
      <w:r>
        <w:rPr>
          <w:rFonts w:hint="eastAsia" w:ascii="仿宋" w:hAnsi="仿宋"/>
          <w:sz w:val="32"/>
          <w:szCs w:val="32"/>
          <w:lang w:bidi="ar"/>
        </w:rPr>
        <w:t>提</w:t>
      </w:r>
      <w:r>
        <w:rPr>
          <w:rFonts w:ascii="仿宋" w:hAnsi="仿宋"/>
          <w:sz w:val="32"/>
          <w:szCs w:val="32"/>
          <w:lang w:bidi="ar"/>
        </w:rPr>
        <w:t>供</w:t>
      </w:r>
      <w:r>
        <w:rPr>
          <w:rFonts w:hint="eastAsia" w:ascii="仿宋" w:hAnsi="仿宋"/>
          <w:sz w:val="32"/>
          <w:szCs w:val="32"/>
          <w:lang w:bidi="ar"/>
        </w:rPr>
        <w:t>了千载难逢的</w:t>
      </w:r>
      <w:r>
        <w:rPr>
          <w:rFonts w:ascii="仿宋" w:hAnsi="仿宋"/>
          <w:sz w:val="32"/>
          <w:szCs w:val="32"/>
          <w:lang w:bidi="ar"/>
        </w:rPr>
        <w:t>机遇</w:t>
      </w:r>
      <w:r>
        <w:rPr>
          <w:rFonts w:hint="eastAsia" w:ascii="仿宋" w:hAnsi="仿宋"/>
          <w:sz w:val="32"/>
          <w:szCs w:val="32"/>
          <w:lang w:bidi="ar"/>
        </w:rPr>
        <w:t>。经济发展新常态多重背景下，韶</w:t>
      </w:r>
      <w:r>
        <w:rPr>
          <w:rFonts w:ascii="仿宋" w:hAnsi="仿宋"/>
          <w:sz w:val="32"/>
          <w:szCs w:val="32"/>
          <w:lang w:bidi="ar"/>
        </w:rPr>
        <w:t>关交通枢纽地位的“</w:t>
      </w:r>
      <w:r>
        <w:rPr>
          <w:rFonts w:hint="eastAsia" w:ascii="仿宋" w:hAnsi="仿宋"/>
          <w:sz w:val="32"/>
          <w:szCs w:val="32"/>
          <w:lang w:bidi="ar"/>
        </w:rPr>
        <w:t>复</w:t>
      </w:r>
      <w:r>
        <w:rPr>
          <w:rFonts w:ascii="仿宋" w:hAnsi="仿宋"/>
          <w:sz w:val="32"/>
          <w:szCs w:val="32"/>
          <w:lang w:bidi="ar"/>
        </w:rPr>
        <w:t>兴”</w:t>
      </w:r>
      <w:r>
        <w:rPr>
          <w:rFonts w:hint="eastAsia" w:ascii="仿宋" w:hAnsi="仿宋"/>
          <w:sz w:val="32"/>
          <w:szCs w:val="32"/>
          <w:lang w:bidi="ar"/>
        </w:rPr>
        <w:t>，需立定</w:t>
      </w:r>
      <w:r>
        <w:rPr>
          <w:rFonts w:ascii="仿宋" w:hAnsi="仿宋"/>
          <w:sz w:val="32"/>
          <w:szCs w:val="32"/>
          <w:lang w:bidi="ar"/>
        </w:rPr>
        <w:t>大视</w:t>
      </w:r>
      <w:r>
        <w:rPr>
          <w:rFonts w:hint="eastAsia" w:ascii="仿宋" w:hAnsi="仿宋"/>
          <w:sz w:val="32"/>
          <w:szCs w:val="32"/>
          <w:lang w:bidi="ar"/>
        </w:rPr>
        <w:t>角谋</w:t>
      </w:r>
      <w:r>
        <w:rPr>
          <w:rFonts w:ascii="仿宋" w:hAnsi="仿宋"/>
          <w:sz w:val="32"/>
          <w:szCs w:val="32"/>
          <w:lang w:bidi="ar"/>
        </w:rPr>
        <w:t>划大网络</w:t>
      </w:r>
      <w:r>
        <w:rPr>
          <w:rFonts w:hint="eastAsia" w:ascii="仿宋" w:hAnsi="仿宋"/>
          <w:sz w:val="32"/>
          <w:szCs w:val="32"/>
          <w:lang w:bidi="ar"/>
        </w:rPr>
        <w:t>，从</w:t>
      </w:r>
      <w:r>
        <w:rPr>
          <w:rFonts w:ascii="仿宋" w:hAnsi="仿宋"/>
          <w:sz w:val="32"/>
          <w:szCs w:val="32"/>
          <w:lang w:bidi="ar"/>
        </w:rPr>
        <w:t>单一通道</w:t>
      </w:r>
      <w:r>
        <w:rPr>
          <w:rFonts w:hint="eastAsia" w:ascii="仿宋" w:hAnsi="仿宋"/>
          <w:sz w:val="32"/>
          <w:szCs w:val="32"/>
          <w:lang w:bidi="ar"/>
        </w:rPr>
        <w:t>主要</w:t>
      </w:r>
      <w:r>
        <w:rPr>
          <w:rFonts w:ascii="仿宋" w:hAnsi="仿宋"/>
          <w:sz w:val="32"/>
          <w:szCs w:val="32"/>
          <w:lang w:bidi="ar"/>
        </w:rPr>
        <w:t>节点向</w:t>
      </w:r>
      <w:r>
        <w:rPr>
          <w:rFonts w:hint="eastAsia" w:ascii="仿宋" w:hAnsi="仿宋"/>
          <w:sz w:val="32"/>
          <w:szCs w:val="32"/>
          <w:lang w:bidi="ar"/>
        </w:rPr>
        <w:t>复</w:t>
      </w:r>
      <w:r>
        <w:rPr>
          <w:rFonts w:ascii="仿宋" w:hAnsi="仿宋"/>
          <w:sz w:val="32"/>
          <w:szCs w:val="32"/>
          <w:lang w:bidi="ar"/>
        </w:rPr>
        <w:t>合通道</w:t>
      </w:r>
      <w:r>
        <w:rPr>
          <w:rFonts w:hint="eastAsia" w:ascii="仿宋" w:hAnsi="仿宋"/>
          <w:sz w:val="32"/>
          <w:szCs w:val="32"/>
          <w:lang w:bidi="ar"/>
        </w:rPr>
        <w:t>重要</w:t>
      </w:r>
      <w:r>
        <w:rPr>
          <w:rFonts w:ascii="仿宋" w:hAnsi="仿宋"/>
          <w:sz w:val="32"/>
          <w:szCs w:val="32"/>
          <w:lang w:bidi="ar"/>
        </w:rPr>
        <w:t>交</w:t>
      </w:r>
      <w:r>
        <w:rPr>
          <w:rFonts w:hint="eastAsia" w:ascii="仿宋" w:hAnsi="仿宋"/>
          <w:sz w:val="32"/>
          <w:szCs w:val="32"/>
          <w:lang w:bidi="ar"/>
        </w:rPr>
        <w:t>点</w:t>
      </w:r>
      <w:r>
        <w:rPr>
          <w:rFonts w:ascii="仿宋" w:hAnsi="仿宋"/>
          <w:sz w:val="32"/>
          <w:szCs w:val="32"/>
          <w:lang w:bidi="ar"/>
        </w:rPr>
        <w:t>转变</w:t>
      </w:r>
      <w:r>
        <w:rPr>
          <w:rFonts w:hint="eastAsia" w:ascii="仿宋" w:hAnsi="仿宋"/>
          <w:sz w:val="32"/>
          <w:szCs w:val="32"/>
          <w:lang w:bidi="ar"/>
        </w:rPr>
        <w:t>，更</w:t>
      </w:r>
      <w:r>
        <w:rPr>
          <w:rFonts w:ascii="仿宋" w:hAnsi="仿宋"/>
          <w:sz w:val="32"/>
          <w:szCs w:val="32"/>
          <w:lang w:bidi="ar"/>
        </w:rPr>
        <w:t>应着眼</w:t>
      </w:r>
      <w:r>
        <w:rPr>
          <w:rFonts w:hint="eastAsia" w:ascii="仿宋" w:hAnsi="仿宋"/>
          <w:sz w:val="32"/>
          <w:szCs w:val="32"/>
          <w:lang w:bidi="ar"/>
        </w:rPr>
        <w:t>大</w:t>
      </w:r>
      <w:r>
        <w:rPr>
          <w:rFonts w:ascii="仿宋" w:hAnsi="仿宋"/>
          <w:sz w:val="32"/>
          <w:szCs w:val="32"/>
          <w:lang w:bidi="ar"/>
        </w:rPr>
        <w:t>交通</w:t>
      </w:r>
      <w:r>
        <w:rPr>
          <w:rFonts w:hint="eastAsia" w:ascii="仿宋" w:hAnsi="仿宋"/>
          <w:sz w:val="32"/>
          <w:szCs w:val="32"/>
          <w:lang w:bidi="ar"/>
        </w:rPr>
        <w:t>聚</w:t>
      </w:r>
      <w:r>
        <w:rPr>
          <w:rFonts w:ascii="仿宋" w:hAnsi="仿宋"/>
          <w:sz w:val="32"/>
          <w:szCs w:val="32"/>
          <w:lang w:bidi="ar"/>
        </w:rPr>
        <w:t>焦高质量，</w:t>
      </w:r>
      <w:r>
        <w:rPr>
          <w:rFonts w:hint="eastAsia" w:ascii="仿宋" w:hAnsi="仿宋"/>
          <w:sz w:val="32"/>
          <w:szCs w:val="32"/>
          <w:lang w:bidi="ar"/>
        </w:rPr>
        <w:t>从单一</w:t>
      </w:r>
      <w:r>
        <w:rPr>
          <w:rFonts w:ascii="仿宋" w:hAnsi="仿宋"/>
          <w:sz w:val="32"/>
          <w:szCs w:val="32"/>
          <w:lang w:bidi="ar"/>
        </w:rPr>
        <w:t>的</w:t>
      </w:r>
      <w:r>
        <w:rPr>
          <w:rFonts w:hint="eastAsia" w:ascii="仿宋" w:hAnsi="仿宋"/>
          <w:sz w:val="32"/>
          <w:szCs w:val="32"/>
          <w:lang w:bidi="ar"/>
        </w:rPr>
        <w:t>网络</w:t>
      </w:r>
      <w:r>
        <w:rPr>
          <w:rFonts w:ascii="仿宋" w:hAnsi="仿宋"/>
          <w:sz w:val="32"/>
          <w:szCs w:val="32"/>
          <w:lang w:bidi="ar"/>
        </w:rPr>
        <w:t>供给侧能力提</w:t>
      </w:r>
      <w:r>
        <w:rPr>
          <w:rFonts w:hint="eastAsia" w:ascii="仿宋" w:hAnsi="仿宋"/>
          <w:sz w:val="32"/>
          <w:szCs w:val="32"/>
          <w:lang w:bidi="ar"/>
        </w:rPr>
        <w:t>升</w:t>
      </w:r>
      <w:r>
        <w:rPr>
          <w:rFonts w:ascii="仿宋" w:hAnsi="仿宋"/>
          <w:sz w:val="32"/>
          <w:szCs w:val="32"/>
          <w:lang w:bidi="ar"/>
        </w:rPr>
        <w:t>向</w:t>
      </w:r>
      <w:r>
        <w:rPr>
          <w:rFonts w:hint="eastAsia" w:ascii="仿宋" w:hAnsi="仿宋"/>
          <w:sz w:val="32"/>
          <w:szCs w:val="32"/>
          <w:lang w:bidi="ar"/>
        </w:rPr>
        <w:t>枢</w:t>
      </w:r>
      <w:r>
        <w:rPr>
          <w:rFonts w:ascii="仿宋" w:hAnsi="仿宋"/>
          <w:sz w:val="32"/>
          <w:szCs w:val="32"/>
          <w:lang w:bidi="ar"/>
        </w:rPr>
        <w:t>纽能级提升、</w:t>
      </w:r>
      <w:r>
        <w:rPr>
          <w:rFonts w:hint="eastAsia" w:ascii="仿宋" w:hAnsi="仿宋"/>
          <w:sz w:val="32"/>
          <w:szCs w:val="32"/>
          <w:lang w:bidi="ar"/>
        </w:rPr>
        <w:t>“交通+</w:t>
      </w:r>
      <w:r>
        <w:rPr>
          <w:rFonts w:ascii="仿宋" w:hAnsi="仿宋"/>
          <w:sz w:val="32"/>
          <w:szCs w:val="32"/>
          <w:lang w:bidi="ar"/>
        </w:rPr>
        <w:t>”</w:t>
      </w:r>
      <w:r>
        <w:rPr>
          <w:rFonts w:hint="eastAsia" w:ascii="仿宋" w:hAnsi="仿宋"/>
          <w:sz w:val="32"/>
          <w:szCs w:val="32"/>
          <w:lang w:bidi="ar"/>
        </w:rPr>
        <w:t>等转</w:t>
      </w:r>
      <w:r>
        <w:rPr>
          <w:rFonts w:ascii="仿宋" w:hAnsi="仿宋"/>
          <w:sz w:val="32"/>
          <w:szCs w:val="32"/>
          <w:lang w:bidi="ar"/>
        </w:rPr>
        <w:t>变，</w:t>
      </w:r>
      <w:r>
        <w:rPr>
          <w:rFonts w:hint="eastAsia" w:ascii="仿宋" w:hAnsi="仿宋"/>
          <w:sz w:val="32"/>
          <w:szCs w:val="32"/>
          <w:lang w:bidi="ar"/>
        </w:rPr>
        <w:t>延展“枢</w:t>
      </w:r>
      <w:r>
        <w:rPr>
          <w:rFonts w:ascii="仿宋" w:hAnsi="仿宋"/>
          <w:sz w:val="32"/>
          <w:szCs w:val="32"/>
          <w:lang w:bidi="ar"/>
        </w:rPr>
        <w:t>纽”</w:t>
      </w:r>
      <w:r>
        <w:rPr>
          <w:rFonts w:hint="eastAsia" w:ascii="仿宋" w:hAnsi="仿宋"/>
          <w:sz w:val="32"/>
          <w:szCs w:val="32"/>
          <w:lang w:bidi="ar"/>
        </w:rPr>
        <w:t>新</w:t>
      </w:r>
      <w:r>
        <w:rPr>
          <w:rFonts w:ascii="仿宋" w:hAnsi="仿宋"/>
          <w:sz w:val="32"/>
          <w:szCs w:val="32"/>
          <w:lang w:bidi="ar"/>
        </w:rPr>
        <w:t>内涵</w:t>
      </w:r>
      <w:r>
        <w:rPr>
          <w:rFonts w:hint="eastAsia" w:ascii="仿宋" w:hAnsi="仿宋"/>
          <w:sz w:val="32"/>
          <w:szCs w:val="32"/>
          <w:lang w:bidi="ar"/>
        </w:rPr>
        <w:t>，</w:t>
      </w:r>
      <w:r>
        <w:rPr>
          <w:rFonts w:ascii="仿宋" w:hAnsi="仿宋"/>
          <w:sz w:val="32"/>
          <w:szCs w:val="32"/>
          <w:lang w:bidi="ar"/>
        </w:rPr>
        <w:t>赋予</w:t>
      </w:r>
      <w:r>
        <w:rPr>
          <w:rFonts w:hint="eastAsia" w:ascii="仿宋" w:hAnsi="仿宋"/>
          <w:sz w:val="32"/>
          <w:szCs w:val="32"/>
          <w:lang w:bidi="ar"/>
        </w:rPr>
        <w:t>发</w:t>
      </w:r>
      <w:r>
        <w:rPr>
          <w:rFonts w:ascii="仿宋" w:hAnsi="仿宋"/>
          <w:sz w:val="32"/>
          <w:szCs w:val="32"/>
          <w:lang w:bidi="ar"/>
        </w:rPr>
        <w:t>展新动能</w:t>
      </w:r>
      <w:r>
        <w:rPr>
          <w:rFonts w:hint="eastAsia" w:ascii="仿宋" w:hAnsi="仿宋"/>
          <w:sz w:val="32"/>
          <w:szCs w:val="32"/>
          <w:lang w:bidi="ar"/>
        </w:rPr>
        <w:t>。</w:t>
      </w:r>
    </w:p>
    <w:p>
      <w:pPr>
        <w:widowControl w:val="0"/>
        <w:snapToGrid w:val="0"/>
        <w:spacing w:line="560" w:lineRule="exact"/>
        <w:ind w:firstLine="640"/>
        <w:jc w:val="both"/>
        <w:rPr>
          <w:rFonts w:ascii="仿宋" w:hAnsi="仿宋"/>
          <w:sz w:val="32"/>
          <w:szCs w:val="32"/>
          <w:lang w:bidi="ar"/>
        </w:rPr>
      </w:pPr>
      <w:bookmarkStart w:id="20" w:name="_Hlk118206866"/>
      <w:r>
        <w:rPr>
          <w:rFonts w:hint="eastAsia" w:ascii="仿宋" w:hAnsi="仿宋"/>
          <w:sz w:val="32"/>
          <w:szCs w:val="32"/>
          <w:lang w:bidi="ar"/>
        </w:rPr>
        <w:t>本次规划范围为韶关市全域，涵盖铁路、公路、水运、民航、管道和邮政，以及未来可能出现的新型交通运输方式，研究内容以区域交通为重点，协调衔接城市内部交通。规划期限为2</w:t>
      </w:r>
      <w:r>
        <w:rPr>
          <w:rFonts w:ascii="仿宋" w:hAnsi="仿宋"/>
          <w:sz w:val="32"/>
          <w:szCs w:val="32"/>
          <w:lang w:bidi="ar"/>
        </w:rPr>
        <w:t>021</w:t>
      </w:r>
      <w:r>
        <w:rPr>
          <w:rFonts w:hint="eastAsia" w:ascii="仿宋" w:hAnsi="仿宋"/>
          <w:sz w:val="32"/>
          <w:szCs w:val="32"/>
          <w:lang w:bidi="ar"/>
        </w:rPr>
        <w:t>年至2</w:t>
      </w:r>
      <w:r>
        <w:rPr>
          <w:rFonts w:ascii="仿宋" w:hAnsi="仿宋"/>
          <w:sz w:val="32"/>
          <w:szCs w:val="32"/>
          <w:lang w:bidi="ar"/>
        </w:rPr>
        <w:t>035</w:t>
      </w:r>
      <w:r>
        <w:rPr>
          <w:rFonts w:hint="eastAsia" w:ascii="仿宋" w:hAnsi="仿宋"/>
          <w:sz w:val="32"/>
          <w:szCs w:val="32"/>
          <w:lang w:bidi="ar"/>
        </w:rPr>
        <w:t>年，远景展望到本世纪中叶。</w:t>
      </w:r>
    </w:p>
    <w:bookmarkEnd w:id="20"/>
    <w:p>
      <w:pPr>
        <w:widowControl w:val="0"/>
        <w:snapToGrid w:val="0"/>
        <w:spacing w:line="560" w:lineRule="exact"/>
        <w:ind w:firstLine="640"/>
        <w:jc w:val="both"/>
        <w:rPr>
          <w:rFonts w:ascii="仿宋" w:hAnsi="仿宋"/>
          <w:sz w:val="32"/>
          <w:szCs w:val="32"/>
          <w:lang w:bidi="ar"/>
        </w:rPr>
      </w:pPr>
    </w:p>
    <w:p>
      <w:pPr>
        <w:widowControl w:val="0"/>
        <w:snapToGrid w:val="0"/>
        <w:spacing w:line="560" w:lineRule="exact"/>
        <w:ind w:firstLine="640"/>
        <w:jc w:val="both"/>
        <w:rPr>
          <w:rFonts w:ascii="仿宋" w:hAnsi="仿宋"/>
          <w:sz w:val="32"/>
          <w:szCs w:val="32"/>
          <w:lang w:bidi="ar"/>
        </w:rPr>
        <w:sectPr>
          <w:footerReference r:id="rId14" w:type="default"/>
          <w:footerReference r:id="rId15" w:type="even"/>
          <w:pgSz w:w="11906" w:h="16838"/>
          <w:pgMar w:top="1440" w:right="1797" w:bottom="1440" w:left="1797" w:header="851" w:footer="851" w:gutter="0"/>
          <w:pgNumType w:fmt="numberInDash" w:start="1"/>
          <w:cols w:space="720" w:num="1"/>
          <w:docGrid w:type="lines" w:linePitch="381" w:charSpace="0"/>
        </w:sectPr>
      </w:pPr>
    </w:p>
    <w:p>
      <w:pPr>
        <w:pStyle w:val="2"/>
        <w:spacing w:after="381"/>
      </w:pPr>
      <w:bookmarkStart w:id="21" w:name="_Toc77779534"/>
      <w:bookmarkStart w:id="22" w:name="_Toc30937"/>
      <w:bookmarkStart w:id="23" w:name="_Toc62033295"/>
      <w:r>
        <w:rPr>
          <w:rFonts w:hint="eastAsia"/>
        </w:rPr>
        <w:t>规划基础</w:t>
      </w:r>
      <w:bookmarkEnd w:id="21"/>
      <w:bookmarkEnd w:id="22"/>
      <w:bookmarkEnd w:id="23"/>
    </w:p>
    <w:p>
      <w:pPr>
        <w:pStyle w:val="143"/>
        <w:ind w:firstLine="640"/>
      </w:pPr>
      <w:bookmarkStart w:id="24" w:name="_Toc62033296"/>
      <w:bookmarkStart w:id="25" w:name="_Toc77779535"/>
      <w:bookmarkStart w:id="26" w:name="_Toc30548"/>
      <w:r>
        <w:rPr>
          <w:rFonts w:hint="eastAsia"/>
        </w:rPr>
        <w:t>发展</w:t>
      </w:r>
      <w:bookmarkEnd w:id="24"/>
      <w:bookmarkEnd w:id="25"/>
      <w:r>
        <w:rPr>
          <w:rFonts w:hint="eastAsia"/>
        </w:rPr>
        <w:t>现状</w:t>
      </w:r>
      <w:bookmarkEnd w:id="26"/>
    </w:p>
    <w:p>
      <w:pPr>
        <w:widowControl w:val="0"/>
        <w:snapToGrid w:val="0"/>
        <w:spacing w:line="560" w:lineRule="exact"/>
        <w:ind w:firstLine="640"/>
        <w:jc w:val="both"/>
        <w:rPr>
          <w:rFonts w:ascii="仿宋_GB2312" w:hAnsi="仿宋_GB2312" w:eastAsia="仿宋_GB2312" w:cs="仿宋_GB2312"/>
          <w:sz w:val="32"/>
          <w:szCs w:val="32"/>
          <w:lang w:bidi="ar"/>
        </w:rPr>
      </w:pPr>
      <w:bookmarkStart w:id="27" w:name="_Hlk118199463"/>
      <w:r>
        <w:rPr>
          <w:rFonts w:hint="eastAsia" w:ascii="仿宋_GB2312" w:hAnsi="仿宋_GB2312" w:eastAsia="仿宋_GB2312" w:cs="仿宋_GB2312"/>
          <w:sz w:val="32"/>
          <w:szCs w:val="32"/>
          <w:lang w:bidi="ar"/>
        </w:rPr>
        <w:t>迈入新世纪以来，韶关依托广东北大门、南方交通要冲的区位优势，交通发展快马加鞭、乘势而为，基本形成运输方式齐全、一体化发展特征凸显、组合效率蓄势而发的综合立体交通网，尤其2021年底丹霞机场正式通航，进一步巩固和放大了韶关区域性枢纽城市地位。</w:t>
      </w:r>
    </w:p>
    <w:bookmarkEnd w:id="27"/>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1.</w:t>
      </w:r>
      <w:bookmarkStart w:id="28" w:name="_Hlk118199502"/>
      <w:r>
        <w:rPr>
          <w:rFonts w:hint="eastAsia" w:ascii="仿宋_GB2312" w:hAnsi="仿宋_GB2312" w:eastAsia="仿宋_GB2312" w:cs="仿宋_GB2312"/>
          <w:b/>
          <w:bCs/>
          <w:sz w:val="32"/>
          <w:szCs w:val="32"/>
          <w:lang w:bidi="ar"/>
        </w:rPr>
        <w:t>多层次公路网络体系基本成型。</w:t>
      </w:r>
      <w:bookmarkEnd w:id="28"/>
      <w:r>
        <w:rPr>
          <w:rFonts w:hint="eastAsia" w:ascii="仿宋_GB2312" w:hAnsi="仿宋_GB2312" w:eastAsia="仿宋_GB2312" w:cs="仿宋_GB2312"/>
          <w:sz w:val="32"/>
          <w:szCs w:val="32"/>
          <w:lang w:bidi="ar"/>
        </w:rPr>
        <w:t>截至2020年底，全市公路总里程为17076公里，排名居全省第6位，公路网密度为92.37公里/百平方公里，排名居全省第19位。高速公路通车总里程为688.9公里，排名居全省第7、粤东西北第4，初步形成了以京港澳高速、乐广高速、武深高速、南韶高速、韶关北环高速、汕昆高速、韶新高速、大广高速为主骨架的“三横四纵一环”高速公路网现状格局。普通国省道通车总里程2472公里，初步形成了由8条国道（</w:t>
      </w:r>
      <w:bookmarkStart w:id="29" w:name="_Hlk110522464"/>
      <w:r>
        <w:rPr>
          <w:rFonts w:hint="eastAsia" w:ascii="仿宋_GB2312" w:hAnsi="仿宋_GB2312" w:eastAsia="仿宋_GB2312" w:cs="仿宋_GB2312"/>
          <w:sz w:val="32"/>
          <w:szCs w:val="32"/>
          <w:lang w:bidi="ar"/>
        </w:rPr>
        <w:t>G105、G106、G107、G220、G240、G323、G358、G535</w:t>
      </w:r>
      <w:bookmarkEnd w:id="29"/>
      <w:r>
        <w:rPr>
          <w:rFonts w:hint="eastAsia" w:ascii="仿宋_GB2312" w:hAnsi="仿宋_GB2312" w:eastAsia="仿宋_GB2312" w:cs="仿宋_GB2312"/>
          <w:sz w:val="32"/>
          <w:szCs w:val="32"/>
          <w:lang w:bidi="ar"/>
        </w:rPr>
        <w:t>）和23条省道（</w:t>
      </w:r>
      <w:bookmarkStart w:id="30" w:name="_Hlk110522484"/>
      <w:r>
        <w:rPr>
          <w:rFonts w:hint="eastAsia" w:ascii="仿宋_GB2312" w:hAnsi="仿宋_GB2312" w:eastAsia="仿宋_GB2312" w:cs="仿宋_GB2312"/>
          <w:sz w:val="32"/>
          <w:szCs w:val="32"/>
          <w:lang w:bidi="ar"/>
        </w:rPr>
        <w:t>S244、S245、S246、S247、S248、S249、S250、S251等</w:t>
      </w:r>
      <w:bookmarkEnd w:id="30"/>
      <w:r>
        <w:rPr>
          <w:rFonts w:hint="eastAsia" w:ascii="仿宋_GB2312" w:hAnsi="仿宋_GB2312" w:eastAsia="仿宋_GB2312" w:cs="仿宋_GB2312"/>
          <w:sz w:val="32"/>
          <w:szCs w:val="32"/>
          <w:lang w:bidi="ar"/>
        </w:rPr>
        <w:t>）为骨干的干线路网格局。农村公路通车总里程1.4万公里，通100人以上自然村、278个省定贫困村、通20户以上自然村公路路面全面实现硬底化，乐昌市成功创建国家级“四好农村路”示范县，南雄市、仁化县、始兴县成功创建省级“四好农村路”示范县。</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2.</w:t>
      </w:r>
      <w:bookmarkStart w:id="31" w:name="_Hlk118199543"/>
      <w:r>
        <w:rPr>
          <w:rFonts w:hint="eastAsia" w:ascii="仿宋_GB2312" w:hAnsi="仿宋_GB2312" w:eastAsia="仿宋_GB2312" w:cs="仿宋_GB2312"/>
          <w:b/>
          <w:bCs/>
          <w:sz w:val="32"/>
          <w:szCs w:val="32"/>
          <w:lang w:bidi="ar"/>
        </w:rPr>
        <w:t>“两纵一横”铁路网格局已建立</w:t>
      </w:r>
      <w:bookmarkEnd w:id="31"/>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截至2020年底，全市铁路运营总里程为651公里，初步形成“两纵一横”国有铁路大干线和省属地方铁路及大厂矿铁路专用线的区域内铁路网格局。其中京广铁路是历史较长的国铁纵向大干线，为I级客货共线铁路，列车最高运营速度160公里/小时，韶关段总里程为138公里，目前通过能力已经饱和；京广高铁是我国客运量最大、运输最为繁忙的高铁线路，列车最高运营时速350公里/小时，韶关段总里程为118公里，目前通过能力也趋于饱和；赣韶铁路是连接江西赣州与韶关的国铁I级单线客货共线铁路，列车最高运营速度160公里/小时，韶关段总里程117公里，目前通过能力尚有较大富余。韶关市域内省属地方铁路共有两条，坪石至湖南宜章梅田铁路和浈江区黄岗至仁化县格顶铁路，总里程约61公里。韶关市域内共有32条各大厂矿铁路专用线，均与京广线相连，总里程约217公里。</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3.</w:t>
      </w:r>
      <w:bookmarkStart w:id="32" w:name="_Hlk118199609"/>
      <w:r>
        <w:rPr>
          <w:rFonts w:hint="eastAsia" w:ascii="仿宋_GB2312" w:hAnsi="仿宋_GB2312" w:eastAsia="仿宋_GB2312" w:cs="仿宋_GB2312"/>
          <w:b/>
          <w:bCs/>
          <w:sz w:val="32"/>
          <w:szCs w:val="32"/>
          <w:lang w:bidi="ar"/>
        </w:rPr>
        <w:t>港航水运体系实现新突破</w:t>
      </w:r>
      <w:bookmarkEnd w:id="32"/>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韶关主要有北江、浈江、武江、龙归河、新丰江、墨江等5条通航河流，截至2020年底，韶关市航道里程合计698公里，其中Ⅶ级以上航道里程为256公里。随着北江航道扩能升级项目建成，航道通航能力显著提升，千吨级船舶可通过北江航道从韶关市区通往珠三角，直达港澳，通航时间大大缩短，对引导沿江产业布局、支撑临港工业开发和外向型经济发展、促进区域物资对外交流等提供了有力支撑。韶关港地处珠江水系的北江中上游，码头主要分布在北江、浈江和锦江沿岸，分为北江、浈江和武江3个港区，现有300吨级泊位9个、1000吨级泊位5个，港口主要运输货种有煤炭、金属矿石、水泥、矿建材料、木材、非金属矿石、粮食、钢铁、重大件、其他件杂货及集装箱等。</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4.民用航空机场</w:t>
      </w:r>
      <w:bookmarkStart w:id="33" w:name="_Hlk107825961"/>
      <w:r>
        <w:rPr>
          <w:rFonts w:hint="eastAsia" w:ascii="仿宋_GB2312" w:hAnsi="仿宋_GB2312" w:eastAsia="仿宋_GB2312" w:cs="仿宋_GB2312"/>
          <w:b/>
          <w:bCs/>
          <w:sz w:val="32"/>
          <w:szCs w:val="32"/>
          <w:lang w:bidi="ar"/>
        </w:rPr>
        <w:t>正式投入运营</w:t>
      </w:r>
      <w:bookmarkEnd w:id="33"/>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韶关丹霞机场位于乳源瑶族自治区桂头镇，是广东省第9个民用机场，距离韶关市区30公里。飞行区等级为4C级标准，航站楼1.27万平方米，跑道长度为2800米，设计年旅客吞吐量100万人次、货邮吞吐量4000吨、飞机起降9500架次，于2021年11月底建成通航，首条航线为中国南方航空执飞的北京大兴国际机场航线，通航一个月旅客吞吐量为1万人次。机场投运后初期计划开通北京、上海、杭州、昆明、南宁航点，后续将陆续开通成都、西安、沈阳、福州、海口、揭阳、湛江等航点，通达至国内重点旅游城市，逐步打造连通全国热门旅游城市的环飞航线。</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5.</w:t>
      </w:r>
      <w:bookmarkStart w:id="34" w:name="_Hlk118199641"/>
      <w:r>
        <w:rPr>
          <w:rFonts w:hint="eastAsia" w:ascii="仿宋_GB2312" w:hAnsi="仿宋_GB2312" w:eastAsia="仿宋_GB2312" w:cs="仿宋_GB2312"/>
          <w:b/>
          <w:bCs/>
          <w:sz w:val="32"/>
          <w:szCs w:val="32"/>
          <w:lang w:bidi="ar"/>
        </w:rPr>
        <w:t>客货运枢纽逐步向综合运输转变</w:t>
      </w:r>
      <w:bookmarkEnd w:id="34"/>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截至2020年底，全市等级道路客运站共21个，一级客运站1个（韶关综合客运枢纽），二级客运站7个。其中韶关综合客运枢纽是公路、铁路及公交“三位一体”的综合型换乘枢纽，实现高速铁路、长途客运、城市公交、出租汽车、社会车辆等多种交通工具的无障碍、快速换乘。货运站场以铁路站场为主，在营铁路货运站场7个。积极发展多式联运，“十三五”期已启动建设北江港区乌石枢纽项目，规划布置1000吨级通用泊位27个，形成码头岸线长2081米，规划泊位预计年货物通过能力为1800万吨，该项目建成后将充分发挥北江航运的优势，实现“铁水联运”，大幅降低大宗商品进出物流成本。</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6.</w:t>
      </w:r>
      <w:bookmarkStart w:id="35" w:name="_Hlk118199657"/>
      <w:r>
        <w:rPr>
          <w:rFonts w:hint="eastAsia" w:ascii="仿宋_GB2312" w:hAnsi="仿宋_GB2312" w:eastAsia="仿宋_GB2312" w:cs="仿宋_GB2312"/>
          <w:b/>
          <w:bCs/>
          <w:sz w:val="32"/>
          <w:szCs w:val="32"/>
          <w:lang w:bidi="ar"/>
        </w:rPr>
        <w:t>综合运输服务能力大幅提升</w:t>
      </w:r>
      <w:bookmarkEnd w:id="35"/>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随着综合交通运输网络的完善，韶关市运输能力和效率得到双提升，有力保障了人民群众的日常出行和货物流通。2019年（疫情前）韶关境内营运性客运量为7118万人次，其中公路客运发送量为5638万人次，铁路客运发送量为1480万人次；2019年韶关境内货运量为24467万吨，其中公路货运发送量为16998万吨，铁路货运到发量1897万吨，内河航运水运发送量为5572万吨。各县（市、区）公交覆盖率和服务水平不断提升，全市共有公交车辆781辆，其中市辖三区580辆，城市公交线路运营已形成“快线+普线”多层次网络，有效满足城市居民公共交通出行需求。农村客运服务水平稳步提升，实现全市1205个行政村通客车，行政村通客车率达100%。运营农村客运班线236条，农村客运车辆500辆，为脱贫致富奔小康和乡村振兴注入了强大的动力。</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尽管韶关交通运输发展取得了较大成就，但整体水平仍然较低，与争当北部生态发展区高质量发展排头兵的要求相比，仍存在一定差距，交通运输发展“瓶颈”仍未完全消除，结构性矛盾仍较突出。</w:t>
      </w:r>
    </w:p>
    <w:p>
      <w:pPr>
        <w:widowControl w:val="0"/>
        <w:snapToGrid w:val="0"/>
        <w:spacing w:line="560" w:lineRule="exact"/>
        <w:ind w:firstLine="643"/>
        <w:jc w:val="both"/>
        <w:rPr>
          <w:rFonts w:ascii="仿宋_GB2312" w:hAnsi="仿宋_GB2312" w:eastAsia="仿宋_GB2312" w:cs="仿宋_GB2312"/>
          <w:sz w:val="32"/>
          <w:szCs w:val="32"/>
          <w:lang w:bidi="ar"/>
        </w:rPr>
      </w:pPr>
      <w:bookmarkStart w:id="36" w:name="_Hlk118204447"/>
      <w:r>
        <w:rPr>
          <w:rFonts w:hint="eastAsia" w:ascii="仿宋_GB2312" w:hAnsi="仿宋_GB2312" w:eastAsia="仿宋_GB2312" w:cs="仿宋_GB2312"/>
          <w:b/>
          <w:bCs/>
          <w:sz w:val="32"/>
          <w:szCs w:val="32"/>
          <w:lang w:bidi="ar"/>
        </w:rPr>
        <w:t>一是区域综合交通枢纽地位和能级有待提升。</w:t>
      </w:r>
      <w:bookmarkEnd w:id="36"/>
      <w:r>
        <w:rPr>
          <w:rFonts w:hint="eastAsia" w:ascii="仿宋_GB2312" w:hAnsi="仿宋_GB2312" w:eastAsia="仿宋_GB2312" w:cs="仿宋_GB2312"/>
          <w:sz w:val="32"/>
          <w:szCs w:val="32"/>
          <w:lang w:bidi="ar"/>
        </w:rPr>
        <w:t>韶关对外通道主要包括广州都市圈、深圳都市圈、江西、湖南和广西五个方向，目前南北向交通大廊道基本形成，但京港澳铁路通道趋于饱和，缺乏通往广西北部湾城市群方向、粤东及海峡西岸地区的东西横向通道，与深圳都市圈尚未构建复合型通道。综合交通枢纽建设相对滞后，目前仅有韶关高铁站综合客运枢纽；韶关港港口规模小、专业化服务水平差，集疏运体系不完善，航道等级低，航运发展仍处于较低水平；以丹霞机场为核心的“公铁水空”无缝衔接、多式联运的集疏运体系亟待构建；其他铁路、公路运输站场各自规划、分别建设，缺乏统筹整合。</w:t>
      </w:r>
    </w:p>
    <w:p>
      <w:pPr>
        <w:widowControl w:val="0"/>
        <w:snapToGrid w:val="0"/>
        <w:spacing w:line="560" w:lineRule="exact"/>
        <w:ind w:firstLine="643"/>
        <w:jc w:val="both"/>
        <w:rPr>
          <w:rFonts w:ascii="仿宋_GB2312" w:hAnsi="仿宋_GB2312" w:eastAsia="仿宋_GB2312" w:cs="仿宋_GB2312"/>
          <w:sz w:val="32"/>
          <w:szCs w:val="32"/>
          <w:lang w:bidi="ar"/>
        </w:rPr>
      </w:pPr>
      <w:bookmarkStart w:id="37" w:name="_Hlk118204462"/>
      <w:r>
        <w:rPr>
          <w:rFonts w:hint="eastAsia" w:ascii="仿宋_GB2312" w:hAnsi="仿宋_GB2312" w:eastAsia="仿宋_GB2312" w:cs="仿宋_GB2312"/>
          <w:b/>
          <w:bCs/>
          <w:sz w:val="32"/>
          <w:szCs w:val="32"/>
          <w:lang w:bidi="ar"/>
        </w:rPr>
        <w:t>二是市域综合交通网络有待完善</w:t>
      </w:r>
      <w:bookmarkEnd w:id="37"/>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普通干线公路网密度和结构不合理，全市公路网密度为92.7公里/百平方公里，排名居全省19，远低于全省平均水平124.7公里/百平方公里；全路网二级及以上公路占比、普通国道二级及以上公路占比、普通省道三级及以上公路占比距离全省平均水平还有一定差距。城区快速干线公路尚未成网，穿城干线如国道G323主要承担了较多的城市内部交通功能，中心城区与外部组团之间、城区各核心组团之间联系效率较低。山区干线路网布局不合理、通达深度不足、覆盖水平较低，特别是乐昌、仁化、南雄之间，缺乏高效便捷的直连快速干线。</w:t>
      </w:r>
    </w:p>
    <w:p>
      <w:pPr>
        <w:widowControl w:val="0"/>
        <w:snapToGrid w:val="0"/>
        <w:spacing w:line="560" w:lineRule="exact"/>
        <w:ind w:firstLine="643"/>
        <w:jc w:val="both"/>
        <w:rPr>
          <w:rFonts w:ascii="仿宋_GB2312" w:hAnsi="仿宋_GB2312" w:eastAsia="仿宋_GB2312" w:cs="仿宋_GB2312"/>
          <w:sz w:val="32"/>
          <w:szCs w:val="32"/>
          <w:lang w:bidi="ar"/>
        </w:rPr>
      </w:pPr>
      <w:bookmarkStart w:id="38" w:name="_Hlk118204474"/>
      <w:r>
        <w:rPr>
          <w:rFonts w:hint="eastAsia" w:ascii="仿宋_GB2312" w:hAnsi="仿宋_GB2312" w:eastAsia="仿宋_GB2312" w:cs="仿宋_GB2312"/>
          <w:b/>
          <w:bCs/>
          <w:sz w:val="32"/>
          <w:szCs w:val="32"/>
          <w:lang w:bidi="ar"/>
        </w:rPr>
        <w:t>三是综合运输服务高质量发展亟待推进</w:t>
      </w:r>
      <w:bookmarkEnd w:id="38"/>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受高铁、城际铁路、网约车的冲击，公路营运性客运量下滑严重，亟待转型升级。农村客运站利用率不高，城市公交与农村客运缺乏统筹规划，城乡交通运输一体化发展水平不高。交通与旅游亟待深度融合，尚未形成旅游公路发展资金长效机制，难以保障广东南岭生态旅游公路等项目建设进度和质量；旅游客运市场缺乏有力的市场主体进行规范化经营，市场集中度较低，难以满足快速增长的旅游需求。</w:t>
      </w:r>
    </w:p>
    <w:p>
      <w:pPr>
        <w:pStyle w:val="143"/>
        <w:ind w:firstLine="640"/>
      </w:pPr>
      <w:bookmarkStart w:id="39" w:name="_Toc20224"/>
      <w:r>
        <w:rPr>
          <w:rFonts w:hint="eastAsia"/>
        </w:rPr>
        <w:t>形势要求</w:t>
      </w:r>
      <w:bookmarkEnd w:id="39"/>
    </w:p>
    <w:p>
      <w:pPr>
        <w:widowControl w:val="0"/>
        <w:snapToGrid w:val="0"/>
        <w:spacing w:line="560" w:lineRule="exact"/>
        <w:ind w:firstLine="640"/>
        <w:jc w:val="both"/>
        <w:rPr>
          <w:rFonts w:ascii="仿宋_GB2312" w:hAnsi="仿宋_GB2312" w:eastAsia="仿宋_GB2312" w:cs="仿宋_GB2312"/>
          <w:sz w:val="32"/>
          <w:szCs w:val="32"/>
          <w:lang w:bidi="ar"/>
        </w:rPr>
      </w:pPr>
      <w:bookmarkStart w:id="40" w:name="_Toc62033302"/>
      <w:r>
        <w:rPr>
          <w:rFonts w:hint="eastAsia" w:ascii="仿宋_GB2312" w:hAnsi="仿宋_GB2312" w:eastAsia="仿宋_GB2312" w:cs="仿宋_GB2312"/>
          <w:sz w:val="32"/>
          <w:szCs w:val="32"/>
          <w:lang w:bidi="ar"/>
        </w:rPr>
        <w:t>国际形势发生复杂而深刻的变化，当今世界正经历百年未有之大变局，我国经济已由高速增长阶段转向高质量发展阶段，开启全面建设社会主义现代化强国新征程，人民对美好生活的要求不断提高，经济长期向好，市场空间广阔，发展韧性强大，正在形成以国内大循环为主体、国内国际双循环相互促进的新发展格局。为适应国际国内新形势，交通运输作为国民经济的重要组成部分和动脉系统，是双循环的重要纽带和支撑，韶关要抢抓历史机遇，充分发挥交通的先导性支撑作用。</w:t>
      </w:r>
    </w:p>
    <w:p>
      <w:pPr>
        <w:widowControl w:val="0"/>
        <w:snapToGrid w:val="0"/>
        <w:spacing w:line="560" w:lineRule="exact"/>
        <w:ind w:firstLine="643"/>
        <w:jc w:val="both"/>
        <w:rPr>
          <w:rFonts w:ascii="仿宋_GB2312" w:hAnsi="仿宋_GB2312" w:eastAsia="仿宋_GB2312" w:cs="仿宋_GB2312"/>
          <w:sz w:val="32"/>
          <w:szCs w:val="32"/>
          <w:lang w:bidi="ar"/>
        </w:rPr>
      </w:pPr>
      <w:bookmarkStart w:id="41" w:name="_Hlk118206259"/>
      <w:r>
        <w:rPr>
          <w:rFonts w:hint="eastAsia" w:ascii="仿宋_GB2312" w:hAnsi="仿宋_GB2312" w:eastAsia="仿宋_GB2312" w:cs="仿宋_GB2312"/>
          <w:b/>
          <w:bCs/>
          <w:sz w:val="32"/>
          <w:szCs w:val="32"/>
          <w:lang w:bidi="ar"/>
        </w:rPr>
        <w:t>1.交通强国建设，要求韶关交通运输加快实现高质量发展。</w:t>
      </w:r>
      <w:bookmarkEnd w:id="41"/>
      <w:r>
        <w:rPr>
          <w:rFonts w:hint="eastAsia" w:ascii="仿宋_GB2312" w:hAnsi="仿宋_GB2312" w:eastAsia="仿宋_GB2312" w:cs="仿宋_GB2312"/>
          <w:sz w:val="32"/>
          <w:szCs w:val="32"/>
          <w:lang w:bidi="ar"/>
        </w:rPr>
        <w:t>建设交通强国是党中央立足国情、着眼全局、面向未来作出的重大战略决策，是全面建成社会主义现代化强国的重要支撑，是新时代做好交通工作的总抓手。2021年9月，广东省召开交通强省建设大会，广东省将紧紧围绕交通强国热点、难点，大胆探索，勇于创新，科学把握“先行官”的定位、综合交通的方向、效益评估的标准和安全发展的底线，围绕打造新发展格局战略支点系统谋划推进，奋力推动交通基础设施高质量发展、交通与旅游产业融合发展、智慧交通建设、枢纽服务效率提升、综合交通运输管理体制机制改革等，为韶关交通运输实现高质量发展提供了重大机遇，韶关应积极参与省交通强国试点建设，加快构建内联外通、高效优质立体综合交通体系。</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2.</w:t>
      </w:r>
      <w:bookmarkStart w:id="42" w:name="_Hlk118206277"/>
      <w:r>
        <w:rPr>
          <w:rFonts w:hint="eastAsia" w:ascii="仿宋_GB2312" w:hAnsi="仿宋_GB2312" w:eastAsia="仿宋_GB2312" w:cs="仿宋_GB2312"/>
          <w:b/>
          <w:bCs/>
          <w:sz w:val="32"/>
          <w:szCs w:val="32"/>
          <w:lang w:bidi="ar"/>
        </w:rPr>
        <w:t>“双区”和横琴、前海、南沙三个大平台建设，要求韶关加快构建互联互通、高效便捷的综合交通运输体系。</w:t>
      </w:r>
      <w:bookmarkEnd w:id="42"/>
      <w:r>
        <w:rPr>
          <w:rFonts w:hint="eastAsia" w:ascii="仿宋_GB2312" w:hAnsi="仿宋_GB2312" w:eastAsia="仿宋_GB2312" w:cs="仿宋_GB2312"/>
          <w:sz w:val="32"/>
          <w:szCs w:val="32"/>
          <w:lang w:bidi="ar"/>
        </w:rPr>
        <w:t>韶关要加快构建与粤港澳大湾区“水陆空” 全面对接的大通道，推动高铁、城轨、高速公路、赣粤运河和丹霞机场等水陆空联运综合交通网络取得跨越式发展，持续提升韶关至“双区”、“三大平台”的时空可达性，努力把韶关打造成为对接“双区”和支持“三大平台”建设的先行响应地、大湾区辐射带动内陆发展的枢纽节点。</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3.</w:t>
      </w:r>
      <w:bookmarkStart w:id="43" w:name="_Hlk118206290"/>
      <w:r>
        <w:rPr>
          <w:rFonts w:hint="eastAsia" w:ascii="仿宋_GB2312" w:hAnsi="仿宋_GB2312" w:eastAsia="仿宋_GB2312" w:cs="仿宋_GB2312"/>
          <w:b/>
          <w:bCs/>
          <w:sz w:val="32"/>
          <w:szCs w:val="32"/>
          <w:lang w:bidi="ar"/>
        </w:rPr>
        <w:t>构建区域协调发展新格局，要求韶关交通转型升级</w:t>
      </w:r>
      <w:bookmarkEnd w:id="43"/>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2022年12月8日中国共产党广东省第十三届委员会第二次全体会议通过了《中共广东省委关于实施“百县千镇万村高质量发展工程”促进城乡区域协调发展的决定》，提出要在新起点上更好解决城乡区域发展不平衡不充分问题。韶关作为北部生态区中的核心城市，在全省区域协调发展和带动北部山区振兴中具有重要使命，良好的生态环境是最大的优势，应化生态优势为发展优势，基于优越的生态环境和丰富的旅游文化资源，加快谋划具有韶关特色的“快进慢游”旅游交通网络，高质量推动北江干流段碧道建设，完善省域道路绿网生态廊道、广东红军长征路以及区域性交通干道沿线生态景观林带建设，奋力争当北部生态发展区高质量发展排头兵。</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4.</w:t>
      </w:r>
      <w:bookmarkStart w:id="44" w:name="_Hlk118206309"/>
      <w:r>
        <w:rPr>
          <w:rFonts w:hint="eastAsia" w:ascii="仿宋_GB2312" w:hAnsi="仿宋_GB2312" w:eastAsia="仿宋_GB2312" w:cs="仿宋_GB2312"/>
          <w:b/>
          <w:bCs/>
          <w:sz w:val="32"/>
          <w:szCs w:val="32"/>
          <w:lang w:bidi="ar"/>
        </w:rPr>
        <w:t>构建韶关市域国土空间总体格局，要求打造集约高效的综合立体交通网</w:t>
      </w:r>
      <w:bookmarkEnd w:id="44"/>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韶关市以“湾区后苑、粤北中心、岭南名郡、善美韶关”为发展愿景。市域发展新格局要求韶关交通强化与国土空间规划衔接，充分发挥交通网络对城市发展格局及要素流动的引导作用，实现各类发展要素在国土空间上协调有序发展。改革重塑新韶关，要求加快打造专业化的客货运输服务体系，构建配套标准化、专业化的货运物流网络，推进交通与新型工业化、新型城镇化、农业现代化、旅游产业化发展深度融合，支撑韶关从改革开放的“边沿”变成扩大内需的“前沿”，从生产原材料的“供应地”变成产业综合开发利用的“主战场”。</w:t>
      </w:r>
    </w:p>
    <w:p>
      <w:pPr>
        <w:pStyle w:val="143"/>
        <w:ind w:firstLine="640"/>
      </w:pPr>
      <w:bookmarkStart w:id="45" w:name="_Toc2705"/>
      <w:r>
        <w:rPr>
          <w:rFonts w:hint="eastAsia"/>
        </w:rPr>
        <w:t>运输需求</w:t>
      </w:r>
      <w:bookmarkEnd w:id="45"/>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随着经济高质量发展基础不断夯实，韶关市人口规模、空间分布、城镇和产业发展格局以及运输需求也将发生明显变化。随着经济总量稳步增长、产业结构转型升级、城市功能逐步完善，韶关人口净流出情况将得到遏制，总量呈缓慢增长态势，预计2035年增长至310万人左右，城镇化也稳步推进，预计2035年达到72%。随着人们生活水平的提高，人均出行次数也将显著提升，运输需求总体仍呈现增长趋势。</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客运方面，随着韶关高快速铁路、高快速公路、航道等综合立体交通网络的逐渐完善，以及人均汽车保有量的不断提升，居民人均出行频率将进一步提高，预计2019-2035年旅客出行量年均增速为2.2%，2035年客运需求达14969万人次，为2019年的2.3倍。客运结构发生显著变化，高品质、多样化、个性化的出行需求快速增长，全市营业性客运总量中高铁、民航、水运出行占比不断提升，客运结构从公路主导、铁路为辅向水陆空铁并存的多元化方向转变。高铁建设助推铁路客运量显著提升，</w:t>
      </w:r>
      <w:bookmarkStart w:id="46" w:name="_Hlk107825837"/>
      <w:r>
        <w:rPr>
          <w:rFonts w:hint="eastAsia" w:ascii="仿宋_GB2312" w:hAnsi="仿宋_GB2312" w:eastAsia="仿宋_GB2312" w:cs="仿宋_GB2312"/>
          <w:sz w:val="32"/>
          <w:szCs w:val="32"/>
          <w:lang w:bidi="ar"/>
        </w:rPr>
        <w:t>铁路客运占比从2019年的11.4%提升至2035年的23.2%</w:t>
      </w:r>
      <w:bookmarkEnd w:id="46"/>
      <w:r>
        <w:rPr>
          <w:rFonts w:hint="eastAsia" w:ascii="仿宋_GB2312" w:hAnsi="仿宋_GB2312" w:eastAsia="仿宋_GB2312" w:cs="仿宋_GB2312"/>
          <w:sz w:val="32"/>
          <w:szCs w:val="32"/>
          <w:lang w:bidi="ar"/>
        </w:rPr>
        <w:t>。随着绿色航道规划建设和水上旅游客运的发展，水运客运量占比稳步增长，</w:t>
      </w:r>
      <w:bookmarkStart w:id="47" w:name="_Hlk107826984"/>
      <w:r>
        <w:rPr>
          <w:rFonts w:hint="eastAsia" w:ascii="仿宋_GB2312" w:hAnsi="仿宋_GB2312" w:eastAsia="仿宋_GB2312" w:cs="仿宋_GB2312"/>
          <w:sz w:val="32"/>
          <w:szCs w:val="32"/>
          <w:lang w:bidi="ar"/>
        </w:rPr>
        <w:t>从2019年的0.5%提升至</w:t>
      </w:r>
      <w:bookmarkEnd w:id="47"/>
      <w:r>
        <w:rPr>
          <w:rFonts w:hint="eastAsia" w:ascii="仿宋_GB2312" w:hAnsi="仿宋_GB2312" w:eastAsia="仿宋_GB2312" w:cs="仿宋_GB2312"/>
          <w:sz w:val="32"/>
          <w:szCs w:val="32"/>
          <w:lang w:bidi="ar"/>
        </w:rPr>
        <w:t>2035年的2.1%。随着韶关丹霞机场的正式运营以及进一步建设完善，预计2035年民航客运占比2.4%。公路营运性客运量逐步回落，占比从2019年的88.1%下降至2035年的72.3%。</w:t>
      </w:r>
    </w:p>
    <w:p>
      <w:pPr>
        <w:widowControl w:val="0"/>
        <w:snapToGrid w:val="0"/>
        <w:spacing w:line="560" w:lineRule="exact"/>
        <w:ind w:firstLine="640"/>
        <w:jc w:val="both"/>
        <w:rPr>
          <w:rFonts w:ascii="仿宋" w:hAnsi="仿宋"/>
          <w:sz w:val="32"/>
          <w:szCs w:val="32"/>
          <w:lang w:bidi="ar"/>
        </w:rPr>
      </w:pPr>
      <w:r>
        <w:rPr>
          <w:rFonts w:hint="eastAsia" w:ascii="仿宋_GB2312" w:hAnsi="仿宋_GB2312" w:eastAsia="仿宋_GB2312" w:cs="仿宋_GB2312"/>
          <w:sz w:val="32"/>
          <w:szCs w:val="32"/>
          <w:lang w:bidi="ar"/>
        </w:rPr>
        <w:t>货运方面，预计2019-2035年货运需求年均增速为3.5%左右，2035年货运需求达42717.6万吨，为2019年的1.7倍。货运结构持续调整，北江、浈江、武江等扩能升级促使内河航运快速发展,水运占比从2019年的22.6%提升至2035年的24.4%；铁路线网、货运场站升级完善将推动铁路货运量增加，铁路货运占比从2019年的8.4%提升至2035年的13.7%；公路货运有一定下降但仍占据主导地位,占比从2019年的69%下降至2035年61.9%。</w:t>
      </w:r>
      <w:r>
        <w:rPr>
          <w:rFonts w:hint="eastAsia" w:ascii="仿宋_GB2312" w:hAnsi="仿宋_GB2312" w:eastAsia="仿宋_GB2312" w:cs="仿宋_GB2312"/>
          <w:sz w:val="32"/>
          <w:szCs w:val="32"/>
          <w:lang w:bidi="ar"/>
        </w:rPr>
        <w:br w:type="page"/>
      </w:r>
    </w:p>
    <w:bookmarkEnd w:id="40"/>
    <w:p>
      <w:pPr>
        <w:pStyle w:val="2"/>
        <w:spacing w:after="381"/>
        <w:rPr>
          <w:lang w:val="zh-CN"/>
        </w:rPr>
      </w:pPr>
      <w:bookmarkStart w:id="48" w:name="_Toc62033310"/>
      <w:bookmarkStart w:id="49" w:name="_Toc7247"/>
      <w:bookmarkStart w:id="50" w:name="_Toc77779538"/>
      <w:r>
        <w:rPr>
          <w:rFonts w:hint="eastAsia"/>
          <w:lang w:val="zh-CN"/>
        </w:rPr>
        <w:t>总体要求</w:t>
      </w:r>
      <w:bookmarkEnd w:id="48"/>
      <w:bookmarkEnd w:id="49"/>
      <w:bookmarkEnd w:id="50"/>
    </w:p>
    <w:p>
      <w:pPr>
        <w:pStyle w:val="143"/>
        <w:ind w:firstLine="640"/>
      </w:pPr>
      <w:bookmarkStart w:id="51" w:name="_Toc13621"/>
      <w:bookmarkStart w:id="52" w:name="_Toc77779539"/>
      <w:bookmarkStart w:id="53" w:name="_Toc62033311"/>
      <w:r>
        <w:rPr>
          <w:rFonts w:hint="eastAsia"/>
        </w:rPr>
        <w:t>指导思想</w:t>
      </w:r>
      <w:bookmarkEnd w:id="51"/>
      <w:bookmarkEnd w:id="52"/>
      <w:bookmarkEnd w:id="53"/>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以习近平新时代中国特色社会主义思想为指导，全面贯彻党的二十大精神，深入贯彻习近平总书记对广东系列重要讲话和重要指示批示精神，立足新发展阶段，完整、准确、全面贯彻新发展理念，服务和融入新发展格局，以交通强国建设等上位规划为指引，以推动交通运输行业高质量发展为主题，以深化供给侧结构性改革为主线，以改革创新为根本动力，以满足人民群众日益增长的美好生活需要为根本目的，抢抓“双区”和横琴、前海、南沙三大平台建设重大机遇，围绕韶关以非凡之举推进新型工业化、新型城镇化、农业农村现代化、资源资产价值化、改革攻坚系统化、治理体系和治理能力现代化，加快统筹公路、铁路、航空、水运等各种运输方式的协调发展，打造外联内通“水陆空”综合立体交通体系，</w:t>
      </w:r>
      <w:bookmarkStart w:id="54" w:name="_Toc62033312"/>
      <w:r>
        <w:rPr>
          <w:rFonts w:hint="eastAsia" w:ascii="仿宋_GB2312" w:hAnsi="仿宋_GB2312" w:eastAsia="仿宋_GB2312" w:cs="仿宋_GB2312"/>
          <w:sz w:val="32"/>
          <w:szCs w:val="32"/>
          <w:lang w:bidi="ar"/>
        </w:rPr>
        <w:t>为韶关建成</w:t>
      </w:r>
      <w:bookmarkStart w:id="55" w:name="_Hlk103085945"/>
      <w:r>
        <w:rPr>
          <w:rFonts w:hint="eastAsia" w:ascii="仿宋_GB2312" w:hAnsi="仿宋_GB2312" w:eastAsia="仿宋_GB2312" w:cs="仿宋_GB2312"/>
          <w:sz w:val="32"/>
          <w:szCs w:val="32"/>
          <w:lang w:bidi="ar"/>
        </w:rPr>
        <w:t>北部生态发展区高质量发展排头兵、粤港澳大湾区向北辐射的门户枢纽</w:t>
      </w:r>
      <w:bookmarkEnd w:id="55"/>
      <w:r>
        <w:rPr>
          <w:rFonts w:hint="eastAsia" w:ascii="仿宋_GB2312" w:hAnsi="仿宋_GB2312" w:eastAsia="仿宋_GB2312" w:cs="仿宋_GB2312"/>
          <w:sz w:val="32"/>
          <w:szCs w:val="32"/>
          <w:lang w:bidi="ar"/>
        </w:rPr>
        <w:t>，形成山水生态特色鲜明、宜居宜业的历史文化和旅游名城提供有力支撑。</w:t>
      </w:r>
    </w:p>
    <w:p>
      <w:pPr>
        <w:pStyle w:val="143"/>
        <w:ind w:firstLine="640"/>
      </w:pPr>
      <w:bookmarkStart w:id="56" w:name="_Toc77779540"/>
      <w:bookmarkStart w:id="57" w:name="_Toc28115"/>
      <w:r>
        <w:rPr>
          <w:rFonts w:hint="eastAsia"/>
        </w:rPr>
        <w:t>基本原则</w:t>
      </w:r>
      <w:bookmarkEnd w:id="54"/>
      <w:bookmarkEnd w:id="56"/>
      <w:bookmarkEnd w:id="57"/>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长远谋划，服务大局。</w:t>
      </w:r>
      <w:r>
        <w:rPr>
          <w:rFonts w:hint="eastAsia" w:ascii="仿宋_GB2312" w:hAnsi="仿宋_GB2312" w:eastAsia="仿宋_GB2312" w:cs="仿宋_GB2312"/>
          <w:sz w:val="32"/>
          <w:szCs w:val="32"/>
          <w:lang w:bidi="ar"/>
        </w:rPr>
        <w:t>“跳出韶关看韶关”，规划要把韶关放在全球、全国、全省等多维视野下进行考量，审视新时期韶关发展面临的机遇与挑战，提出发展要求。规划既要对标先进、高起点、高标准，也要切合实际、可操作、可实施；既要立足当前不平衡不充分突出问题，也要着眼长远发展定位，在服务“一带一路”、双区建设、三大平台建设、省“百县千镇万村高质量发展工程”等重大战略上，充分体现韶关担当。</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分区引领，特色发展。</w:t>
      </w:r>
      <w:r>
        <w:rPr>
          <w:rFonts w:hint="eastAsia" w:ascii="仿宋_GB2312" w:hAnsi="仿宋_GB2312" w:eastAsia="仿宋_GB2312" w:cs="仿宋_GB2312"/>
          <w:sz w:val="32"/>
          <w:szCs w:val="32"/>
          <w:lang w:bidi="ar"/>
        </w:rPr>
        <w:t>立足韶关市域“一主三副两轴三区”的国土空间总体格局，完善交通核心走廊广清韶协作发展轴和韶莞深协作发展轴，支撑“两轴融湾”。统筹谋划三区交通发展定位，实现各片区特色发展，中部核心发展区重点推进老城区、高新区、曲江城区等组团之间的高效互联互通，南部融湾平台发展区重点构建支撑产业发展的干线交通体系，北部生态融合发展区突出生态优先、绿色发展。</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综合立体，统筹融合。</w:t>
      </w:r>
      <w:r>
        <w:rPr>
          <w:rFonts w:hint="eastAsia" w:ascii="仿宋_GB2312" w:hAnsi="仿宋_GB2312" w:eastAsia="仿宋_GB2312" w:cs="仿宋_GB2312"/>
          <w:sz w:val="32"/>
          <w:szCs w:val="32"/>
          <w:lang w:bidi="ar"/>
        </w:rPr>
        <w:t>统筹谋划区域交通一体化，提升韶关与清远、河源、惠州、赣州、郴州等周边地区交通运输互联互通水平，共建粤北、赣湘地区一体化交通网络。充分发挥各种运输方式的比较优势和组合效率，推进运输结构优化调整,统筹推进各种交通运输方式网络布局发展，构建综合立体、衔接紧密、功能完善、高效经济的综合交通运输网络。强化交通与相关产业、交通与运输服务网、信息网及能源网的融合发展。</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绿色智慧，品质发展。</w:t>
      </w:r>
      <w:r>
        <w:rPr>
          <w:rFonts w:hint="eastAsia" w:ascii="仿宋_GB2312" w:hAnsi="仿宋_GB2312" w:eastAsia="仿宋_GB2312" w:cs="仿宋_GB2312"/>
          <w:sz w:val="32"/>
          <w:szCs w:val="32"/>
          <w:lang w:bidi="ar"/>
        </w:rPr>
        <w:t>以高质量发展为主题，以生态绿色为底色，以碳达峰、碳中和推动绿色转型发展，加强生态选线选址与红线管控，以集约复合的绿色运输通道建设推进绿色基础设施发展。以创新和改革为引擎，积极吸纳和集聚创新要素资源，推进交通科技创新，打造智能化交通基础设施。扎实推进交通运输供给侧结构性改革，优化存量、创新增量、提升质量，为韶关实现高质量发展注入强劲动力。</w:t>
      </w:r>
    </w:p>
    <w:p>
      <w:pPr>
        <w:pStyle w:val="143"/>
        <w:ind w:firstLine="640"/>
      </w:pPr>
      <w:bookmarkStart w:id="58" w:name="_Toc62033314"/>
      <w:bookmarkStart w:id="59" w:name="_Toc77779541"/>
      <w:bookmarkStart w:id="60" w:name="_Toc12534"/>
      <w:r>
        <w:rPr>
          <w:rFonts w:hint="eastAsia"/>
        </w:rPr>
        <w:t>发展目标</w:t>
      </w:r>
      <w:bookmarkEnd w:id="58"/>
      <w:bookmarkEnd w:id="59"/>
      <w:bookmarkEnd w:id="60"/>
    </w:p>
    <w:p>
      <w:pPr>
        <w:widowControl w:val="0"/>
        <w:snapToGrid w:val="0"/>
        <w:spacing w:line="560" w:lineRule="exact"/>
        <w:ind w:firstLine="640"/>
        <w:jc w:val="both"/>
        <w:rPr>
          <w:rFonts w:ascii="仿宋_GB2312" w:hAnsi="仿宋_GB2312" w:eastAsia="仿宋_GB2312" w:cs="仿宋_GB2312"/>
          <w:sz w:val="32"/>
          <w:szCs w:val="32"/>
          <w:lang w:bidi="ar"/>
        </w:rPr>
      </w:pPr>
      <w:bookmarkStart w:id="61" w:name="_Hlk118206914"/>
      <w:r>
        <w:rPr>
          <w:rFonts w:hint="eastAsia" w:ascii="仿宋_GB2312" w:hAnsi="仿宋_GB2312" w:eastAsia="仿宋_GB2312" w:cs="仿宋_GB2312"/>
          <w:sz w:val="32"/>
          <w:szCs w:val="32"/>
          <w:lang w:bidi="ar"/>
        </w:rPr>
        <w:t>到2035年，围绕构建交通发展走在粤东西北前列、水陆空一体化的区域性枢纽城市，打造高质量出行圈、高效率物流圈的客货运双体系，形成融入广佛、对接深港澳、辐射内陆腹地的通道大格局，建成以韶关丹霞机场、韶关高铁站、韶关港锚固的内联外通综合立体交通网络，实现公路网、铁路网、民航网、水运网、邮政网“五网融合”，凸显区域中心城市引擎作用，有力支撑韶关建成</w:t>
      </w:r>
      <w:bookmarkStart w:id="62" w:name="_Hlk103352025"/>
      <w:bookmarkStart w:id="63" w:name="_Hlk103161478"/>
      <w:r>
        <w:rPr>
          <w:rFonts w:hint="eastAsia" w:ascii="仿宋_GB2312" w:hAnsi="仿宋_GB2312" w:eastAsia="仿宋_GB2312" w:cs="仿宋_GB2312"/>
          <w:sz w:val="32"/>
          <w:szCs w:val="32"/>
          <w:lang w:bidi="ar"/>
        </w:rPr>
        <w:t>粤港澳大湾区向北辐射的门户枢纽</w:t>
      </w:r>
      <w:bookmarkEnd w:id="62"/>
      <w:r>
        <w:rPr>
          <w:rFonts w:hint="eastAsia" w:ascii="仿宋_GB2312" w:hAnsi="仿宋_GB2312" w:eastAsia="仿宋_GB2312" w:cs="仿宋_GB2312"/>
          <w:sz w:val="32"/>
          <w:szCs w:val="32"/>
          <w:lang w:bidi="ar"/>
        </w:rPr>
        <w:t>、山水生态特色鲜明的历史文化和旅游名城</w:t>
      </w:r>
      <w:bookmarkEnd w:id="63"/>
      <w:r>
        <w:rPr>
          <w:rFonts w:hint="eastAsia" w:ascii="仿宋_GB2312" w:hAnsi="仿宋_GB2312" w:eastAsia="仿宋_GB2312" w:cs="仿宋_GB2312"/>
          <w:sz w:val="32"/>
          <w:szCs w:val="32"/>
          <w:lang w:bidi="ar"/>
        </w:rPr>
        <w:t>。</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人便其行高质量出行圈：市域内1小时公路交通圈，广清韶1小时高铁交通圈，韶关与深圳都市圈以及省内其他主要城市2小时高铁交通圈，与周边省会城市3小时高铁及航空交通圈。</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货畅其流高效率物流圈：市域内半日送达、省内1日送达、国内2日送达。</w:t>
      </w:r>
    </w:p>
    <w:p>
      <w:pPr>
        <w:widowControl w:val="0"/>
        <w:snapToGrid w:val="0"/>
        <w:spacing w:line="560" w:lineRule="exact"/>
        <w:ind w:firstLine="640"/>
        <w:jc w:val="both"/>
        <w:rPr>
          <w:rFonts w:ascii="仿宋_GB2312" w:hAnsi="仿宋_GB2312" w:eastAsia="仿宋_GB2312" w:cs="仿宋_GB2312"/>
          <w:sz w:val="32"/>
          <w:szCs w:val="32"/>
          <w:lang w:bidi="ar"/>
        </w:rPr>
        <w:sectPr>
          <w:pgSz w:w="11906" w:h="16838"/>
          <w:pgMar w:top="1440" w:right="1797" w:bottom="1440" w:left="1797" w:header="851" w:footer="851" w:gutter="0"/>
          <w:pgNumType w:fmt="numberInDash" w:start="1"/>
          <w:cols w:space="720" w:num="1"/>
          <w:docGrid w:type="lines" w:linePitch="381" w:charSpace="0"/>
        </w:sectPr>
      </w:pPr>
      <w:r>
        <w:rPr>
          <w:rFonts w:hint="eastAsia" w:ascii="仿宋_GB2312" w:hAnsi="仿宋_GB2312" w:eastAsia="仿宋_GB2312" w:cs="仿宋_GB2312"/>
          <w:sz w:val="32"/>
          <w:szCs w:val="32"/>
          <w:lang w:bidi="ar"/>
        </w:rPr>
        <w:t>展望至2050年，全面建成高质量、高效率、高品质的现代化“水陆空”综合立体交通网以及人享其行、物优其流的现代综合交通运输体系，新技术广泛应用，交通治理高效智慧，综合交通发展水平稳居粤东西北前列。</w:t>
      </w:r>
    </w:p>
    <w:bookmarkEnd w:id="61"/>
    <w:p>
      <w:pPr>
        <w:pStyle w:val="2"/>
        <w:spacing w:after="381"/>
        <w:rPr>
          <w:lang w:val="zh-CN"/>
        </w:rPr>
      </w:pPr>
      <w:bookmarkStart w:id="64" w:name="_Toc77779542"/>
      <w:bookmarkStart w:id="65" w:name="_Toc31687"/>
      <w:bookmarkStart w:id="66" w:name="_Toc452555954"/>
      <w:r>
        <w:rPr>
          <w:rFonts w:hint="eastAsia"/>
          <w:lang w:val="zh-CN"/>
        </w:rPr>
        <w:t>综合立体的交通发展</w:t>
      </w:r>
      <w:bookmarkEnd w:id="64"/>
      <w:r>
        <w:rPr>
          <w:rFonts w:hint="eastAsia"/>
          <w:lang w:val="zh-CN"/>
        </w:rPr>
        <w:t>格局</w:t>
      </w:r>
      <w:bookmarkEnd w:id="65"/>
    </w:p>
    <w:p>
      <w:pPr>
        <w:pStyle w:val="143"/>
        <w:ind w:firstLine="640"/>
      </w:pPr>
      <w:bookmarkStart w:id="67" w:name="_Toc77779075"/>
      <w:bookmarkEnd w:id="67"/>
      <w:bookmarkStart w:id="68" w:name="_Toc77779543"/>
      <w:bookmarkEnd w:id="68"/>
      <w:bookmarkStart w:id="69" w:name="_Toc3353"/>
      <w:r>
        <w:rPr>
          <w:rFonts w:hint="eastAsia"/>
        </w:rPr>
        <w:t>结构合理的规模总</w:t>
      </w:r>
      <w:r>
        <w:t>量</w:t>
      </w:r>
      <w:bookmarkEnd w:id="69"/>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以打造交通发展走在粤东西北前列、水陆空一体化的区域性枢纽城市为导向，着力补短板、重衔接、优网络、提效能，注重存量资源优化利用和增量供给质量提升,完善铁路网、公路网、航道网、天然气管网、邮政快递网，构建以高等级公路、铁路、赣粤运河为主干，民航、管道比较优势充分发挥的综合立体交通网。</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至2025年，韶关市综合立体交通网实体网总体规模合计19483公里，其中铁路网约491.1公里（高速铁路118公里，普速铁路315公里，</w:t>
      </w:r>
      <w:bookmarkStart w:id="70" w:name="_Hlk103154699"/>
      <w:r>
        <w:rPr>
          <w:rFonts w:hint="eastAsia" w:ascii="仿宋_GB2312" w:hAnsi="仿宋_GB2312" w:eastAsia="仿宋_GB2312" w:cs="仿宋_GB2312"/>
          <w:sz w:val="32"/>
          <w:szCs w:val="32"/>
          <w:lang w:bidi="ar"/>
        </w:rPr>
        <w:t>铁路专用线58.1公里</w:t>
      </w:r>
      <w:bookmarkEnd w:id="70"/>
      <w:r>
        <w:rPr>
          <w:rFonts w:hint="eastAsia" w:ascii="仿宋_GB2312" w:hAnsi="仿宋_GB2312" w:eastAsia="仿宋_GB2312" w:cs="仿宋_GB2312"/>
          <w:sz w:val="32"/>
          <w:szCs w:val="32"/>
          <w:lang w:bidi="ar"/>
        </w:rPr>
        <w:t>）；公路网总里程约18000公里（其中高速公路800公里，一二级公路1650公里）；内河航道约698公里（其中等级航道293公里）；天然气管网294公里。</w:t>
      </w:r>
    </w:p>
    <w:p>
      <w:pPr>
        <w:widowControl w:val="0"/>
        <w:snapToGrid w:val="0"/>
        <w:spacing w:line="560" w:lineRule="exact"/>
        <w:ind w:firstLine="640"/>
        <w:jc w:val="both"/>
        <w:rPr>
          <w:rFonts w:ascii="仿宋_GB2312" w:hAnsi="仿宋_GB2312" w:eastAsia="仿宋_GB2312" w:cs="仿宋_GB2312"/>
          <w:sz w:val="32"/>
          <w:szCs w:val="32"/>
          <w:lang w:bidi="ar"/>
        </w:rPr>
        <w:sectPr>
          <w:pgSz w:w="11906" w:h="16838"/>
          <w:pgMar w:top="1440" w:right="1797" w:bottom="1440" w:left="1797" w:header="851" w:footer="851" w:gutter="0"/>
          <w:pgNumType w:fmt="numberInDash"/>
          <w:cols w:space="720" w:num="1"/>
          <w:docGrid w:type="lines" w:linePitch="381" w:charSpace="0"/>
        </w:sectPr>
      </w:pPr>
      <w:r>
        <w:rPr>
          <w:rFonts w:hint="eastAsia" w:ascii="仿宋_GB2312" w:hAnsi="仿宋_GB2312" w:eastAsia="仿宋_GB2312" w:cs="仿宋_GB2312"/>
          <w:sz w:val="32"/>
          <w:szCs w:val="32"/>
          <w:lang w:bidi="ar"/>
        </w:rPr>
        <w:t>至2035年，韶关市综合立体交通网实体网总体规模合计21568公里，其中铁路网约687.1公里（高速铁路118公里，普速铁路494公里，铁路专用线75.1公里）；公路网总里程约19800公里（其中高速公路1034公里，一二级公路1810公里）；内河航道约822公里。</w:t>
      </w:r>
    </w:p>
    <w:p>
      <w:pPr>
        <w:pStyle w:val="143"/>
        <w:ind w:firstLine="640"/>
      </w:pPr>
      <w:bookmarkStart w:id="71" w:name="_Toc14466"/>
      <w:r>
        <w:rPr>
          <w:rFonts w:hint="eastAsia"/>
        </w:rPr>
        <w:t>切</w:t>
      </w:r>
      <w:r>
        <w:t>合</w:t>
      </w:r>
      <w:r>
        <w:rPr>
          <w:rFonts w:hint="eastAsia"/>
        </w:rPr>
        <w:t>时代</w:t>
      </w:r>
      <w:r>
        <w:t>的</w:t>
      </w:r>
      <w:r>
        <w:rPr>
          <w:rFonts w:hint="eastAsia"/>
        </w:rPr>
        <w:t>发展路径</w:t>
      </w:r>
      <w:bookmarkEnd w:id="71"/>
    </w:p>
    <w:p>
      <w:pPr>
        <w:pStyle w:val="144"/>
        <w:ind w:firstLine="640"/>
        <w:rPr>
          <w:rFonts w:ascii="仿宋_GB2312" w:hAnsi="仿宋_GB2312" w:eastAsia="仿宋_GB2312" w:cs="仿宋_GB2312"/>
        </w:rPr>
      </w:pPr>
      <w:r>
        <w:rPr>
          <w:rFonts w:hint="eastAsia" w:ascii="仿宋_GB2312" w:hAnsi="仿宋_GB2312" w:eastAsia="仿宋_GB2312" w:cs="仿宋_GB2312"/>
        </w:rPr>
        <w:t>韶关融湾入珠的交通支撑</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省域层面的一体化发展对具体地区提出了更高的要求,对于韶关而言综合立体交通网尚在往成熟发展的过程中,难以满足跨越发展的迫切需求,也不能支撑韶关与粤港澳大湾区的高效交通联系。韶关作为京港澳黄金通道上的节点,需要以“枢纽”的形式承担交通方式转换的功能,积极衔接上位交通规划,提高对外辐射能力,在更广阔的区域范围与其他城市进行交通功能的分工与协作,提升其在省域一体化中的地位,并带动市域其他县区组团发展。</w:t>
      </w:r>
    </w:p>
    <w:p>
      <w:pPr>
        <w:pStyle w:val="144"/>
        <w:ind w:firstLine="640"/>
        <w:rPr>
          <w:rFonts w:ascii="仿宋_GB2312" w:hAnsi="仿宋_GB2312" w:eastAsia="仿宋_GB2312" w:cs="仿宋_GB2312"/>
        </w:rPr>
      </w:pPr>
      <w:r>
        <w:rPr>
          <w:rFonts w:hint="eastAsia" w:ascii="仿宋_GB2312" w:hAnsi="仿宋_GB2312" w:eastAsia="仿宋_GB2312" w:cs="仿宋_GB2312"/>
        </w:rPr>
        <w:t>内外交通体系的一体布局</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加强韶关内外交通体系联通实现一体布局，一是要加强综合立体交通网中的对外交通系统与市域内的交通系统的联通,解决韶关对外交通廊道中的综合立体交通骨干线网与市域内支撑城镇发展的低等级交通线网联系不够紧密的问题,二是加强传统的区域交通系统与城市道路交通系统的联通，解决传统城市对外交通系统与城市道路交通系统存在冲突的问题,从而使不同级别的交通网络真正实现整合。</w:t>
      </w:r>
    </w:p>
    <w:p>
      <w:pPr>
        <w:pStyle w:val="144"/>
        <w:ind w:firstLine="640"/>
        <w:rPr>
          <w:rFonts w:ascii="仿宋_GB2312" w:hAnsi="仿宋_GB2312" w:eastAsia="仿宋_GB2312" w:cs="仿宋_GB2312"/>
        </w:rPr>
      </w:pPr>
      <w:r>
        <w:rPr>
          <w:rFonts w:hint="eastAsia" w:ascii="仿宋_GB2312" w:hAnsi="仿宋_GB2312" w:eastAsia="仿宋_GB2312" w:cs="仿宋_GB2312"/>
        </w:rPr>
        <w:t>协同国土空间的融合发展</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国土空间规划强化了“多规合一”的原则,在全局上对城市空间资源使用以及各系统对空间使用方案之间相互关系进行统筹安排,实质上形成了综合立体交通规划体系与其他中长期规划协调的政策窗口。充分利用这个政策窗口,韶关需在国土空间规划平台上对综合立体交通网规划进行必要的调整与优化,争取支撑城市发展的重大交通基础设施的空间资源配置,合理构建综合立体交通网和客货运体系,以综合立体交通骨架网络引导城乡空间发展,以多级和多式交通联运体系适应及引领区域和城乡的产业发展。</w:t>
      </w:r>
    </w:p>
    <w:p>
      <w:pPr>
        <w:pStyle w:val="143"/>
        <w:ind w:firstLine="640"/>
      </w:pPr>
      <w:r>
        <w:t xml:space="preserve"> </w:t>
      </w:r>
      <w:bookmarkStart w:id="72" w:name="_Toc14874"/>
      <w:r>
        <w:t>全面拓展</w:t>
      </w:r>
      <w:r>
        <w:rPr>
          <w:rFonts w:hint="eastAsia"/>
        </w:rPr>
        <w:t>的运输通道</w:t>
      </w:r>
      <w:bookmarkEnd w:id="72"/>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综合运输大通道是区域之间、城市之间跨区域运输的主动脉，是支撑国土空间开发的主轴线。基于国家“六轴七廊八通道”和广东省“三横六纵两联”综合交通网主骨架，根据韶关地理区位和主要经济活动特征，结合国土空间发展格局、未来区域城镇发展定位、产业布局和交通需求空间特征，总体上形成“两纵三横”的运输通道形态结构，构建韶关快速联通广佛极核、深港极核、海西经济区、湖南、赣州和广西“六向”发展格局。</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两纵”指京港澳通道和赣韶深通道，总体上对应国家层面“京津冀-粤港澳主轴”，落实在韶关市域予以拆分，拟强化韶关与深圳、香港的联系，实现由“联通”向“直通”转变，提升韶关融入粤港澳大湾区的力度和广度。</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一横”指东起海西经济区，经汕潮揭地区和河源，西达广西及大西南地区的汕昆通道，通过该通道，可补齐韶关“纵强横缺”通道布局短板，实现从单一通道主要节点向复合通道重要交点转变，有效提升韶关枢纽城市能级。</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另外“两横”指两条区域性综合运输通道赣韶湘通道和环珠三角通道。加强区域通道之间的衔接，增强通道的韧性和可靠性。</w:t>
      </w:r>
    </w:p>
    <w:p>
      <w:pPr>
        <w:keepNext/>
        <w:spacing w:line="360" w:lineRule="auto"/>
        <w:ind w:firstLine="0" w:firstLineChars="0"/>
        <w:jc w:val="center"/>
      </w:pPr>
    </w:p>
    <w:p>
      <w:pPr>
        <w:widowControl w:val="0"/>
        <w:adjustRightInd w:val="0"/>
        <w:snapToGrid w:val="0"/>
        <w:spacing w:before="381" w:beforeLines="100" w:line="360" w:lineRule="auto"/>
        <w:ind w:firstLine="0" w:firstLineChars="0"/>
        <w:jc w:val="both"/>
        <w:outlineLvl w:val="0"/>
        <w:rPr>
          <w:rFonts w:ascii="黑体" w:hAnsi="黑体" w:eastAsia="黑体" w:cs="华文中宋"/>
          <w:bCs/>
          <w:sz w:val="36"/>
          <w:szCs w:val="30"/>
          <w:lang w:val="zh-CN"/>
        </w:rPr>
        <w:sectPr>
          <w:pgSz w:w="11906" w:h="16838"/>
          <w:pgMar w:top="1440" w:right="1797" w:bottom="1440" w:left="1797" w:header="851" w:footer="851" w:gutter="0"/>
          <w:pgNumType w:fmt="numberInDash"/>
          <w:cols w:space="720" w:num="1"/>
          <w:docGrid w:type="lines" w:linePitch="381" w:charSpace="0"/>
        </w:sectPr>
      </w:pPr>
    </w:p>
    <w:p>
      <w:pPr>
        <w:pStyle w:val="2"/>
        <w:spacing w:after="381"/>
        <w:rPr>
          <w:lang w:val="zh-CN"/>
        </w:rPr>
      </w:pPr>
      <w:bookmarkStart w:id="73" w:name="_Toc1039"/>
      <w:bookmarkStart w:id="74" w:name="_Hlk118208397"/>
      <w:r>
        <w:rPr>
          <w:rFonts w:hint="eastAsia"/>
          <w:lang w:val="zh-CN"/>
        </w:rPr>
        <w:t>外联内通的综合交通网络</w:t>
      </w:r>
      <w:bookmarkEnd w:id="73"/>
      <w:bookmarkEnd w:id="74"/>
    </w:p>
    <w:p>
      <w:pPr>
        <w:pStyle w:val="143"/>
        <w:ind w:firstLine="640"/>
      </w:pPr>
      <w:bookmarkStart w:id="75" w:name="_Toc27493"/>
      <w:bookmarkStart w:id="76" w:name="_Hlk118208436"/>
      <w:r>
        <w:rPr>
          <w:rFonts w:hint="eastAsia"/>
        </w:rPr>
        <w:t>“外联”畅通的骨架网</w:t>
      </w:r>
      <w:bookmarkEnd w:id="75"/>
      <w:bookmarkEnd w:id="76"/>
    </w:p>
    <w:p>
      <w:pPr>
        <w:pStyle w:val="144"/>
        <w:ind w:firstLine="640"/>
        <w:rPr>
          <w:rFonts w:ascii="仿宋_GB2312" w:hAnsi="仿宋_GB2312" w:eastAsia="仿宋_GB2312" w:cs="仿宋_GB2312"/>
        </w:rPr>
      </w:pPr>
      <w:bookmarkStart w:id="77" w:name="_Hlk118208570"/>
      <w:r>
        <w:rPr>
          <w:rFonts w:hint="eastAsia" w:ascii="仿宋_GB2312" w:hAnsi="仿宋_GB2312" w:eastAsia="仿宋_GB2312" w:cs="仿宋_GB2312"/>
        </w:rPr>
        <w:t>四通八达的高速铁路网</w:t>
      </w:r>
    </w:p>
    <w:bookmarkEnd w:id="77"/>
    <w:p>
      <w:pPr>
        <w:widowControl w:val="0"/>
        <w:snapToGrid w:val="0"/>
        <w:spacing w:line="550" w:lineRule="exact"/>
        <w:ind w:firstLine="640"/>
        <w:jc w:val="both"/>
        <w:rPr>
          <w:rFonts w:ascii="仿宋_GB2312" w:hAnsi="仿宋_GB2312" w:eastAsia="仿宋_GB2312" w:cs="仿宋_GB2312"/>
          <w:sz w:val="32"/>
          <w:szCs w:val="32"/>
          <w:lang w:bidi="ar"/>
        </w:rPr>
      </w:pPr>
      <w:bookmarkStart w:id="78" w:name="_Hlk118208596"/>
      <w:r>
        <w:rPr>
          <w:rFonts w:hint="eastAsia" w:ascii="仿宋_GB2312" w:hAnsi="仿宋_GB2312" w:eastAsia="仿宋_GB2312" w:cs="仿宋_GB2312"/>
          <w:sz w:val="32"/>
          <w:szCs w:val="32"/>
          <w:lang w:bidi="ar"/>
        </w:rPr>
        <w:t>加快建设“两横一纵”南融北联东西贯通的高速铁路网。积极推进厦昆高铁韶关段前期研究工作，争取先行开工建设厦昆高铁韶关至龙川段，填补粤北地区东西向高速铁路通道空白，构建粤东潮汕揭地区经梅州、河源龙川、韶关等粤北山区快速进入中西部地区的出省通道，支撑闽粤桂经济带建设。积极争取沪穗高铁韶关段列入国家和省相关规划，打通赣州经韶关与广州的直接联系通道，带动沿线旅游开发和经济发展，助力赣闽粤原中央苏区振兴发展。适时推动省联合相关省份，共同争取国家支持开展京港高铁第二通道前期研究工作，缓解京广高铁、广深港高铁客运交通压力，强化粤港澳大湾区与长株潭都市圈、武汉都市圈之间的高效联通，支撑韶关深度“融湾”“融深”。</w:t>
      </w:r>
    </w:p>
    <w:p>
      <w:pPr>
        <w:widowControl w:val="0"/>
        <w:snapToGrid w:val="0"/>
        <w:spacing w:line="55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积极谋划城际轨道，融入“轨道上的大湾区”。加快推动广从轨道快线延伸至韶关新丰开展前期研究，实现韶关新丰与广州直连直通，带动沿线旅游开发和经济发展，夯实新丰作为韶关南部融入“双区”的先行区功能。适时谋划韶清（韶关至清远）城际轨道，加强沿线城市服务功能，有效缓解京广铁路通道运能紧张状况，支撑韶关城区快速连通广佛、全面融入轨道上大湾区。</w:t>
      </w:r>
    </w:p>
    <w:p>
      <w:pPr>
        <w:widowControl w:val="0"/>
        <w:snapToGrid w:val="0"/>
        <w:spacing w:line="550" w:lineRule="exact"/>
        <w:ind w:firstLine="640"/>
        <w:jc w:val="both"/>
        <w:rPr>
          <w:rFonts w:ascii="仿宋_GB2312" w:hAnsi="仿宋_GB2312" w:eastAsia="仿宋_GB2312" w:cs="仿宋_GB2312"/>
          <w:sz w:val="32"/>
          <w:szCs w:val="32"/>
          <w:lang w:bidi="ar"/>
        </w:rPr>
      </w:pPr>
    </w:p>
    <w:p>
      <w:pPr>
        <w:widowControl w:val="0"/>
        <w:snapToGrid w:val="0"/>
        <w:spacing w:line="550" w:lineRule="exact"/>
        <w:ind w:firstLine="640"/>
        <w:jc w:val="both"/>
        <w:rPr>
          <w:rFonts w:ascii="仿宋_GB2312" w:hAnsi="仿宋_GB2312" w:eastAsia="仿宋_GB2312" w:cs="仿宋_GB2312"/>
          <w:sz w:val="32"/>
          <w:szCs w:val="32"/>
          <w:lang w:bidi="ar"/>
        </w:rPr>
      </w:pPr>
    </w:p>
    <w:bookmarkEnd w:id="78"/>
    <w:p>
      <w:pPr>
        <w:pStyle w:val="144"/>
        <w:ind w:firstLine="640"/>
        <w:rPr>
          <w:rFonts w:ascii="仿宋_GB2312" w:hAnsi="仿宋_GB2312" w:eastAsia="仿宋_GB2312" w:cs="仿宋_GB2312"/>
        </w:rPr>
      </w:pPr>
      <w:bookmarkStart w:id="79" w:name="_Hlk118208840"/>
      <w:r>
        <w:rPr>
          <w:rFonts w:hint="eastAsia" w:ascii="仿宋_GB2312" w:hAnsi="仿宋_GB2312" w:eastAsia="仿宋_GB2312" w:cs="仿宋_GB2312"/>
        </w:rPr>
        <w:t>复合多廊的高速公路网</w:t>
      </w:r>
    </w:p>
    <w:bookmarkEnd w:id="79"/>
    <w:p>
      <w:pPr>
        <w:widowControl w:val="0"/>
        <w:spacing w:line="560" w:lineRule="exact"/>
        <w:ind w:firstLine="640"/>
        <w:jc w:val="both"/>
        <w:rPr>
          <w:rFonts w:ascii="仿宋_GB2312" w:hAnsi="仿宋_GB2312" w:eastAsia="仿宋_GB2312" w:cs="仿宋_GB2312"/>
          <w:sz w:val="32"/>
          <w:szCs w:val="32"/>
          <w:lang w:bidi="ar"/>
        </w:rPr>
      </w:pPr>
      <w:bookmarkStart w:id="80" w:name="_Hlk118208887"/>
      <w:r>
        <w:rPr>
          <w:rFonts w:hint="eastAsia" w:ascii="仿宋_GB2312" w:hAnsi="仿宋_GB2312" w:eastAsia="仿宋_GB2312" w:cs="仿宋_GB2312"/>
          <w:sz w:val="32"/>
          <w:szCs w:val="32"/>
          <w:lang w:bidi="ar"/>
        </w:rPr>
        <w:t>加快打造“五纵五横一环二联”高速公路网，规划总里程约1210公里，推动韶关未来构建5条高速公路大通道高效融入粤港澳大湾区，4条高速公路大通道辐射湖南，以及5条高速公路大通道辐射江西的新格局。</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积极推动韶关至连州高速建设，打通粵、桂、赣三省间的省际通道，填补粤北地区横向高速公路的空缺。加快建成信丰（省界）至南雄高速，适时开展韶关至江西（全南）高速、井雄全高速、里乐高速等远景展望高速公路前期研究工作，推进韶赣湘区域高速公路进一步加密成网，加快赣闽粤原中央苏区融入粤港澳大湾区发展的步伐，助力“湘赣+湾区”联动发展。积极推动南雄至乐昌高速开工建设，打通韶关北部三县南雄、仁化、乐昌之间快速联系通道，促进沿线旅游资源开发，支撑长征国家文化公园建设。积极推动韶关丹霞机场高速开展前期研究，建设韶关丹霞机场集疏运高速通道，拓展机场对外辐射范围，强化空港物流园区等沿线产业组团的联系。</w:t>
      </w:r>
    </w:p>
    <w:bookmarkEnd w:id="80"/>
    <w:p>
      <w:pPr>
        <w:pStyle w:val="144"/>
        <w:ind w:firstLine="640"/>
        <w:rPr>
          <w:rFonts w:ascii="仿宋_GB2312" w:hAnsi="仿宋_GB2312" w:eastAsia="仿宋_GB2312" w:cs="仿宋_GB2312"/>
        </w:rPr>
      </w:pPr>
      <w:bookmarkStart w:id="81" w:name="_Hlk118209149"/>
      <w:r>
        <w:rPr>
          <w:rFonts w:hint="eastAsia" w:ascii="仿宋_GB2312" w:hAnsi="仿宋_GB2312" w:eastAsia="仿宋_GB2312" w:cs="仿宋_GB2312"/>
        </w:rPr>
        <w:t>干支联动的干线航道网</w:t>
      </w:r>
    </w:p>
    <w:bookmarkEnd w:id="81"/>
    <w:p>
      <w:pPr>
        <w:widowControl w:val="0"/>
        <w:spacing w:line="560" w:lineRule="exact"/>
        <w:ind w:firstLine="640"/>
        <w:jc w:val="both"/>
        <w:rPr>
          <w:rFonts w:ascii="仿宋_GB2312" w:hAnsi="仿宋_GB2312" w:eastAsia="仿宋_GB2312" w:cs="仿宋_GB2312"/>
          <w:sz w:val="32"/>
          <w:szCs w:val="32"/>
          <w:lang w:bidi="ar"/>
        </w:rPr>
      </w:pPr>
      <w:bookmarkStart w:id="82" w:name="_Hlk118209185"/>
      <w:r>
        <w:rPr>
          <w:rFonts w:hint="eastAsia" w:ascii="仿宋_GB2312" w:hAnsi="仿宋_GB2312" w:eastAsia="仿宋_GB2312" w:cs="仿宋_GB2312"/>
          <w:sz w:val="32"/>
          <w:szCs w:val="32"/>
          <w:lang w:bidi="ar"/>
        </w:rPr>
        <w:t>以《广东省航道发展规划（2020-2035）年）》为指引，以保护航道资源、建设现代化航道、服务区域经济为宗旨，牢牢把握水上南北大通道赣粤运河战略机遇，切实做好韶关地区航道的规划、建设和养护管理工作，实现航道的合理有序开发，打造韶关北江、武江、浈江黄金水道，锦江等绿色航道发展新格局。规划至2035年内河航道总里程为822公里。适时推进重要干线零碳水上服务区建设，兼顾实现低能耗低污染、方便船民生活、促进航运生产，着力打造绿色、节能、低碳水上服务区，形成绿色港航新发展格局。</w:t>
      </w:r>
    </w:p>
    <w:bookmarkEnd w:id="82"/>
    <w:p>
      <w:pPr>
        <w:pStyle w:val="143"/>
        <w:ind w:firstLine="640"/>
      </w:pPr>
      <w:bookmarkStart w:id="83" w:name="_Hlk118209272"/>
      <w:bookmarkStart w:id="84" w:name="_Toc4461"/>
      <w:r>
        <w:rPr>
          <w:rFonts w:hint="eastAsia"/>
        </w:rPr>
        <w:t>“内通”畅顺的干线网</w:t>
      </w:r>
      <w:bookmarkEnd w:id="83"/>
      <w:bookmarkEnd w:id="84"/>
    </w:p>
    <w:p>
      <w:pPr>
        <w:pStyle w:val="144"/>
        <w:ind w:firstLine="640"/>
        <w:rPr>
          <w:rFonts w:ascii="仿宋_GB2312" w:hAnsi="仿宋_GB2312" w:eastAsia="仿宋_GB2312" w:cs="仿宋_GB2312"/>
        </w:rPr>
      </w:pPr>
      <w:bookmarkStart w:id="85" w:name="_Hlk118209363"/>
      <w:r>
        <w:rPr>
          <w:rFonts w:hint="eastAsia" w:ascii="仿宋_GB2312" w:hAnsi="仿宋_GB2312" w:eastAsia="仿宋_GB2312" w:cs="仿宋_GB2312"/>
        </w:rPr>
        <w:t>衔接顺畅的城市道路网</w:t>
      </w:r>
    </w:p>
    <w:bookmarkEnd w:id="85"/>
    <w:p>
      <w:pPr>
        <w:widowControl w:val="0"/>
        <w:snapToGrid w:val="0"/>
        <w:spacing w:line="560" w:lineRule="exact"/>
        <w:ind w:firstLine="640"/>
        <w:jc w:val="both"/>
        <w:rPr>
          <w:rFonts w:ascii="仿宋_GB2312" w:hAnsi="仿宋_GB2312" w:eastAsia="仿宋_GB2312" w:cs="仿宋_GB2312"/>
          <w:sz w:val="32"/>
          <w:szCs w:val="32"/>
          <w:lang w:bidi="ar"/>
        </w:rPr>
      </w:pPr>
      <w:bookmarkStart w:id="86" w:name="_Hlk118209391"/>
      <w:r>
        <w:rPr>
          <w:rFonts w:hint="eastAsia" w:ascii="仿宋_GB2312" w:hAnsi="仿宋_GB2312" w:eastAsia="仿宋_GB2312" w:cs="仿宋_GB2312"/>
          <w:sz w:val="32"/>
          <w:szCs w:val="32"/>
          <w:lang w:bidi="ar"/>
        </w:rPr>
        <w:t>依据韶关中心城区地形地貌、功能布局等特点,对外构建“双环+放射”的快速路网，加强中心城区对外的快速联系；城区内构筑“三横四纵”的城市骨干交通网络，加强新城中心、老城中心、曲江副中心以及各组团之间的快速联系，实现10分钟重要组团内部顺畅联系，30分钟中心城区内部便捷联系，45分钟市域各城镇间快速联系。</w:t>
      </w:r>
    </w:p>
    <w:bookmarkEnd w:id="86"/>
    <w:p>
      <w:pPr>
        <w:pStyle w:val="144"/>
        <w:ind w:firstLine="640"/>
        <w:rPr>
          <w:rFonts w:ascii="仿宋_GB2312" w:hAnsi="仿宋_GB2312" w:eastAsia="仿宋_GB2312" w:cs="仿宋_GB2312"/>
        </w:rPr>
      </w:pPr>
      <w:r>
        <w:rPr>
          <w:rFonts w:hint="eastAsia" w:ascii="仿宋_GB2312" w:hAnsi="仿宋_GB2312" w:eastAsia="仿宋_GB2312" w:cs="仿宋_GB2312"/>
        </w:rPr>
        <w:t>泛在均衡的干线公路网</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以国土空间规划和经济社会发展规划为指引，</w:t>
      </w:r>
      <w:bookmarkStart w:id="87" w:name="_Hlk110523539"/>
      <w:r>
        <w:rPr>
          <w:rFonts w:hint="eastAsia" w:ascii="仿宋_GB2312" w:hAnsi="仿宋_GB2312" w:eastAsia="仿宋_GB2312" w:cs="仿宋_GB2312"/>
          <w:sz w:val="32"/>
          <w:szCs w:val="32"/>
          <w:lang w:bidi="ar"/>
        </w:rPr>
        <w:t>以促进城镇空间结构优化发展为根本目标，以优化组团间联系为核心任务，综合考虑韶关各县（市、区）行政单元空间分布特征，通过对国道、省道和重要干线进行增量调整和存量升级，疏通干线公路的“瓶颈路段”，打通毗邻市、毗邻县、组团与组团、毗邻镇之间的“断头路”，</w:t>
      </w:r>
      <w:bookmarkEnd w:id="87"/>
      <w:bookmarkStart w:id="88" w:name="_Hlk110523484"/>
      <w:r>
        <w:rPr>
          <w:rFonts w:hint="eastAsia" w:ascii="仿宋_GB2312" w:hAnsi="仿宋_GB2312" w:eastAsia="仿宋_GB2312" w:cs="仿宋_GB2312"/>
          <w:sz w:val="32"/>
          <w:szCs w:val="32"/>
          <w:lang w:bidi="ar"/>
        </w:rPr>
        <w:t>规划韶关普通干线公路总体形成“一环八射二联”的主骨架网络为主，未纳入主骨架的国道、省道以及部分县道组成的集散层为辅的布局形态，其中普通干线公路主骨架总里程1383.2公里，重复里程290.4公里。</w:t>
      </w:r>
      <w:bookmarkEnd w:id="88"/>
    </w:p>
    <w:p>
      <w:pPr>
        <w:pStyle w:val="144"/>
        <w:ind w:firstLine="640"/>
        <w:rPr>
          <w:rFonts w:ascii="仿宋_GB2312" w:hAnsi="仿宋_GB2312" w:eastAsia="仿宋_GB2312" w:cs="仿宋_GB2312"/>
        </w:rPr>
      </w:pPr>
      <w:r>
        <w:rPr>
          <w:rFonts w:hint="eastAsia" w:ascii="仿宋_GB2312" w:hAnsi="仿宋_GB2312" w:eastAsia="仿宋_GB2312" w:cs="仿宋_GB2312"/>
        </w:rPr>
        <w:t>融合并举的普速铁路网</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bCs/>
          <w:sz w:val="32"/>
          <w:szCs w:val="32"/>
          <w:lang w:bidi="ar"/>
        </w:rPr>
        <w:t>强化普速铁路货运功能</w:t>
      </w:r>
      <w:r>
        <w:rPr>
          <w:rFonts w:hint="eastAsia" w:ascii="仿宋_GB2312" w:hAnsi="仿宋_GB2312" w:eastAsia="仿宋_GB2312" w:cs="仿宋_GB2312"/>
          <w:sz w:val="32"/>
          <w:szCs w:val="32"/>
          <w:lang w:bidi="ar"/>
        </w:rPr>
        <w:t>，提升韶关地区性铁路枢纽地位。加快推动赣韶铁路扩能升级，释放普速铁路货运功能，提高通行能力，强化珠三角、北部湾地区与长三角、海西地区之间的联系；积极推动韶柳铁路韶关段前期研究工作，打通横贯福建、江西、广东、广西、贵州的东西铁路大动脉，大大改善粤北和桂北民族地区区位条件和交通条件；加快推动韶龙铁路韶关段前期研究工作，构建粤北与粤东地区的便捷联系通道，为韶关南部融湾先行发展区产业合理布局提供重要支撑。</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bCs/>
          <w:sz w:val="32"/>
          <w:szCs w:val="32"/>
          <w:lang w:bidi="ar"/>
        </w:rPr>
        <w:t>拓展支线铁路服务覆盖范围，</w:t>
      </w:r>
      <w:r>
        <w:rPr>
          <w:rFonts w:hint="eastAsia" w:ascii="仿宋_GB2312" w:hAnsi="仿宋_GB2312" w:eastAsia="仿宋_GB2312" w:cs="仿宋_GB2312"/>
          <w:sz w:val="32"/>
          <w:szCs w:val="32"/>
          <w:lang w:bidi="ar"/>
        </w:rPr>
        <w:t>重点完善韶关北江港区集疏港铁路网，加快推进白土港铁路专用线、乌石港铁路专用线等项目建设，实现铁水联运，夯实韶关港作为广东内河地区性重要港口地位，提升运输体系效率、助推产业转型升级。到2035年，韶关基本建成“四干二支”干支相依普速铁路网，总里程约572.65公里。</w:t>
      </w:r>
    </w:p>
    <w:p>
      <w:pPr>
        <w:pStyle w:val="143"/>
        <w:ind w:firstLine="640"/>
      </w:pPr>
      <w:bookmarkStart w:id="89" w:name="_Toc18470"/>
      <w:r>
        <w:rPr>
          <w:rFonts w:hint="eastAsia"/>
        </w:rPr>
        <w:t>“广泛”畅达的基础网</w:t>
      </w:r>
      <w:bookmarkEnd w:id="89"/>
    </w:p>
    <w:p>
      <w:pPr>
        <w:pStyle w:val="144"/>
        <w:ind w:firstLine="640"/>
        <w:rPr>
          <w:rFonts w:ascii="仿宋_GB2312" w:hAnsi="仿宋_GB2312" w:eastAsia="仿宋_GB2312" w:cs="仿宋_GB2312"/>
        </w:rPr>
      </w:pPr>
      <w:r>
        <w:rPr>
          <w:rFonts w:hint="eastAsia" w:ascii="仿宋_GB2312" w:hAnsi="仿宋_GB2312" w:eastAsia="仿宋_GB2312" w:cs="仿宋_GB2312"/>
        </w:rPr>
        <w:t>密织惠民的农村公路网</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构建高品质农村公路网络。到2035年，形成“规模结构合理、设施品质优良、治理规范有效、运输服务优质”的农村公路交通运输体系，农村公路网络化水平显著提高，农业园区及3A级旅游景区通二级或以上等级道路，镇到镇(乡)、连接高速公路的农村公路三级及以上等级公路比例达100%， 衔接国省道的农村公路四级(双车道)及以上等级公路比例达100%，建制村通村公路、产业路双车道比例达到100%。到2050年，全面建成与农业农村现代化发展相适应、与生态环境和乡村文化相协调、与现代信息通信技术相融合、安全便捷绿色美丽的农村公路交通运输体系，农村交通更加安全便捷、智能高效、绿色低碳，充分满足广大群众对美好出行的需求，保障乡村全面振兴。</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打造乡村振兴精品路线，以精品路线统筹农村经济、资源、产业、旅游，改善农村地区景点景区、产业园区和特色农业基地等对外交通条件，补齐农业农村发展短板，推动乡村产业向高质量转型，使广大群众也享有更多获得感、幸福感、安全感。紧密围绕韶关产业转型升级示范区、一大批国家级与省级现代农业产业园规划建设，重点谋划一批产业致富路，解决产业园区对外通道需求，形成“一路通、百业兴”发展景象。紧密结合韶关旅游资源禀赋，融路入景，重点加强广东南岭国家公园内部和对外交通联系，打通粤北生态发展区旅游景点</w:t>
      </w:r>
      <w:r>
        <w:rPr>
          <w:rFonts w:hint="eastAsia" w:ascii="仿宋_GB2312" w:hAnsi="仿宋_GB2312" w:eastAsia="仿宋_GB2312" w:cs="仿宋_GB2312"/>
          <w:sz w:val="32"/>
          <w:szCs w:val="32"/>
          <w:lang w:eastAsia="zh-CN" w:bidi="ar"/>
        </w:rPr>
        <w:t>“</w:t>
      </w:r>
      <w:r>
        <w:rPr>
          <w:rFonts w:hint="eastAsia" w:ascii="仿宋_GB2312" w:hAnsi="仿宋_GB2312" w:eastAsia="仿宋_GB2312" w:cs="仿宋_GB2312"/>
          <w:sz w:val="32"/>
          <w:szCs w:val="32"/>
          <w:lang w:bidi="ar"/>
        </w:rPr>
        <w:t>最后一公里</w:t>
      </w:r>
      <w:r>
        <w:rPr>
          <w:rFonts w:hint="eastAsia" w:ascii="仿宋_GB2312" w:hAnsi="仿宋_GB2312" w:eastAsia="仿宋_GB2312" w:cs="仿宋_GB2312"/>
          <w:sz w:val="32"/>
          <w:szCs w:val="32"/>
          <w:lang w:eastAsia="zh-CN" w:bidi="ar"/>
        </w:rPr>
        <w:t>”</w:t>
      </w:r>
      <w:bookmarkStart w:id="167" w:name="_GoBack"/>
      <w:bookmarkEnd w:id="167"/>
      <w:r>
        <w:rPr>
          <w:rFonts w:hint="eastAsia" w:ascii="仿宋_GB2312" w:hAnsi="仿宋_GB2312" w:eastAsia="仿宋_GB2312" w:cs="仿宋_GB2312"/>
          <w:sz w:val="32"/>
          <w:szCs w:val="32"/>
          <w:lang w:bidi="ar"/>
        </w:rPr>
        <w:t>；创建一批乡村振兴精品示范农村公路，加快打造“一路一风景”、“一村一幅画”美丽画卷。</w:t>
      </w:r>
    </w:p>
    <w:p>
      <w:pPr>
        <w:pStyle w:val="144"/>
        <w:ind w:firstLine="640"/>
        <w:rPr>
          <w:rFonts w:ascii="仿宋_GB2312" w:hAnsi="仿宋_GB2312" w:eastAsia="仿宋_GB2312" w:cs="仿宋_GB2312"/>
        </w:rPr>
      </w:pPr>
      <w:r>
        <w:rPr>
          <w:rFonts w:hint="eastAsia" w:ascii="仿宋_GB2312" w:hAnsi="仿宋_GB2312" w:eastAsia="仿宋_GB2312" w:cs="仿宋_GB2312"/>
        </w:rPr>
        <w:t>便捷普适的邮政快递网</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加强邮政快递枢纽节点建设，夯实国家二级快递物流园区节点城市基础。加强邮政快递基础设施与高速公路、铁路、航空等交通设施以及与工业园区、农业产业园、商贸集散地的统筹布局。依托韶关丹霞机场空港国际物流园，吸引国内外知名快递企业进驻，发展高端航空快递物流服务；依托韶关站、乐昌东站等综合枢纽建设高铁快件集散中心，实现快件“上机”、“上车”。依托集散性货运枢纽（物流园），预留操作场站、安全检查等邮政快递处理设施用地，建设一批县级邮政快递分拨中心，打造中心城区邮政普遍服务和快递网点覆盖十五分钟生活圈。完善末端物流配送节点，提高各县区服务设施覆盖密度，鼓励中心商圈、步行街、商业街等建设公共仓配中心；争取实现符合条件的建制村每村至少设置一个村级寄递物流综合服务站，实现镇镇有网点，村村通快递。城乡末端网点加强智能快件箱等设施布局，有条件地区积极推广无人机、无人车等无人配送形式。</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建设普惠城乡、衔接高效的邮政快递网络。构建覆盖城乡、配套衔接、布局合理、便民惠民的邮政、快递骨干网和末端投递网，对外依托航空、铁路、高速公路构建面向全国、国际的干线寄递通道；对内依托国省干线、城市道路、农村公路网，加强交邮融合，加快建设县、乡（镇）、村三级农村物流体系，不断完善面向社区、村组的寄递服务体系。健全农村物流网络，打通快递下乡进村“最后一公里”，充分利用农村和社区综合服务站、邮政网点、村邮站、供销社等公共服务平台及企业自办等资源建立“快递下乡”专线，使快递服务网络有序向农村地区延伸。</w:t>
      </w:r>
    </w:p>
    <w:p>
      <w:pPr>
        <w:pStyle w:val="144"/>
        <w:ind w:firstLine="640"/>
        <w:rPr>
          <w:rFonts w:ascii="仿宋_GB2312" w:hAnsi="仿宋_GB2312" w:eastAsia="仿宋_GB2312" w:cs="仿宋_GB2312"/>
          <w:lang w:val="en-US"/>
        </w:rPr>
      </w:pPr>
      <w:r>
        <w:rPr>
          <w:rFonts w:hint="eastAsia" w:ascii="仿宋_GB2312" w:hAnsi="仿宋_GB2312" w:eastAsia="仿宋_GB2312" w:cs="仿宋_GB2312"/>
        </w:rPr>
        <w:t>能力充裕的天然气管网</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以韶关市天然气需求分布为导向，结合广东省天然气输配网络，加快市域天然气管道规划布局。规划建设乐昌天然气支干线(乐昌支线及坪石镇支线)、乳源支干线(韶关-乳源项目)、仁化支线、始兴支线、南雄支线、曲江支线、翁源支线、新丰专线等8条“县县通”管道，提升资源保障能力，实现韶关市天然气主干管网“县县通”。远期在全市“县县通”的基础上，推进天然气管道“镇镇通”、“村村通”。推进市域各县区、开发区、高新区、主要工业园区及重点企业等支线管道建设，实现天然气支线全覆盖。</w:t>
      </w:r>
      <w:bookmarkStart w:id="90" w:name="_Toc12987"/>
    </w:p>
    <w:p>
      <w:pPr>
        <w:pStyle w:val="143"/>
        <w:ind w:firstLine="640" w:firstLineChars="200"/>
      </w:pPr>
      <w:r>
        <w:rPr>
          <w:rFonts w:hint="eastAsia"/>
        </w:rPr>
        <w:t>“特色”畅享的交旅网</w:t>
      </w:r>
      <w:bookmarkEnd w:id="90"/>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韶关旅游交通网，要构建“快进慢游”全域旅游交通体系，打造特色旅游公路网、绿色航道网两张特色旅游交通网，提升旅游设施服务水平、景观环保水平、旅游信息服务水平等三项水平，重振韶关旅游风采，支撑韶关旅游产业在规模、质量、效益达到国内领先水平，打造国内知名旅游目的地。</w:t>
      </w:r>
    </w:p>
    <w:p>
      <w:pPr>
        <w:pStyle w:val="144"/>
        <w:ind w:firstLine="640"/>
        <w:rPr>
          <w:rFonts w:ascii="仿宋_GB2312" w:hAnsi="仿宋_GB2312" w:eastAsia="仿宋_GB2312" w:cs="仿宋_GB2312"/>
        </w:rPr>
      </w:pPr>
      <w:bookmarkStart w:id="91" w:name="_Hlk106802038"/>
      <w:bookmarkStart w:id="92" w:name="_Hlk110613706"/>
      <w:r>
        <w:rPr>
          <w:rFonts w:hint="eastAsia" w:ascii="仿宋_GB2312" w:hAnsi="仿宋_GB2312" w:eastAsia="仿宋_GB2312" w:cs="仿宋_GB2312"/>
        </w:rPr>
        <w:t>锦绣韶关的全域交旅网</w:t>
      </w:r>
    </w:p>
    <w:bookmarkEnd w:id="91"/>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依托韶关丹霞机场、高铁、高速公路等构建贯穿全市的“快进”综合交通主骨架，重点规划厦昆高铁、韶贺高速韶关段、丹霞机场高速等，提升韶关市主要旅游景点的通达性和便捷性，实现游客远距离快速进出目的地。依托国省道、县乡道、景区直达道路、旅游公路、通用航空、水运等，构建与沿线旅游景点、旅游特色村紧密结合的多方式多层次“慢游”支线网络，重点推进连通丹霞山、南华寺、南岭、珠玑古巷等重点景区的旅游公路建设，实现韶关城区通往丹霞山、南华寺道路达到一级公路标准，县城通往4A级旅游景区道路达到二级公路标准，县城通往其他重要旅游景区道路达到三级以上公路标准。</w:t>
      </w:r>
    </w:p>
    <w:bookmarkEnd w:id="92"/>
    <w:p>
      <w:pPr>
        <w:pStyle w:val="144"/>
        <w:ind w:firstLine="640"/>
        <w:rPr>
          <w:rFonts w:ascii="仿宋_GB2312" w:hAnsi="仿宋_GB2312" w:eastAsia="仿宋_GB2312" w:cs="仿宋_GB2312"/>
        </w:rPr>
      </w:pPr>
      <w:r>
        <w:rPr>
          <w:rFonts w:hint="eastAsia" w:ascii="仿宋_GB2312" w:hAnsi="仿宋_GB2312" w:eastAsia="仿宋_GB2312" w:cs="仿宋_GB2312"/>
        </w:rPr>
        <w:t>线性画廊的旅游公路网</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bCs/>
          <w:sz w:val="32"/>
          <w:szCs w:val="32"/>
          <w:lang w:bidi="ar"/>
        </w:rPr>
        <w:t>加快建设</w:t>
      </w:r>
      <w:bookmarkStart w:id="93" w:name="_Hlk110614479"/>
      <w:r>
        <w:rPr>
          <w:rFonts w:hint="eastAsia" w:ascii="仿宋_GB2312" w:hAnsi="仿宋_GB2312" w:eastAsia="仿宋_GB2312" w:cs="仿宋_GB2312"/>
          <w:bCs/>
          <w:sz w:val="32"/>
          <w:szCs w:val="32"/>
          <w:lang w:bidi="ar"/>
        </w:rPr>
        <w:t>广东南岭生态旅游公路</w:t>
      </w:r>
      <w:bookmarkEnd w:id="93"/>
      <w:r>
        <w:rPr>
          <w:rFonts w:hint="eastAsia" w:ascii="仿宋_GB2312" w:hAnsi="仿宋_GB2312" w:eastAsia="仿宋_GB2312" w:cs="仿宋_GB2312"/>
          <w:bCs/>
          <w:sz w:val="32"/>
          <w:szCs w:val="32"/>
          <w:lang w:bidi="ar"/>
        </w:rPr>
        <w:t>。</w:t>
      </w:r>
      <w:r>
        <w:rPr>
          <w:rFonts w:hint="eastAsia" w:ascii="仿宋_GB2312" w:hAnsi="仿宋_GB2312" w:eastAsia="仿宋_GB2312" w:cs="仿宋_GB2312"/>
          <w:sz w:val="32"/>
          <w:szCs w:val="32"/>
          <w:lang w:bidi="ar"/>
        </w:rPr>
        <w:t>广东南岭生态旅游公路践行“绿水青山就是金山银山”发展理念，展现南岭最具特色的生态、旅游和人文景观，通过纵向段落理念策划和统一特色化设计，打造最具南岭风情的复合型旅游生态廊道和服务粤港澳大湾区的旅游休闲区，把粤北生态发展区的生态优势转为发展优势，促进区域协调发展和乡村振兴，使其成为南岭旅游振兴、生态保护、文化复兴、脱贫致富、民族发展之路，成为落实“百县千镇万村”发展战略的重要抓手、地方政府拉动经济发展的重要引擎和广东公路高质量发展的重要载体。</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bCs/>
          <w:sz w:val="32"/>
          <w:szCs w:val="32"/>
          <w:lang w:bidi="ar"/>
        </w:rPr>
        <w:t>加快打造广东红军长征路。</w:t>
      </w:r>
      <w:r>
        <w:rPr>
          <w:rFonts w:hint="eastAsia" w:ascii="仿宋_GB2312" w:hAnsi="仿宋_GB2312" w:eastAsia="仿宋_GB2312" w:cs="仿宋_GB2312"/>
          <w:sz w:val="32"/>
          <w:szCs w:val="32"/>
          <w:lang w:bidi="ar"/>
        </w:rPr>
        <w:t>遵循红军长征在韶关的行军路线，依托红军长征线路提升改造等工程，串联起红军长征途经乡镇，整合发生在长征路上的重要历史事件和文化记忆，并统筹周边历史文化、自然生态、文旅游憩等优质资源以及广东绿道、南粵古驿道、广东万里碧道等游径，打造一条</w:t>
      </w:r>
      <w:bookmarkStart w:id="94" w:name="_Hlk107216914"/>
      <w:r>
        <w:rPr>
          <w:rFonts w:hint="eastAsia" w:ascii="仿宋_GB2312" w:hAnsi="仿宋_GB2312" w:eastAsia="仿宋_GB2312" w:cs="仿宋_GB2312"/>
          <w:sz w:val="32"/>
          <w:szCs w:val="32"/>
          <w:lang w:bidi="ar"/>
        </w:rPr>
        <w:t>长征国家文化公园</w:t>
      </w:r>
      <w:bookmarkEnd w:id="94"/>
      <w:r>
        <w:rPr>
          <w:rFonts w:hint="eastAsia" w:ascii="仿宋_GB2312" w:hAnsi="仿宋_GB2312" w:eastAsia="仿宋_GB2312" w:cs="仿宋_GB2312"/>
          <w:sz w:val="32"/>
          <w:szCs w:val="32"/>
          <w:lang w:bidi="ar"/>
        </w:rPr>
        <w:t>(广东段)的历史文化主轴，将“红军长征路”落实为“全程贯通、可游可览”的实体游径，实现长征沿线资源要素点带汇聚、有机组合，全方位展现红军长征粤北突围的光辉历史，弘扬伟大的长征精神，为粤北地区文化与旅游业高质量发展注入新动能。</w:t>
      </w:r>
    </w:p>
    <w:p>
      <w:pPr>
        <w:pStyle w:val="144"/>
        <w:ind w:firstLine="640"/>
        <w:rPr>
          <w:rFonts w:ascii="仿宋_GB2312" w:hAnsi="仿宋_GB2312" w:eastAsia="仿宋_GB2312" w:cs="仿宋_GB2312"/>
        </w:rPr>
      </w:pPr>
      <w:r>
        <w:rPr>
          <w:rFonts w:hint="eastAsia" w:ascii="仿宋_GB2312" w:hAnsi="仿宋_GB2312" w:eastAsia="仿宋_GB2312" w:cs="仿宋_GB2312"/>
        </w:rPr>
        <w:t>水韵丹霞的旅游航道网</w:t>
      </w:r>
    </w:p>
    <w:p>
      <w:pPr>
        <w:widowControl w:val="0"/>
        <w:snapToGrid w:val="0"/>
        <w:spacing w:line="560" w:lineRule="exact"/>
        <w:ind w:firstLine="640"/>
        <w:jc w:val="both"/>
        <w:rPr>
          <w:rFonts w:ascii="仿宋" w:hAnsi="仿宋"/>
          <w:sz w:val="32"/>
          <w:szCs w:val="32"/>
          <w:lang w:bidi="ar"/>
        </w:rPr>
      </w:pPr>
      <w:bookmarkStart w:id="95" w:name="_Hlk113550296"/>
      <w:r>
        <w:rPr>
          <w:rFonts w:hint="eastAsia" w:ascii="仿宋_GB2312" w:hAnsi="仿宋_GB2312" w:eastAsia="仿宋_GB2312" w:cs="仿宋_GB2312"/>
          <w:sz w:val="32"/>
          <w:szCs w:val="32"/>
          <w:lang w:bidi="ar"/>
        </w:rPr>
        <w:t>围绕高标准打造丹霞山沿江旅游风光带目标，加快推进锦江绿色航道和武江乐昌峡绿色航道项目建设。重点建设节能低碳、资源节约、生态环保、航景融合、安全畅通、智慧建养的绿色航道，主要服务丹霞山旅游风景区水上旅游和韶关市区游览观光等，促进韶关市全域旅游发展。</w:t>
      </w:r>
    </w:p>
    <w:bookmarkEnd w:id="95"/>
    <w:p>
      <w:pPr>
        <w:widowControl w:val="0"/>
        <w:adjustRightInd w:val="0"/>
        <w:snapToGrid w:val="0"/>
        <w:spacing w:before="381" w:beforeLines="100" w:line="360" w:lineRule="auto"/>
        <w:ind w:firstLine="0" w:firstLineChars="0"/>
        <w:jc w:val="both"/>
        <w:outlineLvl w:val="0"/>
        <w:rPr>
          <w:rFonts w:ascii="黑体" w:hAnsi="黑体" w:eastAsia="黑体" w:cs="华文中宋"/>
          <w:bCs/>
          <w:sz w:val="36"/>
          <w:szCs w:val="30"/>
          <w:lang w:val="zh-CN"/>
        </w:rPr>
        <w:sectPr>
          <w:pgSz w:w="11906" w:h="16838"/>
          <w:pgMar w:top="1440" w:right="1797" w:bottom="1440" w:left="1797" w:header="851" w:footer="851" w:gutter="0"/>
          <w:pgNumType w:fmt="numberInDash"/>
          <w:cols w:space="720" w:num="1"/>
          <w:docGrid w:type="lines" w:linePitch="381" w:charSpace="0"/>
        </w:sectPr>
      </w:pPr>
      <w:bookmarkStart w:id="96" w:name="_Toc77779080"/>
      <w:bookmarkEnd w:id="96"/>
      <w:bookmarkStart w:id="97" w:name="_Toc77779548"/>
      <w:bookmarkEnd w:id="97"/>
      <w:bookmarkStart w:id="98" w:name="_Toc77779549"/>
      <w:bookmarkEnd w:id="98"/>
      <w:bookmarkStart w:id="99" w:name="_Toc77779081"/>
      <w:bookmarkEnd w:id="99"/>
      <w:bookmarkStart w:id="100" w:name="_Toc77779551"/>
    </w:p>
    <w:p>
      <w:pPr>
        <w:pStyle w:val="2"/>
        <w:spacing w:after="381"/>
        <w:rPr>
          <w:lang w:val="zh-CN"/>
        </w:rPr>
      </w:pPr>
      <w:bookmarkStart w:id="101" w:name="_Toc27441"/>
      <w:r>
        <w:rPr>
          <w:rFonts w:hint="eastAsia"/>
          <w:lang w:val="zh-CN"/>
        </w:rPr>
        <w:t>高效便捷的综合交通枢纽</w:t>
      </w:r>
      <w:bookmarkEnd w:id="100"/>
      <w:bookmarkEnd w:id="101"/>
    </w:p>
    <w:p>
      <w:pPr>
        <w:pStyle w:val="143"/>
        <w:ind w:firstLine="640"/>
      </w:pPr>
      <w:bookmarkStart w:id="102" w:name="_Toc11231"/>
      <w:r>
        <w:rPr>
          <w:rFonts w:hint="eastAsia"/>
        </w:rPr>
        <w:t>功能</w:t>
      </w:r>
      <w:r>
        <w:t>明确的</w:t>
      </w:r>
      <w:r>
        <w:rPr>
          <w:rFonts w:hint="eastAsia"/>
        </w:rPr>
        <w:t>内</w:t>
      </w:r>
      <w:r>
        <w:t>河</w:t>
      </w:r>
      <w:r>
        <w:rPr>
          <w:rFonts w:hint="eastAsia"/>
        </w:rPr>
        <w:t>港口枢纽</w:t>
      </w:r>
      <w:bookmarkEnd w:id="102"/>
    </w:p>
    <w:p>
      <w:pPr>
        <w:pStyle w:val="144"/>
        <w:ind w:firstLine="640"/>
        <w:rPr>
          <w:rFonts w:ascii="仿宋_GB2312" w:hAnsi="仿宋_GB2312" w:eastAsia="仿宋_GB2312" w:cs="仿宋_GB2312"/>
        </w:rPr>
      </w:pPr>
      <w:r>
        <w:rPr>
          <w:rFonts w:hint="eastAsia" w:ascii="仿宋_GB2312" w:hAnsi="仿宋_GB2312" w:eastAsia="仿宋_GB2312" w:cs="仿宋_GB2312"/>
        </w:rPr>
        <w:t>韶关港口枢纽功能</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韶关港是广东省内河地区性重要港口和区域综合运输体系的重要组成部分，是粤北、湘南、赣南地区水陆物资转运枢纽，是粤北及周边地区融入粤港澳大湾区和一带一路的重要口岸，是临港产业发展的重要依托，是促进交旅融合发展的重要平台。韶关港将发展成为以能源、原材料等大宗货物运输为主，兼顾集装箱和旅游客运的多功能综合性港口。韶关港的主要功能包括装卸存储、中转和多式联运服务、信息服务、口岸服务、临港产业服务、旅游客运等。</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韶关港将形成以北江港区为核心，以浈江和武江港区为补充的布局合理、功能完善的“一港三区、11个作业区和若干旅游码头”的总体布局。</w:t>
      </w:r>
    </w:p>
    <w:p>
      <w:pPr>
        <w:pStyle w:val="144"/>
        <w:ind w:firstLine="640"/>
        <w:rPr>
          <w:rFonts w:ascii="仿宋_GB2312" w:hAnsi="仿宋_GB2312" w:eastAsia="仿宋_GB2312" w:cs="仿宋_GB2312"/>
        </w:rPr>
      </w:pPr>
      <w:r>
        <w:rPr>
          <w:rFonts w:hint="eastAsia" w:ascii="仿宋_GB2312" w:hAnsi="仿宋_GB2312" w:eastAsia="仿宋_GB2312" w:cs="仿宋_GB2312"/>
        </w:rPr>
        <w:t>优化港口岸线利用</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根据韶关市岸线的自然资源特点和开发利用现状，遵循适应性、协调性、可持续发展、生态绿色等港口岸线规划原则，并充分考虑腹地经济社会发展和综合交通运输体系发展对港口的要求。本次规划利用自然岸线总长度为17.7公里，其中，港口岸线16.4公里，支持系统岸线1.3公里。</w:t>
      </w:r>
    </w:p>
    <w:p>
      <w:pPr>
        <w:pStyle w:val="144"/>
        <w:ind w:firstLine="640"/>
        <w:rPr>
          <w:rFonts w:ascii="仿宋_GB2312" w:hAnsi="仿宋_GB2312" w:eastAsia="仿宋_GB2312" w:cs="仿宋_GB2312"/>
        </w:rPr>
      </w:pPr>
      <w:r>
        <w:rPr>
          <w:rFonts w:hint="eastAsia" w:ascii="仿宋_GB2312" w:hAnsi="仿宋_GB2312" w:eastAsia="仿宋_GB2312" w:cs="仿宋_GB2312"/>
        </w:rPr>
        <w:t>完善港口集疏运体系</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港口集疏运体系规划以《韶关港总体规划（修订）》中提出的集疏运体系规划为重要依据，并与综合交通运输网络规划相协调，建立以公路、铁路主要运输方式的集疏运体系。以加快多式联运发展、加快现代物流发展为导向，以提升港口综合竞争力和港产城协调联动能力为指引，提升韶关港集疏运能力和服务水平。规划对外形成以韶关港为中心的五向放射型对外集疏运网络，包括韶关港-湖南（郴州）方向集疏运通道、韶关港-湖南（衡阳）方向集疏运通道、韶关港-广东（清远、广州）方向的集疏运通道、韶关港-广西（贺州）方向集疏运通道、韶关港-江西（赣州）方向集疏运通道。各港区集疏运干线主要通过完善各作业区与高速公路、国省道以及重要经济节点、交通节点之间的连接线。</w:t>
      </w:r>
    </w:p>
    <w:p>
      <w:pPr>
        <w:pStyle w:val="143"/>
        <w:ind w:firstLine="640"/>
      </w:pPr>
      <w:bookmarkStart w:id="103" w:name="_Toc29586"/>
      <w:r>
        <w:rPr>
          <w:rFonts w:hint="eastAsia"/>
        </w:rPr>
        <w:t>布</w:t>
      </w:r>
      <w:r>
        <w:t>局合理的</w:t>
      </w:r>
      <w:r>
        <w:rPr>
          <w:rFonts w:hint="eastAsia"/>
        </w:rPr>
        <w:t>民航运输枢纽</w:t>
      </w:r>
      <w:bookmarkEnd w:id="103"/>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韶关民航机场规划总体形成</w:t>
      </w:r>
      <w:bookmarkStart w:id="104" w:name="_Hlk104209369"/>
      <w:r>
        <w:rPr>
          <w:rFonts w:hint="eastAsia" w:ascii="仿宋_GB2312" w:hAnsi="仿宋_GB2312" w:eastAsia="仿宋_GB2312" w:cs="仿宋_GB2312"/>
          <w:sz w:val="32"/>
          <w:szCs w:val="32"/>
          <w:lang w:bidi="ar"/>
        </w:rPr>
        <w:t>“1+3”的布局形态</w:t>
      </w:r>
      <w:bookmarkEnd w:id="104"/>
      <w:r>
        <w:rPr>
          <w:rFonts w:hint="eastAsia" w:ascii="仿宋_GB2312" w:hAnsi="仿宋_GB2312" w:eastAsia="仿宋_GB2312" w:cs="仿宋_GB2312"/>
          <w:sz w:val="32"/>
          <w:szCs w:val="32"/>
          <w:lang w:bidi="ar"/>
        </w:rPr>
        <w:t>，其中“1”是指韶关丹霞机场；“3”指南雄通用机场、乐昌通用机场和翁源通用机场等3个通用机场。</w:t>
      </w:r>
    </w:p>
    <w:p>
      <w:pPr>
        <w:pStyle w:val="144"/>
        <w:ind w:firstLine="640"/>
        <w:rPr>
          <w:rFonts w:ascii="仿宋_GB2312" w:hAnsi="仿宋_GB2312" w:eastAsia="仿宋_GB2312" w:cs="仿宋_GB2312"/>
        </w:rPr>
      </w:pPr>
      <w:r>
        <w:rPr>
          <w:rFonts w:hint="eastAsia" w:ascii="仿宋_GB2312" w:hAnsi="仿宋_GB2312" w:eastAsia="仿宋_GB2312" w:cs="仿宋_GB2312"/>
        </w:rPr>
        <w:t>韶关丹霞机场枢纽功能</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韶关丹霞机场作为全省“3+4+8”民用运输机场布局中的重要支线机场之一，是推动粤北地区经济高质量发展和服务广东北部生态发展区的“引擎”，目前已开通运营。按照“飞起来、好起来、优起来”三步走长远发展战略，规划近期以发展民航客货运输为主，兼顾发展通用航空，积极开通国内热门旅游城市航线，逐步构建完善的国内航空运输网络。加快完善丹霞机场货运服务设施，发挥航空货运优势，继续推进军民合用业务发展。远期围绕打造华南地区和广东省重要的旅游目的地支线机场，构建以韶关丹霞机场为核心的综合交通运输体系和航空经济园区，以机场带动航空人流、物流、旅游等产业发展，承接广州大型国际枢纽的功能疏解和备降机场功能及白云国际机场客货分流。</w:t>
      </w:r>
    </w:p>
    <w:p>
      <w:pPr>
        <w:pStyle w:val="144"/>
        <w:ind w:firstLine="640"/>
        <w:rPr>
          <w:rFonts w:ascii="仿宋_GB2312" w:hAnsi="仿宋_GB2312" w:eastAsia="仿宋_GB2312" w:cs="仿宋_GB2312"/>
        </w:rPr>
      </w:pPr>
      <w:r>
        <w:rPr>
          <w:rFonts w:hint="eastAsia" w:ascii="仿宋_GB2312" w:hAnsi="仿宋_GB2312" w:eastAsia="仿宋_GB2312" w:cs="仿宋_GB2312"/>
        </w:rPr>
        <w:t>积极推进通用机场建设</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围绕建设国家生态文明先行示范区，完善韶关市通用航空机场布局，满足工业巡线、森林航空护林、应急救援、航空旅游、短途运输等通航飞行要求，构建粤北山区通用航空生态综合服务网络。近期重点先行推动南雄通用机场建设，主要承担短途高端商务出行、旅游、农药喷洒、紧急救援以及航空教练培训等功能。远期规划陆续建成乐昌通用机场和翁源通用机场。支持具备条件的医院、学校、林区、景区、交通枢纽、高层建筑等建设直升机起降点。</w:t>
      </w:r>
    </w:p>
    <w:p>
      <w:pPr>
        <w:pStyle w:val="144"/>
        <w:ind w:firstLine="640"/>
        <w:rPr>
          <w:rFonts w:ascii="仿宋_GB2312" w:hAnsi="仿宋_GB2312" w:eastAsia="仿宋_GB2312" w:cs="仿宋_GB2312"/>
        </w:rPr>
      </w:pPr>
      <w:r>
        <w:rPr>
          <w:rFonts w:hint="eastAsia" w:ascii="仿宋_GB2312" w:hAnsi="仿宋_GB2312" w:eastAsia="仿宋_GB2312" w:cs="仿宋_GB2312"/>
        </w:rPr>
        <w:t>完善机场集疏运体系</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规划韶关至清远城际轨道与机场衔接，在韶关丹霞机场设城际轨道站，实现韶关中心城区与机场的高效衔接。规划“两横四纵”高快速干线公路集疏运格局，规划新增丹霞机场高速，机场大道，加快推进省道S246升级改造，提升韶关中心城区以及其他区县至机场的通达能力。</w:t>
      </w:r>
    </w:p>
    <w:p>
      <w:pPr>
        <w:pStyle w:val="143"/>
        <w:ind w:firstLine="640"/>
      </w:pPr>
      <w:bookmarkStart w:id="105" w:name="_Toc26484"/>
      <w:bookmarkStart w:id="106" w:name="_Hlk105423246"/>
      <w:r>
        <w:rPr>
          <w:rFonts w:hint="eastAsia"/>
        </w:rPr>
        <w:t>层</w:t>
      </w:r>
      <w:r>
        <w:t>级</w:t>
      </w:r>
      <w:r>
        <w:rPr>
          <w:rFonts w:hint="eastAsia"/>
        </w:rPr>
        <w:t>有</w:t>
      </w:r>
      <w:r>
        <w:t>序的</w:t>
      </w:r>
      <w:r>
        <w:rPr>
          <w:rFonts w:hint="eastAsia"/>
        </w:rPr>
        <w:t>综合客运枢纽</w:t>
      </w:r>
      <w:bookmarkEnd w:id="105"/>
    </w:p>
    <w:bookmarkEnd w:id="106"/>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面向全国、区域和市域服务范围，</w:t>
      </w:r>
      <w:bookmarkStart w:id="107" w:name="_Hlk107392971"/>
      <w:r>
        <w:rPr>
          <w:rFonts w:hint="eastAsia" w:ascii="仿宋_GB2312" w:hAnsi="仿宋_GB2312" w:eastAsia="仿宋_GB2312" w:cs="仿宋_GB2312"/>
          <w:sz w:val="32"/>
          <w:szCs w:val="32"/>
          <w:lang w:bidi="ar"/>
        </w:rPr>
        <w:t>以构建多层立体、高效便捷、零距离换乘的综合客运枢纽为导向，统筹布局各种交通方式，</w:t>
      </w:r>
      <w:bookmarkEnd w:id="107"/>
      <w:r>
        <w:rPr>
          <w:rFonts w:hint="eastAsia" w:ascii="仿宋_GB2312" w:hAnsi="仿宋_GB2312" w:eastAsia="仿宋_GB2312" w:cs="仿宋_GB2312"/>
          <w:sz w:val="32"/>
          <w:szCs w:val="32"/>
          <w:lang w:bidi="ar"/>
        </w:rPr>
        <w:t>构建以韶关丹霞机场、韶关站综合客运枢纽两个门户型客运枢纽为主体，韶关东站综合客运枢纽、韶关南站综合客运枢纽两个地区型客运枢纽为辅，以及以乐昌综合客运枢纽、韶关东郊客运枢纽、始兴综合客运枢纽等九个一般型客运枢纽为节点的“二主二副九节点”综合客运枢纽体系。重点打造立体式、零换乘、多功能、多层次，集轨道交通、城市公交、长途客运、出租车为一体的综合交通枢纽，着力促进客运枢纽的综合化、互联化和一体化。</w:t>
      </w:r>
    </w:p>
    <w:p>
      <w:pPr>
        <w:pStyle w:val="143"/>
        <w:ind w:firstLine="640"/>
      </w:pPr>
      <w:bookmarkStart w:id="108" w:name="_Toc12876"/>
      <w:r>
        <w:rPr>
          <w:rFonts w:hint="eastAsia"/>
        </w:rPr>
        <w:t>保</w:t>
      </w:r>
      <w:r>
        <w:t>障有力的</w:t>
      </w:r>
      <w:r>
        <w:rPr>
          <w:rFonts w:hint="eastAsia"/>
        </w:rPr>
        <w:t>综合货运枢纽</w:t>
      </w:r>
      <w:bookmarkEnd w:id="108"/>
    </w:p>
    <w:p>
      <w:pPr>
        <w:widowControl w:val="0"/>
        <w:snapToGrid w:val="0"/>
        <w:spacing w:line="560" w:lineRule="exact"/>
        <w:ind w:firstLine="640"/>
        <w:jc w:val="both"/>
        <w:rPr>
          <w:rFonts w:ascii="仿宋" w:hAnsi="仿宋"/>
          <w:sz w:val="32"/>
          <w:szCs w:val="32"/>
          <w:lang w:bidi="ar"/>
        </w:rPr>
      </w:pPr>
      <w:r>
        <w:rPr>
          <w:rFonts w:hint="eastAsia" w:ascii="仿宋_GB2312" w:hAnsi="仿宋_GB2312" w:eastAsia="仿宋_GB2312" w:cs="仿宋_GB2312"/>
          <w:sz w:val="32"/>
          <w:szCs w:val="32"/>
          <w:lang w:bidi="ar"/>
        </w:rPr>
        <w:t>面向全国、区域和市域服务范围，以构建综合立体、衔接紧密、多式联运的综合货运枢纽为导向，统筹布局各种交通方式，构建以韶关港综合货运枢纽、丹霞机场空港国际物流园两个一级货运枢纽为主，以韶关市现代综合物流园、曲江综合货运枢纽、乐昌综合货运枢纽等8个二级货运枢纽为辅，以南雄市统仓共配物流中心、始兴现代物流园、韶关物流配送中心等若干个三级货运枢纽为节点的“两主八辅多节点”三级货运枢纽（物流园）体系，形成“向南依港出海，向北辐射内陆，东西互联互通”的物流联运体系，构建韶关经济新增长极。以货运枢纽体系建设为抓手，发挥“以点带面”作用，引导物流业集聚发展，促进交通与物流融合发展，增强韶关在粤北地区以及湘粤赣红三角区域发挥核心能力和枢纽地位，支撑韶关纳入国家物流枢纽承载城市。</w:t>
      </w:r>
    </w:p>
    <w:p>
      <w:pPr>
        <w:pStyle w:val="143"/>
        <w:ind w:firstLine="640"/>
      </w:pPr>
      <w:bookmarkStart w:id="109" w:name="_Toc2041"/>
      <w:r>
        <w:rPr>
          <w:rFonts w:hint="eastAsia"/>
        </w:rPr>
        <w:t>服务有</w:t>
      </w:r>
      <w:r>
        <w:t>质的</w:t>
      </w:r>
      <w:r>
        <w:rPr>
          <w:rFonts w:hint="eastAsia"/>
        </w:rPr>
        <w:t>旅游集散中心</w:t>
      </w:r>
      <w:bookmarkEnd w:id="109"/>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优化旅游集散中心布局，依托城市综合客运枢纽布设，根据韶关旅游景点分布，规划打造“1+3+5+N”四级旅游集散服务中心体系。在韶关高铁站建设1个一级旅游集散中心韶关旅游集散中心；分别依托仁化客运枢纽、韶关南站客运枢纽、乳源客运枢纽建设丹霞山旅游集散中心、大南华旅游集散中心、乳源旅游集散中心3个二级旅游集散中心；依托乐昌客运枢纽、南雄客运枢纽、始兴客运枢纽、翁源客运枢纽、新丰客运枢纽打造乐昌旅游集散中心、南雄旅游集散中心、始兴旅游集散中心、翁源旅游集散中心、新丰旅游集散中心5个三级旅游集散中心；在其他重要旅游集聚区建设若干个个游客咨询服务中心，整合旅游集散、咨询、营销等服务功能。</w:t>
      </w:r>
    </w:p>
    <w:p>
      <w:pPr>
        <w:widowControl w:val="0"/>
        <w:adjustRightInd w:val="0"/>
        <w:snapToGrid w:val="0"/>
        <w:spacing w:before="381" w:beforeLines="100" w:line="360" w:lineRule="auto"/>
        <w:ind w:firstLine="0" w:firstLineChars="0"/>
        <w:jc w:val="both"/>
        <w:outlineLvl w:val="0"/>
        <w:rPr>
          <w:rFonts w:ascii="黑体" w:hAnsi="黑体" w:eastAsia="黑体" w:cs="华文中宋"/>
          <w:bCs/>
          <w:sz w:val="36"/>
          <w:szCs w:val="30"/>
          <w:lang w:val="zh-CN"/>
        </w:rPr>
        <w:sectPr>
          <w:pgSz w:w="11906" w:h="16838"/>
          <w:pgMar w:top="1440" w:right="1797" w:bottom="1440" w:left="1797" w:header="851" w:footer="851" w:gutter="0"/>
          <w:pgNumType w:fmt="numberInDash"/>
          <w:cols w:space="720" w:num="1"/>
          <w:docGrid w:type="lines" w:linePitch="381" w:charSpace="0"/>
        </w:sectPr>
      </w:pPr>
      <w:bookmarkStart w:id="110" w:name="_Toc77779086"/>
      <w:bookmarkEnd w:id="110"/>
      <w:bookmarkStart w:id="111" w:name="_Toc77779554"/>
      <w:bookmarkEnd w:id="111"/>
      <w:bookmarkStart w:id="112" w:name="_Toc77779557"/>
      <w:bookmarkStart w:id="113" w:name="_Hlk66291319"/>
    </w:p>
    <w:bookmarkEnd w:id="112"/>
    <w:p>
      <w:pPr>
        <w:pStyle w:val="2"/>
        <w:spacing w:after="381"/>
        <w:rPr>
          <w:lang w:val="zh-CN"/>
        </w:rPr>
      </w:pPr>
      <w:bookmarkStart w:id="114" w:name="_Toc10054"/>
      <w:r>
        <w:rPr>
          <w:rFonts w:hint="eastAsia"/>
          <w:lang w:val="zh-CN"/>
        </w:rPr>
        <w:t>统筹融合的综合交通体系</w:t>
      </w:r>
      <w:bookmarkEnd w:id="114"/>
    </w:p>
    <w:bookmarkEnd w:id="113"/>
    <w:p>
      <w:pPr>
        <w:pStyle w:val="143"/>
        <w:ind w:firstLine="640"/>
        <w:rPr>
          <w:rFonts w:ascii="楷体" w:hAnsi="楷体" w:cs="楷体"/>
        </w:rPr>
      </w:pPr>
      <w:bookmarkStart w:id="115" w:name="_Toc24467"/>
      <w:r>
        <w:rPr>
          <w:rFonts w:hint="eastAsia" w:ascii="楷体" w:hAnsi="楷体" w:cs="楷体"/>
        </w:rPr>
        <w:t>运输方式间融合发展</w:t>
      </w:r>
      <w:bookmarkEnd w:id="115"/>
    </w:p>
    <w:p>
      <w:pPr>
        <w:widowControl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构建综合立体交通走廊。</w:t>
      </w:r>
      <w:r>
        <w:rPr>
          <w:rFonts w:hint="eastAsia" w:ascii="仿宋_GB2312" w:hAnsi="仿宋_GB2312" w:eastAsia="仿宋_GB2312" w:cs="仿宋_GB2312"/>
          <w:sz w:val="32"/>
          <w:szCs w:val="32"/>
          <w:lang w:bidi="ar"/>
        </w:rPr>
        <w:t>坚持国土空间资源高效利用原则，深入分析交通功能、加强方案比选，优先布局多层立体的综合交通走廊，支持改扩建和升级改造工程充分利用既有线位。围绕京港澳、汕昆、赣韶深等主要通道，构建对外交通快速化、城际交通便捷化的多模式复合走廊。城际间形成“轨道+高速”的带状连接形态，实现走廊上客货运输的分离，重点研究韶柳铁路、韶龙铁路、韶清城际等与邻近公路构建复合通道的可能性，促进交通运输走廊上的交通结构向合理方式转变。市域内形成“铁路+高速+普通国省干线”珠链式连接形态，重点推进厦昆高铁韶关段、丹霞机场高速、韶关至连州高速、韶关至江西（全南）高速与国道G323、G240、G106以及城市快速路的立体化建设，高效连通中心城区与外围组团，通过功能置换实现城市部分功能外迁以及内部功能集约，推动市域空间结构合理布局。</w:t>
      </w:r>
    </w:p>
    <w:p>
      <w:pPr>
        <w:widowControl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建设集约高效的综合交通枢纽体系。</w:t>
      </w:r>
      <w:r>
        <w:rPr>
          <w:rFonts w:hint="eastAsia" w:ascii="仿宋_GB2312" w:hAnsi="仿宋_GB2312" w:eastAsia="仿宋_GB2312" w:cs="仿宋_GB2312"/>
          <w:sz w:val="32"/>
          <w:szCs w:val="32"/>
          <w:lang w:bidi="ar"/>
        </w:rPr>
        <w:t>统筹规划综合交通枢纽设施，推动不同交通方式站场集中布局、空间共享、立体换乘。韶关南站、翁源站等新建综合客运枢纽统筹各种功能设置，高效衔接多种运输方式，做到一体化设计建设。韶关丹霞机场、韶关高铁站等既有综合客运枢纽设施应加快功能完善和整合提升，积极推动TOD开发，实现公共交通、小汽车、慢行等交通方式与枢纽无缝衔接、便捷换乘，力争综合交通枢纽内不同运输方式之间的步行换乘时间在10分钟内。加快韶关港集疏运铁路、公路，机场集疏运高速、联运换装设施建设，推进水陆空联运的无缝衔接，提升多式联运效率与物流综合服务水平。</w:t>
      </w:r>
    </w:p>
    <w:p>
      <w:pPr>
        <w:widowControl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推动客运组织高质量融合发展。</w:t>
      </w:r>
      <w:r>
        <w:rPr>
          <w:rFonts w:hint="eastAsia" w:ascii="仿宋_GB2312" w:hAnsi="仿宋_GB2312" w:eastAsia="仿宋_GB2312" w:cs="仿宋_GB2312"/>
          <w:sz w:val="32"/>
          <w:szCs w:val="32"/>
          <w:lang w:bidi="ar"/>
        </w:rPr>
        <w:t>以韶关丹霞机场、韶关高铁站、韶关东站等综合客运枢纽为重点抓手，加强航空、高铁、城际轨道、地面公共交通等多种运输方式的线路组织衔接，突出航空运输与高速铁路的“双高优势”，推进长途、城际、城市客运系统“三网融合”，提升韶关整体品质化出行水平，有力支撑韶关融入广州都市区1小时交通圈、粤港澳大湾区2小时交通圈。强化旅客联程基础设施建设，加强丹霞机场、韶关站、乐昌东站等枢纽的联运服务配套设施共建共享，包括售票、取票、乘降、驻车换乘等。建设跨运输方式的联程客运系统，鼓励企业加快互联网+交通等新业态应用，发展联程联运和“一票制”，稳步推进粤港澳大湾区“一票制”联程客运服务体系建设。</w:t>
      </w:r>
    </w:p>
    <w:p>
      <w:pPr>
        <w:widowControl w:val="0"/>
        <w:spacing w:line="560" w:lineRule="exact"/>
        <w:ind w:firstLine="643"/>
        <w:jc w:val="both"/>
        <w:rPr>
          <w:rFonts w:ascii="仿宋_GB2312" w:hAnsi="仿宋_GB2312" w:eastAsia="仿宋_GB2312" w:cs="仿宋_GB2312"/>
          <w:b/>
        </w:rPr>
      </w:pPr>
      <w:r>
        <w:rPr>
          <w:rFonts w:hint="eastAsia" w:ascii="仿宋_GB2312" w:hAnsi="仿宋_GB2312" w:eastAsia="仿宋_GB2312" w:cs="仿宋_GB2312"/>
          <w:b/>
          <w:bCs/>
          <w:sz w:val="32"/>
          <w:szCs w:val="32"/>
          <w:lang w:bidi="ar"/>
        </w:rPr>
        <w:t>推动货运组织一体化融合发展。</w:t>
      </w:r>
      <w:r>
        <w:rPr>
          <w:rFonts w:hint="eastAsia" w:ascii="仿宋_GB2312" w:hAnsi="仿宋_GB2312" w:eastAsia="仿宋_GB2312" w:cs="仿宋_GB2312"/>
          <w:sz w:val="32"/>
          <w:szCs w:val="32"/>
          <w:lang w:bidi="ar"/>
        </w:rPr>
        <w:t>创新货物运输组织模式，依托港口、机场以及铁路，推动水陆空多式联运发展。重点优化韶关港货运枢纽、丹霞机场空港国际物流园联运设施空间布局，打造区域多式联运中心，构建服务湘赣、粤北以及粤港澳大湾区的水陆空运输通道。加快推进铁路货运枢纽站场、铁路专线等项目建设，重点推进赣韶铁路扩能升级、韶柳铁路、韶龙铁路、韶关北江港区疏港铁路等项目，实现铁路干线运输与韶关港、大型企业、工业园区、物流园等的高效联通和无缝衔接，为大宗货物及中长距离货物运输向铁路和水运转移提供基础条件。以北江航道为依托，大力发展公铁水多式联运，加快对沿线大中型码头进港铁路和疏港公路的统筹规划建设，设置集装箱铁水联运枢纽和区域多式联运中心，打造具有影响力的多式联运枢纽，为韶关高新区高质量发展提供经济、便捷、安全的运输服务。大力推广应用集装箱、厢式半挂车等标准化运载单元和货运车辆，引导联运市场发展壮大。</w:t>
      </w:r>
    </w:p>
    <w:p>
      <w:pPr>
        <w:pStyle w:val="143"/>
        <w:ind w:firstLine="640"/>
      </w:pPr>
      <w:bookmarkStart w:id="116" w:name="_Toc20096"/>
      <w:r>
        <w:rPr>
          <w:rFonts w:hint="eastAsia"/>
        </w:rPr>
        <w:t>区域一体化融合发</w:t>
      </w:r>
      <w:r>
        <w:t>展</w:t>
      </w:r>
      <w:bookmarkEnd w:id="116"/>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推进韶关“融湾出省”交通运输一体化发展。</w:t>
      </w:r>
      <w:r>
        <w:rPr>
          <w:rFonts w:hint="eastAsia" w:ascii="仿宋_GB2312" w:hAnsi="仿宋_GB2312" w:eastAsia="仿宋_GB2312" w:cs="仿宋_GB2312"/>
          <w:sz w:val="32"/>
          <w:szCs w:val="32"/>
          <w:lang w:bidi="ar"/>
        </w:rPr>
        <w:t>加快构建以轨道交通和高速公路为主体的“融湾出省”高快速交通网络。实现11条高快速通道对接粤港澳大湾区（其中8条高快速通道对接广佛，3条高快速通道对接深圳），有效支撑韶关深度融入粤港澳大湾区。实现3条高快速通道联系潮汕揭，有力支撑构建全省区域协调发展新格局。实现7条高快速通道高效衔接湖南，8条高快速通道高效衔接江西，加速粤赣湘红三角区域一体化发展。实现4条高快速通道沟通广西，推动粤桂区域世界级旅游资源高效联动，支撑文化和产业协同发展。</w:t>
      </w:r>
    </w:p>
    <w:p>
      <w:pPr>
        <w:widowControl w:val="0"/>
        <w:snapToGrid w:val="0"/>
        <w:spacing w:line="560" w:lineRule="exact"/>
        <w:ind w:firstLine="643"/>
        <w:jc w:val="both"/>
        <w:rPr>
          <w:rFonts w:ascii="仿宋_GB2312" w:hAnsi="仿宋_GB2312" w:eastAsia="仿宋_GB2312" w:cs="仿宋_GB2312"/>
          <w:b/>
          <w:bCs/>
          <w:sz w:val="32"/>
          <w:szCs w:val="32"/>
          <w:lang w:bidi="ar"/>
        </w:rPr>
      </w:pPr>
      <w:r>
        <w:rPr>
          <w:rFonts w:hint="eastAsia" w:ascii="仿宋_GB2312" w:hAnsi="仿宋_GB2312" w:eastAsia="仿宋_GB2312" w:cs="仿宋_GB2312"/>
          <w:b/>
          <w:bCs/>
          <w:sz w:val="32"/>
          <w:szCs w:val="32"/>
          <w:lang w:bidi="ar"/>
        </w:rPr>
        <w:t>推进韶关与相邻省市高效衔接。</w:t>
      </w:r>
      <w:r>
        <w:rPr>
          <w:rFonts w:hint="eastAsia" w:ascii="仿宋_GB2312" w:hAnsi="仿宋_GB2312" w:eastAsia="仿宋_GB2312" w:cs="仿宋_GB2312"/>
          <w:sz w:val="32"/>
          <w:szCs w:val="32"/>
          <w:lang w:bidi="ar"/>
        </w:rPr>
        <w:t>加快推进韶关分层次、分重点全面对接周边相邻省市，实现与周边地市规划相协调，公路技术等级与建设时序相匹配，构建以轨道交通、高速公路为骨架，国省干线为骨干，其他道路为补充的对外衔接路网体系。加快建成信丰（省界）至南雄高速，积极推动韶关至连州高速、韶关至全南高速等开展前期研究，升级改造国道G106、G323、G535、省道S517等一批与周边衔接的干线公路，基本建成以高速公路、高等级公路为主，干支协调、能力充分、便捷高效、开放互联的高质量衔接路网，有效满足韶关市与周边相邻城市经济社会发展需求。重点研究韶关与广州、清远高效融合路网，推动韶关高效融入粤港澳大湾区核心区。</w:t>
      </w:r>
    </w:p>
    <w:p>
      <w:pPr>
        <w:widowControl w:val="0"/>
        <w:snapToGrid w:val="0"/>
        <w:spacing w:line="560" w:lineRule="exact"/>
        <w:ind w:firstLine="643"/>
        <w:jc w:val="both"/>
        <w:rPr>
          <w:rFonts w:ascii="仿宋" w:hAnsi="仿宋"/>
          <w:sz w:val="32"/>
          <w:szCs w:val="32"/>
          <w:lang w:bidi="ar"/>
        </w:rPr>
      </w:pPr>
      <w:r>
        <w:rPr>
          <w:rFonts w:hint="eastAsia" w:ascii="仿宋_GB2312" w:hAnsi="仿宋_GB2312" w:eastAsia="仿宋_GB2312" w:cs="仿宋_GB2312"/>
          <w:b/>
          <w:bCs/>
          <w:sz w:val="32"/>
          <w:szCs w:val="32"/>
          <w:lang w:bidi="ar"/>
        </w:rPr>
        <w:t>推动内外交通无缝衔接。</w:t>
      </w:r>
      <w:r>
        <w:rPr>
          <w:rFonts w:hint="eastAsia" w:ascii="仿宋_GB2312" w:hAnsi="仿宋_GB2312" w:eastAsia="仿宋_GB2312" w:cs="仿宋_GB2312"/>
          <w:sz w:val="32"/>
          <w:szCs w:val="32"/>
          <w:lang w:bidi="ar"/>
        </w:rPr>
        <w:t>强化干线公路与高速公路的衔接，完善高速公路出入口衔接道路，推进韶关市域主要节点与高速公路直连直通，实现乡镇20分钟左右上下高速。加强干线公路与城市快速路、主干路的高效对接，系统优化进出城道路网络，推动规划建设统筹和管理协同，减少对城市的分割和干扰，实现中心城区内外干线道路的无缝对接。强化高铁站、机场、客运枢纽等与城市道路、公交、轨道、停车等系统之间的无缝衔接，打造“零换乘、一体化”综合交通枢纽锚固的内外畅连交通体系。积极推进公路和城市道路建管养体制改革，为实现城市内外交通一体化提供制度保障。</w:t>
      </w:r>
    </w:p>
    <w:p>
      <w:pPr>
        <w:pStyle w:val="143"/>
        <w:ind w:firstLine="640"/>
      </w:pPr>
      <w:bookmarkStart w:id="117" w:name="_Toc27372"/>
      <w:r>
        <w:t>“</w:t>
      </w:r>
      <w:r>
        <w:rPr>
          <w:rFonts w:hint="eastAsia"/>
        </w:rPr>
        <w:t>交通+</w:t>
      </w:r>
      <w:r>
        <w:t>”</w:t>
      </w:r>
      <w:r>
        <w:rPr>
          <w:rFonts w:hint="eastAsia"/>
        </w:rPr>
        <w:t>产业融合发展</w:t>
      </w:r>
      <w:bookmarkEnd w:id="117"/>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推进交通运输与邮政快递融合发展。</w:t>
      </w:r>
      <w:r>
        <w:rPr>
          <w:rFonts w:hint="eastAsia" w:ascii="仿宋_GB2312" w:hAnsi="仿宋_GB2312" w:eastAsia="仿宋_GB2312" w:cs="仿宋_GB2312"/>
          <w:sz w:val="32"/>
          <w:szCs w:val="32"/>
          <w:lang w:bidi="ar"/>
        </w:rPr>
        <w:t>加强高速公路、铁路、航空等交通基础设施与邮政快递基础设施的统筹布局，重点推进韶关丹霞机场空港国际物流园建设，吸引国内外知名快递企业进驻，发展高端航空快递物流服务。曲江综合货运枢纽、始兴综合货运枢纽等新建交通枢纽统筹考虑布局邮件快递处理中心、邮政快递分拨中心、操作场站、安全检查和运输通道等。统筹优化枢纽内、外道路设施，畅通快件进出通道，确保内外集疏运衔接顺畅、运行便捷高效。大力开展交邮合作，健全以县级分拨、乡镇网点、村级寄递物流综合服务站为支撑的三级农村寄递物流网络，提高农村物流网络连通度和覆盖面。推广“定时、定点、定线、定车”的“四定”农村物流货运班线、快递班车等模式，推广县至乡镇沿途行政村的双向邮件快件运输服务。</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推动交通运输与制造商贸业深度融合。</w:t>
      </w:r>
      <w:r>
        <w:rPr>
          <w:rFonts w:hint="eastAsia" w:ascii="仿宋_GB2312" w:hAnsi="仿宋_GB2312" w:eastAsia="仿宋_GB2312" w:cs="仿宋_GB2312"/>
          <w:sz w:val="32"/>
          <w:szCs w:val="32"/>
          <w:lang w:bidi="ar"/>
        </w:rPr>
        <w:t>紧紧围绕韶关产业转型升级以及高新区高质量发展需求，强化交通基础设施引领与辐射作用，推进交通运输向现代物流产业链上下游延伸，构建“交通+产业”大平台发展模式，以运输链带动产业链发展。重点加快推进韶关空港物流园、韶关港等多式联运物流枢纽建设，推动交通运输与韶关高新区商贸流通、电子商务等资源共享共建，建设集运输、展销、仓储、配送、物流信息、跨境电商配套服务等为一体的综合物流服务基地，实现产业要素高度融合，形成以物流枢纽为要素流动组织者的枢纽经济新模式，推动经济转型升级；加快完善直达韶关高新区“一园十区”的干线路网及相应的物流场站，推动形成流通顺畅、运转高效、具有规模的商贸物流体系，支撑韶关打造成为高效联通粤港澳大湾区与内地，“南货北运”、“北货南运”的区域性商贸物流枢纽城市。</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推进交通运输与旅游融合发展。</w:t>
      </w:r>
      <w:r>
        <w:rPr>
          <w:rFonts w:hint="eastAsia" w:ascii="仿宋_GB2312" w:hAnsi="仿宋_GB2312" w:eastAsia="仿宋_GB2312" w:cs="仿宋_GB2312"/>
          <w:bCs/>
          <w:sz w:val="32"/>
          <w:szCs w:val="32"/>
          <w:lang w:bidi="ar"/>
        </w:rPr>
        <w:t>充分发挥交通促进全域旅游发展的基础性作用，打造具有韶关特色、突出岭南风度、禅韵丹霞的交旅融合体系。重点打造南岭生态旅游公路、广东红军长征路等两条具有全省示范意义的旅游公路。积极推动锦江绿色航道开发建设，丰富旅游航道及船舶供给产品，构建多元旅游交通格局。鼓励开通旅游观光巴士，以丹霞山专线、南华寺专线、珠玑专线、大峡谷专线、云门山专线等为试点，推动开通中心城区、高铁站、客运站、丹霞机场等游客集散地串联重点景区和特色文化地标景观的旅游客运线路。鼓励各县(市、区)增开城区到乡村旅游点客运线路。构建“交通+旅游”服务区(站点、营地)体系，以曲江服务区、樟市服务区、梅花北服务区、乐昌粤北停车区等高速公路服务区为依托，拓展旅游咨询、旅游宣传等服务功能，将高速公路服务区打造成为旅游形象展示窗口。</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推进交通运输助力乡村振兴。</w:t>
      </w:r>
      <w:r>
        <w:rPr>
          <w:rFonts w:hint="eastAsia" w:ascii="仿宋_GB2312" w:hAnsi="仿宋_GB2312" w:eastAsia="仿宋_GB2312" w:cs="仿宋_GB2312"/>
          <w:bCs/>
          <w:sz w:val="32"/>
          <w:szCs w:val="32"/>
          <w:lang w:bidi="ar"/>
        </w:rPr>
        <w:t>继续把建设“四好农村路”作为服务乡村振兴战略、广东省“百县千镇万村高质量发展工程”的基础性、先导性任务，协调推进建管养运。提升农村地区外通内联水平，有序实施乡镇通三级公路建设、老旧公路改造和窄路基路面加宽改造，强化农村公路与干线公路、城市道路以及其他运输方式的衔接。以乡村振兴精品路线统筹农村经济、资源、产业、旅游等，重点谋划一批解决产业园区对外通道要求的产业致富路，以及打造一批以红色游、研学游、乡村游、祈福游、养生游等为主题的精品旅游线路，形成“一路通、百业兴”发展景象。提高客运服务均等化水平，优化农村地区客运服务供给。推动县、乡、村三级农村物流节点体系建设，畅通农产品进城、农业生产资料和农民生活消费品下乡的物流服务体系。提高农村交通安全保障能力，改善农村交通环境，服务乡村生态宜居。</w:t>
      </w:r>
    </w:p>
    <w:p>
      <w:pPr>
        <w:widowControl w:val="0"/>
        <w:adjustRightInd w:val="0"/>
        <w:snapToGrid w:val="0"/>
        <w:spacing w:before="381" w:beforeLines="100" w:line="360" w:lineRule="auto"/>
        <w:ind w:firstLine="0" w:firstLineChars="0"/>
        <w:jc w:val="both"/>
        <w:outlineLvl w:val="0"/>
        <w:rPr>
          <w:rFonts w:ascii="黑体" w:hAnsi="黑体" w:eastAsia="黑体" w:cs="华文中宋"/>
          <w:bCs/>
          <w:sz w:val="36"/>
          <w:szCs w:val="30"/>
          <w:lang w:val="zh-CN"/>
        </w:rPr>
        <w:sectPr>
          <w:pgSz w:w="11906" w:h="16838"/>
          <w:pgMar w:top="1440" w:right="1797" w:bottom="1440" w:left="1797" w:header="851" w:footer="851" w:gutter="0"/>
          <w:pgNumType w:fmt="numberInDash"/>
          <w:cols w:space="720" w:num="1"/>
          <w:docGrid w:type="lines" w:linePitch="381" w:charSpace="0"/>
        </w:sectPr>
      </w:pPr>
      <w:bookmarkStart w:id="118" w:name="_Toc77779560"/>
    </w:p>
    <w:bookmarkEnd w:id="118"/>
    <w:p>
      <w:pPr>
        <w:pStyle w:val="2"/>
        <w:spacing w:after="381"/>
        <w:rPr>
          <w:lang w:val="zh-CN"/>
        </w:rPr>
      </w:pPr>
      <w:bookmarkStart w:id="119" w:name="_Toc2047"/>
      <w:r>
        <w:rPr>
          <w:rFonts w:hint="eastAsia"/>
          <w:lang w:val="zh-CN"/>
        </w:rPr>
        <w:t>高质量发展的综合交通体系</w:t>
      </w:r>
      <w:bookmarkEnd w:id="119"/>
    </w:p>
    <w:p>
      <w:pPr>
        <w:pStyle w:val="143"/>
        <w:ind w:firstLine="640"/>
      </w:pPr>
      <w:bookmarkStart w:id="120" w:name="_Toc4079"/>
      <w:r>
        <w:rPr>
          <w:rFonts w:hint="eastAsia"/>
        </w:rPr>
        <w:t>交通安全应急保障</w:t>
      </w:r>
      <w:bookmarkEnd w:id="120"/>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提升交通基础设施安全水平。</w:t>
      </w:r>
      <w:r>
        <w:rPr>
          <w:rFonts w:hint="eastAsia" w:ascii="仿宋_GB2312" w:hAnsi="仿宋_GB2312" w:eastAsia="仿宋_GB2312" w:cs="仿宋_GB2312"/>
          <w:bCs/>
          <w:sz w:val="32"/>
          <w:szCs w:val="32"/>
          <w:lang w:bidi="ar"/>
        </w:rPr>
        <w:t>强化交通基础设施性能安全监测技术手段，严格开展桥梁、隧道等重点设施和临边路、高速公路边坡等重点区域的检查、检测。强化交通基础设施防护性养护维护、安全评估,加强长期性能观测，完善数据采集、检测诊断、维修处治技术体系，加大病害治理力度，及时消除安全隐患。加强战略通道应急装备物资储备基地与救援中心建设。加强穿越生态环境敏感区路段的应急物资配备，提升危化品车辆泄露事故应急能力。</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强化交通运输安全监管。</w:t>
      </w:r>
      <w:r>
        <w:rPr>
          <w:rFonts w:hint="eastAsia" w:ascii="仿宋_GB2312" w:hAnsi="仿宋_GB2312" w:eastAsia="仿宋_GB2312" w:cs="仿宋_GB2312"/>
          <w:bCs/>
          <w:sz w:val="32"/>
          <w:szCs w:val="32"/>
          <w:lang w:bidi="ar"/>
        </w:rPr>
        <w:t>完善安全生产监管和应急管理工作职责，强化企业主体责任，实行全员安全生产责任制，落实行业安全监管责任，形成政府统一领导、各部门协同联动、全社会共同参与的交通安全治理格局。加强重点车辆运输安全治理，全面强化旅游客运、危险货物道路运输、农村客运等重点领域全过程、全链条安全监管，提升行业安全发展水平。推进建立道路运输从业人员职业技能等级认定制度，健全完善职业技能等级认定评价标准体系。</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强化交通应急救援能力。</w:t>
      </w:r>
      <w:r>
        <w:rPr>
          <w:rFonts w:hint="eastAsia" w:ascii="仿宋_GB2312" w:hAnsi="仿宋_GB2312" w:eastAsia="仿宋_GB2312" w:cs="仿宋_GB2312"/>
          <w:bCs/>
          <w:sz w:val="32"/>
          <w:szCs w:val="32"/>
          <w:lang w:bidi="ar"/>
        </w:rPr>
        <w:t>完善公路水路交通突发公共事件应急体系，提高应对公共突发事件的应急能力，提高事故预防、处置和救助能力。加强与公安、应急管理局等部门的监测数据交换和应急响应联动，深入开展公路水路交通各类突发事件风险普查和监控。督促交通运输生产企业加强应急预案管理，推动安全生产标准化建设，配备相应的应急物资，并组织开展演练。强化港口动态监管及应急指挥体系，完善应急设施设备和救援队伍。做好恶劣天气条件下防范安全生产事故的预防措施，严防暴雨、台风等恶劣天气造成伤亡事故的发生。</w:t>
      </w:r>
    </w:p>
    <w:p>
      <w:pPr>
        <w:pStyle w:val="143"/>
        <w:ind w:firstLine="640"/>
      </w:pPr>
      <w:bookmarkStart w:id="121" w:name="_Toc30743"/>
      <w:r>
        <w:rPr>
          <w:rFonts w:hint="eastAsia"/>
        </w:rPr>
        <w:t>智慧交通运输体系</w:t>
      </w:r>
      <w:bookmarkEnd w:id="121"/>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提升交通基础设施和监管智能化水平</w:t>
      </w:r>
      <w:r>
        <w:rPr>
          <w:rFonts w:hint="eastAsia" w:ascii="仿宋_GB2312" w:hAnsi="仿宋_GB2312" w:eastAsia="仿宋_GB2312" w:cs="仿宋_GB2312"/>
          <w:bCs/>
          <w:sz w:val="32"/>
          <w:szCs w:val="32"/>
          <w:lang w:bidi="ar"/>
        </w:rPr>
        <w:t>。推动交通运输基础设施与信息基础设施一体化建设，鼓励具备多维感知、高精度定位、智能网联、模式识别功能的终端设备在公路、铁路、航道、港口、民航、邮政等交通基础设施的布局和应用。积极推进5G覆盖韶关市境内的高速公路服务区、主要高速公路路段以及高铁站，全面提升韶关交通基础设施智能化、数字化水平。</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加快智慧交通平台建设。</w:t>
      </w:r>
      <w:r>
        <w:rPr>
          <w:rFonts w:hint="eastAsia" w:ascii="仿宋_GB2312" w:hAnsi="仿宋_GB2312" w:eastAsia="仿宋_GB2312" w:cs="仿宋_GB2312"/>
          <w:bCs/>
          <w:sz w:val="32"/>
          <w:szCs w:val="32"/>
          <w:lang w:bidi="ar"/>
        </w:rPr>
        <w:t>加强交通信息化建设顶层设计，合理划分服务职能，以市场为导向、分类合作，推进智慧交通的行业管理、公众服务、商业服务等平台建设。积极推进韶关市综合交通运输协调指挥中心建设，实现对全市公路、铁路、水路、邮政、城市公共交通等各运输方式运行情况的全面掌握，实现各种运输方式、各部门信息共享，增强对全市交通运输整体运行情况的宏观掌控能力。同时要深化各业务领域管理服务应用系统建设，完善公路养护管理、路政管理、客运出行、物流监管等系统。</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提升物流信息服务水平。</w:t>
      </w:r>
      <w:r>
        <w:rPr>
          <w:rFonts w:hint="eastAsia" w:ascii="仿宋_GB2312" w:hAnsi="仿宋_GB2312" w:eastAsia="仿宋_GB2312" w:cs="仿宋_GB2312"/>
          <w:bCs/>
          <w:sz w:val="32"/>
          <w:szCs w:val="32"/>
          <w:lang w:bidi="ar"/>
        </w:rPr>
        <w:t>依托铁路网络、公路网络、航空网络、水运网络及实体物流园区，充分利用云计算、大数据、物联网、人工智能等技术，为线上线下物流运输、仓储配送、商品交易、金融服务、物流诚信等业务提供一站式、全方位服务，形成覆盖线上线下的物流生态系统。鼓励全市传统货运企业利用先进信息技术，优化运输组织，加快推动无人仓、无人车、无人机等在货运物流领域的应用。鼓励创新物流信息平台功能，除具备整合运力资源、货源资源外，提供业务撮合、支付场景配适等一站式物流供应链解决方案。</w:t>
      </w:r>
    </w:p>
    <w:p>
      <w:pPr>
        <w:pStyle w:val="143"/>
        <w:ind w:firstLine="640"/>
      </w:pPr>
      <w:bookmarkStart w:id="122" w:name="_Toc10092"/>
      <w:r>
        <w:rPr>
          <w:rFonts w:hint="eastAsia"/>
        </w:rPr>
        <w:t>绿色交通发</w:t>
      </w:r>
      <w:r>
        <w:t>展</w:t>
      </w:r>
      <w:r>
        <w:rPr>
          <w:rFonts w:hint="eastAsia"/>
        </w:rPr>
        <w:t>体系</w:t>
      </w:r>
      <w:bookmarkEnd w:id="122"/>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推进绿色低碳发展。</w:t>
      </w:r>
      <w:r>
        <w:rPr>
          <w:rFonts w:hint="eastAsia" w:ascii="仿宋_GB2312" w:hAnsi="仿宋_GB2312" w:eastAsia="仿宋_GB2312" w:cs="仿宋_GB2312"/>
          <w:bCs/>
          <w:sz w:val="32"/>
          <w:szCs w:val="32"/>
          <w:lang w:bidi="ar"/>
        </w:rPr>
        <w:t xml:space="preserve">贯彻落实碳达峰、碳中和的重大战略决策，围绕优化交通运输结构、加强交通运输生态保护和污染防治、资源集约节约利用、节能降碳等方面开展绿色交通建设。积极推进生态工程技术在交通基础设施设计、建设、养护和运营等全过程的综合运用，最大限度保护重要生态功能区、避让生态环境敏感区。构建生态化交通网络，打造公路、铁路、北江、浈江和武江沿线绿色生态走廊，打造具有韶关特色的绿色交通品牌。加强碳排放和污染防治协同控制，加快新能源、清洁能源推广应用。逐步构建“集约、高效、绿色、智能”城市绿色货运配送体系，有效破解城市配送“三难”、交通拥堵、大气污染等问题，促进物流业降本增效。 </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持续优化交通运输结构。</w:t>
      </w:r>
      <w:r>
        <w:rPr>
          <w:rFonts w:hint="eastAsia" w:ascii="仿宋_GB2312" w:hAnsi="仿宋_GB2312" w:eastAsia="仿宋_GB2312" w:cs="仿宋_GB2312"/>
          <w:bCs/>
          <w:sz w:val="32"/>
          <w:szCs w:val="32"/>
          <w:lang w:bidi="ar"/>
        </w:rPr>
        <w:t>调整优化客货运结构，促进不同运输方式各展其长、良性竞争、整体更优。推进铁路、公路、水运、民航等客运系统有机衔接和差异化发展，提升公共客运的舒适性和可靠性，吸引中短距离城际出行更多转向公共客运。大力发展多式联运，加快推进大宗货物和中长距离运输的“公转铁”“公转水”。加快完善水运系统，重点推进北江港区、武江港区以及北江港区铁路专用线等集疏运干线等建设。提升铁路运能，加快推进铁路货运网络建设，充分利用高速铁路客运网逐步完善释放的运能，加速提升赣韶铁路的货运能力。</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加强基础设施生态保护。</w:t>
      </w:r>
      <w:r>
        <w:rPr>
          <w:rFonts w:hint="eastAsia" w:ascii="仿宋_GB2312" w:hAnsi="仿宋_GB2312" w:eastAsia="仿宋_GB2312" w:cs="仿宋_GB2312"/>
          <w:bCs/>
          <w:sz w:val="32"/>
          <w:szCs w:val="32"/>
          <w:lang w:bidi="ar"/>
        </w:rPr>
        <w:t>严格落实生态环境保护要求，把生态保护理念贯穿到交通基础设施规划、设计、建设、运营和养护全过程，统筹利用综合运输通道线位、土地等资源，加大岸线、锚地等资源整合力度和利用效率，推进废旧路面、建筑垃圾、工业固废等在交通建设领域的循环利用。落实国土绿化行动，大力推广公路边坡植被防护，在铁路、公路、航道等设施沿线大力开展绿化美化行动，提升生态功能和景观品质，支撑生态廊道构建。联合旅游等部门健全交通服务设施旅游服务功能，打造国家级示范旅游风景道，促进交通旅游融合发展。</w:t>
      </w:r>
    </w:p>
    <w:p>
      <w:pPr>
        <w:pStyle w:val="143"/>
        <w:ind w:firstLine="640"/>
      </w:pPr>
      <w:bookmarkStart w:id="123" w:name="_Toc27381"/>
      <w:r>
        <w:rPr>
          <w:rFonts w:hint="eastAsia"/>
        </w:rPr>
        <w:t>交通行业治理能力</w:t>
      </w:r>
      <w:bookmarkEnd w:id="123"/>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构建行业标准化体系。</w:t>
      </w:r>
      <w:r>
        <w:rPr>
          <w:rFonts w:hint="eastAsia" w:ascii="仿宋_GB2312" w:hAnsi="仿宋_GB2312" w:eastAsia="仿宋_GB2312" w:cs="仿宋_GB2312"/>
          <w:bCs/>
          <w:sz w:val="32"/>
          <w:szCs w:val="32"/>
          <w:lang w:bidi="ar"/>
        </w:rPr>
        <w:t>落实交通运输部、广东省交通运输厅印发的各类交通运输标准化规范及管理办法，结合韶关本地交通发展现状，制定契合韶关本地发展的交通标准化条例，统筹协调铁路、公路、水路、民航和邮政工作，构建韶关交通行业标准化体系，全面提高韶关交通行业标准化管理水平。韶关交通行业标准化体系要明确各部门职责分工和管理基本原则，以及标准化体系规划、标准制定、实施等方面，要求与上位法协调衔接，充分吸纳上位法相关内容和有关要求，坚持与现行各领域标准化规范与管理制度充分衔接。</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加强交通运输人才队伍建设。</w:t>
      </w:r>
      <w:r>
        <w:rPr>
          <w:rFonts w:hint="eastAsia" w:ascii="仿宋_GB2312" w:hAnsi="仿宋_GB2312" w:eastAsia="仿宋_GB2312" w:cs="仿宋_GB2312"/>
          <w:bCs/>
          <w:sz w:val="32"/>
          <w:szCs w:val="32"/>
          <w:lang w:bidi="ar"/>
        </w:rPr>
        <w:t>新时期交通强国建设和智能网联交通发展对交通工程专业的人才培养提出了新的要求，以韶关交通发展需求为导向，重塑人才培养目标，强化与国内一流交通运管机构的合作、加强科技人才和创新团队培养及引进，提升韶关高水平交通人才的储备。要建立健全年轻干部发现储备、培养锻炼、统筹配备、选拔任用工作机制，最大限度激发和释放干部创新创造活力，引导干部队伍加快知识更新、能力培养、素质提升，不断增强专业能力、专业素养、专业精神，适应交通强国建设要求的能力。</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bCs/>
          <w:sz w:val="32"/>
          <w:szCs w:val="32"/>
          <w:lang w:bidi="ar"/>
        </w:rPr>
        <w:t>提升科技执法质量与效能。</w:t>
      </w:r>
      <w:r>
        <w:rPr>
          <w:rFonts w:hint="eastAsia" w:ascii="仿宋_GB2312" w:hAnsi="仿宋_GB2312" w:eastAsia="仿宋_GB2312" w:cs="仿宋_GB2312"/>
          <w:bCs/>
          <w:sz w:val="32"/>
          <w:szCs w:val="32"/>
          <w:lang w:bidi="ar"/>
        </w:rPr>
        <w:t>推进非现场执法，结合全市公路路网、货车车流量，优化各地非现场执法监测点的规划和设置，充分利用科技信息化技术支撑，精准打击交通运输违法违规行为，不断提升执法效能，实现传统执法方式向科技执法方式转变。优化完善市交通运输执法监控平台各类数据联网，按照相关技术标准和建设规范指南，将超限检测站 （点） 内的称重检测数据、治超非现场执法监测点称重检测数据、运政非现场执法监测点视频数据、高速公路出入口称重检测数据、源头单位称重检测数据、执法记录数据等实时接入市交通运输执法监管平台，逐步提升全市科技执法水平。</w:t>
      </w:r>
    </w:p>
    <w:p>
      <w:pPr>
        <w:widowControl w:val="0"/>
        <w:adjustRightInd w:val="0"/>
        <w:snapToGrid w:val="0"/>
        <w:spacing w:before="381" w:beforeLines="100" w:line="360" w:lineRule="auto"/>
        <w:ind w:firstLine="0" w:firstLineChars="0"/>
        <w:jc w:val="both"/>
        <w:outlineLvl w:val="0"/>
        <w:rPr>
          <w:rFonts w:ascii="仿宋_GB2312" w:hAnsi="仿宋_GB2312" w:eastAsia="仿宋_GB2312" w:cs="仿宋_GB2312"/>
          <w:bCs/>
          <w:sz w:val="32"/>
          <w:szCs w:val="32"/>
          <w:lang w:val="zh-CN"/>
        </w:rPr>
        <w:sectPr>
          <w:pgSz w:w="11906" w:h="16838"/>
          <w:pgMar w:top="1440" w:right="1797" w:bottom="1440" w:left="1797" w:header="851" w:footer="851" w:gutter="0"/>
          <w:pgNumType w:fmt="numberInDash"/>
          <w:cols w:space="720" w:num="1"/>
          <w:docGrid w:type="lines" w:linePitch="381" w:charSpace="0"/>
        </w:sectPr>
      </w:pPr>
      <w:bookmarkStart w:id="124" w:name="_Toc77779562"/>
      <w:bookmarkEnd w:id="124"/>
      <w:bookmarkStart w:id="125" w:name="_Toc77779094"/>
      <w:bookmarkEnd w:id="125"/>
      <w:bookmarkStart w:id="126" w:name="_Toc77779567"/>
    </w:p>
    <w:bookmarkEnd w:id="126"/>
    <w:p>
      <w:pPr>
        <w:pStyle w:val="2"/>
        <w:spacing w:after="381"/>
        <w:rPr>
          <w:lang w:val="zh-CN"/>
        </w:rPr>
      </w:pPr>
      <w:bookmarkStart w:id="127" w:name="_Toc20722"/>
      <w:r>
        <w:rPr>
          <w:rFonts w:hint="eastAsia"/>
          <w:lang w:val="zh-CN"/>
        </w:rPr>
        <w:t>协</w:t>
      </w:r>
      <w:r>
        <w:rPr>
          <w:lang w:val="zh-CN"/>
        </w:rPr>
        <w:t>同</w:t>
      </w:r>
      <w:r>
        <w:rPr>
          <w:rFonts w:hint="eastAsia"/>
          <w:lang w:val="zh-CN"/>
        </w:rPr>
        <w:t>国土空间的综合</w:t>
      </w:r>
      <w:r>
        <w:rPr>
          <w:lang w:val="zh-CN"/>
        </w:rPr>
        <w:t>交通体系</w:t>
      </w:r>
      <w:bookmarkEnd w:id="127"/>
    </w:p>
    <w:bookmarkEnd w:id="66"/>
    <w:p>
      <w:pPr>
        <w:pStyle w:val="143"/>
        <w:ind w:firstLine="640"/>
      </w:pPr>
      <w:bookmarkStart w:id="128" w:name="_Toc23965"/>
      <w:bookmarkStart w:id="129" w:name="_Toc62033340"/>
      <w:r>
        <w:rPr>
          <w:rFonts w:hint="eastAsia"/>
        </w:rPr>
        <w:t>实现存量与增量的有机统一</w:t>
      </w:r>
      <w:bookmarkEnd w:id="128"/>
    </w:p>
    <w:p>
      <w:pPr>
        <w:widowControl w:val="0"/>
        <w:snapToGrid w:val="0"/>
        <w:spacing w:line="560" w:lineRule="exact"/>
        <w:ind w:firstLine="640"/>
        <w:jc w:val="both"/>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坚持需求导向，根据韶关市综合交通需求分析结果和支撑重大战略的现实需求，优化交通基础设施供给结构，充分利用存量资源，扩大优质增量供给，破除无效供给，提升交通基础设施供给能力、质量和效率，提高资源配置效率和全要素生产力。优先布局供需矛盾突出、短板问题明显的运输方式和区域，优先通过扩容改造、等级提升、智慧化管理等手段，挖掘现有综合交通网络运输能力，实现交通供给与需求更高水平的动态平衡。</w:t>
      </w:r>
    </w:p>
    <w:p>
      <w:pPr>
        <w:pStyle w:val="143"/>
        <w:ind w:firstLine="640"/>
      </w:pPr>
      <w:bookmarkStart w:id="130" w:name="_Toc19041"/>
      <w:r>
        <w:rPr>
          <w:rFonts w:hint="eastAsia"/>
        </w:rPr>
        <w:t>共建规划“一张图”动态协调机制</w:t>
      </w:r>
      <w:bookmarkEnd w:id="130"/>
    </w:p>
    <w:p>
      <w:pPr>
        <w:widowControl w:val="0"/>
        <w:snapToGrid w:val="0"/>
        <w:spacing w:line="560" w:lineRule="exact"/>
        <w:ind w:firstLine="640"/>
        <w:jc w:val="both"/>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主动衔接国土空间规划成果，以国土空间规划的“一张图”为基底，统一底图、统一标准，构建交通规划成果空间信息库，实现交通基础设施规划“一张图”。深化规划项目方案研究，建议达到工程可行性研究报告深度。建立综合交通规划与国土空间规划的动态协调机制，未来将根据规划研究、设计施工、运营等不同阶段的成果，与国土空间规划进行充分衔接，开展动态更新。</w:t>
      </w:r>
    </w:p>
    <w:p>
      <w:pPr>
        <w:pStyle w:val="143"/>
        <w:ind w:firstLine="640"/>
      </w:pPr>
      <w:bookmarkStart w:id="131" w:name="_Toc8123"/>
      <w:r>
        <w:rPr>
          <w:rFonts w:hint="eastAsia"/>
        </w:rPr>
        <w:t>合理预控用地需求规模</w:t>
      </w:r>
      <w:bookmarkEnd w:id="131"/>
    </w:p>
    <w:p>
      <w:pPr>
        <w:widowControl w:val="0"/>
        <w:snapToGrid w:val="0"/>
        <w:spacing w:line="560" w:lineRule="exact"/>
        <w:ind w:firstLine="640"/>
        <w:jc w:val="both"/>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基于集约利用空间资源原则，统筹全市综合立体交通网络布局，根据国土空间规划确定的国土空间格局和“三条控制线”，做好重点交通线位、重要枢纽节点的空间预留。优先布局制式多样、多层立体的复合通道。系统谋划综合枢纽，利用客运综合体、货运多式联运区等新载体，整合各类交通功能，提高国土管控下的交通资源使用效率。结合“三区三线”空间管控深度和精度要求，开展规划项目库内项目的建设方案研究，优化项目选址选线范围，避让重要生态功能区，少占或不占永久基本农田。统筹考虑已建、在建和待建项目，编制交通基础设施国土空间控制规划，解决项目涉及敏感区域的问题，实现交通项目线位、点位等空间资源有效预控。</w:t>
      </w:r>
    </w:p>
    <w:bookmarkEnd w:id="129"/>
    <w:p>
      <w:pPr>
        <w:widowControl w:val="0"/>
        <w:adjustRightInd w:val="0"/>
        <w:snapToGrid w:val="0"/>
        <w:spacing w:before="381" w:beforeLines="100" w:line="360" w:lineRule="auto"/>
        <w:ind w:firstLine="0" w:firstLineChars="0"/>
        <w:jc w:val="both"/>
        <w:outlineLvl w:val="0"/>
        <w:rPr>
          <w:rFonts w:ascii="仿宋_GB2312" w:hAnsi="仿宋_GB2312" w:eastAsia="仿宋_GB2312" w:cs="仿宋_GB2312"/>
          <w:bCs/>
          <w:sz w:val="32"/>
          <w:szCs w:val="32"/>
        </w:rPr>
        <w:sectPr>
          <w:pgSz w:w="11906" w:h="16838"/>
          <w:pgMar w:top="1440" w:right="1797" w:bottom="1440" w:left="1797" w:header="851" w:footer="851" w:gutter="0"/>
          <w:pgNumType w:fmt="numberInDash"/>
          <w:cols w:space="720" w:num="1"/>
          <w:docGrid w:type="lines" w:linePitch="381" w:charSpace="0"/>
        </w:sectPr>
      </w:pPr>
    </w:p>
    <w:p>
      <w:pPr>
        <w:pStyle w:val="2"/>
        <w:spacing w:after="381"/>
      </w:pPr>
      <w:bookmarkStart w:id="132" w:name="_Toc4339"/>
      <w:r>
        <w:rPr>
          <w:rFonts w:hint="eastAsia"/>
          <w:lang w:val="zh-CN"/>
        </w:rPr>
        <w:t>强化保障措施</w:t>
      </w:r>
      <w:bookmarkEnd w:id="132"/>
    </w:p>
    <w:p>
      <w:pPr>
        <w:pStyle w:val="143"/>
        <w:ind w:firstLine="640"/>
      </w:pPr>
      <w:bookmarkStart w:id="133" w:name="_Toc23784"/>
      <w:r>
        <w:rPr>
          <w:rFonts w:hint="eastAsia"/>
        </w:rPr>
        <w:t>加强组织保障</w:t>
      </w:r>
      <w:bookmarkEnd w:id="133"/>
    </w:p>
    <w:p>
      <w:pPr>
        <w:widowControl w:val="0"/>
        <w:snapToGrid w:val="0"/>
        <w:spacing w:line="560" w:lineRule="exact"/>
        <w:ind w:firstLine="640"/>
        <w:jc w:val="both"/>
        <w:rPr>
          <w:rFonts w:ascii="仿宋_GB2312" w:hAnsi="仿宋_GB2312" w:eastAsia="仿宋_GB2312" w:cs="仿宋_GB2312"/>
          <w:bCs/>
          <w:sz w:val="32"/>
          <w:szCs w:val="32"/>
          <w:lang w:bidi="ar"/>
        </w:rPr>
      </w:pPr>
      <w:bookmarkStart w:id="134" w:name="_Hlk118215906"/>
      <w:r>
        <w:rPr>
          <w:rFonts w:hint="eastAsia" w:ascii="仿宋_GB2312" w:hAnsi="仿宋_GB2312" w:eastAsia="仿宋_GB2312" w:cs="仿宋_GB2312"/>
          <w:bCs/>
          <w:sz w:val="32"/>
          <w:szCs w:val="32"/>
          <w:lang w:bidi="ar"/>
        </w:rPr>
        <w:t>由韶关市人民政府牵头成立跨部门、多层面的统筹协调小组，强化部门协同和上下联动，形成各方式、各部门间的工作对接机制，对重大问题加强统筹协调和指导，优化审批流程，加快审批进度，及时研究协调重大项目前期工作中涉及土地、选址、环保、资金等方面的突出问题。做好本规划与国土空间开发、重大产业布局、生态环境保护等规划的衔接，针对重点交通项目建设，由领导小组牵头组织各相关部门负责人共同参与，统一协调交通建设与运营的重大问题。完善政府主导、市场运作、企业化管理模式，充分发挥政府在交通基础设施直接投资、划拨土地、环境控制、交通配套工程等方面的服务以及行业管理、安全生产、空防安全、维护市场公平等方面的监督中主导作用，企业则应确立市场主体地位，建立真正意义上的企业管理模式和市场化运营机制，加强国际、区域和城市竞争力。</w:t>
      </w:r>
    </w:p>
    <w:bookmarkEnd w:id="134"/>
    <w:p>
      <w:pPr>
        <w:pStyle w:val="143"/>
        <w:ind w:firstLine="640"/>
      </w:pPr>
      <w:bookmarkStart w:id="135" w:name="_Toc32735"/>
      <w:r>
        <w:rPr>
          <w:rFonts w:hint="eastAsia"/>
        </w:rPr>
        <w:t>强化资金保障</w:t>
      </w:r>
      <w:bookmarkEnd w:id="135"/>
    </w:p>
    <w:p>
      <w:pPr>
        <w:widowControl w:val="0"/>
        <w:snapToGrid w:val="0"/>
        <w:spacing w:line="560" w:lineRule="exact"/>
        <w:ind w:firstLine="640"/>
        <w:jc w:val="both"/>
        <w:rPr>
          <w:rFonts w:ascii="仿宋_GB2312" w:hAnsi="仿宋_GB2312" w:eastAsia="仿宋_GB2312" w:cs="仿宋_GB2312"/>
          <w:bCs/>
          <w:sz w:val="32"/>
          <w:szCs w:val="32"/>
          <w:lang w:bidi="ar"/>
        </w:rPr>
      </w:pPr>
      <w:bookmarkStart w:id="136" w:name="_Hlk118216007"/>
      <w:r>
        <w:rPr>
          <w:rFonts w:hint="eastAsia" w:ascii="仿宋_GB2312" w:hAnsi="仿宋_GB2312" w:eastAsia="仿宋_GB2312" w:cs="仿宋_GB2312"/>
          <w:bCs/>
          <w:sz w:val="32"/>
          <w:szCs w:val="32"/>
          <w:lang w:bidi="ar"/>
        </w:rPr>
        <w:t>紧抓粤港澳大湾区建设、乡村振兴、新时代支持革命老区振兴发展等重大政策机遇，主动加强与周边省市的区域协作，推动重大项目列入国家和省级上位规划统筹建设，积极争取国家和省级层面在政策、技术和资金等方面对韶关交通运输业发展的支持，共同推进韶关综合交通运输体系建设。统筹各级资金加大对交通基础设施建设的支持力度，按照市级与县级财政事权和支出责任落实交通运输领域资金保障。深化交通投融资改革,拓宽融资渠道，加大预算内投资和一般债权、专项债权对交通建设的支持力度。推动交通项目与土地资源及产业、旅游等经营性项目一体化开发，将交通专项资金按照预算管理有关规定申报年度部门预算，加强项目池、资金池、资源池对接，防范新增政府债务风险。</w:t>
      </w:r>
    </w:p>
    <w:bookmarkEnd w:id="136"/>
    <w:p>
      <w:pPr>
        <w:pStyle w:val="143"/>
        <w:ind w:firstLine="640"/>
      </w:pPr>
      <w:bookmarkStart w:id="137" w:name="_Hlk118216052"/>
      <w:bookmarkStart w:id="138" w:name="_Toc4454"/>
      <w:r>
        <w:rPr>
          <w:rFonts w:hint="eastAsia"/>
        </w:rPr>
        <w:t>强化用地保障</w:t>
      </w:r>
      <w:bookmarkEnd w:id="137"/>
      <w:bookmarkEnd w:id="138"/>
    </w:p>
    <w:p>
      <w:pPr>
        <w:widowControl w:val="0"/>
        <w:snapToGrid w:val="0"/>
        <w:spacing w:line="560" w:lineRule="exact"/>
        <w:ind w:firstLine="640"/>
        <w:jc w:val="both"/>
        <w:rPr>
          <w:rFonts w:ascii="仿宋_GB2312" w:hAnsi="仿宋_GB2312" w:eastAsia="仿宋_GB2312" w:cs="仿宋_GB2312"/>
          <w:bCs/>
          <w:sz w:val="32"/>
          <w:szCs w:val="32"/>
          <w:lang w:bidi="ar"/>
        </w:rPr>
      </w:pPr>
      <w:bookmarkStart w:id="139" w:name="_Hlk118216064"/>
      <w:r>
        <w:rPr>
          <w:rFonts w:hint="eastAsia" w:ascii="仿宋_GB2312" w:hAnsi="仿宋_GB2312" w:eastAsia="仿宋_GB2312" w:cs="仿宋_GB2312"/>
          <w:bCs/>
          <w:sz w:val="32"/>
          <w:szCs w:val="32"/>
          <w:lang w:bidi="ar"/>
        </w:rPr>
        <w:t>以国土空间规划的“一张图”为依据，统一底图、统一标准，建立韶关市综合立体交通网重大项目库以及交通规划成果空间数据库，针对近期重大建设项目，结合国土空间规划实现“定坐标、划红线、控用地”。针对中远期储备项目、展望项目，适度超前，留足弹性空间，做好重大交通基础设施的空间“留白”，同时建立规划定期评估和动态调整机制，确保空间资源存量与增量的有机统一、开发与保护的统筹协调。工程实施要加强与国土空间“三区三线”的协调，强化资源空间复合利用，突出综合与立体思维，提高交通建设资源利用效率，盘活闲置交通用地资源。</w:t>
      </w:r>
    </w:p>
    <w:bookmarkEnd w:id="139"/>
    <w:p>
      <w:pPr>
        <w:pStyle w:val="143"/>
        <w:ind w:firstLine="640"/>
      </w:pPr>
      <w:bookmarkStart w:id="140" w:name="_Toc191"/>
      <w:r>
        <w:rPr>
          <w:rFonts w:hint="eastAsia"/>
        </w:rPr>
        <w:t>加强实施管理</w:t>
      </w:r>
      <w:bookmarkEnd w:id="140"/>
    </w:p>
    <w:p>
      <w:pPr>
        <w:widowControl w:val="0"/>
        <w:snapToGrid w:val="0"/>
        <w:spacing w:line="560" w:lineRule="exact"/>
        <w:ind w:firstLine="640"/>
        <w:jc w:val="both"/>
        <w:rPr>
          <w:rFonts w:ascii="仿宋_GB2312" w:hAnsi="仿宋_GB2312" w:eastAsia="仿宋_GB2312" w:cs="仿宋_GB2312"/>
          <w:bCs/>
          <w:sz w:val="32"/>
          <w:szCs w:val="32"/>
          <w:lang w:bidi="ar"/>
        </w:rPr>
      </w:pPr>
      <w:bookmarkStart w:id="141" w:name="_Hlk118216251"/>
      <w:r>
        <w:rPr>
          <w:rFonts w:hint="eastAsia" w:ascii="仿宋_GB2312" w:hAnsi="仿宋_GB2312" w:eastAsia="仿宋_GB2312" w:cs="仿宋_GB2312"/>
          <w:bCs/>
          <w:sz w:val="32"/>
          <w:szCs w:val="32"/>
          <w:lang w:bidi="ar"/>
        </w:rPr>
        <w:t>强化综合立体交通网规划的约束性，市级有关部门、各县(市、区)政府要加强相关规划与综合立体交通网规划的衔接。要紧密结合发展实际，按年度细化落实规划确定的主要目标和重点任务，确保韶关综合立体交通运输发展的重大项目、重大工程有序推进。建立健全规划项目实施的全过程监督机制，在项目立项、工可、招投标、实施、验收的各领域各环节，加强质量、进度、资金的监督管理。在规划实施完成后，按照国家相关行业管理部门及省市交通主管部门规定开展公路基础设施建设项目后评价工作，保证规划项目实施的工程质量，确保规划目标的有效实现。将重大交通基础设施项目推进的相关工作任务完成情况纳入年度考核范畴，形成共同推进的工作格局，确保规划落到实处。</w:t>
      </w:r>
    </w:p>
    <w:bookmarkEnd w:id="141"/>
    <w:p>
      <w:pPr>
        <w:widowControl w:val="0"/>
        <w:snapToGrid w:val="0"/>
        <w:spacing w:line="560" w:lineRule="exact"/>
        <w:ind w:firstLine="640"/>
        <w:jc w:val="both"/>
        <w:rPr>
          <w:rFonts w:ascii="仿宋_GB2312" w:hAnsi="仿宋_GB2312" w:eastAsia="仿宋_GB2312" w:cs="仿宋_GB2312"/>
          <w:bCs/>
          <w:sz w:val="32"/>
          <w:szCs w:val="32"/>
          <w:lang w:bidi="ar"/>
        </w:rPr>
      </w:pPr>
    </w:p>
    <w:p>
      <w:pPr>
        <w:widowControl w:val="0"/>
        <w:adjustRightInd w:val="0"/>
        <w:snapToGrid w:val="0"/>
        <w:spacing w:before="381" w:beforeLines="100" w:after="381" w:afterLines="100" w:line="240" w:lineRule="auto"/>
        <w:ind w:firstLine="0" w:firstLineChars="0"/>
        <w:jc w:val="both"/>
        <w:outlineLvl w:val="0"/>
        <w:rPr>
          <w:rFonts w:ascii="仿宋_GB2312" w:hAnsi="仿宋_GB2312" w:eastAsia="仿宋_GB2312" w:cs="仿宋_GB2312"/>
          <w:bCs/>
          <w:sz w:val="32"/>
          <w:szCs w:val="32"/>
          <w:lang w:val="zh-CN"/>
        </w:rPr>
        <w:sectPr>
          <w:pgSz w:w="11906" w:h="16838"/>
          <w:pgMar w:top="1440" w:right="1797" w:bottom="1440" w:left="1797" w:header="851" w:footer="851" w:gutter="0"/>
          <w:pgNumType w:fmt="numberInDash"/>
          <w:cols w:space="720" w:num="1"/>
          <w:docGrid w:type="lines" w:linePitch="381" w:charSpace="0"/>
        </w:sectPr>
      </w:pPr>
      <w:bookmarkStart w:id="142" w:name="_Toc39766713"/>
      <w:bookmarkStart w:id="143" w:name="_Toc83739246"/>
      <w:bookmarkStart w:id="144" w:name="_Toc77587782"/>
      <w:bookmarkStart w:id="145" w:name="_Toc39766492"/>
      <w:bookmarkStart w:id="146" w:name="_Toc49098227"/>
    </w:p>
    <w:p>
      <w:pPr>
        <w:widowControl w:val="0"/>
        <w:adjustRightInd w:val="0"/>
        <w:snapToGrid w:val="0"/>
        <w:spacing w:before="381" w:beforeLines="100" w:line="240" w:lineRule="auto"/>
        <w:ind w:firstLine="0" w:firstLineChars="0"/>
        <w:jc w:val="center"/>
        <w:outlineLvl w:val="0"/>
        <w:rPr>
          <w:rFonts w:ascii="黑体" w:hAnsi="黑体" w:eastAsia="黑体" w:cs="黑体"/>
          <w:bCs/>
          <w:sz w:val="32"/>
          <w:szCs w:val="32"/>
          <w:lang w:val="zh-CN"/>
        </w:rPr>
      </w:pPr>
      <w:bookmarkStart w:id="147" w:name="_Toc118385074"/>
      <w:bookmarkStart w:id="148" w:name="_Toc109205102"/>
      <w:bookmarkStart w:id="149" w:name="_Toc19798"/>
      <w:r>
        <w:rPr>
          <w:rFonts w:hint="eastAsia" w:ascii="黑体" w:hAnsi="黑体" w:eastAsia="黑体" w:cs="黑体"/>
          <w:bCs/>
          <w:sz w:val="32"/>
          <w:szCs w:val="32"/>
          <w:lang w:val="zh-CN"/>
        </w:rPr>
        <w:t>附表</w:t>
      </w:r>
      <w:bookmarkEnd w:id="147"/>
      <w:bookmarkEnd w:id="148"/>
      <w:r>
        <w:rPr>
          <w:rFonts w:hint="eastAsia" w:ascii="黑体" w:hAnsi="黑体" w:eastAsia="黑体" w:cs="黑体"/>
          <w:bCs/>
          <w:sz w:val="32"/>
          <w:szCs w:val="32"/>
          <w:lang w:val="zh-CN"/>
        </w:rPr>
        <w:t xml:space="preserve">1 </w:t>
      </w:r>
      <w:bookmarkEnd w:id="149"/>
      <w:r>
        <w:rPr>
          <w:rFonts w:hint="eastAsia" w:ascii="黑体" w:hAnsi="黑体" w:eastAsia="黑体" w:cs="黑体"/>
          <w:bCs/>
          <w:sz w:val="32"/>
          <w:szCs w:val="32"/>
          <w:lang w:val="zh-CN"/>
        </w:rPr>
        <w:t>韶关市综合立体交通网高质量发展指标表</w:t>
      </w:r>
    </w:p>
    <w:tbl>
      <w:tblPr>
        <w:tblStyle w:val="28"/>
        <w:tblW w:w="520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26"/>
        <w:gridCol w:w="726"/>
        <w:gridCol w:w="3018"/>
        <w:gridCol w:w="1134"/>
        <w:gridCol w:w="1036"/>
        <w:gridCol w:w="1073"/>
        <w:gridCol w:w="115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exact"/>
          <w:jc w:val="center"/>
        </w:trPr>
        <w:tc>
          <w:tcPr>
            <w:tcW w:w="409" w:type="pct"/>
            <w:tcBorders>
              <w:top w:val="single" w:color="auto" w:sz="2" w:space="0"/>
              <w:left w:val="single" w:color="auto" w:sz="2" w:space="0"/>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属性</w:t>
            </w:r>
          </w:p>
        </w:tc>
        <w:tc>
          <w:tcPr>
            <w:tcW w:w="409"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序号</w:t>
            </w:r>
          </w:p>
        </w:tc>
        <w:tc>
          <w:tcPr>
            <w:tcW w:w="1701"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指标名称</w:t>
            </w:r>
          </w:p>
        </w:tc>
        <w:tc>
          <w:tcPr>
            <w:tcW w:w="639"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2020年</w:t>
            </w:r>
          </w:p>
        </w:tc>
        <w:tc>
          <w:tcPr>
            <w:tcW w:w="584"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2025年</w:t>
            </w:r>
          </w:p>
        </w:tc>
        <w:tc>
          <w:tcPr>
            <w:tcW w:w="605"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2035年</w:t>
            </w:r>
          </w:p>
        </w:tc>
        <w:tc>
          <w:tcPr>
            <w:tcW w:w="650"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2050年</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restart"/>
            <w:tcBorders>
              <w:top w:val="single" w:color="auto" w:sz="2" w:space="0"/>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便捷</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顺畅</w:t>
            </w: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高速铁路县级节点</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覆盖率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40</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乡镇节点20分钟进入</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高快速网实现率（%）</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65</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85</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95</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建制村快递服务</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通达率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61" w:hRule="exact"/>
          <w:jc w:val="center"/>
        </w:trPr>
        <w:tc>
          <w:tcPr>
            <w:tcW w:w="409" w:type="pct"/>
            <w:vMerge w:val="restart"/>
            <w:tcBorders>
              <w:top w:val="single" w:color="auto" w:sz="2" w:space="0"/>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经济</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高效</w:t>
            </w: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综合立体交通网主骨架能力利用率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65</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75</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7"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两种以上运输方式</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复合通道数（条）</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多集散方式综合交通</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枢纽个数（个）</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65" w:hRule="exact"/>
          <w:jc w:val="center"/>
        </w:trPr>
        <w:tc>
          <w:tcPr>
            <w:tcW w:w="409" w:type="pct"/>
            <w:vMerge w:val="continue"/>
            <w:tcBorders>
              <w:left w:val="single" w:color="auto" w:sz="2" w:space="0"/>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铁路、水运等集约</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运输方式货运周转量占比（%）</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68</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restart"/>
            <w:tcBorders>
              <w:top w:val="single" w:color="auto" w:sz="2" w:space="0"/>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绿色</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集约</w:t>
            </w: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交通基础设施绿色化</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建设比例</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95</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清洁能源及新能源</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公交车占比（%）</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高速公路服务区充电</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设施覆盖率（%）</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中心城区绿色交通</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vertAlign w:val="superscript"/>
                <w:lang w:bidi="ar"/>
              </w:rPr>
            </w:pPr>
            <w:r>
              <w:rPr>
                <w:rFonts w:hint="eastAsia" w:ascii="仿宋_GB2312" w:hAnsi="仿宋_GB2312" w:eastAsia="仿宋_GB2312" w:cs="仿宋_GB2312"/>
                <w:kern w:val="0"/>
                <w:sz w:val="32"/>
                <w:szCs w:val="32"/>
                <w:lang w:bidi="ar"/>
              </w:rPr>
              <w:t>出行分担率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restart"/>
            <w:tcBorders>
              <w:top w:val="single" w:color="auto" w:sz="2" w:space="0"/>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智慧</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先进</w:t>
            </w: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基础设施数字化</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vertAlign w:val="superscript"/>
                <w:lang w:bidi="ar"/>
              </w:rPr>
            </w:pPr>
            <w:r>
              <w:rPr>
                <w:rFonts w:hint="eastAsia" w:ascii="仿宋_GB2312" w:hAnsi="仿宋_GB2312" w:eastAsia="仿宋_GB2312" w:cs="仿宋_GB2312"/>
                <w:kern w:val="0"/>
                <w:sz w:val="32"/>
                <w:szCs w:val="32"/>
                <w:lang w:bidi="ar"/>
              </w:rPr>
              <w:t>覆盖率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智慧高速公路</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占比（%）</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restart"/>
            <w:tcBorders>
              <w:top w:val="single" w:color="auto" w:sz="2" w:space="0"/>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安全</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可靠</w:t>
            </w: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道路运输事故死亡</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人数下降率（%）</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综合立体交通网</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安全设施完好率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92</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bookmarkEnd w:id="142"/>
      <w:bookmarkEnd w:id="143"/>
      <w:bookmarkEnd w:id="144"/>
      <w:bookmarkEnd w:id="145"/>
      <w:bookmarkEnd w:id="146"/>
    </w:tbl>
    <w:p>
      <w:pPr>
        <w:widowControl w:val="0"/>
        <w:adjustRightInd w:val="0"/>
        <w:snapToGrid w:val="0"/>
        <w:spacing w:before="381" w:beforeLines="100" w:line="240" w:lineRule="auto"/>
        <w:ind w:firstLine="0" w:firstLineChars="0"/>
        <w:jc w:val="center"/>
        <w:outlineLvl w:val="0"/>
        <w:rPr>
          <w:rFonts w:ascii="黑体" w:hAnsi="黑体" w:eastAsia="黑体" w:cs="黑体"/>
          <w:bCs/>
          <w:sz w:val="32"/>
          <w:szCs w:val="32"/>
        </w:rPr>
      </w:pPr>
      <w:bookmarkStart w:id="150" w:name="_Toc17496"/>
      <w:r>
        <w:rPr>
          <w:rFonts w:hint="eastAsia" w:ascii="黑体" w:hAnsi="黑体" w:eastAsia="黑体" w:cs="黑体"/>
          <w:bCs/>
          <w:sz w:val="32"/>
          <w:szCs w:val="32"/>
        </w:rPr>
        <w:t xml:space="preserve">附表2 </w:t>
      </w:r>
      <w:bookmarkEnd w:id="150"/>
      <w:r>
        <w:rPr>
          <w:rFonts w:hint="eastAsia" w:ascii="黑体" w:hAnsi="黑体" w:eastAsia="黑体" w:cs="黑体"/>
          <w:bCs/>
          <w:sz w:val="32"/>
          <w:szCs w:val="32"/>
        </w:rPr>
        <w:t>韶关市综合立体交通网规模指标表</w:t>
      </w:r>
    </w:p>
    <w:tbl>
      <w:tblPr>
        <w:tblStyle w:val="28"/>
        <w:tblW w:w="5300" w:type="pct"/>
        <w:jc w:val="center"/>
        <w:tblLayout w:type="fixed"/>
        <w:tblCellMar>
          <w:top w:w="0" w:type="dxa"/>
          <w:left w:w="108" w:type="dxa"/>
          <w:bottom w:w="0" w:type="dxa"/>
          <w:right w:w="108" w:type="dxa"/>
        </w:tblCellMar>
      </w:tblPr>
      <w:tblGrid>
        <w:gridCol w:w="2962"/>
        <w:gridCol w:w="2336"/>
        <w:gridCol w:w="1234"/>
        <w:gridCol w:w="1187"/>
        <w:gridCol w:w="1314"/>
      </w:tblGrid>
      <w:tr>
        <w:tblPrEx>
          <w:tblCellMar>
            <w:top w:w="0" w:type="dxa"/>
            <w:left w:w="108" w:type="dxa"/>
            <w:bottom w:w="0" w:type="dxa"/>
            <w:right w:w="108" w:type="dxa"/>
          </w:tblCellMar>
        </w:tblPrEx>
        <w:trPr>
          <w:trHeight w:val="567" w:hRule="exact"/>
          <w:jc w:val="center"/>
        </w:trPr>
        <w:tc>
          <w:tcPr>
            <w:tcW w:w="163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val="0"/>
              <w:tabs>
                <w:tab w:val="left" w:pos="0"/>
              </w:tabs>
              <w:spacing w:line="460" w:lineRule="exact"/>
              <w:ind w:left="-140" w:leftChars="-50" w:right="-140" w:rightChars="-50" w:firstLine="0" w:firstLineChars="0"/>
              <w:jc w:val="center"/>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指标名称</w:t>
            </w:r>
          </w:p>
        </w:tc>
        <w:tc>
          <w:tcPr>
            <w:tcW w:w="1292" w:type="pct"/>
            <w:tcBorders>
              <w:top w:val="single" w:color="auto" w:sz="4" w:space="0"/>
              <w:left w:val="nil"/>
              <w:bottom w:val="single" w:color="auto" w:sz="4" w:space="0"/>
              <w:right w:val="single" w:color="auto" w:sz="4" w:space="0"/>
            </w:tcBorders>
            <w:shd w:val="clear" w:color="auto" w:fill="auto"/>
            <w:noWrap/>
            <w:vAlign w:val="center"/>
          </w:tcPr>
          <w:p>
            <w:pPr>
              <w:widowControl w:val="0"/>
              <w:tabs>
                <w:tab w:val="left" w:pos="0"/>
              </w:tabs>
              <w:spacing w:line="460" w:lineRule="exact"/>
              <w:ind w:left="-140" w:leftChars="-50" w:right="-140" w:rightChars="-50" w:firstLine="0" w:firstLineChars="0"/>
              <w:jc w:val="center"/>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单位</w:t>
            </w:r>
          </w:p>
        </w:tc>
        <w:tc>
          <w:tcPr>
            <w:tcW w:w="683" w:type="pct"/>
            <w:tcBorders>
              <w:top w:val="single" w:color="auto" w:sz="4" w:space="0"/>
              <w:left w:val="nil"/>
              <w:bottom w:val="single" w:color="auto" w:sz="4" w:space="0"/>
              <w:right w:val="single" w:color="auto" w:sz="4" w:space="0"/>
            </w:tcBorders>
            <w:shd w:val="clear" w:color="auto" w:fill="auto"/>
            <w:noWrap/>
            <w:vAlign w:val="center"/>
          </w:tcPr>
          <w:p>
            <w:pPr>
              <w:widowControl w:val="0"/>
              <w:tabs>
                <w:tab w:val="left" w:pos="0"/>
              </w:tabs>
              <w:spacing w:line="460" w:lineRule="exact"/>
              <w:ind w:left="-140" w:leftChars="-50" w:right="-140" w:rightChars="-50" w:firstLine="0" w:firstLineChars="0"/>
              <w:jc w:val="center"/>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2020年</w:t>
            </w:r>
          </w:p>
        </w:tc>
        <w:tc>
          <w:tcPr>
            <w:tcW w:w="657" w:type="pct"/>
            <w:tcBorders>
              <w:top w:val="single" w:color="auto" w:sz="4" w:space="0"/>
              <w:left w:val="nil"/>
              <w:bottom w:val="single" w:color="auto" w:sz="4" w:space="0"/>
              <w:right w:val="single" w:color="auto" w:sz="4" w:space="0"/>
            </w:tcBorders>
            <w:shd w:val="clear" w:color="auto" w:fill="auto"/>
            <w:noWrap/>
            <w:vAlign w:val="center"/>
          </w:tcPr>
          <w:p>
            <w:pPr>
              <w:widowControl w:val="0"/>
              <w:tabs>
                <w:tab w:val="left" w:pos="0"/>
              </w:tabs>
              <w:spacing w:line="460" w:lineRule="exact"/>
              <w:ind w:left="-140" w:leftChars="-50" w:right="-140" w:rightChars="-50" w:firstLine="0" w:firstLineChars="0"/>
              <w:jc w:val="center"/>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2025年</w:t>
            </w:r>
          </w:p>
        </w:tc>
        <w:tc>
          <w:tcPr>
            <w:tcW w:w="727" w:type="pct"/>
            <w:tcBorders>
              <w:top w:val="single" w:color="auto" w:sz="4" w:space="0"/>
              <w:left w:val="nil"/>
              <w:bottom w:val="single" w:color="auto" w:sz="4" w:space="0"/>
              <w:right w:val="single" w:color="auto" w:sz="4" w:space="0"/>
            </w:tcBorders>
            <w:shd w:val="clear" w:color="auto" w:fill="auto"/>
            <w:noWrap/>
            <w:vAlign w:val="center"/>
          </w:tcPr>
          <w:p>
            <w:pPr>
              <w:widowControl w:val="0"/>
              <w:tabs>
                <w:tab w:val="left" w:pos="0"/>
              </w:tabs>
              <w:spacing w:line="460" w:lineRule="exact"/>
              <w:ind w:left="-140" w:leftChars="-50" w:right="-140" w:rightChars="-50" w:firstLine="0" w:firstLineChars="0"/>
              <w:jc w:val="center"/>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2035年</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1.铁路网</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491.1</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491.1</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687.1</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2.铁路网密度</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公里/百平方公里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2.7</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2.7</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3.8</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高速铁路</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118</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118</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118</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普速铁路</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315</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315</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494</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城际铁路</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铁路专用线</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58.1</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58.1</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75.1</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3.公路网</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17075.8</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18000</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19800</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4.公路网密度</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公里/百平方公里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92.7</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98.8</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108.7</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高速公路</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688.9</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800</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1034</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高速公路网密度</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公里/百平方公里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3.8</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4.4</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5.7</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一二级公路</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1051.2</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1650</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1810</w:t>
            </w:r>
          </w:p>
        </w:tc>
      </w:tr>
      <w:tr>
        <w:tblPrEx>
          <w:tblCellMar>
            <w:top w:w="0" w:type="dxa"/>
            <w:left w:w="108" w:type="dxa"/>
            <w:bottom w:w="0" w:type="dxa"/>
            <w:right w:w="108" w:type="dxa"/>
          </w:tblCellMar>
        </w:tblPrEx>
        <w:trPr>
          <w:trHeight w:val="851" w:hRule="exact"/>
          <w:jc w:val="center"/>
        </w:trPr>
        <w:tc>
          <w:tcPr>
            <w:tcW w:w="1639" w:type="pct"/>
            <w:tcBorders>
              <w:top w:val="nil"/>
              <w:left w:val="single" w:color="auto" w:sz="4" w:space="0"/>
              <w:bottom w:val="single" w:color="auto" w:sz="4" w:space="0"/>
              <w:right w:val="single" w:color="auto" w:sz="4" w:space="0"/>
            </w:tcBorders>
            <w:shd w:val="clear" w:color="auto" w:fill="auto"/>
            <w:vAlign w:val="center"/>
          </w:tcPr>
          <w:p>
            <w:pPr>
              <w:widowControl w:val="0"/>
              <w:spacing w:line="300" w:lineRule="exact"/>
              <w:ind w:left="-140" w:leftChars="-50" w:right="-140" w:rightChars="-50" w:firstLine="480" w:firstLineChars="150"/>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普通国道二级</w:t>
            </w:r>
          </w:p>
          <w:p>
            <w:pPr>
              <w:widowControl w:val="0"/>
              <w:spacing w:line="300" w:lineRule="exact"/>
              <w:ind w:left="-140" w:leftChars="-50" w:right="-140" w:rightChars="-50" w:firstLine="480" w:firstLineChars="150"/>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及以上占比</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72</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95</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CellMar>
            <w:top w:w="0" w:type="dxa"/>
            <w:left w:w="108" w:type="dxa"/>
            <w:bottom w:w="0" w:type="dxa"/>
            <w:right w:w="108" w:type="dxa"/>
          </w:tblCellMar>
        </w:tblPrEx>
        <w:trPr>
          <w:trHeight w:val="851" w:hRule="exact"/>
          <w:jc w:val="center"/>
        </w:trPr>
        <w:tc>
          <w:tcPr>
            <w:tcW w:w="1639" w:type="pct"/>
            <w:tcBorders>
              <w:top w:val="nil"/>
              <w:left w:val="single" w:color="auto" w:sz="4" w:space="0"/>
              <w:bottom w:val="single" w:color="auto" w:sz="4" w:space="0"/>
              <w:right w:val="single" w:color="auto" w:sz="4" w:space="0"/>
            </w:tcBorders>
            <w:shd w:val="clear" w:color="auto" w:fill="auto"/>
            <w:vAlign w:val="center"/>
          </w:tcPr>
          <w:p>
            <w:pPr>
              <w:widowControl w:val="0"/>
              <w:spacing w:line="300" w:lineRule="exact"/>
              <w:ind w:left="-140" w:leftChars="-50" w:right="-140" w:rightChars="-50" w:firstLine="480" w:firstLineChars="150"/>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普通省道三级</w:t>
            </w:r>
          </w:p>
          <w:p>
            <w:pPr>
              <w:widowControl w:val="0"/>
              <w:spacing w:line="300" w:lineRule="exact"/>
              <w:ind w:left="-140" w:leftChars="-50" w:right="-140" w:rightChars="-50" w:firstLine="480" w:firstLineChars="150"/>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及以上占比</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55.1</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90</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5.内河航道</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698</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698</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822</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6.千吨级泊位</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个</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0</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33</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120</w:t>
            </w:r>
          </w:p>
        </w:tc>
      </w:tr>
      <w:tr>
        <w:tblPrEx>
          <w:tblCellMar>
            <w:top w:w="0" w:type="dxa"/>
            <w:left w:w="108" w:type="dxa"/>
            <w:bottom w:w="0" w:type="dxa"/>
            <w:right w:w="108" w:type="dxa"/>
          </w:tblCellMar>
        </w:tblPrEx>
        <w:trPr>
          <w:trHeight w:val="851" w:hRule="exact"/>
          <w:jc w:val="center"/>
        </w:trPr>
        <w:tc>
          <w:tcPr>
            <w:tcW w:w="1639" w:type="pct"/>
            <w:tcBorders>
              <w:top w:val="nil"/>
              <w:left w:val="single" w:color="auto" w:sz="4" w:space="0"/>
              <w:bottom w:val="single" w:color="auto" w:sz="4" w:space="0"/>
              <w:right w:val="single" w:color="auto" w:sz="4" w:space="0"/>
            </w:tcBorders>
            <w:shd w:val="clear" w:color="auto" w:fill="auto"/>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7.丹霞机场客运吞吐量</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万人</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0</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50</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8.通用机场数量</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个</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0</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9.天然气管道</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64.53　</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294　</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待定</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10.邮政快递业务量</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亿件</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　0.47</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0.76　</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1.96　</w:t>
            </w:r>
          </w:p>
        </w:tc>
      </w:tr>
    </w:tbl>
    <w:p>
      <w:pPr>
        <w:widowControl w:val="0"/>
        <w:adjustRightInd w:val="0"/>
        <w:snapToGrid w:val="0"/>
        <w:spacing w:before="381" w:beforeLines="100" w:line="240" w:lineRule="auto"/>
        <w:ind w:firstLine="0" w:firstLineChars="0"/>
        <w:jc w:val="both"/>
        <w:outlineLvl w:val="0"/>
        <w:rPr>
          <w:rFonts w:hint="eastAsia" w:ascii="黑体" w:hAnsi="黑体" w:eastAsia="黑体" w:cs="黑体"/>
          <w:bCs/>
          <w:sz w:val="32"/>
          <w:szCs w:val="32"/>
        </w:rPr>
      </w:pPr>
    </w:p>
    <w:p>
      <w:pPr>
        <w:widowControl w:val="0"/>
        <w:adjustRightInd w:val="0"/>
        <w:snapToGrid w:val="0"/>
        <w:spacing w:before="381" w:beforeLines="100" w:line="240" w:lineRule="auto"/>
        <w:ind w:firstLine="0" w:firstLineChars="0"/>
        <w:jc w:val="both"/>
        <w:outlineLvl w:val="0"/>
        <w:rPr>
          <w:rFonts w:hint="eastAsia" w:ascii="黑体" w:hAnsi="黑体" w:eastAsia="黑体" w:cs="黑体"/>
          <w:bCs/>
          <w:sz w:val="32"/>
          <w:szCs w:val="32"/>
        </w:rPr>
      </w:pPr>
    </w:p>
    <w:p>
      <w:pPr>
        <w:widowControl w:val="0"/>
        <w:adjustRightInd w:val="0"/>
        <w:snapToGrid w:val="0"/>
        <w:spacing w:before="381" w:beforeLines="100" w:line="240" w:lineRule="auto"/>
        <w:ind w:firstLine="0" w:firstLineChars="0"/>
        <w:jc w:val="both"/>
        <w:rPr>
          <w:rFonts w:ascii="楷体" w:hAnsi="楷体" w:eastAsia="楷体" w:cs="华文中宋"/>
          <w:bCs/>
          <w:sz w:val="32"/>
          <w:szCs w:val="32"/>
        </w:rPr>
        <w:sectPr>
          <w:pgSz w:w="11906" w:h="16838"/>
          <w:pgMar w:top="1440" w:right="1800" w:bottom="1440" w:left="1800" w:header="851" w:footer="992" w:gutter="0"/>
          <w:pgNumType w:fmt="numberInDash"/>
          <w:cols w:space="720" w:num="1"/>
          <w:docGrid w:type="lines" w:linePitch="381" w:charSpace="0"/>
        </w:sectPr>
      </w:pP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1" w:name="_Toc753"/>
      <w:r>
        <w:rPr>
          <w:rFonts w:ascii="楷体" w:hAnsi="楷体" w:eastAsia="楷体" w:cs="华文中宋"/>
          <w:bCs/>
          <w:sz w:val="32"/>
          <w:szCs w:val="32"/>
        </w:rPr>
        <w:drawing>
          <wp:anchor distT="0" distB="0" distL="0" distR="0" simplePos="0" relativeHeight="251659264" behindDoc="1" locked="0" layoutInCell="1" allowOverlap="0">
            <wp:simplePos x="0" y="0"/>
            <wp:positionH relativeFrom="column">
              <wp:posOffset>-158750</wp:posOffset>
            </wp:positionH>
            <wp:positionV relativeFrom="page">
              <wp:posOffset>944245</wp:posOffset>
            </wp:positionV>
            <wp:extent cx="14401165" cy="8634095"/>
            <wp:effectExtent l="0" t="0" r="635" b="52705"/>
            <wp:wrapThrough wrapText="bothSides">
              <wp:wrapPolygon>
                <wp:start x="0" y="0"/>
                <wp:lineTo x="0" y="21541"/>
                <wp:lineTo x="21572" y="21541"/>
                <wp:lineTo x="21572" y="0"/>
                <wp:lineTo x="0" y="0"/>
              </wp:wrapPolygon>
            </wp:wrapThrough>
            <wp:docPr id="1" name="图片 1" descr="H:\研究中心工作01\韶关综合立体交通网规划\韶关绘图\韶关JPG图件\韶关JPG图件2023.6.26\01韶关市综合运输通道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研究中心工作01\韶关综合立体交通网规划\韶关绘图\韶关JPG图件\韶关JPG图件2023.6.26\01韶关市综合运输通道示意图.jpg"/>
                    <pic:cNvPicPr>
                      <a:picLocks noChangeAspect="1" noChangeArrowheads="1"/>
                    </pic:cNvPicPr>
                  </pic:nvPicPr>
                  <pic:blipFill>
                    <a:blip r:embed="rId17" cstate="print">
                      <a:extLst>
                        <a:ext uri="{28A0092B-C50C-407E-A947-70E740481C1C}">
                          <a14:useLocalDpi xmlns:a14="http://schemas.microsoft.com/office/drawing/2010/main" val="0"/>
                        </a:ext>
                      </a:extLst>
                    </a:blip>
                    <a:srcRect l="4309" t="1252" r="1655" b="608"/>
                    <a:stretch>
                      <a:fillRect/>
                    </a:stretch>
                  </pic:blipFill>
                  <pic:spPr>
                    <a:xfrm>
                      <a:off x="0" y="0"/>
                      <a:ext cx="14401165" cy="8634095"/>
                    </a:xfrm>
                    <a:prstGeom prst="rect">
                      <a:avLst/>
                    </a:prstGeom>
                    <a:noFill/>
                    <a:ln>
                      <a:noFill/>
                    </a:ln>
                  </pic:spPr>
                </pic:pic>
              </a:graphicData>
            </a:graphic>
          </wp:anchor>
        </w:drawing>
      </w:r>
      <w:r>
        <w:rPr>
          <w:rFonts w:hint="eastAsia" w:ascii="黑体" w:hAnsi="黑体" w:eastAsia="黑体" w:cs="黑体"/>
          <w:bCs/>
          <w:sz w:val="32"/>
          <w:szCs w:val="32"/>
        </w:rPr>
        <w:t>附图1                                                      韶关市对外运输通道分布图</w:t>
      </w:r>
      <w:bookmarkEnd w:id="151"/>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2" w:name="_Toc28281"/>
      <w:r>
        <w:rPr>
          <w:rFonts w:hint="eastAsia" w:ascii="黑体" w:hAnsi="黑体" w:eastAsia="黑体" w:cs="黑体"/>
          <w:bCs/>
          <w:sz w:val="32"/>
          <w:szCs w:val="32"/>
        </w:rPr>
        <w:t>附图2                                                韶关市综合立体交通网布局总图</w:t>
      </w:r>
      <w:bookmarkEnd w:id="152"/>
    </w:p>
    <w:p>
      <w:pPr>
        <w:widowControl w:val="0"/>
        <w:adjustRightInd w:val="0"/>
        <w:snapToGrid w:val="0"/>
        <w:spacing w:line="240" w:lineRule="auto"/>
        <w:ind w:firstLine="0" w:firstLineChars="0"/>
        <w:jc w:val="both"/>
        <w:outlineLvl w:val="0"/>
        <w:rPr>
          <w:rFonts w:ascii="楷体" w:hAnsi="楷体" w:eastAsia="楷体" w:cs="华文中宋"/>
          <w:bCs/>
          <w:sz w:val="32"/>
          <w:szCs w:val="32"/>
        </w:rPr>
      </w:pP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3" w:name="_Toc16214"/>
      <w:r>
        <w:rPr>
          <w:rFonts w:ascii="楷体" w:hAnsi="楷体" w:eastAsia="楷体" w:cs="华文中宋"/>
          <w:bCs/>
          <w:sz w:val="32"/>
          <w:szCs w:val="32"/>
        </w:rPr>
        <w:drawing>
          <wp:inline distT="0" distB="0" distL="0" distR="0">
            <wp:extent cx="14074140" cy="8427720"/>
            <wp:effectExtent l="0" t="0" r="3810" b="11430"/>
            <wp:docPr id="17" name="图片 17" descr="H:\研究中心工作01\韶关综合立体交通网规划\韶关绘图\韶关JPG图件\韶关JPG图件2023.6.27\02韶关市综合立体交通网布局总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H:\研究中心工作01\韶关综合立体交通网规划\韶关绘图\韶关JPG图件\韶关JPG图件2023.6.27\02韶关市综合立体交通网布局总图.jpg"/>
                    <pic:cNvPicPr>
                      <a:picLocks noChangeAspect="1" noChangeArrowheads="1"/>
                    </pic:cNvPicPr>
                  </pic:nvPicPr>
                  <pic:blipFill>
                    <a:blip r:embed="rId18" cstate="print">
                      <a:extLst>
                        <a:ext uri="{28A0092B-C50C-407E-A947-70E740481C1C}">
                          <a14:useLocalDpi xmlns:a14="http://schemas.microsoft.com/office/drawing/2010/main" val="0"/>
                        </a:ext>
                      </a:extLst>
                    </a:blip>
                    <a:srcRect l="4345" t="1628" r="1789"/>
                    <a:stretch>
                      <a:fillRect/>
                    </a:stretch>
                  </pic:blipFill>
                  <pic:spPr>
                    <a:xfrm>
                      <a:off x="0" y="0"/>
                      <a:ext cx="14074140" cy="8427720"/>
                    </a:xfrm>
                    <a:prstGeom prst="rect">
                      <a:avLst/>
                    </a:prstGeom>
                    <a:noFill/>
                    <a:ln>
                      <a:noFill/>
                    </a:ln>
                  </pic:spPr>
                </pic:pic>
              </a:graphicData>
            </a:graphic>
          </wp:inline>
        </w:drawing>
      </w:r>
      <w:bookmarkEnd w:id="153"/>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4" w:name="_Toc13840"/>
      <w:r>
        <w:rPr>
          <w:rFonts w:ascii="楷体" w:hAnsi="楷体" w:eastAsia="楷体" w:cs="华文中宋"/>
          <w:bCs/>
          <w:sz w:val="32"/>
          <w:szCs w:val="32"/>
        </w:rPr>
        <w:drawing>
          <wp:anchor distT="0" distB="0" distL="0" distR="0" simplePos="0" relativeHeight="251660288" behindDoc="0" locked="0" layoutInCell="1" allowOverlap="1">
            <wp:simplePos x="0" y="0"/>
            <wp:positionH relativeFrom="column">
              <wp:posOffset>-77470</wp:posOffset>
            </wp:positionH>
            <wp:positionV relativeFrom="paragraph">
              <wp:posOffset>490220</wp:posOffset>
            </wp:positionV>
            <wp:extent cx="14333855" cy="8571230"/>
            <wp:effectExtent l="0" t="0" r="10795" b="1270"/>
            <wp:wrapSquare wrapText="bothSides"/>
            <wp:docPr id="3" name="图片 3" descr="H:\研究中心工作01\韶关综合立体交通网规划\韶关绘图\韶关JPG图件\韶关JPG图件2023.6.26\03韶关市轨道交通网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H:\研究中心工作01\韶关综合立体交通网规划\韶关绘图\韶关JPG图件\韶关JPG图件2023.6.26\03韶关市轨道交通网布局示意图.jpg"/>
                    <pic:cNvPicPr>
                      <a:picLocks noChangeAspect="1" noChangeArrowheads="1"/>
                    </pic:cNvPicPr>
                  </pic:nvPicPr>
                  <pic:blipFill>
                    <a:blip r:embed="rId19" cstate="print">
                      <a:extLst>
                        <a:ext uri="{28A0092B-C50C-407E-A947-70E740481C1C}">
                          <a14:useLocalDpi xmlns:a14="http://schemas.microsoft.com/office/drawing/2010/main" val="0"/>
                        </a:ext>
                      </a:extLst>
                    </a:blip>
                    <a:srcRect l="4388" t="1708" r="1864"/>
                    <a:stretch>
                      <a:fillRect/>
                    </a:stretch>
                  </pic:blipFill>
                  <pic:spPr>
                    <a:xfrm>
                      <a:off x="0" y="0"/>
                      <a:ext cx="14333855" cy="8571230"/>
                    </a:xfrm>
                    <a:prstGeom prst="rect">
                      <a:avLst/>
                    </a:prstGeom>
                    <a:noFill/>
                    <a:ln>
                      <a:noFill/>
                    </a:ln>
                  </pic:spPr>
                </pic:pic>
              </a:graphicData>
            </a:graphic>
          </wp:anchor>
        </w:drawing>
      </w:r>
      <w:r>
        <w:rPr>
          <w:rFonts w:hint="eastAsia" w:ascii="黑体" w:hAnsi="黑体" w:eastAsia="黑体" w:cs="黑体"/>
          <w:bCs/>
          <w:sz w:val="32"/>
          <w:szCs w:val="32"/>
        </w:rPr>
        <w:t>附图3                                                          韶关市轨道交通网布局示意图</w:t>
      </w:r>
      <w:bookmarkEnd w:id="154"/>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5" w:name="_Toc27360"/>
      <w:r>
        <w:rPr>
          <w:rFonts w:hint="eastAsia" w:ascii="黑体" w:hAnsi="黑体" w:eastAsia="黑体" w:cs="黑体"/>
          <w:bCs/>
          <w:sz w:val="32"/>
          <w:szCs w:val="32"/>
        </w:rPr>
        <w:t>附图4                                                韶关市高速公路网布局示意图</w:t>
      </w:r>
      <w:bookmarkEnd w:id="155"/>
    </w:p>
    <w:p>
      <w:pPr>
        <w:widowControl w:val="0"/>
        <w:adjustRightInd w:val="0"/>
        <w:snapToGrid w:val="0"/>
        <w:spacing w:line="240" w:lineRule="auto"/>
        <w:ind w:firstLine="0" w:firstLineChars="0"/>
        <w:jc w:val="both"/>
        <w:outlineLvl w:val="0"/>
        <w:rPr>
          <w:rFonts w:ascii="黑体" w:hAnsi="黑体" w:eastAsia="黑体" w:cs="黑体"/>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089380" cy="8532495"/>
            <wp:effectExtent l="0" t="0" r="7620" b="1905"/>
            <wp:docPr id="18" name="图片 18" descr="H:\研究中心工作01\韶关综合立体交通网规划\韶关绘图\韶关JPG图件\韶关JPG图件2023.6.27\04韶关市高速公路网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H:\研究中心工作01\韶关综合立体交通网规划\韶关绘图\韶关JPG图件\韶关JPG图件2023.6.27\04韶关市高速公路网布局示意图.jpg"/>
                    <pic:cNvPicPr>
                      <a:picLocks noChangeAspect="1" noChangeArrowheads="1"/>
                    </pic:cNvPicPr>
                  </pic:nvPicPr>
                  <pic:blipFill>
                    <a:blip r:embed="rId20" cstate="print">
                      <a:extLst>
                        <a:ext uri="{28A0092B-C50C-407E-A947-70E740481C1C}">
                          <a14:useLocalDpi xmlns:a14="http://schemas.microsoft.com/office/drawing/2010/main" val="0"/>
                        </a:ext>
                      </a:extLst>
                    </a:blip>
                    <a:srcRect l="4473" t="1447" r="1789"/>
                    <a:stretch>
                      <a:fillRect/>
                    </a:stretch>
                  </pic:blipFill>
                  <pic:spPr>
                    <a:xfrm>
                      <a:off x="0" y="0"/>
                      <a:ext cx="14089380" cy="853249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6" w:name="_Toc17061"/>
      <w:r>
        <w:rPr>
          <w:rFonts w:hint="eastAsia" w:ascii="黑体" w:hAnsi="黑体" w:eastAsia="黑体" w:cs="黑体"/>
          <w:bCs/>
          <w:sz w:val="32"/>
          <w:szCs w:val="32"/>
        </w:rPr>
        <w:t>附图5                                                 韶关市城市快速路及主干路网布局示意图</w:t>
      </w:r>
      <w:bookmarkEnd w:id="156"/>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305915" cy="8559165"/>
            <wp:effectExtent l="0" t="0" r="635" b="13335"/>
            <wp:docPr id="5" name="图片 5" descr="H:\研究中心工作01\韶关综合立体交通网规划\韶关绘图\韶关JPG图件\韶关JPG图件2023.6.26\05韶关市城市快速路及主干路网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H:\研究中心工作01\韶关综合立体交通网规划\韶关绘图\韶关JPG图件\韶关JPG图件2023.6.26\05韶关市城市快速路及主干路网布局示意图.jpg"/>
                    <pic:cNvPicPr>
                      <a:picLocks noChangeAspect="1" noChangeArrowheads="1"/>
                    </pic:cNvPicPr>
                  </pic:nvPicPr>
                  <pic:blipFill>
                    <a:blip r:embed="rId21" cstate="print">
                      <a:extLst>
                        <a:ext uri="{28A0092B-C50C-407E-A947-70E740481C1C}">
                          <a14:useLocalDpi xmlns:a14="http://schemas.microsoft.com/office/drawing/2010/main" val="0"/>
                        </a:ext>
                      </a:extLst>
                    </a:blip>
                    <a:srcRect l="4501" t="1556" r="1864"/>
                    <a:stretch>
                      <a:fillRect/>
                    </a:stretch>
                  </pic:blipFill>
                  <pic:spPr>
                    <a:xfrm>
                      <a:off x="0" y="0"/>
                      <a:ext cx="14305915" cy="855916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7" w:name="_Toc21802"/>
      <w:r>
        <w:rPr>
          <w:rFonts w:hint="eastAsia" w:ascii="黑体" w:hAnsi="黑体" w:eastAsia="黑体" w:cs="黑体"/>
          <w:bCs/>
          <w:sz w:val="32"/>
          <w:szCs w:val="32"/>
        </w:rPr>
        <w:t>附图6                                                   韶关市普通国省干线主骨架布局示意图</w:t>
      </w:r>
      <w:bookmarkEnd w:id="157"/>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183995" cy="8422005"/>
            <wp:effectExtent l="0" t="0" r="8255" b="17145"/>
            <wp:docPr id="6" name="图片 6" descr="H:\研究中心工作01\韶关综合立体交通网规划\韶关绘图\韶关JPG图件\韶关JPG图件2023.6.26\06韶关市普通国省干线网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H:\研究中心工作01\韶关综合立体交通网规划\韶关绘图\韶关JPG图件\韶关JPG图件2023.6.26\06韶关市普通国省干线网布局示意图.jpg"/>
                    <pic:cNvPicPr>
                      <a:picLocks noChangeAspect="1" noChangeArrowheads="1"/>
                    </pic:cNvPicPr>
                  </pic:nvPicPr>
                  <pic:blipFill>
                    <a:blip r:embed="rId22" cstate="print">
                      <a:extLst>
                        <a:ext uri="{28A0092B-C50C-407E-A947-70E740481C1C}">
                          <a14:useLocalDpi xmlns:a14="http://schemas.microsoft.com/office/drawing/2010/main" val="0"/>
                        </a:ext>
                      </a:extLst>
                    </a:blip>
                    <a:srcRect l="4388" t="1548" r="1864"/>
                    <a:stretch>
                      <a:fillRect/>
                    </a:stretch>
                  </pic:blipFill>
                  <pic:spPr>
                    <a:xfrm>
                      <a:off x="0" y="0"/>
                      <a:ext cx="14183995" cy="842200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楷体" w:hAnsi="楷体" w:eastAsia="楷体" w:cs="华文中宋"/>
          <w:bCs/>
          <w:sz w:val="32"/>
          <w:szCs w:val="32"/>
        </w:rPr>
      </w:pPr>
      <w:bookmarkStart w:id="158" w:name="_Toc6866"/>
      <w:r>
        <w:rPr>
          <w:rFonts w:hint="eastAsia" w:ascii="黑体" w:hAnsi="黑体" w:eastAsia="黑体" w:cs="黑体"/>
          <w:bCs/>
          <w:sz w:val="32"/>
          <w:szCs w:val="32"/>
        </w:rPr>
        <w:t>附图7                                                    韶关市特色旅游公路布局示意图</w:t>
      </w:r>
      <w:bookmarkEnd w:id="158"/>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196695" cy="8382635"/>
            <wp:effectExtent l="0" t="0" r="14605" b="18415"/>
            <wp:docPr id="7" name="图片 7" descr="H:\研究中心工作01\韶关综合立体交通网规划\韶关绘图\韶关JPG图件\韶关JPG图件2023.6.26\07韶关市特色旅游公路布局示意图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H:\研究中心工作01\韶关综合立体交通网规划\韶关绘图\韶关JPG图件\韶关JPG图件2023.6.26\07韶关市特色旅游公路布局示意图新.jpg"/>
                    <pic:cNvPicPr>
                      <a:picLocks noChangeAspect="1" noChangeArrowheads="1"/>
                    </pic:cNvPicPr>
                  </pic:nvPicPr>
                  <pic:blipFill>
                    <a:blip r:embed="rId23" cstate="print">
                      <a:extLst>
                        <a:ext uri="{28A0092B-C50C-407E-A947-70E740481C1C}">
                          <a14:useLocalDpi xmlns:a14="http://schemas.microsoft.com/office/drawing/2010/main" val="0"/>
                        </a:ext>
                      </a:extLst>
                    </a:blip>
                    <a:srcRect l="4388" t="1548" r="1864"/>
                    <a:stretch>
                      <a:fillRect/>
                    </a:stretch>
                  </pic:blipFill>
                  <pic:spPr>
                    <a:xfrm>
                      <a:off x="0" y="0"/>
                      <a:ext cx="14196695" cy="838263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9" w:name="_Toc12836"/>
      <w:r>
        <w:rPr>
          <w:rFonts w:hint="eastAsia" w:ascii="黑体" w:hAnsi="黑体" w:eastAsia="黑体" w:cs="黑体"/>
          <w:bCs/>
          <w:sz w:val="32"/>
          <w:szCs w:val="32"/>
        </w:rPr>
        <w:t>附图8                                                       韶关市民用机场布局示意图</w:t>
      </w:r>
      <w:bookmarkEnd w:id="159"/>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207490" cy="8609965"/>
            <wp:effectExtent l="0" t="0" r="3810" b="635"/>
            <wp:docPr id="22" name="图片 22" descr="H:\研究中心工作01\韶关综合立体交通网规划\韶关绘图\韶关JPG图件\韶关JPG图件2023.6.27\08韶关市民用机场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H:\研究中心工作01\韶关综合立体交通网规划\韶关绘图\韶关JPG图件\韶关JPG图件2023.6.27\08韶关市民用机场布局示意图.jpg"/>
                    <pic:cNvPicPr>
                      <a:picLocks noChangeAspect="1" noChangeArrowheads="1"/>
                    </pic:cNvPicPr>
                  </pic:nvPicPr>
                  <pic:blipFill>
                    <a:blip r:embed="rId24" cstate="print">
                      <a:extLst>
                        <a:ext uri="{28A0092B-C50C-407E-A947-70E740481C1C}">
                          <a14:useLocalDpi xmlns:a14="http://schemas.microsoft.com/office/drawing/2010/main" val="0"/>
                        </a:ext>
                      </a:extLst>
                    </a:blip>
                    <a:srcRect l="4508" t="1896" r="1917"/>
                    <a:stretch>
                      <a:fillRect/>
                    </a:stretch>
                  </pic:blipFill>
                  <pic:spPr>
                    <a:xfrm>
                      <a:off x="0" y="0"/>
                      <a:ext cx="14207490" cy="860996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0" w:name="_Toc21375"/>
      <w:r>
        <w:rPr>
          <w:rFonts w:hint="eastAsia" w:ascii="黑体" w:hAnsi="黑体" w:eastAsia="黑体" w:cs="黑体"/>
          <w:bCs/>
          <w:sz w:val="32"/>
          <w:szCs w:val="32"/>
        </w:rPr>
        <w:t>附图9                                                  韶关市港口及内河航道布局示意图</w:t>
      </w:r>
      <w:bookmarkEnd w:id="160"/>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087475" cy="8622030"/>
            <wp:effectExtent l="0" t="0" r="9525" b="7620"/>
            <wp:docPr id="23" name="图片 23" descr="H:\研究中心工作01\韶关综合立体交通网规划\韶关绘图\韶关JPG图件\韶关JPG图件2023.6.27\09韶关市港口及内河航道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H:\研究中心工作01\韶关综合立体交通网规划\韶关绘图\韶关JPG图件\韶关JPG图件2023.6.27\09韶关市港口及内河航道布局示意图.jpg"/>
                    <pic:cNvPicPr>
                      <a:picLocks noChangeAspect="1" noChangeArrowheads="1"/>
                    </pic:cNvPicPr>
                  </pic:nvPicPr>
                  <pic:blipFill>
                    <a:blip r:embed="rId25" cstate="print">
                      <a:extLst>
                        <a:ext uri="{28A0092B-C50C-407E-A947-70E740481C1C}">
                          <a14:useLocalDpi xmlns:a14="http://schemas.microsoft.com/office/drawing/2010/main" val="0"/>
                        </a:ext>
                      </a:extLst>
                    </a:blip>
                    <a:srcRect l="4600" t="1758" r="1917"/>
                    <a:stretch>
                      <a:fillRect/>
                    </a:stretch>
                  </pic:blipFill>
                  <pic:spPr>
                    <a:xfrm>
                      <a:off x="0" y="0"/>
                      <a:ext cx="14087475" cy="8622030"/>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1" w:name="_Toc6379"/>
      <w:r>
        <w:rPr>
          <w:rFonts w:hint="eastAsia" w:ascii="黑体" w:hAnsi="黑体" w:eastAsia="黑体" w:cs="黑体"/>
          <w:bCs/>
          <w:sz w:val="32"/>
          <w:szCs w:val="32"/>
        </w:rPr>
        <w:t>附图10                                                      韶关市油气管道布局示意图</w:t>
      </w:r>
      <w:bookmarkEnd w:id="161"/>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3939520" cy="8490585"/>
            <wp:effectExtent l="0" t="0" r="5080" b="5715"/>
            <wp:docPr id="11" name="图片 11" descr="H:\研究中心工作01\韶关综合立体交通网规划\韶关绘图\韶关JPG图件\韶关JPG图件2023.6.26\10韶关市油气管道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H:\研究中心工作01\韶关综合立体交通网规划\韶关绘图\韶关JPG图件\韶关JPG图件2023.6.26\10韶关市油气管道布局示意图.jpg"/>
                    <pic:cNvPicPr>
                      <a:picLocks noChangeAspect="1" noChangeArrowheads="1"/>
                    </pic:cNvPicPr>
                  </pic:nvPicPr>
                  <pic:blipFill>
                    <a:blip r:embed="rId26" cstate="print">
                      <a:extLst>
                        <a:ext uri="{28A0092B-C50C-407E-A947-70E740481C1C}">
                          <a14:useLocalDpi xmlns:a14="http://schemas.microsoft.com/office/drawing/2010/main" val="0"/>
                        </a:ext>
                      </a:extLst>
                    </a:blip>
                    <a:srcRect l="4388" t="1867" r="1976"/>
                    <a:stretch>
                      <a:fillRect/>
                    </a:stretch>
                  </pic:blipFill>
                  <pic:spPr>
                    <a:xfrm>
                      <a:off x="0" y="0"/>
                      <a:ext cx="13939520" cy="849058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2" w:name="_Toc28130"/>
      <w:r>
        <w:rPr>
          <w:rFonts w:hint="eastAsia" w:ascii="黑体" w:hAnsi="黑体" w:eastAsia="黑体" w:cs="黑体"/>
          <w:bCs/>
          <w:sz w:val="32"/>
          <w:szCs w:val="32"/>
        </w:rPr>
        <w:t>附图11                                                     韶关市综合客运枢纽布局示意图</w:t>
      </w:r>
      <w:bookmarkEnd w:id="162"/>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195425" cy="8621395"/>
            <wp:effectExtent l="0" t="0" r="15875" b="8255"/>
            <wp:docPr id="25" name="图片 25" descr="H:\研究中心工作01\韶关综合立体交通网规划\韶关绘图\韶关JPG图件\韶关JPG图件2023.6.27\11韶关市综合客运枢纽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H:\研究中心工作01\韶关综合立体交通网规划\韶关绘图\韶关JPG图件\韶关JPG图件2023.6.27\11韶关市综合客运枢纽布局示意图.jpg"/>
                    <pic:cNvPicPr>
                      <a:picLocks noChangeAspect="1" noChangeArrowheads="1"/>
                    </pic:cNvPicPr>
                  </pic:nvPicPr>
                  <pic:blipFill>
                    <a:blip r:embed="rId27" cstate="print">
                      <a:extLst>
                        <a:ext uri="{28A0092B-C50C-407E-A947-70E740481C1C}">
                          <a14:useLocalDpi xmlns:a14="http://schemas.microsoft.com/office/drawing/2010/main" val="0"/>
                        </a:ext>
                      </a:extLst>
                    </a:blip>
                    <a:srcRect l="4406" t="1765" r="1917"/>
                    <a:stretch>
                      <a:fillRect/>
                    </a:stretch>
                  </pic:blipFill>
                  <pic:spPr>
                    <a:xfrm>
                      <a:off x="0" y="0"/>
                      <a:ext cx="14195425" cy="862139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3" w:name="_Toc23103"/>
      <w:r>
        <w:rPr>
          <w:rFonts w:hint="eastAsia" w:ascii="黑体" w:hAnsi="黑体" w:eastAsia="黑体" w:cs="黑体"/>
          <w:bCs/>
          <w:sz w:val="32"/>
          <w:szCs w:val="32"/>
        </w:rPr>
        <w:t>附图12                                                    韶关市综合货运枢纽布局示意图</w:t>
      </w:r>
      <w:bookmarkEnd w:id="163"/>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303375" cy="8621395"/>
            <wp:effectExtent l="0" t="0" r="3175" b="8255"/>
            <wp:docPr id="26" name="图片 26" descr="H:\研究中心工作01\韶关综合立体交通网规划\韶关绘图\韶关JPG图件\韶关JPG图件2023.6.27\12韶关市综合货运枢纽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H:\研究中心工作01\韶关综合立体交通网规划\韶关绘图\韶关JPG图件\韶关JPG图件2023.6.27\12韶关市综合货运枢纽布局示意图.jpg"/>
                    <pic:cNvPicPr>
                      <a:picLocks noChangeAspect="1" noChangeArrowheads="1"/>
                    </pic:cNvPicPr>
                  </pic:nvPicPr>
                  <pic:blipFill>
                    <a:blip r:embed="rId28" cstate="print">
                      <a:extLst>
                        <a:ext uri="{28A0092B-C50C-407E-A947-70E740481C1C}">
                          <a14:useLocalDpi xmlns:a14="http://schemas.microsoft.com/office/drawing/2010/main" val="0"/>
                        </a:ext>
                      </a:extLst>
                    </a:blip>
                    <a:srcRect l="4406" t="1765" r="2014"/>
                    <a:stretch>
                      <a:fillRect/>
                    </a:stretch>
                  </pic:blipFill>
                  <pic:spPr>
                    <a:xfrm>
                      <a:off x="0" y="0"/>
                      <a:ext cx="14303375" cy="862139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4" w:name="_Toc657"/>
      <w:r>
        <w:rPr>
          <w:rFonts w:hint="eastAsia" w:ascii="黑体" w:hAnsi="黑体" w:eastAsia="黑体" w:cs="黑体"/>
          <w:bCs/>
          <w:sz w:val="32"/>
          <w:szCs w:val="32"/>
        </w:rPr>
        <w:t>附图13                                              韶关市综合立体交通布局与产业衔接示意图</w:t>
      </w:r>
      <w:bookmarkEnd w:id="164"/>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264640" cy="8475980"/>
            <wp:effectExtent l="0" t="0" r="3810" b="1270"/>
            <wp:docPr id="14" name="图片 14" descr="H:\研究中心工作01\韶关综合立体交通网规划\韶关绘图\韶关JPG图件\韶关JPG图件2023.6.26\13韶关市综合立体交通布局与产业衔接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H:\研究中心工作01\韶关综合立体交通网规划\韶关绘图\韶关JPG图件\韶关JPG图件2023.6.26\13韶关市综合立体交通布局与产业衔接示意图.jpg"/>
                    <pic:cNvPicPr>
                      <a:picLocks noChangeAspect="1" noChangeArrowheads="1"/>
                    </pic:cNvPicPr>
                  </pic:nvPicPr>
                  <pic:blipFill>
                    <a:blip r:embed="rId29" cstate="print">
                      <a:extLst>
                        <a:ext uri="{28A0092B-C50C-407E-A947-70E740481C1C}">
                          <a14:useLocalDpi xmlns:a14="http://schemas.microsoft.com/office/drawing/2010/main" val="0"/>
                        </a:ext>
                      </a:extLst>
                    </a:blip>
                    <a:srcRect l="4388" t="1396" r="1864"/>
                    <a:stretch>
                      <a:fillRect/>
                    </a:stretch>
                  </pic:blipFill>
                  <pic:spPr>
                    <a:xfrm>
                      <a:off x="0" y="0"/>
                      <a:ext cx="14264640" cy="8475980"/>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楷体" w:hAnsi="楷体" w:eastAsia="楷体" w:cs="华文中宋"/>
          <w:bCs/>
          <w:sz w:val="32"/>
          <w:szCs w:val="32"/>
        </w:rPr>
      </w:pPr>
      <w:bookmarkStart w:id="165" w:name="_Toc29645"/>
      <w:r>
        <w:rPr>
          <w:rFonts w:hint="eastAsia" w:ascii="黑体" w:hAnsi="黑体" w:eastAsia="黑体" w:cs="黑体"/>
          <w:bCs/>
          <w:sz w:val="32"/>
          <w:szCs w:val="32"/>
        </w:rPr>
        <w:t>附图14                                              韶关市与粤港澳大湾区轨道交通衔接示意图</w:t>
      </w:r>
      <w:bookmarkEnd w:id="165"/>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237970" cy="8394700"/>
            <wp:effectExtent l="0" t="0" r="11430" b="6350"/>
            <wp:docPr id="15" name="图片 15" descr="H:\研究中心工作01\韶关综合立体交通网规划\韶关绘图\韶关JPG图件\韶关JPG图件2023.6.26\14韶关市与粤港澳大湾区轨道交通衔接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H:\研究中心工作01\韶关综合立体交通网规划\韶关绘图\韶关JPG图件\韶关JPG图件2023.6.26\14韶关市与粤港澳大湾区轨道交通衔接示意图.jpg"/>
                    <pic:cNvPicPr>
                      <a:picLocks noChangeAspect="1" noChangeArrowheads="1"/>
                    </pic:cNvPicPr>
                  </pic:nvPicPr>
                  <pic:blipFill>
                    <a:blip r:embed="rId30" cstate="print">
                      <a:extLst>
                        <a:ext uri="{28A0092B-C50C-407E-A947-70E740481C1C}">
                          <a14:useLocalDpi xmlns:a14="http://schemas.microsoft.com/office/drawing/2010/main" val="0"/>
                        </a:ext>
                      </a:extLst>
                    </a:blip>
                    <a:srcRect l="4501" t="1548" r="1864"/>
                    <a:stretch>
                      <a:fillRect/>
                    </a:stretch>
                  </pic:blipFill>
                  <pic:spPr>
                    <a:xfrm>
                      <a:off x="0" y="0"/>
                      <a:ext cx="14237970" cy="8394700"/>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6" w:name="_Toc2610"/>
      <w:r>
        <w:rPr>
          <w:rFonts w:hint="eastAsia" w:ascii="黑体" w:hAnsi="黑体" w:eastAsia="黑体" w:cs="黑体"/>
          <w:bCs/>
          <w:sz w:val="32"/>
          <w:szCs w:val="32"/>
        </w:rPr>
        <w:t>附图15                                              韶关市与粤港澳大湾区高速公路衔接示意图</w:t>
      </w:r>
      <w:bookmarkEnd w:id="166"/>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184630" cy="8621395"/>
            <wp:effectExtent l="0" t="0" r="7620" b="8255"/>
            <wp:docPr id="29" name="图片 29" descr="H:\研究中心工作01\韶关综合立体交通网规划\韶关绘图\韶关JPG图件\韶关JPG图件2023.6.27\15韶关市与粤港澳大湾区高速公路衔接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H:\研究中心工作01\韶关综合立体交通网规划\韶关绘图\韶关JPG图件\韶关JPG图件2023.6.27\15韶关市与粤港澳大湾区高速公路衔接示意图.jpg"/>
                    <pic:cNvPicPr>
                      <a:picLocks noChangeAspect="1" noChangeArrowheads="1"/>
                    </pic:cNvPicPr>
                  </pic:nvPicPr>
                  <pic:blipFill>
                    <a:blip r:embed="rId31" cstate="print">
                      <a:extLst>
                        <a:ext uri="{28A0092B-C50C-407E-A947-70E740481C1C}">
                          <a14:useLocalDpi xmlns:a14="http://schemas.microsoft.com/office/drawing/2010/main" val="0"/>
                        </a:ext>
                      </a:extLst>
                    </a:blip>
                    <a:srcRect l="4503" t="1765" r="1917"/>
                    <a:stretch>
                      <a:fillRect/>
                    </a:stretch>
                  </pic:blipFill>
                  <pic:spPr>
                    <a:xfrm>
                      <a:off x="0" y="0"/>
                      <a:ext cx="14184630" cy="8621395"/>
                    </a:xfrm>
                    <a:prstGeom prst="rect">
                      <a:avLst/>
                    </a:prstGeom>
                    <a:noFill/>
                    <a:ln>
                      <a:noFill/>
                    </a:ln>
                  </pic:spPr>
                </pic:pic>
              </a:graphicData>
            </a:graphic>
          </wp:inline>
        </w:drawing>
      </w:r>
    </w:p>
    <w:sectPr>
      <w:pgSz w:w="23811" w:h="16838" w:orient="landscape"/>
      <w:pgMar w:top="720" w:right="720" w:bottom="720" w:left="720" w:header="851" w:footer="992" w:gutter="0"/>
      <w:pgNumType w:fmt="numberInDash"/>
      <w:cols w:space="720"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A00002EF" w:usb1="4000207B" w:usb2="00000000" w:usb3="00000000" w:csb0="2000009F" w:csb1="00000000"/>
  </w:font>
  <w:font w:name="仿宋">
    <w:panose1 w:val="02010609060101010101"/>
    <w:charset w:val="86"/>
    <w:family w:val="modern"/>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Cambria">
    <w:panose1 w:val="02040503050406030204"/>
    <w:charset w:val="00"/>
    <w:family w:val="roman"/>
    <w:pitch w:val="default"/>
    <w:sig w:usb0="A00002EF" w:usb1="4000004B" w:usb2="00000000" w:usb3="00000000" w:csb0="2000009F" w:csb1="00000000"/>
  </w:font>
  <w:font w:name="楷体">
    <w:panose1 w:val="02010609060101010101"/>
    <w:charset w:val="86"/>
    <w:family w:val="modern"/>
    <w:pitch w:val="default"/>
    <w:sig w:usb0="800002BF" w:usb1="38CF7CFA" w:usb2="00000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方正仿宋简体">
    <w:altName w:val="微软雅黑"/>
    <w:panose1 w:val="00000000000000000000"/>
    <w:charset w:val="86"/>
    <w:family w:val="script"/>
    <w:pitch w:val="default"/>
    <w:sig w:usb0="00000000" w:usb1="00000000" w:usb2="00000010" w:usb3="00000000" w:csb0="00040000" w:csb1="00000000"/>
  </w:font>
  <w:font w:name="仿宋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方正小标宋简体">
    <w:panose1 w:val="02010601030101010101"/>
    <w:charset w:val="86"/>
    <w:family w:val="auto"/>
    <w:pitch w:val="default"/>
    <w:sig w:usb0="00000001" w:usb1="080E0000" w:usb2="00000000" w:usb3="00000000" w:csb0="00040000" w:csb1="00000000"/>
  </w:font>
  <w:font w:name="隶书">
    <w:panose1 w:val="02010509060101010101"/>
    <w:charset w:val="86"/>
    <w:family w:val="modern"/>
    <w:pitch w:val="default"/>
    <w:sig w:usb0="00000001" w:usb1="080E0000" w:usb2="00000000" w:usb3="00000000" w:csb0="00040000" w:csb1="00000000"/>
  </w:font>
  <w:font w:name="方正黑体_GBK">
    <w:panose1 w:val="03000509000000000000"/>
    <w:charset w:val="86"/>
    <w:family w:val="script"/>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r>
      <w:rPr>
        <w:rFonts w:hint="eastAsia"/>
      </w:rPr>
      <w:t>1</w:t>
    </w:r>
  </w:p>
  <w:p>
    <w:pPr>
      <w:pStyle w:val="1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spacing w:line="240" w:lineRule="auto"/>
      <w:ind w:firstLine="0" w:firstLineChars="0"/>
      <w:rPr>
        <w:rFonts w:ascii="仿宋" w:hAnsi="仿宋"/>
        <w:sz w:val="28"/>
        <w:szCs w:val="28"/>
      </w:rPr>
    </w:pPr>
    <w:r>
      <w:rPr>
        <w:rFonts w:ascii="仿宋" w:hAnsi="仿宋"/>
        <w:sz w:val="28"/>
        <w:szCs w:val="28"/>
      </w:rPr>
      <w:fldChar w:fldCharType="begin"/>
    </w:r>
    <w:r>
      <w:rPr>
        <w:rFonts w:ascii="仿宋" w:hAnsi="仿宋"/>
        <w:sz w:val="28"/>
        <w:szCs w:val="28"/>
      </w:rPr>
      <w:instrText xml:space="preserve"> PAGE   \* MERGEFORMAT </w:instrText>
    </w:r>
    <w:r>
      <w:rPr>
        <w:rFonts w:ascii="仿宋" w:hAnsi="仿宋"/>
        <w:sz w:val="28"/>
        <w:szCs w:val="28"/>
      </w:rPr>
      <w:fldChar w:fldCharType="separate"/>
    </w:r>
    <w:r>
      <w:rPr>
        <w:rFonts w:ascii="仿宋" w:hAnsi="仿宋"/>
        <w:sz w:val="28"/>
        <w:szCs w:val="28"/>
        <w:lang w:val="zh-CN"/>
      </w:rPr>
      <w:t>-</w:t>
    </w:r>
    <w:r>
      <w:rPr>
        <w:rFonts w:ascii="仿宋" w:hAnsi="仿宋"/>
        <w:sz w:val="28"/>
        <w:szCs w:val="28"/>
      </w:rPr>
      <w:t xml:space="preserve"> 45 -</w:t>
    </w:r>
    <w:r>
      <w:rPr>
        <w:rFonts w:ascii="仿宋" w:hAnsi="仿宋"/>
        <w:sz w:val="28"/>
        <w:szCs w:val="28"/>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sz w:val="28"/>
        <w:szCs w:val="28"/>
      </w:rPr>
      <w:id w:val="1981889869"/>
    </w:sdtPr>
    <w:sdtEndPr>
      <w:rPr>
        <w:rFonts w:ascii="仿宋" w:hAnsi="仿宋"/>
        <w:sz w:val="28"/>
        <w:szCs w:val="28"/>
      </w:rPr>
    </w:sdtEndPr>
    <w:sdtContent>
      <w:p>
        <w:pPr>
          <w:pStyle w:val="17"/>
          <w:spacing w:line="240" w:lineRule="auto"/>
          <w:ind w:firstLine="0" w:firstLineChars="0"/>
          <w:jc w:val="right"/>
          <w:rPr>
            <w:rFonts w:ascii="仿宋" w:hAnsi="仿宋"/>
            <w:sz w:val="28"/>
            <w:szCs w:val="28"/>
          </w:rPr>
        </w:pPr>
        <w:r>
          <w:rPr>
            <w:rFonts w:ascii="仿宋" w:hAnsi="仿宋"/>
            <w:sz w:val="28"/>
            <w:szCs w:val="28"/>
          </w:rPr>
          <w:fldChar w:fldCharType="begin"/>
        </w:r>
        <w:r>
          <w:rPr>
            <w:rFonts w:ascii="仿宋" w:hAnsi="仿宋"/>
            <w:sz w:val="28"/>
            <w:szCs w:val="28"/>
          </w:rPr>
          <w:instrText xml:space="preserve">PAGE   \* MERGEFORMAT</w:instrText>
        </w:r>
        <w:r>
          <w:rPr>
            <w:rFonts w:ascii="仿宋" w:hAnsi="仿宋"/>
            <w:sz w:val="28"/>
            <w:szCs w:val="28"/>
          </w:rPr>
          <w:fldChar w:fldCharType="separate"/>
        </w:r>
        <w:r>
          <w:rPr>
            <w:rFonts w:ascii="仿宋" w:hAnsi="仿宋"/>
            <w:sz w:val="28"/>
            <w:szCs w:val="28"/>
            <w:lang w:val="zh-CN"/>
          </w:rPr>
          <w:t>-</w:t>
        </w:r>
        <w:r>
          <w:rPr>
            <w:rFonts w:ascii="仿宋" w:hAnsi="仿宋"/>
            <w:sz w:val="28"/>
            <w:szCs w:val="28"/>
          </w:rPr>
          <w:t xml:space="preserve"> 44 -</w:t>
        </w:r>
        <w:r>
          <w:rPr>
            <w:rFonts w:ascii="仿宋" w:hAnsi="仿宋"/>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ind w:firstLine="360"/>
      <w:jc w:val="right"/>
      <w:rPr>
        <w:rFonts w:ascii="黑体" w:hAnsi="黑体" w:eastAsia="黑体"/>
      </w:rPr>
    </w:pPr>
    <w:r>
      <w:rPr>
        <w:rFonts w:hint="eastAsia" w:ascii="黑体" w:hAnsi="黑体" w:eastAsia="黑体"/>
      </w:rPr>
      <w:t>茂名市综合交通运输体系“十四五”规划</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0" w:firstLineChars="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0" w:firstLineChars="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0"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3F6107A"/>
    <w:multiLevelType w:val="multilevel"/>
    <w:tmpl w:val="33F6107A"/>
    <w:lvl w:ilvl="0" w:tentative="0">
      <w:start w:val="1"/>
      <w:numFmt w:val="decimal"/>
      <w:pStyle w:val="2"/>
      <w:suff w:val="space"/>
      <w:lvlText w:val="第%1章"/>
      <w:lvlJc w:val="left"/>
      <w:pPr>
        <w:ind w:left="0" w:firstLine="0"/>
      </w:pPr>
      <w:rPr>
        <w:rFonts w:hint="eastAsia"/>
      </w:rPr>
    </w:lvl>
    <w:lvl w:ilvl="1" w:tentative="0">
      <w:start w:val="1"/>
      <w:numFmt w:val="decimal"/>
      <w:pStyle w:val="143"/>
      <w:suff w:val="space"/>
      <w:lvlText w:val="%1.%2"/>
      <w:lvlJc w:val="left"/>
      <w:pPr>
        <w:ind w:left="0" w:firstLine="0"/>
      </w:pPr>
      <w:rPr>
        <w:rFonts w:hint="eastAsia"/>
      </w:rPr>
    </w:lvl>
    <w:lvl w:ilvl="2" w:tentative="0">
      <w:start w:val="1"/>
      <w:numFmt w:val="decimal"/>
      <w:pStyle w:val="144"/>
      <w:suff w:val="space"/>
      <w:lvlText w:val="%1.%2.%3"/>
      <w:lvlJc w:val="left"/>
      <w:pPr>
        <w:ind w:left="0" w:firstLine="0"/>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evenAndOddHeaders w:val="1"/>
  <w:drawingGridHorizontalSpacing w:val="140"/>
  <w:drawingGridVerticalSpacing w:val="381"/>
  <w:displayHorizont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625051660000F797" w:val=" "/>
  </w:docVars>
  <w:rsids>
    <w:rsidRoot w:val="00B71F2B"/>
    <w:rsid w:val="0000013C"/>
    <w:rsid w:val="00000A4D"/>
    <w:rsid w:val="00000F99"/>
    <w:rsid w:val="00001119"/>
    <w:rsid w:val="0000178D"/>
    <w:rsid w:val="000027C3"/>
    <w:rsid w:val="00002A62"/>
    <w:rsid w:val="00002F5E"/>
    <w:rsid w:val="00002F69"/>
    <w:rsid w:val="000038B8"/>
    <w:rsid w:val="000059E7"/>
    <w:rsid w:val="000060F7"/>
    <w:rsid w:val="00006C6C"/>
    <w:rsid w:val="00007808"/>
    <w:rsid w:val="0001010B"/>
    <w:rsid w:val="00010A53"/>
    <w:rsid w:val="000117B3"/>
    <w:rsid w:val="000118B6"/>
    <w:rsid w:val="00011AFB"/>
    <w:rsid w:val="00011E5D"/>
    <w:rsid w:val="00012971"/>
    <w:rsid w:val="00013CAF"/>
    <w:rsid w:val="0001466A"/>
    <w:rsid w:val="000155C9"/>
    <w:rsid w:val="000156D9"/>
    <w:rsid w:val="00017607"/>
    <w:rsid w:val="00017AC7"/>
    <w:rsid w:val="00017B65"/>
    <w:rsid w:val="00020A39"/>
    <w:rsid w:val="00021562"/>
    <w:rsid w:val="000216F4"/>
    <w:rsid w:val="000216FF"/>
    <w:rsid w:val="0002185F"/>
    <w:rsid w:val="00021F99"/>
    <w:rsid w:val="0002267F"/>
    <w:rsid w:val="00022845"/>
    <w:rsid w:val="0002351E"/>
    <w:rsid w:val="000245CE"/>
    <w:rsid w:val="00025C83"/>
    <w:rsid w:val="00026568"/>
    <w:rsid w:val="00026A56"/>
    <w:rsid w:val="00027455"/>
    <w:rsid w:val="000305E3"/>
    <w:rsid w:val="00030DB7"/>
    <w:rsid w:val="00030FD4"/>
    <w:rsid w:val="00031765"/>
    <w:rsid w:val="000325E6"/>
    <w:rsid w:val="000333D0"/>
    <w:rsid w:val="0003384A"/>
    <w:rsid w:val="0003433C"/>
    <w:rsid w:val="000348E6"/>
    <w:rsid w:val="00034DDB"/>
    <w:rsid w:val="00034EB8"/>
    <w:rsid w:val="00034F12"/>
    <w:rsid w:val="00034FFF"/>
    <w:rsid w:val="00035523"/>
    <w:rsid w:val="00035E49"/>
    <w:rsid w:val="00035E81"/>
    <w:rsid w:val="00036473"/>
    <w:rsid w:val="00036B57"/>
    <w:rsid w:val="00037556"/>
    <w:rsid w:val="00037695"/>
    <w:rsid w:val="00037D0E"/>
    <w:rsid w:val="00040404"/>
    <w:rsid w:val="000404FB"/>
    <w:rsid w:val="00040F58"/>
    <w:rsid w:val="000418D0"/>
    <w:rsid w:val="000429B6"/>
    <w:rsid w:val="00042DAF"/>
    <w:rsid w:val="000430F2"/>
    <w:rsid w:val="00043105"/>
    <w:rsid w:val="00043550"/>
    <w:rsid w:val="00044787"/>
    <w:rsid w:val="00044868"/>
    <w:rsid w:val="00045846"/>
    <w:rsid w:val="00045F8C"/>
    <w:rsid w:val="000462A3"/>
    <w:rsid w:val="00046A55"/>
    <w:rsid w:val="0005012D"/>
    <w:rsid w:val="00050E20"/>
    <w:rsid w:val="0005272E"/>
    <w:rsid w:val="00052F54"/>
    <w:rsid w:val="000531D7"/>
    <w:rsid w:val="0005357C"/>
    <w:rsid w:val="000542FE"/>
    <w:rsid w:val="00054E91"/>
    <w:rsid w:val="000552A2"/>
    <w:rsid w:val="00055852"/>
    <w:rsid w:val="0005607B"/>
    <w:rsid w:val="0005676B"/>
    <w:rsid w:val="00056806"/>
    <w:rsid w:val="00057F4D"/>
    <w:rsid w:val="0006003F"/>
    <w:rsid w:val="00061075"/>
    <w:rsid w:val="00061C73"/>
    <w:rsid w:val="00061EC6"/>
    <w:rsid w:val="000621A4"/>
    <w:rsid w:val="000621BE"/>
    <w:rsid w:val="00062638"/>
    <w:rsid w:val="00064591"/>
    <w:rsid w:val="000655A0"/>
    <w:rsid w:val="00065C49"/>
    <w:rsid w:val="00065C66"/>
    <w:rsid w:val="00065EE6"/>
    <w:rsid w:val="000660D8"/>
    <w:rsid w:val="0006612A"/>
    <w:rsid w:val="0006638D"/>
    <w:rsid w:val="000663B6"/>
    <w:rsid w:val="000665D4"/>
    <w:rsid w:val="0006689D"/>
    <w:rsid w:val="0006713B"/>
    <w:rsid w:val="000707E9"/>
    <w:rsid w:val="00070C83"/>
    <w:rsid w:val="00070F9B"/>
    <w:rsid w:val="00072153"/>
    <w:rsid w:val="0007275D"/>
    <w:rsid w:val="000729AB"/>
    <w:rsid w:val="00072D94"/>
    <w:rsid w:val="0007319E"/>
    <w:rsid w:val="000734F9"/>
    <w:rsid w:val="00073E44"/>
    <w:rsid w:val="00074CB3"/>
    <w:rsid w:val="00075313"/>
    <w:rsid w:val="0007616F"/>
    <w:rsid w:val="000767F6"/>
    <w:rsid w:val="00076AE0"/>
    <w:rsid w:val="00077472"/>
    <w:rsid w:val="0007788D"/>
    <w:rsid w:val="0007789A"/>
    <w:rsid w:val="0008042B"/>
    <w:rsid w:val="00080651"/>
    <w:rsid w:val="0008089D"/>
    <w:rsid w:val="00080E3A"/>
    <w:rsid w:val="00082179"/>
    <w:rsid w:val="00082651"/>
    <w:rsid w:val="0008316A"/>
    <w:rsid w:val="000837C7"/>
    <w:rsid w:val="00083F79"/>
    <w:rsid w:val="00084305"/>
    <w:rsid w:val="000849E8"/>
    <w:rsid w:val="00084D35"/>
    <w:rsid w:val="0008535E"/>
    <w:rsid w:val="00086CDF"/>
    <w:rsid w:val="00087191"/>
    <w:rsid w:val="000877EB"/>
    <w:rsid w:val="000902FD"/>
    <w:rsid w:val="00090650"/>
    <w:rsid w:val="000928DA"/>
    <w:rsid w:val="00093535"/>
    <w:rsid w:val="00093E2A"/>
    <w:rsid w:val="00094DB3"/>
    <w:rsid w:val="000950FD"/>
    <w:rsid w:val="00095472"/>
    <w:rsid w:val="0009553A"/>
    <w:rsid w:val="00095926"/>
    <w:rsid w:val="00097012"/>
    <w:rsid w:val="000971A3"/>
    <w:rsid w:val="0009787D"/>
    <w:rsid w:val="00097F5B"/>
    <w:rsid w:val="000A09E7"/>
    <w:rsid w:val="000A1509"/>
    <w:rsid w:val="000A16B8"/>
    <w:rsid w:val="000A237C"/>
    <w:rsid w:val="000A27FB"/>
    <w:rsid w:val="000A2CD1"/>
    <w:rsid w:val="000A366E"/>
    <w:rsid w:val="000A37DB"/>
    <w:rsid w:val="000A471A"/>
    <w:rsid w:val="000A546A"/>
    <w:rsid w:val="000A5A60"/>
    <w:rsid w:val="000A5CA2"/>
    <w:rsid w:val="000A6797"/>
    <w:rsid w:val="000A6D52"/>
    <w:rsid w:val="000B0087"/>
    <w:rsid w:val="000B05FD"/>
    <w:rsid w:val="000B0D2A"/>
    <w:rsid w:val="000B0E68"/>
    <w:rsid w:val="000B15DB"/>
    <w:rsid w:val="000B1663"/>
    <w:rsid w:val="000B181C"/>
    <w:rsid w:val="000B1A12"/>
    <w:rsid w:val="000B1AE9"/>
    <w:rsid w:val="000B1B61"/>
    <w:rsid w:val="000B2AC3"/>
    <w:rsid w:val="000B2E1F"/>
    <w:rsid w:val="000B3447"/>
    <w:rsid w:val="000B371F"/>
    <w:rsid w:val="000B40E3"/>
    <w:rsid w:val="000B44D6"/>
    <w:rsid w:val="000B4740"/>
    <w:rsid w:val="000B5405"/>
    <w:rsid w:val="000B5BB1"/>
    <w:rsid w:val="000B694A"/>
    <w:rsid w:val="000B736D"/>
    <w:rsid w:val="000B7DC6"/>
    <w:rsid w:val="000C008D"/>
    <w:rsid w:val="000C00C7"/>
    <w:rsid w:val="000C014B"/>
    <w:rsid w:val="000C1796"/>
    <w:rsid w:val="000C2C27"/>
    <w:rsid w:val="000C38A1"/>
    <w:rsid w:val="000C391A"/>
    <w:rsid w:val="000C39F9"/>
    <w:rsid w:val="000C3AE3"/>
    <w:rsid w:val="000C3DC7"/>
    <w:rsid w:val="000C45E1"/>
    <w:rsid w:val="000C5E27"/>
    <w:rsid w:val="000C6DBA"/>
    <w:rsid w:val="000C7780"/>
    <w:rsid w:val="000D122C"/>
    <w:rsid w:val="000D163C"/>
    <w:rsid w:val="000D1961"/>
    <w:rsid w:val="000D2380"/>
    <w:rsid w:val="000D2802"/>
    <w:rsid w:val="000D2A39"/>
    <w:rsid w:val="000D301F"/>
    <w:rsid w:val="000D30C8"/>
    <w:rsid w:val="000D3DAD"/>
    <w:rsid w:val="000D40EC"/>
    <w:rsid w:val="000D4422"/>
    <w:rsid w:val="000D4711"/>
    <w:rsid w:val="000D4795"/>
    <w:rsid w:val="000D4E73"/>
    <w:rsid w:val="000D6FED"/>
    <w:rsid w:val="000D709D"/>
    <w:rsid w:val="000D70A1"/>
    <w:rsid w:val="000D7425"/>
    <w:rsid w:val="000E0773"/>
    <w:rsid w:val="000E095D"/>
    <w:rsid w:val="000E0B13"/>
    <w:rsid w:val="000E187B"/>
    <w:rsid w:val="000E1D53"/>
    <w:rsid w:val="000E2703"/>
    <w:rsid w:val="000E2AC2"/>
    <w:rsid w:val="000E2E7C"/>
    <w:rsid w:val="000E2FB7"/>
    <w:rsid w:val="000E307E"/>
    <w:rsid w:val="000E359F"/>
    <w:rsid w:val="000E3676"/>
    <w:rsid w:val="000E3698"/>
    <w:rsid w:val="000E3B59"/>
    <w:rsid w:val="000E42EF"/>
    <w:rsid w:val="000E4411"/>
    <w:rsid w:val="000E7908"/>
    <w:rsid w:val="000E7D06"/>
    <w:rsid w:val="000F00F0"/>
    <w:rsid w:val="000F0CB6"/>
    <w:rsid w:val="000F0E8E"/>
    <w:rsid w:val="000F10B3"/>
    <w:rsid w:val="000F141D"/>
    <w:rsid w:val="000F1FBE"/>
    <w:rsid w:val="000F2052"/>
    <w:rsid w:val="000F2460"/>
    <w:rsid w:val="000F2689"/>
    <w:rsid w:val="000F33AA"/>
    <w:rsid w:val="000F35DD"/>
    <w:rsid w:val="000F3E75"/>
    <w:rsid w:val="000F4B3B"/>
    <w:rsid w:val="000F5846"/>
    <w:rsid w:val="000F5C65"/>
    <w:rsid w:val="000F5FED"/>
    <w:rsid w:val="000F6446"/>
    <w:rsid w:val="000F6463"/>
    <w:rsid w:val="000F69F2"/>
    <w:rsid w:val="000F6FDA"/>
    <w:rsid w:val="000F77CD"/>
    <w:rsid w:val="001005A1"/>
    <w:rsid w:val="0010068E"/>
    <w:rsid w:val="00100937"/>
    <w:rsid w:val="001013FA"/>
    <w:rsid w:val="001025C0"/>
    <w:rsid w:val="00103103"/>
    <w:rsid w:val="0010334F"/>
    <w:rsid w:val="00103585"/>
    <w:rsid w:val="00103749"/>
    <w:rsid w:val="00103ABC"/>
    <w:rsid w:val="00104AED"/>
    <w:rsid w:val="00104ECE"/>
    <w:rsid w:val="001052A2"/>
    <w:rsid w:val="00106358"/>
    <w:rsid w:val="0010685F"/>
    <w:rsid w:val="00106E71"/>
    <w:rsid w:val="001072B0"/>
    <w:rsid w:val="001073A6"/>
    <w:rsid w:val="00107EB5"/>
    <w:rsid w:val="0011014F"/>
    <w:rsid w:val="0011076F"/>
    <w:rsid w:val="00110EA5"/>
    <w:rsid w:val="00110FB6"/>
    <w:rsid w:val="001110A4"/>
    <w:rsid w:val="001116E9"/>
    <w:rsid w:val="001117F0"/>
    <w:rsid w:val="001125FE"/>
    <w:rsid w:val="00112A5F"/>
    <w:rsid w:val="00113744"/>
    <w:rsid w:val="001142A8"/>
    <w:rsid w:val="00114A3C"/>
    <w:rsid w:val="00115023"/>
    <w:rsid w:val="001157F0"/>
    <w:rsid w:val="001167C7"/>
    <w:rsid w:val="0011690D"/>
    <w:rsid w:val="00116B48"/>
    <w:rsid w:val="00116F4D"/>
    <w:rsid w:val="001206EB"/>
    <w:rsid w:val="0012099D"/>
    <w:rsid w:val="00120A77"/>
    <w:rsid w:val="00121B47"/>
    <w:rsid w:val="00121F3F"/>
    <w:rsid w:val="00122291"/>
    <w:rsid w:val="001228E0"/>
    <w:rsid w:val="00122D31"/>
    <w:rsid w:val="00123283"/>
    <w:rsid w:val="001232E2"/>
    <w:rsid w:val="001238A2"/>
    <w:rsid w:val="00123DBC"/>
    <w:rsid w:val="0012478B"/>
    <w:rsid w:val="00124C8E"/>
    <w:rsid w:val="00124DA5"/>
    <w:rsid w:val="001260C9"/>
    <w:rsid w:val="001275C6"/>
    <w:rsid w:val="00127623"/>
    <w:rsid w:val="00130190"/>
    <w:rsid w:val="00131251"/>
    <w:rsid w:val="0013126C"/>
    <w:rsid w:val="00131712"/>
    <w:rsid w:val="001326D8"/>
    <w:rsid w:val="00133B78"/>
    <w:rsid w:val="00134A40"/>
    <w:rsid w:val="00136095"/>
    <w:rsid w:val="00136530"/>
    <w:rsid w:val="001372CD"/>
    <w:rsid w:val="00140AB0"/>
    <w:rsid w:val="00140E0B"/>
    <w:rsid w:val="00141603"/>
    <w:rsid w:val="001423FD"/>
    <w:rsid w:val="00142529"/>
    <w:rsid w:val="00142852"/>
    <w:rsid w:val="001429F1"/>
    <w:rsid w:val="00142A2E"/>
    <w:rsid w:val="00142D4F"/>
    <w:rsid w:val="00143884"/>
    <w:rsid w:val="00143AF1"/>
    <w:rsid w:val="001451D8"/>
    <w:rsid w:val="00145E85"/>
    <w:rsid w:val="00145E94"/>
    <w:rsid w:val="0014607D"/>
    <w:rsid w:val="00147FBB"/>
    <w:rsid w:val="001500A3"/>
    <w:rsid w:val="00150312"/>
    <w:rsid w:val="00150A3A"/>
    <w:rsid w:val="00151A30"/>
    <w:rsid w:val="00151B3A"/>
    <w:rsid w:val="00152819"/>
    <w:rsid w:val="00152BB8"/>
    <w:rsid w:val="00152CB8"/>
    <w:rsid w:val="00153425"/>
    <w:rsid w:val="001534A7"/>
    <w:rsid w:val="00153701"/>
    <w:rsid w:val="00153F83"/>
    <w:rsid w:val="00154261"/>
    <w:rsid w:val="00154A1F"/>
    <w:rsid w:val="001554F5"/>
    <w:rsid w:val="0015559A"/>
    <w:rsid w:val="0015621D"/>
    <w:rsid w:val="00157C3C"/>
    <w:rsid w:val="001600A5"/>
    <w:rsid w:val="00160596"/>
    <w:rsid w:val="001615A9"/>
    <w:rsid w:val="00161954"/>
    <w:rsid w:val="00162126"/>
    <w:rsid w:val="00162730"/>
    <w:rsid w:val="0016279A"/>
    <w:rsid w:val="00162BBB"/>
    <w:rsid w:val="001633E1"/>
    <w:rsid w:val="0016364A"/>
    <w:rsid w:val="001638AC"/>
    <w:rsid w:val="001646CB"/>
    <w:rsid w:val="0016482A"/>
    <w:rsid w:val="001652AA"/>
    <w:rsid w:val="00165558"/>
    <w:rsid w:val="0016602F"/>
    <w:rsid w:val="0016655A"/>
    <w:rsid w:val="0016732D"/>
    <w:rsid w:val="00167673"/>
    <w:rsid w:val="001706B2"/>
    <w:rsid w:val="00170852"/>
    <w:rsid w:val="00170BCA"/>
    <w:rsid w:val="001712F1"/>
    <w:rsid w:val="001719AA"/>
    <w:rsid w:val="001722B2"/>
    <w:rsid w:val="001725BB"/>
    <w:rsid w:val="00173606"/>
    <w:rsid w:val="00173BC3"/>
    <w:rsid w:val="0017453A"/>
    <w:rsid w:val="0017461E"/>
    <w:rsid w:val="00174811"/>
    <w:rsid w:val="00174B23"/>
    <w:rsid w:val="00174E1E"/>
    <w:rsid w:val="00174EC6"/>
    <w:rsid w:val="00176265"/>
    <w:rsid w:val="00176A54"/>
    <w:rsid w:val="0017729C"/>
    <w:rsid w:val="00177A79"/>
    <w:rsid w:val="00177CDB"/>
    <w:rsid w:val="00177E67"/>
    <w:rsid w:val="00177F88"/>
    <w:rsid w:val="00180D3A"/>
    <w:rsid w:val="001812C2"/>
    <w:rsid w:val="00181462"/>
    <w:rsid w:val="00181C46"/>
    <w:rsid w:val="00182F5C"/>
    <w:rsid w:val="001830C6"/>
    <w:rsid w:val="00183675"/>
    <w:rsid w:val="0018390B"/>
    <w:rsid w:val="001841BC"/>
    <w:rsid w:val="001844A1"/>
    <w:rsid w:val="00184701"/>
    <w:rsid w:val="00184B21"/>
    <w:rsid w:val="00185CFD"/>
    <w:rsid w:val="00186FC7"/>
    <w:rsid w:val="0018716C"/>
    <w:rsid w:val="00187496"/>
    <w:rsid w:val="001878A3"/>
    <w:rsid w:val="0018793B"/>
    <w:rsid w:val="00187B08"/>
    <w:rsid w:val="0019074F"/>
    <w:rsid w:val="001907D1"/>
    <w:rsid w:val="00190B8B"/>
    <w:rsid w:val="00190EC0"/>
    <w:rsid w:val="00191187"/>
    <w:rsid w:val="00191468"/>
    <w:rsid w:val="00191961"/>
    <w:rsid w:val="001919CA"/>
    <w:rsid w:val="00191CAE"/>
    <w:rsid w:val="00192352"/>
    <w:rsid w:val="00192CDB"/>
    <w:rsid w:val="0019367E"/>
    <w:rsid w:val="00193B11"/>
    <w:rsid w:val="00194622"/>
    <w:rsid w:val="00194B8E"/>
    <w:rsid w:val="00195BA6"/>
    <w:rsid w:val="00196116"/>
    <w:rsid w:val="0019613C"/>
    <w:rsid w:val="00196521"/>
    <w:rsid w:val="00196712"/>
    <w:rsid w:val="001968A8"/>
    <w:rsid w:val="00197ABB"/>
    <w:rsid w:val="001A0234"/>
    <w:rsid w:val="001A028A"/>
    <w:rsid w:val="001A0FA9"/>
    <w:rsid w:val="001A10BD"/>
    <w:rsid w:val="001A1666"/>
    <w:rsid w:val="001A1AEA"/>
    <w:rsid w:val="001A1B98"/>
    <w:rsid w:val="001A1BE5"/>
    <w:rsid w:val="001A1E79"/>
    <w:rsid w:val="001A2645"/>
    <w:rsid w:val="001A3137"/>
    <w:rsid w:val="001A335C"/>
    <w:rsid w:val="001A3516"/>
    <w:rsid w:val="001A3AD5"/>
    <w:rsid w:val="001A3CA8"/>
    <w:rsid w:val="001A3F4F"/>
    <w:rsid w:val="001A44E7"/>
    <w:rsid w:val="001A4A4A"/>
    <w:rsid w:val="001A4C8A"/>
    <w:rsid w:val="001A5A58"/>
    <w:rsid w:val="001A5A6B"/>
    <w:rsid w:val="001A5AB1"/>
    <w:rsid w:val="001A6693"/>
    <w:rsid w:val="001A6FCA"/>
    <w:rsid w:val="001A7366"/>
    <w:rsid w:val="001A7AFB"/>
    <w:rsid w:val="001B07A2"/>
    <w:rsid w:val="001B0A03"/>
    <w:rsid w:val="001B1121"/>
    <w:rsid w:val="001B1439"/>
    <w:rsid w:val="001B2243"/>
    <w:rsid w:val="001B2AAA"/>
    <w:rsid w:val="001B2C22"/>
    <w:rsid w:val="001B3257"/>
    <w:rsid w:val="001B3C5E"/>
    <w:rsid w:val="001B44F0"/>
    <w:rsid w:val="001B4CB1"/>
    <w:rsid w:val="001B572D"/>
    <w:rsid w:val="001B57D9"/>
    <w:rsid w:val="001B5822"/>
    <w:rsid w:val="001B63E8"/>
    <w:rsid w:val="001B6C79"/>
    <w:rsid w:val="001C06A2"/>
    <w:rsid w:val="001C0861"/>
    <w:rsid w:val="001C1902"/>
    <w:rsid w:val="001C20C2"/>
    <w:rsid w:val="001C4723"/>
    <w:rsid w:val="001C47F7"/>
    <w:rsid w:val="001C4D67"/>
    <w:rsid w:val="001C6035"/>
    <w:rsid w:val="001C74F4"/>
    <w:rsid w:val="001D0CC5"/>
    <w:rsid w:val="001D0D88"/>
    <w:rsid w:val="001D0DAC"/>
    <w:rsid w:val="001D1DE0"/>
    <w:rsid w:val="001D1EC5"/>
    <w:rsid w:val="001D2F9A"/>
    <w:rsid w:val="001D444A"/>
    <w:rsid w:val="001D475F"/>
    <w:rsid w:val="001D4C27"/>
    <w:rsid w:val="001D5A0A"/>
    <w:rsid w:val="001D62E1"/>
    <w:rsid w:val="001D7BE2"/>
    <w:rsid w:val="001E01E1"/>
    <w:rsid w:val="001E0CB7"/>
    <w:rsid w:val="001E0EAA"/>
    <w:rsid w:val="001E1B78"/>
    <w:rsid w:val="001E28FD"/>
    <w:rsid w:val="001E2D2E"/>
    <w:rsid w:val="001E44CF"/>
    <w:rsid w:val="001E4DB8"/>
    <w:rsid w:val="001E541C"/>
    <w:rsid w:val="001E54E1"/>
    <w:rsid w:val="001E5759"/>
    <w:rsid w:val="001E5FA0"/>
    <w:rsid w:val="001F0016"/>
    <w:rsid w:val="001F035C"/>
    <w:rsid w:val="001F1404"/>
    <w:rsid w:val="001F2428"/>
    <w:rsid w:val="001F2A71"/>
    <w:rsid w:val="001F2BF8"/>
    <w:rsid w:val="001F3907"/>
    <w:rsid w:val="001F45F1"/>
    <w:rsid w:val="001F533A"/>
    <w:rsid w:val="001F567E"/>
    <w:rsid w:val="001F6573"/>
    <w:rsid w:val="001F7338"/>
    <w:rsid w:val="001F742F"/>
    <w:rsid w:val="001F79C1"/>
    <w:rsid w:val="001F7D43"/>
    <w:rsid w:val="001F7F81"/>
    <w:rsid w:val="00200077"/>
    <w:rsid w:val="002004B5"/>
    <w:rsid w:val="00200796"/>
    <w:rsid w:val="00201044"/>
    <w:rsid w:val="00201EEF"/>
    <w:rsid w:val="002022C5"/>
    <w:rsid w:val="00202E1C"/>
    <w:rsid w:val="00203CE0"/>
    <w:rsid w:val="002042CE"/>
    <w:rsid w:val="00204325"/>
    <w:rsid w:val="002045C8"/>
    <w:rsid w:val="002051F9"/>
    <w:rsid w:val="002062EC"/>
    <w:rsid w:val="00207103"/>
    <w:rsid w:val="00210296"/>
    <w:rsid w:val="002113A3"/>
    <w:rsid w:val="00212EB3"/>
    <w:rsid w:val="002131E5"/>
    <w:rsid w:val="002139BD"/>
    <w:rsid w:val="00213CC6"/>
    <w:rsid w:val="002144ED"/>
    <w:rsid w:val="00214940"/>
    <w:rsid w:val="00214DD0"/>
    <w:rsid w:val="0021593B"/>
    <w:rsid w:val="00215D57"/>
    <w:rsid w:val="002164C5"/>
    <w:rsid w:val="002176D1"/>
    <w:rsid w:val="00217B66"/>
    <w:rsid w:val="00217FF5"/>
    <w:rsid w:val="0022046A"/>
    <w:rsid w:val="0022071E"/>
    <w:rsid w:val="002209C0"/>
    <w:rsid w:val="00220C70"/>
    <w:rsid w:val="00220CBF"/>
    <w:rsid w:val="00220E1C"/>
    <w:rsid w:val="0022210F"/>
    <w:rsid w:val="00222678"/>
    <w:rsid w:val="002228A3"/>
    <w:rsid w:val="00223270"/>
    <w:rsid w:val="0022327C"/>
    <w:rsid w:val="00223643"/>
    <w:rsid w:val="00223D8F"/>
    <w:rsid w:val="00224088"/>
    <w:rsid w:val="0022472C"/>
    <w:rsid w:val="00224B40"/>
    <w:rsid w:val="00224B5C"/>
    <w:rsid w:val="00225FDC"/>
    <w:rsid w:val="00226B78"/>
    <w:rsid w:val="002275EC"/>
    <w:rsid w:val="00230ECC"/>
    <w:rsid w:val="00230FC3"/>
    <w:rsid w:val="002310B0"/>
    <w:rsid w:val="002330CF"/>
    <w:rsid w:val="002342F2"/>
    <w:rsid w:val="002358F0"/>
    <w:rsid w:val="00235F98"/>
    <w:rsid w:val="002361E0"/>
    <w:rsid w:val="0023705B"/>
    <w:rsid w:val="00237265"/>
    <w:rsid w:val="0023741B"/>
    <w:rsid w:val="00237544"/>
    <w:rsid w:val="00237A3C"/>
    <w:rsid w:val="00237F86"/>
    <w:rsid w:val="00240392"/>
    <w:rsid w:val="002405AB"/>
    <w:rsid w:val="00240992"/>
    <w:rsid w:val="00240C00"/>
    <w:rsid w:val="002412A5"/>
    <w:rsid w:val="00241FB2"/>
    <w:rsid w:val="00242072"/>
    <w:rsid w:val="002431BE"/>
    <w:rsid w:val="002433D0"/>
    <w:rsid w:val="00243C36"/>
    <w:rsid w:val="00244103"/>
    <w:rsid w:val="00244AE1"/>
    <w:rsid w:val="00245389"/>
    <w:rsid w:val="0024622A"/>
    <w:rsid w:val="002465FD"/>
    <w:rsid w:val="002467AB"/>
    <w:rsid w:val="00246C20"/>
    <w:rsid w:val="00247EB0"/>
    <w:rsid w:val="00251452"/>
    <w:rsid w:val="00251504"/>
    <w:rsid w:val="00251B93"/>
    <w:rsid w:val="00252E02"/>
    <w:rsid w:val="00254184"/>
    <w:rsid w:val="0025420B"/>
    <w:rsid w:val="00254339"/>
    <w:rsid w:val="0025461B"/>
    <w:rsid w:val="002549FE"/>
    <w:rsid w:val="00254D2C"/>
    <w:rsid w:val="00254D92"/>
    <w:rsid w:val="00255908"/>
    <w:rsid w:val="00256489"/>
    <w:rsid w:val="00256662"/>
    <w:rsid w:val="00257615"/>
    <w:rsid w:val="00257ACD"/>
    <w:rsid w:val="00260685"/>
    <w:rsid w:val="00260B85"/>
    <w:rsid w:val="002612F9"/>
    <w:rsid w:val="0026189D"/>
    <w:rsid w:val="002619BE"/>
    <w:rsid w:val="00261F82"/>
    <w:rsid w:val="00262205"/>
    <w:rsid w:val="00263090"/>
    <w:rsid w:val="00263562"/>
    <w:rsid w:val="0026393D"/>
    <w:rsid w:val="0026402B"/>
    <w:rsid w:val="002640E5"/>
    <w:rsid w:val="00264259"/>
    <w:rsid w:val="002649D0"/>
    <w:rsid w:val="002653AC"/>
    <w:rsid w:val="00265B66"/>
    <w:rsid w:val="002670A5"/>
    <w:rsid w:val="00267708"/>
    <w:rsid w:val="00270031"/>
    <w:rsid w:val="00270904"/>
    <w:rsid w:val="00270ADF"/>
    <w:rsid w:val="002726B6"/>
    <w:rsid w:val="00272FCE"/>
    <w:rsid w:val="002730FB"/>
    <w:rsid w:val="00274162"/>
    <w:rsid w:val="002749DB"/>
    <w:rsid w:val="00275554"/>
    <w:rsid w:val="002759EF"/>
    <w:rsid w:val="00275DDD"/>
    <w:rsid w:val="0027693F"/>
    <w:rsid w:val="00276A40"/>
    <w:rsid w:val="00277076"/>
    <w:rsid w:val="0027761F"/>
    <w:rsid w:val="002779AF"/>
    <w:rsid w:val="00281797"/>
    <w:rsid w:val="00281A7F"/>
    <w:rsid w:val="002826EF"/>
    <w:rsid w:val="0028279E"/>
    <w:rsid w:val="00282941"/>
    <w:rsid w:val="00282B12"/>
    <w:rsid w:val="00282D5B"/>
    <w:rsid w:val="00282F89"/>
    <w:rsid w:val="002837BE"/>
    <w:rsid w:val="00284147"/>
    <w:rsid w:val="0028434E"/>
    <w:rsid w:val="00284721"/>
    <w:rsid w:val="00284AB1"/>
    <w:rsid w:val="00284BEA"/>
    <w:rsid w:val="00285832"/>
    <w:rsid w:val="00286C77"/>
    <w:rsid w:val="00286CF0"/>
    <w:rsid w:val="00286EBA"/>
    <w:rsid w:val="00286F4B"/>
    <w:rsid w:val="00286F5E"/>
    <w:rsid w:val="002872EA"/>
    <w:rsid w:val="00287553"/>
    <w:rsid w:val="002878EB"/>
    <w:rsid w:val="002902C7"/>
    <w:rsid w:val="002903F0"/>
    <w:rsid w:val="0029059D"/>
    <w:rsid w:val="00290EB7"/>
    <w:rsid w:val="002911F2"/>
    <w:rsid w:val="0029155C"/>
    <w:rsid w:val="002917D4"/>
    <w:rsid w:val="00291FFC"/>
    <w:rsid w:val="0029248C"/>
    <w:rsid w:val="00292C32"/>
    <w:rsid w:val="00292E24"/>
    <w:rsid w:val="0029374D"/>
    <w:rsid w:val="00293B1C"/>
    <w:rsid w:val="002945C5"/>
    <w:rsid w:val="00294B9A"/>
    <w:rsid w:val="00294FF8"/>
    <w:rsid w:val="00295D07"/>
    <w:rsid w:val="00295D0A"/>
    <w:rsid w:val="00296572"/>
    <w:rsid w:val="00296955"/>
    <w:rsid w:val="00297FF7"/>
    <w:rsid w:val="002A0259"/>
    <w:rsid w:val="002A0363"/>
    <w:rsid w:val="002A1D54"/>
    <w:rsid w:val="002A1F19"/>
    <w:rsid w:val="002A2389"/>
    <w:rsid w:val="002A3D36"/>
    <w:rsid w:val="002A5774"/>
    <w:rsid w:val="002A6B09"/>
    <w:rsid w:val="002A6C0C"/>
    <w:rsid w:val="002A6DE8"/>
    <w:rsid w:val="002A764D"/>
    <w:rsid w:val="002B02E4"/>
    <w:rsid w:val="002B0D95"/>
    <w:rsid w:val="002B105D"/>
    <w:rsid w:val="002B2140"/>
    <w:rsid w:val="002B25A5"/>
    <w:rsid w:val="002B47D9"/>
    <w:rsid w:val="002B486B"/>
    <w:rsid w:val="002B5483"/>
    <w:rsid w:val="002B5AC6"/>
    <w:rsid w:val="002B5BE7"/>
    <w:rsid w:val="002B5CBB"/>
    <w:rsid w:val="002B5DCD"/>
    <w:rsid w:val="002B646C"/>
    <w:rsid w:val="002B6A07"/>
    <w:rsid w:val="002B6A35"/>
    <w:rsid w:val="002B6AE6"/>
    <w:rsid w:val="002B6B12"/>
    <w:rsid w:val="002B6EF5"/>
    <w:rsid w:val="002B7754"/>
    <w:rsid w:val="002B7B9A"/>
    <w:rsid w:val="002C04F1"/>
    <w:rsid w:val="002C1779"/>
    <w:rsid w:val="002C3078"/>
    <w:rsid w:val="002C3FD3"/>
    <w:rsid w:val="002C4944"/>
    <w:rsid w:val="002C542D"/>
    <w:rsid w:val="002C5833"/>
    <w:rsid w:val="002C5A8B"/>
    <w:rsid w:val="002C6193"/>
    <w:rsid w:val="002C67CB"/>
    <w:rsid w:val="002C6B46"/>
    <w:rsid w:val="002C73DF"/>
    <w:rsid w:val="002C785C"/>
    <w:rsid w:val="002D03EA"/>
    <w:rsid w:val="002D0516"/>
    <w:rsid w:val="002D1077"/>
    <w:rsid w:val="002D10FE"/>
    <w:rsid w:val="002D166B"/>
    <w:rsid w:val="002D1AD4"/>
    <w:rsid w:val="002D1C04"/>
    <w:rsid w:val="002D2951"/>
    <w:rsid w:val="002D2CF1"/>
    <w:rsid w:val="002D31ED"/>
    <w:rsid w:val="002D3E0E"/>
    <w:rsid w:val="002D4EE3"/>
    <w:rsid w:val="002D5FFF"/>
    <w:rsid w:val="002D7200"/>
    <w:rsid w:val="002E08A8"/>
    <w:rsid w:val="002E0F77"/>
    <w:rsid w:val="002E1878"/>
    <w:rsid w:val="002E2744"/>
    <w:rsid w:val="002E2879"/>
    <w:rsid w:val="002E336D"/>
    <w:rsid w:val="002E3BB6"/>
    <w:rsid w:val="002E443B"/>
    <w:rsid w:val="002E4D15"/>
    <w:rsid w:val="002E4E22"/>
    <w:rsid w:val="002E5CAB"/>
    <w:rsid w:val="002E5E1B"/>
    <w:rsid w:val="002E78AC"/>
    <w:rsid w:val="002E7ACC"/>
    <w:rsid w:val="002F0662"/>
    <w:rsid w:val="002F07F6"/>
    <w:rsid w:val="002F08C1"/>
    <w:rsid w:val="002F0ADA"/>
    <w:rsid w:val="002F1644"/>
    <w:rsid w:val="002F1D8A"/>
    <w:rsid w:val="002F1F86"/>
    <w:rsid w:val="002F223A"/>
    <w:rsid w:val="002F22F7"/>
    <w:rsid w:val="002F2802"/>
    <w:rsid w:val="002F29D6"/>
    <w:rsid w:val="002F2D5A"/>
    <w:rsid w:val="002F31CB"/>
    <w:rsid w:val="002F3477"/>
    <w:rsid w:val="002F5200"/>
    <w:rsid w:val="002F653A"/>
    <w:rsid w:val="002F6E22"/>
    <w:rsid w:val="002F6E80"/>
    <w:rsid w:val="002F73B3"/>
    <w:rsid w:val="002F776A"/>
    <w:rsid w:val="002F78E8"/>
    <w:rsid w:val="003017A5"/>
    <w:rsid w:val="003018BB"/>
    <w:rsid w:val="00301E35"/>
    <w:rsid w:val="00302BC5"/>
    <w:rsid w:val="00302CB1"/>
    <w:rsid w:val="00302FAE"/>
    <w:rsid w:val="00303081"/>
    <w:rsid w:val="0030344B"/>
    <w:rsid w:val="003035AD"/>
    <w:rsid w:val="003042DA"/>
    <w:rsid w:val="003047E0"/>
    <w:rsid w:val="0030587A"/>
    <w:rsid w:val="0030622D"/>
    <w:rsid w:val="00306CC8"/>
    <w:rsid w:val="00306E8E"/>
    <w:rsid w:val="003075EF"/>
    <w:rsid w:val="00310916"/>
    <w:rsid w:val="00311576"/>
    <w:rsid w:val="003116AE"/>
    <w:rsid w:val="00311815"/>
    <w:rsid w:val="003124B3"/>
    <w:rsid w:val="00312858"/>
    <w:rsid w:val="00312F42"/>
    <w:rsid w:val="0031383A"/>
    <w:rsid w:val="00313FDB"/>
    <w:rsid w:val="00315312"/>
    <w:rsid w:val="0031548F"/>
    <w:rsid w:val="00315770"/>
    <w:rsid w:val="00315855"/>
    <w:rsid w:val="00315BED"/>
    <w:rsid w:val="00315BF7"/>
    <w:rsid w:val="00315E1B"/>
    <w:rsid w:val="00315FCB"/>
    <w:rsid w:val="00316186"/>
    <w:rsid w:val="00317AF1"/>
    <w:rsid w:val="00317EBA"/>
    <w:rsid w:val="00317F4C"/>
    <w:rsid w:val="00320107"/>
    <w:rsid w:val="00320126"/>
    <w:rsid w:val="00320572"/>
    <w:rsid w:val="00320760"/>
    <w:rsid w:val="00320FA6"/>
    <w:rsid w:val="00322BC5"/>
    <w:rsid w:val="00322F6A"/>
    <w:rsid w:val="0032332E"/>
    <w:rsid w:val="00324143"/>
    <w:rsid w:val="0032423F"/>
    <w:rsid w:val="00324368"/>
    <w:rsid w:val="0032480E"/>
    <w:rsid w:val="00324A72"/>
    <w:rsid w:val="003255CC"/>
    <w:rsid w:val="00325775"/>
    <w:rsid w:val="003258B6"/>
    <w:rsid w:val="00325AC5"/>
    <w:rsid w:val="003262D9"/>
    <w:rsid w:val="003266D0"/>
    <w:rsid w:val="00326E08"/>
    <w:rsid w:val="00326E16"/>
    <w:rsid w:val="00327491"/>
    <w:rsid w:val="00330176"/>
    <w:rsid w:val="0033044C"/>
    <w:rsid w:val="00331AEA"/>
    <w:rsid w:val="003323D4"/>
    <w:rsid w:val="0033292E"/>
    <w:rsid w:val="00333124"/>
    <w:rsid w:val="00333838"/>
    <w:rsid w:val="00334061"/>
    <w:rsid w:val="00335962"/>
    <w:rsid w:val="00335B25"/>
    <w:rsid w:val="00337D36"/>
    <w:rsid w:val="003401CB"/>
    <w:rsid w:val="003406B1"/>
    <w:rsid w:val="00340903"/>
    <w:rsid w:val="0034148A"/>
    <w:rsid w:val="00341C52"/>
    <w:rsid w:val="00341E27"/>
    <w:rsid w:val="00342E28"/>
    <w:rsid w:val="00342F2E"/>
    <w:rsid w:val="0034376B"/>
    <w:rsid w:val="0034460D"/>
    <w:rsid w:val="003450C4"/>
    <w:rsid w:val="00345C96"/>
    <w:rsid w:val="00345D55"/>
    <w:rsid w:val="00346458"/>
    <w:rsid w:val="003468B1"/>
    <w:rsid w:val="00346E4A"/>
    <w:rsid w:val="00347297"/>
    <w:rsid w:val="00347425"/>
    <w:rsid w:val="00347FB5"/>
    <w:rsid w:val="003500FD"/>
    <w:rsid w:val="003506ED"/>
    <w:rsid w:val="00350B4C"/>
    <w:rsid w:val="00350C6C"/>
    <w:rsid w:val="00351FA3"/>
    <w:rsid w:val="0035249A"/>
    <w:rsid w:val="00352E9D"/>
    <w:rsid w:val="00352F4B"/>
    <w:rsid w:val="003530C8"/>
    <w:rsid w:val="00353235"/>
    <w:rsid w:val="00353900"/>
    <w:rsid w:val="003539DE"/>
    <w:rsid w:val="003540E1"/>
    <w:rsid w:val="00354995"/>
    <w:rsid w:val="00354DBC"/>
    <w:rsid w:val="003553DC"/>
    <w:rsid w:val="00355F91"/>
    <w:rsid w:val="0035616C"/>
    <w:rsid w:val="00356386"/>
    <w:rsid w:val="003568C1"/>
    <w:rsid w:val="00356F50"/>
    <w:rsid w:val="00357156"/>
    <w:rsid w:val="003600D9"/>
    <w:rsid w:val="00360836"/>
    <w:rsid w:val="00360DFF"/>
    <w:rsid w:val="003622F1"/>
    <w:rsid w:val="00362636"/>
    <w:rsid w:val="0036304B"/>
    <w:rsid w:val="0036354B"/>
    <w:rsid w:val="00363600"/>
    <w:rsid w:val="00363D41"/>
    <w:rsid w:val="00363E2C"/>
    <w:rsid w:val="00364314"/>
    <w:rsid w:val="00364B5C"/>
    <w:rsid w:val="00364B89"/>
    <w:rsid w:val="00364E63"/>
    <w:rsid w:val="003654D3"/>
    <w:rsid w:val="00365878"/>
    <w:rsid w:val="00365929"/>
    <w:rsid w:val="00365A9D"/>
    <w:rsid w:val="00366463"/>
    <w:rsid w:val="00366D3D"/>
    <w:rsid w:val="00366E27"/>
    <w:rsid w:val="003671D4"/>
    <w:rsid w:val="0036725B"/>
    <w:rsid w:val="00367693"/>
    <w:rsid w:val="003676D8"/>
    <w:rsid w:val="00370082"/>
    <w:rsid w:val="00370DE7"/>
    <w:rsid w:val="00370FBA"/>
    <w:rsid w:val="00371A16"/>
    <w:rsid w:val="00371FB5"/>
    <w:rsid w:val="003720C2"/>
    <w:rsid w:val="00372CAE"/>
    <w:rsid w:val="00372F39"/>
    <w:rsid w:val="0037306E"/>
    <w:rsid w:val="003735A3"/>
    <w:rsid w:val="00373803"/>
    <w:rsid w:val="00373EFE"/>
    <w:rsid w:val="00373F74"/>
    <w:rsid w:val="00374C0B"/>
    <w:rsid w:val="00374CA1"/>
    <w:rsid w:val="00374EB1"/>
    <w:rsid w:val="003752E7"/>
    <w:rsid w:val="00375548"/>
    <w:rsid w:val="00375AD5"/>
    <w:rsid w:val="00375BD6"/>
    <w:rsid w:val="00375CDA"/>
    <w:rsid w:val="00376426"/>
    <w:rsid w:val="00376A83"/>
    <w:rsid w:val="0037744F"/>
    <w:rsid w:val="003779F1"/>
    <w:rsid w:val="00377B7B"/>
    <w:rsid w:val="003801A1"/>
    <w:rsid w:val="003817FF"/>
    <w:rsid w:val="00381C64"/>
    <w:rsid w:val="00381EAD"/>
    <w:rsid w:val="00381EDF"/>
    <w:rsid w:val="00382565"/>
    <w:rsid w:val="003838E0"/>
    <w:rsid w:val="00383A61"/>
    <w:rsid w:val="00383AC3"/>
    <w:rsid w:val="0038498C"/>
    <w:rsid w:val="0038502C"/>
    <w:rsid w:val="003851EF"/>
    <w:rsid w:val="00385724"/>
    <w:rsid w:val="0038599F"/>
    <w:rsid w:val="00385CA9"/>
    <w:rsid w:val="00385F48"/>
    <w:rsid w:val="00385FED"/>
    <w:rsid w:val="00386B7C"/>
    <w:rsid w:val="00386CFF"/>
    <w:rsid w:val="00386E3C"/>
    <w:rsid w:val="00387075"/>
    <w:rsid w:val="003874B5"/>
    <w:rsid w:val="00390620"/>
    <w:rsid w:val="003906CE"/>
    <w:rsid w:val="00390881"/>
    <w:rsid w:val="003919D1"/>
    <w:rsid w:val="0039214B"/>
    <w:rsid w:val="00392903"/>
    <w:rsid w:val="00392D2F"/>
    <w:rsid w:val="003936C5"/>
    <w:rsid w:val="0039384E"/>
    <w:rsid w:val="00393A5C"/>
    <w:rsid w:val="00393AA2"/>
    <w:rsid w:val="003947A4"/>
    <w:rsid w:val="00395152"/>
    <w:rsid w:val="00396D0F"/>
    <w:rsid w:val="0039705A"/>
    <w:rsid w:val="00397A46"/>
    <w:rsid w:val="00397ECA"/>
    <w:rsid w:val="003A1677"/>
    <w:rsid w:val="003A17F2"/>
    <w:rsid w:val="003A1AC8"/>
    <w:rsid w:val="003A1C02"/>
    <w:rsid w:val="003A1FC9"/>
    <w:rsid w:val="003A3AF2"/>
    <w:rsid w:val="003A4022"/>
    <w:rsid w:val="003A467C"/>
    <w:rsid w:val="003A4D1F"/>
    <w:rsid w:val="003A52E8"/>
    <w:rsid w:val="003A6804"/>
    <w:rsid w:val="003A6C00"/>
    <w:rsid w:val="003A71C3"/>
    <w:rsid w:val="003A74C7"/>
    <w:rsid w:val="003A76D0"/>
    <w:rsid w:val="003B023F"/>
    <w:rsid w:val="003B0453"/>
    <w:rsid w:val="003B0AFE"/>
    <w:rsid w:val="003B140E"/>
    <w:rsid w:val="003B1C23"/>
    <w:rsid w:val="003B1EAB"/>
    <w:rsid w:val="003B3127"/>
    <w:rsid w:val="003B4028"/>
    <w:rsid w:val="003B4242"/>
    <w:rsid w:val="003B48FA"/>
    <w:rsid w:val="003B563C"/>
    <w:rsid w:val="003B622F"/>
    <w:rsid w:val="003B6574"/>
    <w:rsid w:val="003B7A0D"/>
    <w:rsid w:val="003B7AF2"/>
    <w:rsid w:val="003B7C47"/>
    <w:rsid w:val="003C0292"/>
    <w:rsid w:val="003C04B6"/>
    <w:rsid w:val="003C2196"/>
    <w:rsid w:val="003C2C35"/>
    <w:rsid w:val="003C3589"/>
    <w:rsid w:val="003C4650"/>
    <w:rsid w:val="003C5581"/>
    <w:rsid w:val="003C5712"/>
    <w:rsid w:val="003C646B"/>
    <w:rsid w:val="003C6FFF"/>
    <w:rsid w:val="003C7A1B"/>
    <w:rsid w:val="003C7EB2"/>
    <w:rsid w:val="003D09A9"/>
    <w:rsid w:val="003D0DA1"/>
    <w:rsid w:val="003D1DC8"/>
    <w:rsid w:val="003D2178"/>
    <w:rsid w:val="003D29B1"/>
    <w:rsid w:val="003D2A98"/>
    <w:rsid w:val="003D2D08"/>
    <w:rsid w:val="003D2D60"/>
    <w:rsid w:val="003D2DF3"/>
    <w:rsid w:val="003D4731"/>
    <w:rsid w:val="003D478B"/>
    <w:rsid w:val="003D4842"/>
    <w:rsid w:val="003D4B89"/>
    <w:rsid w:val="003D522A"/>
    <w:rsid w:val="003D5252"/>
    <w:rsid w:val="003D7650"/>
    <w:rsid w:val="003E00F2"/>
    <w:rsid w:val="003E042D"/>
    <w:rsid w:val="003E0620"/>
    <w:rsid w:val="003E0792"/>
    <w:rsid w:val="003E0F29"/>
    <w:rsid w:val="003E13FB"/>
    <w:rsid w:val="003E17EF"/>
    <w:rsid w:val="003E1A58"/>
    <w:rsid w:val="003E1C8D"/>
    <w:rsid w:val="003E2248"/>
    <w:rsid w:val="003E3464"/>
    <w:rsid w:val="003E3619"/>
    <w:rsid w:val="003E4316"/>
    <w:rsid w:val="003E4580"/>
    <w:rsid w:val="003E4728"/>
    <w:rsid w:val="003E48EB"/>
    <w:rsid w:val="003E4983"/>
    <w:rsid w:val="003E4B40"/>
    <w:rsid w:val="003E54D5"/>
    <w:rsid w:val="003E5E1F"/>
    <w:rsid w:val="003E6176"/>
    <w:rsid w:val="003E7155"/>
    <w:rsid w:val="003F0285"/>
    <w:rsid w:val="003F074F"/>
    <w:rsid w:val="003F0DA2"/>
    <w:rsid w:val="003F1082"/>
    <w:rsid w:val="003F1E46"/>
    <w:rsid w:val="003F2E60"/>
    <w:rsid w:val="003F2F47"/>
    <w:rsid w:val="003F2FD4"/>
    <w:rsid w:val="003F4507"/>
    <w:rsid w:val="003F50C9"/>
    <w:rsid w:val="003F5835"/>
    <w:rsid w:val="003F5E33"/>
    <w:rsid w:val="003F70D9"/>
    <w:rsid w:val="003F7788"/>
    <w:rsid w:val="004000A9"/>
    <w:rsid w:val="0040181D"/>
    <w:rsid w:val="00401F75"/>
    <w:rsid w:val="00402027"/>
    <w:rsid w:val="00402BED"/>
    <w:rsid w:val="004036A3"/>
    <w:rsid w:val="00403CF2"/>
    <w:rsid w:val="0040426A"/>
    <w:rsid w:val="00404280"/>
    <w:rsid w:val="004043D4"/>
    <w:rsid w:val="004048F0"/>
    <w:rsid w:val="0040553E"/>
    <w:rsid w:val="00405960"/>
    <w:rsid w:val="00405B44"/>
    <w:rsid w:val="00406E60"/>
    <w:rsid w:val="00407284"/>
    <w:rsid w:val="004102BA"/>
    <w:rsid w:val="004121DF"/>
    <w:rsid w:val="00412A59"/>
    <w:rsid w:val="00413061"/>
    <w:rsid w:val="004138C7"/>
    <w:rsid w:val="004145AB"/>
    <w:rsid w:val="004147A0"/>
    <w:rsid w:val="004152F6"/>
    <w:rsid w:val="00415513"/>
    <w:rsid w:val="0041575F"/>
    <w:rsid w:val="00415BFB"/>
    <w:rsid w:val="004160EB"/>
    <w:rsid w:val="004161C7"/>
    <w:rsid w:val="004163A2"/>
    <w:rsid w:val="004165D3"/>
    <w:rsid w:val="0041707A"/>
    <w:rsid w:val="00417655"/>
    <w:rsid w:val="00417C74"/>
    <w:rsid w:val="0042053B"/>
    <w:rsid w:val="004216FC"/>
    <w:rsid w:val="0042256D"/>
    <w:rsid w:val="00423015"/>
    <w:rsid w:val="004247E1"/>
    <w:rsid w:val="00424815"/>
    <w:rsid w:val="004249E2"/>
    <w:rsid w:val="00424A14"/>
    <w:rsid w:val="0042520B"/>
    <w:rsid w:val="00425B68"/>
    <w:rsid w:val="004265B7"/>
    <w:rsid w:val="0042693D"/>
    <w:rsid w:val="00426AB1"/>
    <w:rsid w:val="004277A2"/>
    <w:rsid w:val="00427A66"/>
    <w:rsid w:val="00427EEC"/>
    <w:rsid w:val="00430327"/>
    <w:rsid w:val="00430764"/>
    <w:rsid w:val="004308B2"/>
    <w:rsid w:val="004318B2"/>
    <w:rsid w:val="004318CE"/>
    <w:rsid w:val="0043195D"/>
    <w:rsid w:val="00431C65"/>
    <w:rsid w:val="00432E64"/>
    <w:rsid w:val="00433ABF"/>
    <w:rsid w:val="00434410"/>
    <w:rsid w:val="00434489"/>
    <w:rsid w:val="00436102"/>
    <w:rsid w:val="00436B99"/>
    <w:rsid w:val="004376BA"/>
    <w:rsid w:val="00437C77"/>
    <w:rsid w:val="00437FC8"/>
    <w:rsid w:val="00441063"/>
    <w:rsid w:val="004410D1"/>
    <w:rsid w:val="004414B0"/>
    <w:rsid w:val="004417BD"/>
    <w:rsid w:val="0044276C"/>
    <w:rsid w:val="004427AD"/>
    <w:rsid w:val="00442C36"/>
    <w:rsid w:val="0044494B"/>
    <w:rsid w:val="00445ED6"/>
    <w:rsid w:val="00445EE7"/>
    <w:rsid w:val="00446201"/>
    <w:rsid w:val="004465B9"/>
    <w:rsid w:val="00446D9B"/>
    <w:rsid w:val="004470C6"/>
    <w:rsid w:val="00447154"/>
    <w:rsid w:val="00447B91"/>
    <w:rsid w:val="00447C95"/>
    <w:rsid w:val="00447EF5"/>
    <w:rsid w:val="004502E1"/>
    <w:rsid w:val="0045067A"/>
    <w:rsid w:val="004531B2"/>
    <w:rsid w:val="004539D5"/>
    <w:rsid w:val="00453D4B"/>
    <w:rsid w:val="00453DBF"/>
    <w:rsid w:val="00454415"/>
    <w:rsid w:val="00454434"/>
    <w:rsid w:val="004560FC"/>
    <w:rsid w:val="004563DA"/>
    <w:rsid w:val="004564DD"/>
    <w:rsid w:val="0045678B"/>
    <w:rsid w:val="004576CD"/>
    <w:rsid w:val="00461178"/>
    <w:rsid w:val="00461B41"/>
    <w:rsid w:val="00461E66"/>
    <w:rsid w:val="00462354"/>
    <w:rsid w:val="0046246A"/>
    <w:rsid w:val="004633C4"/>
    <w:rsid w:val="00464797"/>
    <w:rsid w:val="00465511"/>
    <w:rsid w:val="0046579A"/>
    <w:rsid w:val="00465CB1"/>
    <w:rsid w:val="00465ED7"/>
    <w:rsid w:val="0046683B"/>
    <w:rsid w:val="00467260"/>
    <w:rsid w:val="00467A99"/>
    <w:rsid w:val="0047007C"/>
    <w:rsid w:val="00470A9A"/>
    <w:rsid w:val="004719B5"/>
    <w:rsid w:val="00472731"/>
    <w:rsid w:val="00473B6A"/>
    <w:rsid w:val="00473C0F"/>
    <w:rsid w:val="004748DC"/>
    <w:rsid w:val="00474984"/>
    <w:rsid w:val="00476158"/>
    <w:rsid w:val="00476C04"/>
    <w:rsid w:val="00477359"/>
    <w:rsid w:val="0047759A"/>
    <w:rsid w:val="0048021A"/>
    <w:rsid w:val="00480903"/>
    <w:rsid w:val="00480FD9"/>
    <w:rsid w:val="004810E9"/>
    <w:rsid w:val="00481795"/>
    <w:rsid w:val="0048277A"/>
    <w:rsid w:val="00484DB6"/>
    <w:rsid w:val="00485199"/>
    <w:rsid w:val="00485B29"/>
    <w:rsid w:val="004864CD"/>
    <w:rsid w:val="004869D4"/>
    <w:rsid w:val="00486E56"/>
    <w:rsid w:val="00486F7A"/>
    <w:rsid w:val="0048701B"/>
    <w:rsid w:val="00487BE4"/>
    <w:rsid w:val="004902F3"/>
    <w:rsid w:val="00490B98"/>
    <w:rsid w:val="00490BD8"/>
    <w:rsid w:val="00491143"/>
    <w:rsid w:val="0049182E"/>
    <w:rsid w:val="00491D45"/>
    <w:rsid w:val="00492D74"/>
    <w:rsid w:val="00494005"/>
    <w:rsid w:val="004940B1"/>
    <w:rsid w:val="004944D4"/>
    <w:rsid w:val="004958DA"/>
    <w:rsid w:val="00495A9F"/>
    <w:rsid w:val="00495CFD"/>
    <w:rsid w:val="0049620E"/>
    <w:rsid w:val="00497D49"/>
    <w:rsid w:val="004A07D6"/>
    <w:rsid w:val="004A0AD9"/>
    <w:rsid w:val="004A19D7"/>
    <w:rsid w:val="004A1B57"/>
    <w:rsid w:val="004A229E"/>
    <w:rsid w:val="004A28BC"/>
    <w:rsid w:val="004A2CF1"/>
    <w:rsid w:val="004A3B37"/>
    <w:rsid w:val="004A4357"/>
    <w:rsid w:val="004A5CB5"/>
    <w:rsid w:val="004A5E20"/>
    <w:rsid w:val="004A6184"/>
    <w:rsid w:val="004A6584"/>
    <w:rsid w:val="004A6B76"/>
    <w:rsid w:val="004A7623"/>
    <w:rsid w:val="004A78B4"/>
    <w:rsid w:val="004B047C"/>
    <w:rsid w:val="004B0BD1"/>
    <w:rsid w:val="004B0DE8"/>
    <w:rsid w:val="004B100E"/>
    <w:rsid w:val="004B147F"/>
    <w:rsid w:val="004B171E"/>
    <w:rsid w:val="004B18DB"/>
    <w:rsid w:val="004B1B67"/>
    <w:rsid w:val="004B1DCB"/>
    <w:rsid w:val="004B1FA2"/>
    <w:rsid w:val="004B255B"/>
    <w:rsid w:val="004B2793"/>
    <w:rsid w:val="004B2C85"/>
    <w:rsid w:val="004B32A7"/>
    <w:rsid w:val="004B43BA"/>
    <w:rsid w:val="004B4A3C"/>
    <w:rsid w:val="004B4D23"/>
    <w:rsid w:val="004B4FBF"/>
    <w:rsid w:val="004B5015"/>
    <w:rsid w:val="004B540C"/>
    <w:rsid w:val="004B584E"/>
    <w:rsid w:val="004B6630"/>
    <w:rsid w:val="004B6E44"/>
    <w:rsid w:val="004B6F48"/>
    <w:rsid w:val="004B7DFE"/>
    <w:rsid w:val="004C0645"/>
    <w:rsid w:val="004C0F06"/>
    <w:rsid w:val="004C1476"/>
    <w:rsid w:val="004C23ED"/>
    <w:rsid w:val="004C2D66"/>
    <w:rsid w:val="004C2DF8"/>
    <w:rsid w:val="004C2EE7"/>
    <w:rsid w:val="004C35B2"/>
    <w:rsid w:val="004C3815"/>
    <w:rsid w:val="004C3D4C"/>
    <w:rsid w:val="004C4103"/>
    <w:rsid w:val="004C4D25"/>
    <w:rsid w:val="004C4E3E"/>
    <w:rsid w:val="004C58F2"/>
    <w:rsid w:val="004C6081"/>
    <w:rsid w:val="004C6515"/>
    <w:rsid w:val="004C6E6B"/>
    <w:rsid w:val="004C7324"/>
    <w:rsid w:val="004C765D"/>
    <w:rsid w:val="004D00DA"/>
    <w:rsid w:val="004D068B"/>
    <w:rsid w:val="004D08B9"/>
    <w:rsid w:val="004D0C48"/>
    <w:rsid w:val="004D0FED"/>
    <w:rsid w:val="004D10AF"/>
    <w:rsid w:val="004D1399"/>
    <w:rsid w:val="004D3429"/>
    <w:rsid w:val="004D3895"/>
    <w:rsid w:val="004D3DBE"/>
    <w:rsid w:val="004D408F"/>
    <w:rsid w:val="004D5669"/>
    <w:rsid w:val="004D5F5B"/>
    <w:rsid w:val="004D61E5"/>
    <w:rsid w:val="004D6939"/>
    <w:rsid w:val="004D6C32"/>
    <w:rsid w:val="004D74CA"/>
    <w:rsid w:val="004D76CD"/>
    <w:rsid w:val="004E08A3"/>
    <w:rsid w:val="004E13EA"/>
    <w:rsid w:val="004E15DE"/>
    <w:rsid w:val="004E1E38"/>
    <w:rsid w:val="004E358A"/>
    <w:rsid w:val="004E3C14"/>
    <w:rsid w:val="004E422F"/>
    <w:rsid w:val="004E4686"/>
    <w:rsid w:val="004E4E07"/>
    <w:rsid w:val="004E56CF"/>
    <w:rsid w:val="004E5827"/>
    <w:rsid w:val="004E5C6F"/>
    <w:rsid w:val="004E62A8"/>
    <w:rsid w:val="004E6393"/>
    <w:rsid w:val="004E66DA"/>
    <w:rsid w:val="004E6A3F"/>
    <w:rsid w:val="004E7143"/>
    <w:rsid w:val="004E7AAF"/>
    <w:rsid w:val="004F0319"/>
    <w:rsid w:val="004F05D8"/>
    <w:rsid w:val="004F06CB"/>
    <w:rsid w:val="004F0A6F"/>
    <w:rsid w:val="004F1235"/>
    <w:rsid w:val="004F1519"/>
    <w:rsid w:val="004F16A9"/>
    <w:rsid w:val="004F1AE9"/>
    <w:rsid w:val="004F1E8E"/>
    <w:rsid w:val="004F1FC5"/>
    <w:rsid w:val="004F2459"/>
    <w:rsid w:val="004F31B6"/>
    <w:rsid w:val="004F344B"/>
    <w:rsid w:val="004F3500"/>
    <w:rsid w:val="004F3E2D"/>
    <w:rsid w:val="004F3E88"/>
    <w:rsid w:val="004F4861"/>
    <w:rsid w:val="004F568D"/>
    <w:rsid w:val="004F5CBB"/>
    <w:rsid w:val="004F5D36"/>
    <w:rsid w:val="004F5E7F"/>
    <w:rsid w:val="004F6261"/>
    <w:rsid w:val="004F62F4"/>
    <w:rsid w:val="004F6392"/>
    <w:rsid w:val="004F65CA"/>
    <w:rsid w:val="004F65F8"/>
    <w:rsid w:val="004F6ACB"/>
    <w:rsid w:val="00500699"/>
    <w:rsid w:val="0050070B"/>
    <w:rsid w:val="0050077B"/>
    <w:rsid w:val="00500ECC"/>
    <w:rsid w:val="00503144"/>
    <w:rsid w:val="005055A2"/>
    <w:rsid w:val="005059B3"/>
    <w:rsid w:val="00505A32"/>
    <w:rsid w:val="00506264"/>
    <w:rsid w:val="0050636A"/>
    <w:rsid w:val="0050662B"/>
    <w:rsid w:val="005069F3"/>
    <w:rsid w:val="00507BB3"/>
    <w:rsid w:val="00510B2E"/>
    <w:rsid w:val="00510E8C"/>
    <w:rsid w:val="0051229A"/>
    <w:rsid w:val="00512C96"/>
    <w:rsid w:val="005131BA"/>
    <w:rsid w:val="00513894"/>
    <w:rsid w:val="00513B0E"/>
    <w:rsid w:val="00514175"/>
    <w:rsid w:val="00514639"/>
    <w:rsid w:val="00514974"/>
    <w:rsid w:val="00514D30"/>
    <w:rsid w:val="00514DCD"/>
    <w:rsid w:val="00515C74"/>
    <w:rsid w:val="00515DAA"/>
    <w:rsid w:val="00515E08"/>
    <w:rsid w:val="00516534"/>
    <w:rsid w:val="00516806"/>
    <w:rsid w:val="0051754E"/>
    <w:rsid w:val="00517AAE"/>
    <w:rsid w:val="00517C88"/>
    <w:rsid w:val="00520AD4"/>
    <w:rsid w:val="00520C9B"/>
    <w:rsid w:val="005214C7"/>
    <w:rsid w:val="00522364"/>
    <w:rsid w:val="005229D3"/>
    <w:rsid w:val="005230FC"/>
    <w:rsid w:val="005231A5"/>
    <w:rsid w:val="00524526"/>
    <w:rsid w:val="005250DC"/>
    <w:rsid w:val="00525290"/>
    <w:rsid w:val="00525463"/>
    <w:rsid w:val="005257E9"/>
    <w:rsid w:val="00525F03"/>
    <w:rsid w:val="00526256"/>
    <w:rsid w:val="00527655"/>
    <w:rsid w:val="00530CB1"/>
    <w:rsid w:val="005310D6"/>
    <w:rsid w:val="00531E72"/>
    <w:rsid w:val="00531FB3"/>
    <w:rsid w:val="00532A10"/>
    <w:rsid w:val="00532CB6"/>
    <w:rsid w:val="00532DC5"/>
    <w:rsid w:val="00532E2D"/>
    <w:rsid w:val="00532F3A"/>
    <w:rsid w:val="00533712"/>
    <w:rsid w:val="00533AD6"/>
    <w:rsid w:val="0053467C"/>
    <w:rsid w:val="00534864"/>
    <w:rsid w:val="00534A42"/>
    <w:rsid w:val="00534E58"/>
    <w:rsid w:val="005356AA"/>
    <w:rsid w:val="00535E0F"/>
    <w:rsid w:val="00536BE6"/>
    <w:rsid w:val="00536EC5"/>
    <w:rsid w:val="0053704C"/>
    <w:rsid w:val="005370F6"/>
    <w:rsid w:val="005373C0"/>
    <w:rsid w:val="00540089"/>
    <w:rsid w:val="00541676"/>
    <w:rsid w:val="00542362"/>
    <w:rsid w:val="005424D0"/>
    <w:rsid w:val="00542C7B"/>
    <w:rsid w:val="00543BE9"/>
    <w:rsid w:val="00544270"/>
    <w:rsid w:val="00544C4A"/>
    <w:rsid w:val="0054557B"/>
    <w:rsid w:val="00545D0C"/>
    <w:rsid w:val="0054743A"/>
    <w:rsid w:val="00547807"/>
    <w:rsid w:val="00547883"/>
    <w:rsid w:val="005479ED"/>
    <w:rsid w:val="00547A74"/>
    <w:rsid w:val="0055023A"/>
    <w:rsid w:val="005512BE"/>
    <w:rsid w:val="0055174C"/>
    <w:rsid w:val="0055200C"/>
    <w:rsid w:val="00552763"/>
    <w:rsid w:val="00552B73"/>
    <w:rsid w:val="00553118"/>
    <w:rsid w:val="0055435E"/>
    <w:rsid w:val="00554ADD"/>
    <w:rsid w:val="00554B1B"/>
    <w:rsid w:val="00555682"/>
    <w:rsid w:val="00556420"/>
    <w:rsid w:val="00556B2B"/>
    <w:rsid w:val="00556C9C"/>
    <w:rsid w:val="00556CFF"/>
    <w:rsid w:val="00557007"/>
    <w:rsid w:val="005576EC"/>
    <w:rsid w:val="0055791F"/>
    <w:rsid w:val="00557C5A"/>
    <w:rsid w:val="00560827"/>
    <w:rsid w:val="00560D13"/>
    <w:rsid w:val="00560EC5"/>
    <w:rsid w:val="00561939"/>
    <w:rsid w:val="00561BD1"/>
    <w:rsid w:val="00562E72"/>
    <w:rsid w:val="00563040"/>
    <w:rsid w:val="0056306D"/>
    <w:rsid w:val="00563230"/>
    <w:rsid w:val="0056378B"/>
    <w:rsid w:val="0056476F"/>
    <w:rsid w:val="0056498C"/>
    <w:rsid w:val="00564CE0"/>
    <w:rsid w:val="00565141"/>
    <w:rsid w:val="00565951"/>
    <w:rsid w:val="00565E44"/>
    <w:rsid w:val="00566085"/>
    <w:rsid w:val="005667DD"/>
    <w:rsid w:val="00566947"/>
    <w:rsid w:val="00566AEB"/>
    <w:rsid w:val="00566C0C"/>
    <w:rsid w:val="00567085"/>
    <w:rsid w:val="005673B3"/>
    <w:rsid w:val="005674A9"/>
    <w:rsid w:val="00567691"/>
    <w:rsid w:val="0057072F"/>
    <w:rsid w:val="00570843"/>
    <w:rsid w:val="00571B56"/>
    <w:rsid w:val="00573509"/>
    <w:rsid w:val="0057491F"/>
    <w:rsid w:val="00575A49"/>
    <w:rsid w:val="00576268"/>
    <w:rsid w:val="00577D37"/>
    <w:rsid w:val="00577E96"/>
    <w:rsid w:val="00577F7A"/>
    <w:rsid w:val="00580179"/>
    <w:rsid w:val="00580874"/>
    <w:rsid w:val="00580943"/>
    <w:rsid w:val="00580DC6"/>
    <w:rsid w:val="0058126A"/>
    <w:rsid w:val="00581AC9"/>
    <w:rsid w:val="00582734"/>
    <w:rsid w:val="00582CA8"/>
    <w:rsid w:val="00583153"/>
    <w:rsid w:val="005831AE"/>
    <w:rsid w:val="00583796"/>
    <w:rsid w:val="00583C8F"/>
    <w:rsid w:val="005841D4"/>
    <w:rsid w:val="005843D3"/>
    <w:rsid w:val="00584688"/>
    <w:rsid w:val="00585093"/>
    <w:rsid w:val="00585125"/>
    <w:rsid w:val="005854D4"/>
    <w:rsid w:val="00585996"/>
    <w:rsid w:val="00585C21"/>
    <w:rsid w:val="00587154"/>
    <w:rsid w:val="00587FE3"/>
    <w:rsid w:val="00590245"/>
    <w:rsid w:val="00592137"/>
    <w:rsid w:val="00592361"/>
    <w:rsid w:val="005925EB"/>
    <w:rsid w:val="0059364F"/>
    <w:rsid w:val="005937F6"/>
    <w:rsid w:val="00596D86"/>
    <w:rsid w:val="00597917"/>
    <w:rsid w:val="005A0218"/>
    <w:rsid w:val="005A02A4"/>
    <w:rsid w:val="005A0793"/>
    <w:rsid w:val="005A0DF7"/>
    <w:rsid w:val="005A1055"/>
    <w:rsid w:val="005A15F5"/>
    <w:rsid w:val="005A237D"/>
    <w:rsid w:val="005A2577"/>
    <w:rsid w:val="005A2D81"/>
    <w:rsid w:val="005A2F31"/>
    <w:rsid w:val="005A3066"/>
    <w:rsid w:val="005A3FFF"/>
    <w:rsid w:val="005A4013"/>
    <w:rsid w:val="005A4698"/>
    <w:rsid w:val="005A56BF"/>
    <w:rsid w:val="005A5986"/>
    <w:rsid w:val="005A5D94"/>
    <w:rsid w:val="005A60E1"/>
    <w:rsid w:val="005A6402"/>
    <w:rsid w:val="005A69E6"/>
    <w:rsid w:val="005A721B"/>
    <w:rsid w:val="005A7425"/>
    <w:rsid w:val="005A7A42"/>
    <w:rsid w:val="005A7A9B"/>
    <w:rsid w:val="005B0064"/>
    <w:rsid w:val="005B1D80"/>
    <w:rsid w:val="005B27A6"/>
    <w:rsid w:val="005B2C4C"/>
    <w:rsid w:val="005B2EE5"/>
    <w:rsid w:val="005B33E0"/>
    <w:rsid w:val="005B380A"/>
    <w:rsid w:val="005B3E6B"/>
    <w:rsid w:val="005B46D2"/>
    <w:rsid w:val="005B4B09"/>
    <w:rsid w:val="005B4E7E"/>
    <w:rsid w:val="005B5129"/>
    <w:rsid w:val="005B5DF1"/>
    <w:rsid w:val="005B68B9"/>
    <w:rsid w:val="005B6990"/>
    <w:rsid w:val="005C0446"/>
    <w:rsid w:val="005C094A"/>
    <w:rsid w:val="005C09B3"/>
    <w:rsid w:val="005C0DD1"/>
    <w:rsid w:val="005C10F9"/>
    <w:rsid w:val="005C1178"/>
    <w:rsid w:val="005C261A"/>
    <w:rsid w:val="005C3192"/>
    <w:rsid w:val="005C3567"/>
    <w:rsid w:val="005C5C2D"/>
    <w:rsid w:val="005C68F4"/>
    <w:rsid w:val="005C6E6F"/>
    <w:rsid w:val="005C78CD"/>
    <w:rsid w:val="005D0BF8"/>
    <w:rsid w:val="005D0EF1"/>
    <w:rsid w:val="005D1416"/>
    <w:rsid w:val="005D18EC"/>
    <w:rsid w:val="005D1D9D"/>
    <w:rsid w:val="005D270F"/>
    <w:rsid w:val="005D2F33"/>
    <w:rsid w:val="005D3678"/>
    <w:rsid w:val="005D3B09"/>
    <w:rsid w:val="005D3CFE"/>
    <w:rsid w:val="005D4DDA"/>
    <w:rsid w:val="005D52E3"/>
    <w:rsid w:val="005D5B02"/>
    <w:rsid w:val="005D5BA0"/>
    <w:rsid w:val="005D5FA0"/>
    <w:rsid w:val="005D6765"/>
    <w:rsid w:val="005E0AED"/>
    <w:rsid w:val="005E0BFC"/>
    <w:rsid w:val="005E202C"/>
    <w:rsid w:val="005E2116"/>
    <w:rsid w:val="005E2140"/>
    <w:rsid w:val="005E2F9B"/>
    <w:rsid w:val="005E3F6F"/>
    <w:rsid w:val="005E49F9"/>
    <w:rsid w:val="005E5E14"/>
    <w:rsid w:val="005E78BB"/>
    <w:rsid w:val="005E7E42"/>
    <w:rsid w:val="005E7E7D"/>
    <w:rsid w:val="005E7ED2"/>
    <w:rsid w:val="005F09DC"/>
    <w:rsid w:val="005F112B"/>
    <w:rsid w:val="005F15D0"/>
    <w:rsid w:val="005F1600"/>
    <w:rsid w:val="005F1C00"/>
    <w:rsid w:val="005F2257"/>
    <w:rsid w:val="005F2480"/>
    <w:rsid w:val="005F2C8D"/>
    <w:rsid w:val="005F3D8F"/>
    <w:rsid w:val="005F482B"/>
    <w:rsid w:val="005F4BA9"/>
    <w:rsid w:val="005F4F16"/>
    <w:rsid w:val="005F57AE"/>
    <w:rsid w:val="005F5CD6"/>
    <w:rsid w:val="005F6AA7"/>
    <w:rsid w:val="005F70D4"/>
    <w:rsid w:val="005F7285"/>
    <w:rsid w:val="005F790C"/>
    <w:rsid w:val="005F7F4A"/>
    <w:rsid w:val="00600144"/>
    <w:rsid w:val="00600721"/>
    <w:rsid w:val="00600F00"/>
    <w:rsid w:val="0060161A"/>
    <w:rsid w:val="00601D77"/>
    <w:rsid w:val="00601D82"/>
    <w:rsid w:val="006023DF"/>
    <w:rsid w:val="00602C9A"/>
    <w:rsid w:val="00602D01"/>
    <w:rsid w:val="00602DBB"/>
    <w:rsid w:val="00602EBD"/>
    <w:rsid w:val="006035D9"/>
    <w:rsid w:val="00604664"/>
    <w:rsid w:val="006046D7"/>
    <w:rsid w:val="00604ACF"/>
    <w:rsid w:val="00604BD0"/>
    <w:rsid w:val="00605765"/>
    <w:rsid w:val="0060594E"/>
    <w:rsid w:val="00605A85"/>
    <w:rsid w:val="00605B81"/>
    <w:rsid w:val="00605C11"/>
    <w:rsid w:val="00605D41"/>
    <w:rsid w:val="00605FB8"/>
    <w:rsid w:val="0060615A"/>
    <w:rsid w:val="006061BE"/>
    <w:rsid w:val="00606C29"/>
    <w:rsid w:val="00606CC5"/>
    <w:rsid w:val="00607650"/>
    <w:rsid w:val="00607D4E"/>
    <w:rsid w:val="00610446"/>
    <w:rsid w:val="00610B0D"/>
    <w:rsid w:val="0061138C"/>
    <w:rsid w:val="006113DB"/>
    <w:rsid w:val="0061169D"/>
    <w:rsid w:val="0061191A"/>
    <w:rsid w:val="0061194F"/>
    <w:rsid w:val="006122CC"/>
    <w:rsid w:val="00612A5C"/>
    <w:rsid w:val="006133CA"/>
    <w:rsid w:val="0061341F"/>
    <w:rsid w:val="0061343B"/>
    <w:rsid w:val="0061360F"/>
    <w:rsid w:val="00613AF8"/>
    <w:rsid w:val="0061422D"/>
    <w:rsid w:val="006148CD"/>
    <w:rsid w:val="0061490A"/>
    <w:rsid w:val="0061538B"/>
    <w:rsid w:val="006156BB"/>
    <w:rsid w:val="006161D4"/>
    <w:rsid w:val="0061669C"/>
    <w:rsid w:val="006170E5"/>
    <w:rsid w:val="0061739D"/>
    <w:rsid w:val="0061799B"/>
    <w:rsid w:val="00617FAD"/>
    <w:rsid w:val="00620105"/>
    <w:rsid w:val="00620FCE"/>
    <w:rsid w:val="00621219"/>
    <w:rsid w:val="006212C7"/>
    <w:rsid w:val="006224F8"/>
    <w:rsid w:val="006226B4"/>
    <w:rsid w:val="00622CD0"/>
    <w:rsid w:val="00622F49"/>
    <w:rsid w:val="00622F5B"/>
    <w:rsid w:val="00623180"/>
    <w:rsid w:val="006231B1"/>
    <w:rsid w:val="00623EAE"/>
    <w:rsid w:val="0062427E"/>
    <w:rsid w:val="00624863"/>
    <w:rsid w:val="00624AE4"/>
    <w:rsid w:val="00624BB4"/>
    <w:rsid w:val="00624E86"/>
    <w:rsid w:val="00625144"/>
    <w:rsid w:val="00625700"/>
    <w:rsid w:val="00626138"/>
    <w:rsid w:val="006267D3"/>
    <w:rsid w:val="00626C9B"/>
    <w:rsid w:val="00626ED1"/>
    <w:rsid w:val="00627CD2"/>
    <w:rsid w:val="00627E81"/>
    <w:rsid w:val="0063022F"/>
    <w:rsid w:val="00630936"/>
    <w:rsid w:val="00630FCC"/>
    <w:rsid w:val="0063114D"/>
    <w:rsid w:val="00631B1F"/>
    <w:rsid w:val="00632592"/>
    <w:rsid w:val="00632BE9"/>
    <w:rsid w:val="00633133"/>
    <w:rsid w:val="00633590"/>
    <w:rsid w:val="00633C48"/>
    <w:rsid w:val="006340DF"/>
    <w:rsid w:val="00634972"/>
    <w:rsid w:val="006350DC"/>
    <w:rsid w:val="00635625"/>
    <w:rsid w:val="00636753"/>
    <w:rsid w:val="0063699D"/>
    <w:rsid w:val="006371DF"/>
    <w:rsid w:val="006401B1"/>
    <w:rsid w:val="00640DD2"/>
    <w:rsid w:val="006413EC"/>
    <w:rsid w:val="00641863"/>
    <w:rsid w:val="00641F0E"/>
    <w:rsid w:val="006422B8"/>
    <w:rsid w:val="00642843"/>
    <w:rsid w:val="006428DF"/>
    <w:rsid w:val="00642933"/>
    <w:rsid w:val="006429B8"/>
    <w:rsid w:val="00643BF6"/>
    <w:rsid w:val="00644370"/>
    <w:rsid w:val="006464B8"/>
    <w:rsid w:val="00646548"/>
    <w:rsid w:val="00646A9C"/>
    <w:rsid w:val="006471A0"/>
    <w:rsid w:val="00647670"/>
    <w:rsid w:val="00647F03"/>
    <w:rsid w:val="00650080"/>
    <w:rsid w:val="00650141"/>
    <w:rsid w:val="00650FF3"/>
    <w:rsid w:val="00651F65"/>
    <w:rsid w:val="00652646"/>
    <w:rsid w:val="00652939"/>
    <w:rsid w:val="00652BD9"/>
    <w:rsid w:val="00652D63"/>
    <w:rsid w:val="0065380E"/>
    <w:rsid w:val="006553C0"/>
    <w:rsid w:val="00655681"/>
    <w:rsid w:val="00655704"/>
    <w:rsid w:val="006573A7"/>
    <w:rsid w:val="0065751E"/>
    <w:rsid w:val="00657733"/>
    <w:rsid w:val="00657C4B"/>
    <w:rsid w:val="00660476"/>
    <w:rsid w:val="00660AC4"/>
    <w:rsid w:val="00660DDA"/>
    <w:rsid w:val="00660F7A"/>
    <w:rsid w:val="006611B2"/>
    <w:rsid w:val="00661642"/>
    <w:rsid w:val="00661934"/>
    <w:rsid w:val="00662CBC"/>
    <w:rsid w:val="0066355A"/>
    <w:rsid w:val="00664305"/>
    <w:rsid w:val="00664A83"/>
    <w:rsid w:val="00664F28"/>
    <w:rsid w:val="00665201"/>
    <w:rsid w:val="00665465"/>
    <w:rsid w:val="0066638D"/>
    <w:rsid w:val="00666A6B"/>
    <w:rsid w:val="00667B67"/>
    <w:rsid w:val="00667E7F"/>
    <w:rsid w:val="00670849"/>
    <w:rsid w:val="00670C33"/>
    <w:rsid w:val="00670F2A"/>
    <w:rsid w:val="00671324"/>
    <w:rsid w:val="00671A1C"/>
    <w:rsid w:val="006728F8"/>
    <w:rsid w:val="00673FF8"/>
    <w:rsid w:val="00674167"/>
    <w:rsid w:val="00674254"/>
    <w:rsid w:val="00674353"/>
    <w:rsid w:val="00674AF7"/>
    <w:rsid w:val="006752D0"/>
    <w:rsid w:val="00675C32"/>
    <w:rsid w:val="00675DC2"/>
    <w:rsid w:val="0067690C"/>
    <w:rsid w:val="00676FCA"/>
    <w:rsid w:val="00677573"/>
    <w:rsid w:val="00680C71"/>
    <w:rsid w:val="006812F9"/>
    <w:rsid w:val="00681B0B"/>
    <w:rsid w:val="00681E1F"/>
    <w:rsid w:val="00683C30"/>
    <w:rsid w:val="00683CC8"/>
    <w:rsid w:val="006846E8"/>
    <w:rsid w:val="006868DC"/>
    <w:rsid w:val="0068701A"/>
    <w:rsid w:val="006878AB"/>
    <w:rsid w:val="00687EBB"/>
    <w:rsid w:val="006905D9"/>
    <w:rsid w:val="00690612"/>
    <w:rsid w:val="0069084D"/>
    <w:rsid w:val="00690C7E"/>
    <w:rsid w:val="00690F6C"/>
    <w:rsid w:val="0069179D"/>
    <w:rsid w:val="0069272D"/>
    <w:rsid w:val="006927A0"/>
    <w:rsid w:val="006929C2"/>
    <w:rsid w:val="006930A3"/>
    <w:rsid w:val="0069360A"/>
    <w:rsid w:val="006938D7"/>
    <w:rsid w:val="006952DD"/>
    <w:rsid w:val="00695BAF"/>
    <w:rsid w:val="006964A4"/>
    <w:rsid w:val="006970EB"/>
    <w:rsid w:val="00697DB8"/>
    <w:rsid w:val="00697F5D"/>
    <w:rsid w:val="006A09E1"/>
    <w:rsid w:val="006A0F57"/>
    <w:rsid w:val="006A1302"/>
    <w:rsid w:val="006A1404"/>
    <w:rsid w:val="006A35CE"/>
    <w:rsid w:val="006A3FA1"/>
    <w:rsid w:val="006A3FF6"/>
    <w:rsid w:val="006A4A87"/>
    <w:rsid w:val="006A59B9"/>
    <w:rsid w:val="006A5CC3"/>
    <w:rsid w:val="006A6B68"/>
    <w:rsid w:val="006B0196"/>
    <w:rsid w:val="006B03E1"/>
    <w:rsid w:val="006B0444"/>
    <w:rsid w:val="006B07D1"/>
    <w:rsid w:val="006B0E58"/>
    <w:rsid w:val="006B118E"/>
    <w:rsid w:val="006B119B"/>
    <w:rsid w:val="006B129D"/>
    <w:rsid w:val="006B1AFB"/>
    <w:rsid w:val="006B1E12"/>
    <w:rsid w:val="006B2834"/>
    <w:rsid w:val="006B3521"/>
    <w:rsid w:val="006B3FB3"/>
    <w:rsid w:val="006B4083"/>
    <w:rsid w:val="006B4D28"/>
    <w:rsid w:val="006B58C6"/>
    <w:rsid w:val="006B6A09"/>
    <w:rsid w:val="006B7000"/>
    <w:rsid w:val="006B7C50"/>
    <w:rsid w:val="006B7CF0"/>
    <w:rsid w:val="006C03A2"/>
    <w:rsid w:val="006C04BB"/>
    <w:rsid w:val="006C12E0"/>
    <w:rsid w:val="006C1906"/>
    <w:rsid w:val="006C2B8B"/>
    <w:rsid w:val="006C2FCA"/>
    <w:rsid w:val="006C309C"/>
    <w:rsid w:val="006C3B79"/>
    <w:rsid w:val="006C3B92"/>
    <w:rsid w:val="006C3C38"/>
    <w:rsid w:val="006C3CDC"/>
    <w:rsid w:val="006C3E75"/>
    <w:rsid w:val="006C40E4"/>
    <w:rsid w:val="006C4410"/>
    <w:rsid w:val="006C49B5"/>
    <w:rsid w:val="006C4CF8"/>
    <w:rsid w:val="006C5784"/>
    <w:rsid w:val="006C6AEB"/>
    <w:rsid w:val="006C72E7"/>
    <w:rsid w:val="006C7589"/>
    <w:rsid w:val="006C7876"/>
    <w:rsid w:val="006C7DC2"/>
    <w:rsid w:val="006D0499"/>
    <w:rsid w:val="006D1367"/>
    <w:rsid w:val="006D1C12"/>
    <w:rsid w:val="006D33D1"/>
    <w:rsid w:val="006D39A0"/>
    <w:rsid w:val="006D3E53"/>
    <w:rsid w:val="006D4A68"/>
    <w:rsid w:val="006D5D6B"/>
    <w:rsid w:val="006D63EF"/>
    <w:rsid w:val="006D675E"/>
    <w:rsid w:val="006D693E"/>
    <w:rsid w:val="006D6A11"/>
    <w:rsid w:val="006D791D"/>
    <w:rsid w:val="006E03E8"/>
    <w:rsid w:val="006E083B"/>
    <w:rsid w:val="006E16B9"/>
    <w:rsid w:val="006E180A"/>
    <w:rsid w:val="006E1C7C"/>
    <w:rsid w:val="006E1FB7"/>
    <w:rsid w:val="006E2351"/>
    <w:rsid w:val="006E26A7"/>
    <w:rsid w:val="006E2825"/>
    <w:rsid w:val="006E2C3F"/>
    <w:rsid w:val="006E2D6D"/>
    <w:rsid w:val="006E2DC4"/>
    <w:rsid w:val="006E399C"/>
    <w:rsid w:val="006E44BC"/>
    <w:rsid w:val="006E494B"/>
    <w:rsid w:val="006E4EFF"/>
    <w:rsid w:val="006E5687"/>
    <w:rsid w:val="006E6199"/>
    <w:rsid w:val="006E6297"/>
    <w:rsid w:val="006E645D"/>
    <w:rsid w:val="006E67F9"/>
    <w:rsid w:val="006E6D22"/>
    <w:rsid w:val="006E72A6"/>
    <w:rsid w:val="006E7E3F"/>
    <w:rsid w:val="006F133E"/>
    <w:rsid w:val="006F2772"/>
    <w:rsid w:val="006F2814"/>
    <w:rsid w:val="006F29B2"/>
    <w:rsid w:val="006F2D2F"/>
    <w:rsid w:val="006F2D77"/>
    <w:rsid w:val="006F3080"/>
    <w:rsid w:val="006F3712"/>
    <w:rsid w:val="006F3FDA"/>
    <w:rsid w:val="006F5CB9"/>
    <w:rsid w:val="006F5FAD"/>
    <w:rsid w:val="006F6803"/>
    <w:rsid w:val="006F70A2"/>
    <w:rsid w:val="006F73AE"/>
    <w:rsid w:val="006F7E89"/>
    <w:rsid w:val="007006D2"/>
    <w:rsid w:val="007007F4"/>
    <w:rsid w:val="00700B34"/>
    <w:rsid w:val="00700BC3"/>
    <w:rsid w:val="00700E36"/>
    <w:rsid w:val="00701182"/>
    <w:rsid w:val="0070161E"/>
    <w:rsid w:val="00701B85"/>
    <w:rsid w:val="00701D4E"/>
    <w:rsid w:val="00701E6A"/>
    <w:rsid w:val="00702276"/>
    <w:rsid w:val="00703200"/>
    <w:rsid w:val="0070347A"/>
    <w:rsid w:val="007034D2"/>
    <w:rsid w:val="007037F8"/>
    <w:rsid w:val="007040BF"/>
    <w:rsid w:val="007041C2"/>
    <w:rsid w:val="00704283"/>
    <w:rsid w:val="00704E51"/>
    <w:rsid w:val="00704E79"/>
    <w:rsid w:val="00704FE1"/>
    <w:rsid w:val="00704FFE"/>
    <w:rsid w:val="0070509C"/>
    <w:rsid w:val="00705167"/>
    <w:rsid w:val="00706318"/>
    <w:rsid w:val="0070650C"/>
    <w:rsid w:val="00707557"/>
    <w:rsid w:val="007100CC"/>
    <w:rsid w:val="00710528"/>
    <w:rsid w:val="007115C9"/>
    <w:rsid w:val="00711D5D"/>
    <w:rsid w:val="007120CC"/>
    <w:rsid w:val="00712F87"/>
    <w:rsid w:val="00713180"/>
    <w:rsid w:val="007136B8"/>
    <w:rsid w:val="00713AD4"/>
    <w:rsid w:val="00713AE1"/>
    <w:rsid w:val="00713C0B"/>
    <w:rsid w:val="0071400F"/>
    <w:rsid w:val="0071416E"/>
    <w:rsid w:val="007166EF"/>
    <w:rsid w:val="00716891"/>
    <w:rsid w:val="00716B44"/>
    <w:rsid w:val="00716DBA"/>
    <w:rsid w:val="00717C62"/>
    <w:rsid w:val="00717E0D"/>
    <w:rsid w:val="007206B8"/>
    <w:rsid w:val="007219E6"/>
    <w:rsid w:val="00721A5E"/>
    <w:rsid w:val="00722DED"/>
    <w:rsid w:val="00723935"/>
    <w:rsid w:val="00724B81"/>
    <w:rsid w:val="00724CFD"/>
    <w:rsid w:val="00725DD6"/>
    <w:rsid w:val="007261EA"/>
    <w:rsid w:val="00726666"/>
    <w:rsid w:val="00726C50"/>
    <w:rsid w:val="007273B5"/>
    <w:rsid w:val="00727F48"/>
    <w:rsid w:val="007309C4"/>
    <w:rsid w:val="00731844"/>
    <w:rsid w:val="0073219A"/>
    <w:rsid w:val="007323AD"/>
    <w:rsid w:val="007324C7"/>
    <w:rsid w:val="00733001"/>
    <w:rsid w:val="0073342B"/>
    <w:rsid w:val="007341DA"/>
    <w:rsid w:val="00734BC2"/>
    <w:rsid w:val="00735144"/>
    <w:rsid w:val="00736057"/>
    <w:rsid w:val="0073638A"/>
    <w:rsid w:val="00736492"/>
    <w:rsid w:val="0073662C"/>
    <w:rsid w:val="007368D7"/>
    <w:rsid w:val="007369F1"/>
    <w:rsid w:val="00736CC5"/>
    <w:rsid w:val="0073703B"/>
    <w:rsid w:val="00737297"/>
    <w:rsid w:val="00737E50"/>
    <w:rsid w:val="00740D1B"/>
    <w:rsid w:val="00741EED"/>
    <w:rsid w:val="0074268C"/>
    <w:rsid w:val="00743EAB"/>
    <w:rsid w:val="007444B9"/>
    <w:rsid w:val="00744C29"/>
    <w:rsid w:val="00745257"/>
    <w:rsid w:val="007455DC"/>
    <w:rsid w:val="00745A09"/>
    <w:rsid w:val="00745D4C"/>
    <w:rsid w:val="00745F92"/>
    <w:rsid w:val="007466DF"/>
    <w:rsid w:val="007469A1"/>
    <w:rsid w:val="00746A80"/>
    <w:rsid w:val="00746B6D"/>
    <w:rsid w:val="007478CD"/>
    <w:rsid w:val="00747A31"/>
    <w:rsid w:val="00747F86"/>
    <w:rsid w:val="00747F93"/>
    <w:rsid w:val="007507E0"/>
    <w:rsid w:val="00750AD2"/>
    <w:rsid w:val="00750E46"/>
    <w:rsid w:val="007510C7"/>
    <w:rsid w:val="0075135A"/>
    <w:rsid w:val="007514BC"/>
    <w:rsid w:val="00751911"/>
    <w:rsid w:val="00751D4D"/>
    <w:rsid w:val="00751EDB"/>
    <w:rsid w:val="0075279E"/>
    <w:rsid w:val="0075298D"/>
    <w:rsid w:val="0075329D"/>
    <w:rsid w:val="00753447"/>
    <w:rsid w:val="007541C7"/>
    <w:rsid w:val="00755491"/>
    <w:rsid w:val="00756841"/>
    <w:rsid w:val="00757F28"/>
    <w:rsid w:val="007600B8"/>
    <w:rsid w:val="00760DF6"/>
    <w:rsid w:val="00761A8E"/>
    <w:rsid w:val="00762CB7"/>
    <w:rsid w:val="007633AD"/>
    <w:rsid w:val="0076341A"/>
    <w:rsid w:val="007637BA"/>
    <w:rsid w:val="0076387E"/>
    <w:rsid w:val="0076401C"/>
    <w:rsid w:val="00764577"/>
    <w:rsid w:val="007645A6"/>
    <w:rsid w:val="00764655"/>
    <w:rsid w:val="007655FE"/>
    <w:rsid w:val="00765B7B"/>
    <w:rsid w:val="007663CF"/>
    <w:rsid w:val="0076651D"/>
    <w:rsid w:val="00766EC1"/>
    <w:rsid w:val="007677B5"/>
    <w:rsid w:val="0077077C"/>
    <w:rsid w:val="0077095E"/>
    <w:rsid w:val="00770E4B"/>
    <w:rsid w:val="0077121D"/>
    <w:rsid w:val="007713CE"/>
    <w:rsid w:val="0077208F"/>
    <w:rsid w:val="007729F2"/>
    <w:rsid w:val="007731A7"/>
    <w:rsid w:val="00773290"/>
    <w:rsid w:val="00774A4C"/>
    <w:rsid w:val="00774EFF"/>
    <w:rsid w:val="007764E9"/>
    <w:rsid w:val="00776847"/>
    <w:rsid w:val="00776B11"/>
    <w:rsid w:val="00776BF0"/>
    <w:rsid w:val="00776ECE"/>
    <w:rsid w:val="007773DB"/>
    <w:rsid w:val="007775E6"/>
    <w:rsid w:val="00780BEB"/>
    <w:rsid w:val="00780EC0"/>
    <w:rsid w:val="00781011"/>
    <w:rsid w:val="00781EB0"/>
    <w:rsid w:val="00781F38"/>
    <w:rsid w:val="0078243C"/>
    <w:rsid w:val="00782616"/>
    <w:rsid w:val="0078289A"/>
    <w:rsid w:val="00782B9D"/>
    <w:rsid w:val="00782C61"/>
    <w:rsid w:val="007838ED"/>
    <w:rsid w:val="00783DD9"/>
    <w:rsid w:val="0078404C"/>
    <w:rsid w:val="0078475D"/>
    <w:rsid w:val="00785003"/>
    <w:rsid w:val="0078513F"/>
    <w:rsid w:val="00785CF0"/>
    <w:rsid w:val="0078632F"/>
    <w:rsid w:val="007870E9"/>
    <w:rsid w:val="007879F1"/>
    <w:rsid w:val="00787AD4"/>
    <w:rsid w:val="00787C9F"/>
    <w:rsid w:val="007900E7"/>
    <w:rsid w:val="00790123"/>
    <w:rsid w:val="00790679"/>
    <w:rsid w:val="0079092E"/>
    <w:rsid w:val="0079114D"/>
    <w:rsid w:val="007915A8"/>
    <w:rsid w:val="007916FB"/>
    <w:rsid w:val="00791CC5"/>
    <w:rsid w:val="00792137"/>
    <w:rsid w:val="00792E2D"/>
    <w:rsid w:val="00792F28"/>
    <w:rsid w:val="00792FB9"/>
    <w:rsid w:val="00793600"/>
    <w:rsid w:val="00793C70"/>
    <w:rsid w:val="00793CD9"/>
    <w:rsid w:val="00794185"/>
    <w:rsid w:val="007942E5"/>
    <w:rsid w:val="007945DF"/>
    <w:rsid w:val="007946ED"/>
    <w:rsid w:val="007946FE"/>
    <w:rsid w:val="00794805"/>
    <w:rsid w:val="0079521F"/>
    <w:rsid w:val="007956AC"/>
    <w:rsid w:val="00795A5F"/>
    <w:rsid w:val="0079617E"/>
    <w:rsid w:val="00796A13"/>
    <w:rsid w:val="00796BBE"/>
    <w:rsid w:val="00796DCC"/>
    <w:rsid w:val="00797076"/>
    <w:rsid w:val="007975D8"/>
    <w:rsid w:val="007975F6"/>
    <w:rsid w:val="00797FD9"/>
    <w:rsid w:val="007A01F1"/>
    <w:rsid w:val="007A08DA"/>
    <w:rsid w:val="007A0B6A"/>
    <w:rsid w:val="007A0C6B"/>
    <w:rsid w:val="007A199E"/>
    <w:rsid w:val="007A2157"/>
    <w:rsid w:val="007A2489"/>
    <w:rsid w:val="007A26A0"/>
    <w:rsid w:val="007A2C41"/>
    <w:rsid w:val="007A34D1"/>
    <w:rsid w:val="007A5E1E"/>
    <w:rsid w:val="007A5E96"/>
    <w:rsid w:val="007A6BA4"/>
    <w:rsid w:val="007A75D4"/>
    <w:rsid w:val="007B0007"/>
    <w:rsid w:val="007B0BB9"/>
    <w:rsid w:val="007B10C6"/>
    <w:rsid w:val="007B1356"/>
    <w:rsid w:val="007B15D9"/>
    <w:rsid w:val="007B195E"/>
    <w:rsid w:val="007B1C26"/>
    <w:rsid w:val="007B2007"/>
    <w:rsid w:val="007B26D1"/>
    <w:rsid w:val="007B2ACD"/>
    <w:rsid w:val="007B326B"/>
    <w:rsid w:val="007B3552"/>
    <w:rsid w:val="007B3EA8"/>
    <w:rsid w:val="007B4069"/>
    <w:rsid w:val="007B45E8"/>
    <w:rsid w:val="007B4C35"/>
    <w:rsid w:val="007B5DFD"/>
    <w:rsid w:val="007B6D7F"/>
    <w:rsid w:val="007B706E"/>
    <w:rsid w:val="007B7248"/>
    <w:rsid w:val="007B73E0"/>
    <w:rsid w:val="007B7815"/>
    <w:rsid w:val="007B7E21"/>
    <w:rsid w:val="007B7EAC"/>
    <w:rsid w:val="007C041F"/>
    <w:rsid w:val="007C0529"/>
    <w:rsid w:val="007C0550"/>
    <w:rsid w:val="007C08BB"/>
    <w:rsid w:val="007C151F"/>
    <w:rsid w:val="007C15FF"/>
    <w:rsid w:val="007C1E8D"/>
    <w:rsid w:val="007C1F10"/>
    <w:rsid w:val="007C2F1D"/>
    <w:rsid w:val="007C3CD3"/>
    <w:rsid w:val="007C41F2"/>
    <w:rsid w:val="007C4901"/>
    <w:rsid w:val="007C50F8"/>
    <w:rsid w:val="007C53BD"/>
    <w:rsid w:val="007C5834"/>
    <w:rsid w:val="007C6773"/>
    <w:rsid w:val="007C6DE2"/>
    <w:rsid w:val="007C6F24"/>
    <w:rsid w:val="007C701C"/>
    <w:rsid w:val="007C7380"/>
    <w:rsid w:val="007D0629"/>
    <w:rsid w:val="007D0C47"/>
    <w:rsid w:val="007D0DB8"/>
    <w:rsid w:val="007D0DBB"/>
    <w:rsid w:val="007D21E4"/>
    <w:rsid w:val="007D2604"/>
    <w:rsid w:val="007D26A1"/>
    <w:rsid w:val="007D3754"/>
    <w:rsid w:val="007D3891"/>
    <w:rsid w:val="007D392F"/>
    <w:rsid w:val="007D4251"/>
    <w:rsid w:val="007D47DA"/>
    <w:rsid w:val="007D4DBE"/>
    <w:rsid w:val="007D540A"/>
    <w:rsid w:val="007D5C52"/>
    <w:rsid w:val="007D5F18"/>
    <w:rsid w:val="007D6548"/>
    <w:rsid w:val="007D73B7"/>
    <w:rsid w:val="007D73CC"/>
    <w:rsid w:val="007D7B0D"/>
    <w:rsid w:val="007D7BE1"/>
    <w:rsid w:val="007D7DB9"/>
    <w:rsid w:val="007E02D6"/>
    <w:rsid w:val="007E101D"/>
    <w:rsid w:val="007E112E"/>
    <w:rsid w:val="007E2034"/>
    <w:rsid w:val="007E28BC"/>
    <w:rsid w:val="007E2DF9"/>
    <w:rsid w:val="007E2FD3"/>
    <w:rsid w:val="007E314B"/>
    <w:rsid w:val="007E3756"/>
    <w:rsid w:val="007E3CB0"/>
    <w:rsid w:val="007E3EE4"/>
    <w:rsid w:val="007E414D"/>
    <w:rsid w:val="007E42C6"/>
    <w:rsid w:val="007E5D36"/>
    <w:rsid w:val="007E5D9B"/>
    <w:rsid w:val="007E5F78"/>
    <w:rsid w:val="007E66CE"/>
    <w:rsid w:val="007E6B5F"/>
    <w:rsid w:val="007E6B9F"/>
    <w:rsid w:val="007E7473"/>
    <w:rsid w:val="007E7B1D"/>
    <w:rsid w:val="007F0CBF"/>
    <w:rsid w:val="007F1B77"/>
    <w:rsid w:val="007F2B92"/>
    <w:rsid w:val="007F2EF3"/>
    <w:rsid w:val="007F3A4E"/>
    <w:rsid w:val="007F562B"/>
    <w:rsid w:val="007F577B"/>
    <w:rsid w:val="007F5B6E"/>
    <w:rsid w:val="007F5E69"/>
    <w:rsid w:val="007F630F"/>
    <w:rsid w:val="007F6DA6"/>
    <w:rsid w:val="007F7B3B"/>
    <w:rsid w:val="007F7E0E"/>
    <w:rsid w:val="008002E6"/>
    <w:rsid w:val="008006DD"/>
    <w:rsid w:val="0080076E"/>
    <w:rsid w:val="00800E36"/>
    <w:rsid w:val="008013D8"/>
    <w:rsid w:val="008049F3"/>
    <w:rsid w:val="00804D12"/>
    <w:rsid w:val="00805ACD"/>
    <w:rsid w:val="00805F57"/>
    <w:rsid w:val="0080607B"/>
    <w:rsid w:val="00807BE1"/>
    <w:rsid w:val="00810AEA"/>
    <w:rsid w:val="00811446"/>
    <w:rsid w:val="00811572"/>
    <w:rsid w:val="00811DC5"/>
    <w:rsid w:val="00811ED4"/>
    <w:rsid w:val="0081241B"/>
    <w:rsid w:val="00812A65"/>
    <w:rsid w:val="00812F39"/>
    <w:rsid w:val="00813168"/>
    <w:rsid w:val="008132BF"/>
    <w:rsid w:val="008134C3"/>
    <w:rsid w:val="0081381B"/>
    <w:rsid w:val="008139FB"/>
    <w:rsid w:val="0081414C"/>
    <w:rsid w:val="00814442"/>
    <w:rsid w:val="00815125"/>
    <w:rsid w:val="00815216"/>
    <w:rsid w:val="00815991"/>
    <w:rsid w:val="00816483"/>
    <w:rsid w:val="0081687B"/>
    <w:rsid w:val="00816905"/>
    <w:rsid w:val="00817B9C"/>
    <w:rsid w:val="0082035B"/>
    <w:rsid w:val="0082112A"/>
    <w:rsid w:val="0082183B"/>
    <w:rsid w:val="00821F71"/>
    <w:rsid w:val="008223AB"/>
    <w:rsid w:val="008239D3"/>
    <w:rsid w:val="00823CF2"/>
    <w:rsid w:val="00823E55"/>
    <w:rsid w:val="00824271"/>
    <w:rsid w:val="00824427"/>
    <w:rsid w:val="0082516F"/>
    <w:rsid w:val="008255ED"/>
    <w:rsid w:val="008264D5"/>
    <w:rsid w:val="00827172"/>
    <w:rsid w:val="008302DC"/>
    <w:rsid w:val="0083030F"/>
    <w:rsid w:val="00830B29"/>
    <w:rsid w:val="00831972"/>
    <w:rsid w:val="00831F7A"/>
    <w:rsid w:val="008324B1"/>
    <w:rsid w:val="00833108"/>
    <w:rsid w:val="0083319A"/>
    <w:rsid w:val="008335AE"/>
    <w:rsid w:val="00833745"/>
    <w:rsid w:val="0083424C"/>
    <w:rsid w:val="00834626"/>
    <w:rsid w:val="008349D5"/>
    <w:rsid w:val="00834F4E"/>
    <w:rsid w:val="008351A6"/>
    <w:rsid w:val="00835A4B"/>
    <w:rsid w:val="00835C1C"/>
    <w:rsid w:val="00835F3E"/>
    <w:rsid w:val="00836FDE"/>
    <w:rsid w:val="0083716A"/>
    <w:rsid w:val="0084049B"/>
    <w:rsid w:val="00841517"/>
    <w:rsid w:val="008419DB"/>
    <w:rsid w:val="008424EA"/>
    <w:rsid w:val="008430BD"/>
    <w:rsid w:val="0084319D"/>
    <w:rsid w:val="0084323D"/>
    <w:rsid w:val="0084514A"/>
    <w:rsid w:val="00845899"/>
    <w:rsid w:val="008459D2"/>
    <w:rsid w:val="00846580"/>
    <w:rsid w:val="00847E9B"/>
    <w:rsid w:val="008501E0"/>
    <w:rsid w:val="0085029C"/>
    <w:rsid w:val="0085088F"/>
    <w:rsid w:val="00850F1C"/>
    <w:rsid w:val="00851060"/>
    <w:rsid w:val="0085133C"/>
    <w:rsid w:val="0085165B"/>
    <w:rsid w:val="00851A82"/>
    <w:rsid w:val="008527DA"/>
    <w:rsid w:val="00852F20"/>
    <w:rsid w:val="00853604"/>
    <w:rsid w:val="0085379E"/>
    <w:rsid w:val="00853849"/>
    <w:rsid w:val="00853E8C"/>
    <w:rsid w:val="0085437F"/>
    <w:rsid w:val="00854CE4"/>
    <w:rsid w:val="0085620D"/>
    <w:rsid w:val="008564A0"/>
    <w:rsid w:val="00856D61"/>
    <w:rsid w:val="008570FE"/>
    <w:rsid w:val="00860363"/>
    <w:rsid w:val="008615E6"/>
    <w:rsid w:val="00863D2F"/>
    <w:rsid w:val="0086412A"/>
    <w:rsid w:val="00864DCE"/>
    <w:rsid w:val="0086589B"/>
    <w:rsid w:val="00866275"/>
    <w:rsid w:val="008662C0"/>
    <w:rsid w:val="0086711C"/>
    <w:rsid w:val="008679AA"/>
    <w:rsid w:val="00867D00"/>
    <w:rsid w:val="00867EC8"/>
    <w:rsid w:val="008704EC"/>
    <w:rsid w:val="00870F97"/>
    <w:rsid w:val="00872010"/>
    <w:rsid w:val="008723BA"/>
    <w:rsid w:val="00872ACA"/>
    <w:rsid w:val="00872D6D"/>
    <w:rsid w:val="00873844"/>
    <w:rsid w:val="008738CE"/>
    <w:rsid w:val="008739E5"/>
    <w:rsid w:val="00874C08"/>
    <w:rsid w:val="00875A29"/>
    <w:rsid w:val="00876971"/>
    <w:rsid w:val="00876EBE"/>
    <w:rsid w:val="00877234"/>
    <w:rsid w:val="008779E2"/>
    <w:rsid w:val="00877C78"/>
    <w:rsid w:val="008810CF"/>
    <w:rsid w:val="008810F8"/>
    <w:rsid w:val="008816A7"/>
    <w:rsid w:val="0088195D"/>
    <w:rsid w:val="00881A69"/>
    <w:rsid w:val="00881E10"/>
    <w:rsid w:val="0088250A"/>
    <w:rsid w:val="00882665"/>
    <w:rsid w:val="00883B08"/>
    <w:rsid w:val="008843F9"/>
    <w:rsid w:val="00885439"/>
    <w:rsid w:val="00886955"/>
    <w:rsid w:val="00886A8D"/>
    <w:rsid w:val="0088701F"/>
    <w:rsid w:val="00887CE2"/>
    <w:rsid w:val="00887DB0"/>
    <w:rsid w:val="008909A3"/>
    <w:rsid w:val="00893291"/>
    <w:rsid w:val="00894374"/>
    <w:rsid w:val="008946CA"/>
    <w:rsid w:val="00895BE0"/>
    <w:rsid w:val="00895F21"/>
    <w:rsid w:val="0089651E"/>
    <w:rsid w:val="008971CC"/>
    <w:rsid w:val="0089771B"/>
    <w:rsid w:val="00897D38"/>
    <w:rsid w:val="00897D9A"/>
    <w:rsid w:val="008A02D8"/>
    <w:rsid w:val="008A13B4"/>
    <w:rsid w:val="008A1BB7"/>
    <w:rsid w:val="008A2436"/>
    <w:rsid w:val="008A2677"/>
    <w:rsid w:val="008A3580"/>
    <w:rsid w:val="008A4337"/>
    <w:rsid w:val="008A50DE"/>
    <w:rsid w:val="008A5DD6"/>
    <w:rsid w:val="008A5EDD"/>
    <w:rsid w:val="008A63EF"/>
    <w:rsid w:val="008A7578"/>
    <w:rsid w:val="008A78FA"/>
    <w:rsid w:val="008A7F39"/>
    <w:rsid w:val="008A7FF7"/>
    <w:rsid w:val="008B0DD1"/>
    <w:rsid w:val="008B108F"/>
    <w:rsid w:val="008B15F6"/>
    <w:rsid w:val="008B2260"/>
    <w:rsid w:val="008B2330"/>
    <w:rsid w:val="008B3454"/>
    <w:rsid w:val="008B4067"/>
    <w:rsid w:val="008B5B2D"/>
    <w:rsid w:val="008B5B5B"/>
    <w:rsid w:val="008B64A3"/>
    <w:rsid w:val="008B6A6C"/>
    <w:rsid w:val="008B7589"/>
    <w:rsid w:val="008B79A3"/>
    <w:rsid w:val="008C0BAC"/>
    <w:rsid w:val="008C0BCB"/>
    <w:rsid w:val="008C170E"/>
    <w:rsid w:val="008C17C6"/>
    <w:rsid w:val="008C186E"/>
    <w:rsid w:val="008C1E00"/>
    <w:rsid w:val="008C2375"/>
    <w:rsid w:val="008C239C"/>
    <w:rsid w:val="008C25EB"/>
    <w:rsid w:val="008C3165"/>
    <w:rsid w:val="008C3B63"/>
    <w:rsid w:val="008C4249"/>
    <w:rsid w:val="008C494D"/>
    <w:rsid w:val="008C5203"/>
    <w:rsid w:val="008C5B2C"/>
    <w:rsid w:val="008C67AF"/>
    <w:rsid w:val="008C6B0D"/>
    <w:rsid w:val="008C6C02"/>
    <w:rsid w:val="008C6D38"/>
    <w:rsid w:val="008C6E81"/>
    <w:rsid w:val="008C6F4E"/>
    <w:rsid w:val="008C72DF"/>
    <w:rsid w:val="008C781F"/>
    <w:rsid w:val="008C7E3E"/>
    <w:rsid w:val="008D085B"/>
    <w:rsid w:val="008D0D53"/>
    <w:rsid w:val="008D0EF3"/>
    <w:rsid w:val="008D19F4"/>
    <w:rsid w:val="008D1E56"/>
    <w:rsid w:val="008D20A4"/>
    <w:rsid w:val="008D2115"/>
    <w:rsid w:val="008D2876"/>
    <w:rsid w:val="008D2C46"/>
    <w:rsid w:val="008D2DF8"/>
    <w:rsid w:val="008D2F85"/>
    <w:rsid w:val="008D2FA3"/>
    <w:rsid w:val="008D3234"/>
    <w:rsid w:val="008D32FB"/>
    <w:rsid w:val="008D358A"/>
    <w:rsid w:val="008D36C6"/>
    <w:rsid w:val="008D3CD6"/>
    <w:rsid w:val="008D458A"/>
    <w:rsid w:val="008D4D4B"/>
    <w:rsid w:val="008D560B"/>
    <w:rsid w:val="008D5699"/>
    <w:rsid w:val="008D575E"/>
    <w:rsid w:val="008D5808"/>
    <w:rsid w:val="008D63C8"/>
    <w:rsid w:val="008D7414"/>
    <w:rsid w:val="008D7525"/>
    <w:rsid w:val="008D787A"/>
    <w:rsid w:val="008D79C6"/>
    <w:rsid w:val="008D7A8D"/>
    <w:rsid w:val="008E0411"/>
    <w:rsid w:val="008E0C5B"/>
    <w:rsid w:val="008E0DD2"/>
    <w:rsid w:val="008E0F63"/>
    <w:rsid w:val="008E2330"/>
    <w:rsid w:val="008E26C9"/>
    <w:rsid w:val="008E26DA"/>
    <w:rsid w:val="008E2AFC"/>
    <w:rsid w:val="008E3586"/>
    <w:rsid w:val="008E38CD"/>
    <w:rsid w:val="008E3ACF"/>
    <w:rsid w:val="008E3D14"/>
    <w:rsid w:val="008E3D3B"/>
    <w:rsid w:val="008E4ECC"/>
    <w:rsid w:val="008E5106"/>
    <w:rsid w:val="008E5856"/>
    <w:rsid w:val="008E6083"/>
    <w:rsid w:val="008E63D3"/>
    <w:rsid w:val="008E690E"/>
    <w:rsid w:val="008E6A93"/>
    <w:rsid w:val="008E737E"/>
    <w:rsid w:val="008E769A"/>
    <w:rsid w:val="008E7ABA"/>
    <w:rsid w:val="008F006E"/>
    <w:rsid w:val="008F07E8"/>
    <w:rsid w:val="008F13D8"/>
    <w:rsid w:val="008F2A25"/>
    <w:rsid w:val="008F2E85"/>
    <w:rsid w:val="008F2EFC"/>
    <w:rsid w:val="008F30C9"/>
    <w:rsid w:val="008F318A"/>
    <w:rsid w:val="008F34A1"/>
    <w:rsid w:val="008F4BBF"/>
    <w:rsid w:val="008F5114"/>
    <w:rsid w:val="008F51C7"/>
    <w:rsid w:val="008F68BB"/>
    <w:rsid w:val="008F6E3D"/>
    <w:rsid w:val="008F727D"/>
    <w:rsid w:val="008F75A4"/>
    <w:rsid w:val="008F7D24"/>
    <w:rsid w:val="00900636"/>
    <w:rsid w:val="00900A06"/>
    <w:rsid w:val="00902938"/>
    <w:rsid w:val="00903179"/>
    <w:rsid w:val="009036CF"/>
    <w:rsid w:val="00903ABB"/>
    <w:rsid w:val="00903C4C"/>
    <w:rsid w:val="00904D71"/>
    <w:rsid w:val="009050CB"/>
    <w:rsid w:val="0090513F"/>
    <w:rsid w:val="009057B6"/>
    <w:rsid w:val="00905FD2"/>
    <w:rsid w:val="0090648E"/>
    <w:rsid w:val="00906BE1"/>
    <w:rsid w:val="0090737B"/>
    <w:rsid w:val="00907816"/>
    <w:rsid w:val="00907BAC"/>
    <w:rsid w:val="00910439"/>
    <w:rsid w:val="00910523"/>
    <w:rsid w:val="00911DEC"/>
    <w:rsid w:val="00911E7C"/>
    <w:rsid w:val="009127CC"/>
    <w:rsid w:val="00912CC0"/>
    <w:rsid w:val="009138C7"/>
    <w:rsid w:val="009138CF"/>
    <w:rsid w:val="009144F7"/>
    <w:rsid w:val="009146D9"/>
    <w:rsid w:val="00914C7A"/>
    <w:rsid w:val="00914FD7"/>
    <w:rsid w:val="0091513C"/>
    <w:rsid w:val="009152F8"/>
    <w:rsid w:val="00915AC7"/>
    <w:rsid w:val="00915B01"/>
    <w:rsid w:val="00915FFD"/>
    <w:rsid w:val="009164F5"/>
    <w:rsid w:val="00916DA7"/>
    <w:rsid w:val="00917390"/>
    <w:rsid w:val="009177D0"/>
    <w:rsid w:val="00917EA6"/>
    <w:rsid w:val="00920454"/>
    <w:rsid w:val="00920E06"/>
    <w:rsid w:val="009213EF"/>
    <w:rsid w:val="0092173D"/>
    <w:rsid w:val="00921944"/>
    <w:rsid w:val="009220E8"/>
    <w:rsid w:val="0092264C"/>
    <w:rsid w:val="00922D77"/>
    <w:rsid w:val="009232D1"/>
    <w:rsid w:val="00923406"/>
    <w:rsid w:val="0092348A"/>
    <w:rsid w:val="00923E43"/>
    <w:rsid w:val="00923E50"/>
    <w:rsid w:val="00923EE0"/>
    <w:rsid w:val="00924416"/>
    <w:rsid w:val="0092461C"/>
    <w:rsid w:val="00924B60"/>
    <w:rsid w:val="00924F92"/>
    <w:rsid w:val="00925189"/>
    <w:rsid w:val="00925546"/>
    <w:rsid w:val="009264C0"/>
    <w:rsid w:val="0092712B"/>
    <w:rsid w:val="009272E5"/>
    <w:rsid w:val="0092737A"/>
    <w:rsid w:val="009277E3"/>
    <w:rsid w:val="00927E15"/>
    <w:rsid w:val="009301FE"/>
    <w:rsid w:val="00930FD4"/>
    <w:rsid w:val="00932A04"/>
    <w:rsid w:val="00932ECD"/>
    <w:rsid w:val="00933168"/>
    <w:rsid w:val="00933323"/>
    <w:rsid w:val="009334D9"/>
    <w:rsid w:val="0093473A"/>
    <w:rsid w:val="00934D5E"/>
    <w:rsid w:val="009353D4"/>
    <w:rsid w:val="00935C90"/>
    <w:rsid w:val="009360CC"/>
    <w:rsid w:val="009364A0"/>
    <w:rsid w:val="009364F0"/>
    <w:rsid w:val="00937128"/>
    <w:rsid w:val="009378F3"/>
    <w:rsid w:val="009400DB"/>
    <w:rsid w:val="0094024B"/>
    <w:rsid w:val="009409BF"/>
    <w:rsid w:val="00940CD2"/>
    <w:rsid w:val="00942171"/>
    <w:rsid w:val="00942755"/>
    <w:rsid w:val="00942F48"/>
    <w:rsid w:val="00943333"/>
    <w:rsid w:val="00943929"/>
    <w:rsid w:val="009439C4"/>
    <w:rsid w:val="00943E3B"/>
    <w:rsid w:val="00943F52"/>
    <w:rsid w:val="0094430D"/>
    <w:rsid w:val="009449E2"/>
    <w:rsid w:val="00944BA6"/>
    <w:rsid w:val="009453ED"/>
    <w:rsid w:val="00945527"/>
    <w:rsid w:val="0094636A"/>
    <w:rsid w:val="00947008"/>
    <w:rsid w:val="00947366"/>
    <w:rsid w:val="0094765F"/>
    <w:rsid w:val="00947C36"/>
    <w:rsid w:val="0095091E"/>
    <w:rsid w:val="009509E2"/>
    <w:rsid w:val="00950A06"/>
    <w:rsid w:val="0095167C"/>
    <w:rsid w:val="009519B3"/>
    <w:rsid w:val="00951AFB"/>
    <w:rsid w:val="0095328A"/>
    <w:rsid w:val="009533EE"/>
    <w:rsid w:val="00953DB1"/>
    <w:rsid w:val="009547CA"/>
    <w:rsid w:val="00954AE6"/>
    <w:rsid w:val="0095510C"/>
    <w:rsid w:val="009558EC"/>
    <w:rsid w:val="00956153"/>
    <w:rsid w:val="009563A3"/>
    <w:rsid w:val="00956BDB"/>
    <w:rsid w:val="009578F4"/>
    <w:rsid w:val="00957957"/>
    <w:rsid w:val="00957F94"/>
    <w:rsid w:val="00960129"/>
    <w:rsid w:val="0096027B"/>
    <w:rsid w:val="00960892"/>
    <w:rsid w:val="009610CF"/>
    <w:rsid w:val="00961D28"/>
    <w:rsid w:val="009621ED"/>
    <w:rsid w:val="009624C1"/>
    <w:rsid w:val="00962714"/>
    <w:rsid w:val="00962CA2"/>
    <w:rsid w:val="00962EEA"/>
    <w:rsid w:val="009639D0"/>
    <w:rsid w:val="0096431A"/>
    <w:rsid w:val="009649F7"/>
    <w:rsid w:val="00965262"/>
    <w:rsid w:val="0096530A"/>
    <w:rsid w:val="00965C90"/>
    <w:rsid w:val="00966238"/>
    <w:rsid w:val="009666AE"/>
    <w:rsid w:val="009667DE"/>
    <w:rsid w:val="00966810"/>
    <w:rsid w:val="00966CC8"/>
    <w:rsid w:val="009678C3"/>
    <w:rsid w:val="009708B3"/>
    <w:rsid w:val="009708FF"/>
    <w:rsid w:val="00970B76"/>
    <w:rsid w:val="009720E9"/>
    <w:rsid w:val="009721BA"/>
    <w:rsid w:val="00972DA3"/>
    <w:rsid w:val="00972ECB"/>
    <w:rsid w:val="009732B9"/>
    <w:rsid w:val="009734A7"/>
    <w:rsid w:val="00973922"/>
    <w:rsid w:val="00973E04"/>
    <w:rsid w:val="009745FE"/>
    <w:rsid w:val="0097498A"/>
    <w:rsid w:val="00974B2F"/>
    <w:rsid w:val="00974C9B"/>
    <w:rsid w:val="00974E21"/>
    <w:rsid w:val="00974F0B"/>
    <w:rsid w:val="009756B5"/>
    <w:rsid w:val="009759A0"/>
    <w:rsid w:val="00975BF9"/>
    <w:rsid w:val="009762BC"/>
    <w:rsid w:val="009767CE"/>
    <w:rsid w:val="00976DCA"/>
    <w:rsid w:val="00980043"/>
    <w:rsid w:val="0098068D"/>
    <w:rsid w:val="0098184D"/>
    <w:rsid w:val="009823A2"/>
    <w:rsid w:val="0098271A"/>
    <w:rsid w:val="00982ADA"/>
    <w:rsid w:val="00982E2F"/>
    <w:rsid w:val="0098347B"/>
    <w:rsid w:val="00983DE8"/>
    <w:rsid w:val="00984CE8"/>
    <w:rsid w:val="00984E2F"/>
    <w:rsid w:val="00985205"/>
    <w:rsid w:val="00985331"/>
    <w:rsid w:val="00985942"/>
    <w:rsid w:val="00986EA2"/>
    <w:rsid w:val="009870D2"/>
    <w:rsid w:val="009871BB"/>
    <w:rsid w:val="00987254"/>
    <w:rsid w:val="00987506"/>
    <w:rsid w:val="00987802"/>
    <w:rsid w:val="00990A4E"/>
    <w:rsid w:val="00990ED1"/>
    <w:rsid w:val="00991805"/>
    <w:rsid w:val="00991EDB"/>
    <w:rsid w:val="009926AB"/>
    <w:rsid w:val="00992851"/>
    <w:rsid w:val="00993765"/>
    <w:rsid w:val="00994B1D"/>
    <w:rsid w:val="00994C56"/>
    <w:rsid w:val="00994EFA"/>
    <w:rsid w:val="00995E65"/>
    <w:rsid w:val="00995EE9"/>
    <w:rsid w:val="00996342"/>
    <w:rsid w:val="00996792"/>
    <w:rsid w:val="00997172"/>
    <w:rsid w:val="00997E49"/>
    <w:rsid w:val="009A08D4"/>
    <w:rsid w:val="009A161D"/>
    <w:rsid w:val="009A1A5F"/>
    <w:rsid w:val="009A1CE2"/>
    <w:rsid w:val="009A2C71"/>
    <w:rsid w:val="009A3314"/>
    <w:rsid w:val="009A34EB"/>
    <w:rsid w:val="009A4233"/>
    <w:rsid w:val="009A4A2D"/>
    <w:rsid w:val="009A4F68"/>
    <w:rsid w:val="009A52B7"/>
    <w:rsid w:val="009A616B"/>
    <w:rsid w:val="009A637B"/>
    <w:rsid w:val="009A6525"/>
    <w:rsid w:val="009A6564"/>
    <w:rsid w:val="009A69B4"/>
    <w:rsid w:val="009A6C94"/>
    <w:rsid w:val="009A74F0"/>
    <w:rsid w:val="009A757B"/>
    <w:rsid w:val="009A7977"/>
    <w:rsid w:val="009A7AB4"/>
    <w:rsid w:val="009A7B34"/>
    <w:rsid w:val="009A7F8A"/>
    <w:rsid w:val="009B0095"/>
    <w:rsid w:val="009B0F14"/>
    <w:rsid w:val="009B151D"/>
    <w:rsid w:val="009B1A64"/>
    <w:rsid w:val="009B1BD9"/>
    <w:rsid w:val="009B21E9"/>
    <w:rsid w:val="009B2B4E"/>
    <w:rsid w:val="009B37F9"/>
    <w:rsid w:val="009B3B8B"/>
    <w:rsid w:val="009B408D"/>
    <w:rsid w:val="009B4A34"/>
    <w:rsid w:val="009B4AEA"/>
    <w:rsid w:val="009B53C5"/>
    <w:rsid w:val="009B547F"/>
    <w:rsid w:val="009B57B4"/>
    <w:rsid w:val="009B7678"/>
    <w:rsid w:val="009C0B79"/>
    <w:rsid w:val="009C1697"/>
    <w:rsid w:val="009C231A"/>
    <w:rsid w:val="009C2CA1"/>
    <w:rsid w:val="009C2E9C"/>
    <w:rsid w:val="009C3330"/>
    <w:rsid w:val="009C3A81"/>
    <w:rsid w:val="009C3C52"/>
    <w:rsid w:val="009C44E1"/>
    <w:rsid w:val="009C5456"/>
    <w:rsid w:val="009C547A"/>
    <w:rsid w:val="009C5DCA"/>
    <w:rsid w:val="009C65AF"/>
    <w:rsid w:val="009C6C37"/>
    <w:rsid w:val="009C7332"/>
    <w:rsid w:val="009C7941"/>
    <w:rsid w:val="009C7FF0"/>
    <w:rsid w:val="009D0A8D"/>
    <w:rsid w:val="009D110B"/>
    <w:rsid w:val="009D1B8C"/>
    <w:rsid w:val="009D20D6"/>
    <w:rsid w:val="009D2203"/>
    <w:rsid w:val="009D222F"/>
    <w:rsid w:val="009D2A4F"/>
    <w:rsid w:val="009D41A1"/>
    <w:rsid w:val="009D4D74"/>
    <w:rsid w:val="009D52E2"/>
    <w:rsid w:val="009D5773"/>
    <w:rsid w:val="009D61E9"/>
    <w:rsid w:val="009D6343"/>
    <w:rsid w:val="009D647C"/>
    <w:rsid w:val="009D6FF0"/>
    <w:rsid w:val="009D730F"/>
    <w:rsid w:val="009D77A1"/>
    <w:rsid w:val="009D7CC0"/>
    <w:rsid w:val="009E036C"/>
    <w:rsid w:val="009E19EB"/>
    <w:rsid w:val="009E1D39"/>
    <w:rsid w:val="009E1D88"/>
    <w:rsid w:val="009E1FC4"/>
    <w:rsid w:val="009E2238"/>
    <w:rsid w:val="009E3450"/>
    <w:rsid w:val="009E39F2"/>
    <w:rsid w:val="009E425F"/>
    <w:rsid w:val="009E4BDA"/>
    <w:rsid w:val="009E512D"/>
    <w:rsid w:val="009E573F"/>
    <w:rsid w:val="009E6A81"/>
    <w:rsid w:val="009E6FA7"/>
    <w:rsid w:val="009E7446"/>
    <w:rsid w:val="009E7713"/>
    <w:rsid w:val="009E771B"/>
    <w:rsid w:val="009E7B3A"/>
    <w:rsid w:val="009E7BDA"/>
    <w:rsid w:val="009F003C"/>
    <w:rsid w:val="009F01CF"/>
    <w:rsid w:val="009F0912"/>
    <w:rsid w:val="009F1287"/>
    <w:rsid w:val="009F194B"/>
    <w:rsid w:val="009F1C2C"/>
    <w:rsid w:val="009F270C"/>
    <w:rsid w:val="009F2D89"/>
    <w:rsid w:val="009F2FC1"/>
    <w:rsid w:val="009F35D9"/>
    <w:rsid w:val="009F3CE7"/>
    <w:rsid w:val="009F47E6"/>
    <w:rsid w:val="009F547C"/>
    <w:rsid w:val="009F54CD"/>
    <w:rsid w:val="009F6328"/>
    <w:rsid w:val="009F6453"/>
    <w:rsid w:val="009F7717"/>
    <w:rsid w:val="00A001BB"/>
    <w:rsid w:val="00A002A0"/>
    <w:rsid w:val="00A00552"/>
    <w:rsid w:val="00A00BFD"/>
    <w:rsid w:val="00A00F8C"/>
    <w:rsid w:val="00A01269"/>
    <w:rsid w:val="00A014B3"/>
    <w:rsid w:val="00A01E5B"/>
    <w:rsid w:val="00A020F1"/>
    <w:rsid w:val="00A02295"/>
    <w:rsid w:val="00A02B20"/>
    <w:rsid w:val="00A02F9B"/>
    <w:rsid w:val="00A0492D"/>
    <w:rsid w:val="00A049C5"/>
    <w:rsid w:val="00A04C01"/>
    <w:rsid w:val="00A05451"/>
    <w:rsid w:val="00A05B3E"/>
    <w:rsid w:val="00A063CB"/>
    <w:rsid w:val="00A069E0"/>
    <w:rsid w:val="00A06B70"/>
    <w:rsid w:val="00A07A47"/>
    <w:rsid w:val="00A07EA6"/>
    <w:rsid w:val="00A1013A"/>
    <w:rsid w:val="00A114B9"/>
    <w:rsid w:val="00A11EEF"/>
    <w:rsid w:val="00A1251D"/>
    <w:rsid w:val="00A1257F"/>
    <w:rsid w:val="00A12E08"/>
    <w:rsid w:val="00A145DF"/>
    <w:rsid w:val="00A14E6E"/>
    <w:rsid w:val="00A15AD8"/>
    <w:rsid w:val="00A15DF0"/>
    <w:rsid w:val="00A16175"/>
    <w:rsid w:val="00A16559"/>
    <w:rsid w:val="00A16E66"/>
    <w:rsid w:val="00A2107D"/>
    <w:rsid w:val="00A2183C"/>
    <w:rsid w:val="00A226D3"/>
    <w:rsid w:val="00A227D8"/>
    <w:rsid w:val="00A22937"/>
    <w:rsid w:val="00A22E58"/>
    <w:rsid w:val="00A2374C"/>
    <w:rsid w:val="00A240B7"/>
    <w:rsid w:val="00A25246"/>
    <w:rsid w:val="00A269C7"/>
    <w:rsid w:val="00A26B9E"/>
    <w:rsid w:val="00A27051"/>
    <w:rsid w:val="00A276EB"/>
    <w:rsid w:val="00A2787F"/>
    <w:rsid w:val="00A27C5F"/>
    <w:rsid w:val="00A27CFC"/>
    <w:rsid w:val="00A27E42"/>
    <w:rsid w:val="00A27FE3"/>
    <w:rsid w:val="00A30049"/>
    <w:rsid w:val="00A300DF"/>
    <w:rsid w:val="00A3174C"/>
    <w:rsid w:val="00A31DD6"/>
    <w:rsid w:val="00A32F2A"/>
    <w:rsid w:val="00A32F4B"/>
    <w:rsid w:val="00A32FFD"/>
    <w:rsid w:val="00A33403"/>
    <w:rsid w:val="00A3375F"/>
    <w:rsid w:val="00A3387A"/>
    <w:rsid w:val="00A33A23"/>
    <w:rsid w:val="00A33BF9"/>
    <w:rsid w:val="00A34C22"/>
    <w:rsid w:val="00A34D7E"/>
    <w:rsid w:val="00A351F5"/>
    <w:rsid w:val="00A36717"/>
    <w:rsid w:val="00A37159"/>
    <w:rsid w:val="00A37628"/>
    <w:rsid w:val="00A379C8"/>
    <w:rsid w:val="00A37B0C"/>
    <w:rsid w:val="00A37D76"/>
    <w:rsid w:val="00A37D9F"/>
    <w:rsid w:val="00A37E27"/>
    <w:rsid w:val="00A40127"/>
    <w:rsid w:val="00A410EB"/>
    <w:rsid w:val="00A42777"/>
    <w:rsid w:val="00A42877"/>
    <w:rsid w:val="00A43037"/>
    <w:rsid w:val="00A436EE"/>
    <w:rsid w:val="00A443A9"/>
    <w:rsid w:val="00A4451D"/>
    <w:rsid w:val="00A44E8E"/>
    <w:rsid w:val="00A45F61"/>
    <w:rsid w:val="00A479A6"/>
    <w:rsid w:val="00A47A50"/>
    <w:rsid w:val="00A502B2"/>
    <w:rsid w:val="00A503E1"/>
    <w:rsid w:val="00A50634"/>
    <w:rsid w:val="00A5096C"/>
    <w:rsid w:val="00A50FD4"/>
    <w:rsid w:val="00A51989"/>
    <w:rsid w:val="00A51D18"/>
    <w:rsid w:val="00A520B2"/>
    <w:rsid w:val="00A52682"/>
    <w:rsid w:val="00A52D6B"/>
    <w:rsid w:val="00A5323F"/>
    <w:rsid w:val="00A532DF"/>
    <w:rsid w:val="00A53D04"/>
    <w:rsid w:val="00A53DE9"/>
    <w:rsid w:val="00A542DA"/>
    <w:rsid w:val="00A54E2C"/>
    <w:rsid w:val="00A54E64"/>
    <w:rsid w:val="00A551E4"/>
    <w:rsid w:val="00A55995"/>
    <w:rsid w:val="00A56016"/>
    <w:rsid w:val="00A564CC"/>
    <w:rsid w:val="00A5681E"/>
    <w:rsid w:val="00A5698D"/>
    <w:rsid w:val="00A56F6A"/>
    <w:rsid w:val="00A5794C"/>
    <w:rsid w:val="00A57D34"/>
    <w:rsid w:val="00A603A5"/>
    <w:rsid w:val="00A60666"/>
    <w:rsid w:val="00A61375"/>
    <w:rsid w:val="00A61709"/>
    <w:rsid w:val="00A6235C"/>
    <w:rsid w:val="00A6262C"/>
    <w:rsid w:val="00A62685"/>
    <w:rsid w:val="00A63C1C"/>
    <w:rsid w:val="00A63DDF"/>
    <w:rsid w:val="00A64369"/>
    <w:rsid w:val="00A64907"/>
    <w:rsid w:val="00A64FCB"/>
    <w:rsid w:val="00A657C5"/>
    <w:rsid w:val="00A66E4A"/>
    <w:rsid w:val="00A677AB"/>
    <w:rsid w:val="00A6794D"/>
    <w:rsid w:val="00A67E43"/>
    <w:rsid w:val="00A7047D"/>
    <w:rsid w:val="00A71516"/>
    <w:rsid w:val="00A7180A"/>
    <w:rsid w:val="00A71B66"/>
    <w:rsid w:val="00A72693"/>
    <w:rsid w:val="00A73F71"/>
    <w:rsid w:val="00A74AF4"/>
    <w:rsid w:val="00A755FE"/>
    <w:rsid w:val="00A75821"/>
    <w:rsid w:val="00A75DBB"/>
    <w:rsid w:val="00A76112"/>
    <w:rsid w:val="00A769EA"/>
    <w:rsid w:val="00A77A76"/>
    <w:rsid w:val="00A77FEE"/>
    <w:rsid w:val="00A801ED"/>
    <w:rsid w:val="00A80633"/>
    <w:rsid w:val="00A806F4"/>
    <w:rsid w:val="00A80866"/>
    <w:rsid w:val="00A81239"/>
    <w:rsid w:val="00A81A40"/>
    <w:rsid w:val="00A81EBB"/>
    <w:rsid w:val="00A822F2"/>
    <w:rsid w:val="00A8249F"/>
    <w:rsid w:val="00A82586"/>
    <w:rsid w:val="00A826E4"/>
    <w:rsid w:val="00A837AF"/>
    <w:rsid w:val="00A83B12"/>
    <w:rsid w:val="00A84DA5"/>
    <w:rsid w:val="00A84DC0"/>
    <w:rsid w:val="00A84F37"/>
    <w:rsid w:val="00A855DC"/>
    <w:rsid w:val="00A85E8A"/>
    <w:rsid w:val="00A869A2"/>
    <w:rsid w:val="00A8716D"/>
    <w:rsid w:val="00A87EB8"/>
    <w:rsid w:val="00A900B2"/>
    <w:rsid w:val="00A90466"/>
    <w:rsid w:val="00A9046A"/>
    <w:rsid w:val="00A905B6"/>
    <w:rsid w:val="00A90D26"/>
    <w:rsid w:val="00A90D87"/>
    <w:rsid w:val="00A90DBE"/>
    <w:rsid w:val="00A9186B"/>
    <w:rsid w:val="00A92056"/>
    <w:rsid w:val="00A92339"/>
    <w:rsid w:val="00A92972"/>
    <w:rsid w:val="00A92A42"/>
    <w:rsid w:val="00A94ABE"/>
    <w:rsid w:val="00A95814"/>
    <w:rsid w:val="00A95C2D"/>
    <w:rsid w:val="00A97095"/>
    <w:rsid w:val="00A97435"/>
    <w:rsid w:val="00A9797A"/>
    <w:rsid w:val="00A97D4D"/>
    <w:rsid w:val="00A97E1A"/>
    <w:rsid w:val="00AA079B"/>
    <w:rsid w:val="00AA0E54"/>
    <w:rsid w:val="00AA13A8"/>
    <w:rsid w:val="00AA25BB"/>
    <w:rsid w:val="00AA2F39"/>
    <w:rsid w:val="00AA371B"/>
    <w:rsid w:val="00AA3B49"/>
    <w:rsid w:val="00AA4179"/>
    <w:rsid w:val="00AA43AF"/>
    <w:rsid w:val="00AA49AC"/>
    <w:rsid w:val="00AA5041"/>
    <w:rsid w:val="00AA5147"/>
    <w:rsid w:val="00AA52F8"/>
    <w:rsid w:val="00AA5948"/>
    <w:rsid w:val="00AA7193"/>
    <w:rsid w:val="00AA7676"/>
    <w:rsid w:val="00AA7C50"/>
    <w:rsid w:val="00AB0E39"/>
    <w:rsid w:val="00AB0F5D"/>
    <w:rsid w:val="00AB17CE"/>
    <w:rsid w:val="00AB1FF8"/>
    <w:rsid w:val="00AB26F2"/>
    <w:rsid w:val="00AB2B84"/>
    <w:rsid w:val="00AB2D68"/>
    <w:rsid w:val="00AB483F"/>
    <w:rsid w:val="00AB55CF"/>
    <w:rsid w:val="00AB587D"/>
    <w:rsid w:val="00AB59C5"/>
    <w:rsid w:val="00AB5AE0"/>
    <w:rsid w:val="00AB60C9"/>
    <w:rsid w:val="00AB6122"/>
    <w:rsid w:val="00AB6778"/>
    <w:rsid w:val="00AB6EAB"/>
    <w:rsid w:val="00AB6ED1"/>
    <w:rsid w:val="00AB7D8F"/>
    <w:rsid w:val="00AC2E01"/>
    <w:rsid w:val="00AC31D1"/>
    <w:rsid w:val="00AC3C7B"/>
    <w:rsid w:val="00AC3F24"/>
    <w:rsid w:val="00AC4527"/>
    <w:rsid w:val="00AC4698"/>
    <w:rsid w:val="00AC4A51"/>
    <w:rsid w:val="00AC4A9D"/>
    <w:rsid w:val="00AC4DE7"/>
    <w:rsid w:val="00AC4E7D"/>
    <w:rsid w:val="00AC4F78"/>
    <w:rsid w:val="00AC5A0E"/>
    <w:rsid w:val="00AC5F6B"/>
    <w:rsid w:val="00AC6166"/>
    <w:rsid w:val="00AC6781"/>
    <w:rsid w:val="00AC790C"/>
    <w:rsid w:val="00AC7FAB"/>
    <w:rsid w:val="00AD00D1"/>
    <w:rsid w:val="00AD0EBA"/>
    <w:rsid w:val="00AD1DDD"/>
    <w:rsid w:val="00AD1FF3"/>
    <w:rsid w:val="00AD2B0C"/>
    <w:rsid w:val="00AD3153"/>
    <w:rsid w:val="00AD3BFA"/>
    <w:rsid w:val="00AD4136"/>
    <w:rsid w:val="00AD5239"/>
    <w:rsid w:val="00AD5F53"/>
    <w:rsid w:val="00AD66A0"/>
    <w:rsid w:val="00AD79C0"/>
    <w:rsid w:val="00AD7E49"/>
    <w:rsid w:val="00AD7E81"/>
    <w:rsid w:val="00AE0891"/>
    <w:rsid w:val="00AE132A"/>
    <w:rsid w:val="00AE17A1"/>
    <w:rsid w:val="00AE2B18"/>
    <w:rsid w:val="00AE41AF"/>
    <w:rsid w:val="00AE49B2"/>
    <w:rsid w:val="00AE52F4"/>
    <w:rsid w:val="00AE59E8"/>
    <w:rsid w:val="00AE5D68"/>
    <w:rsid w:val="00AE66D0"/>
    <w:rsid w:val="00AE7591"/>
    <w:rsid w:val="00AE7947"/>
    <w:rsid w:val="00AE7F03"/>
    <w:rsid w:val="00AF0D67"/>
    <w:rsid w:val="00AF14D5"/>
    <w:rsid w:val="00AF1C42"/>
    <w:rsid w:val="00AF232C"/>
    <w:rsid w:val="00AF2F08"/>
    <w:rsid w:val="00AF338D"/>
    <w:rsid w:val="00AF3513"/>
    <w:rsid w:val="00AF390E"/>
    <w:rsid w:val="00AF3A35"/>
    <w:rsid w:val="00AF4360"/>
    <w:rsid w:val="00AF60AD"/>
    <w:rsid w:val="00AF6B96"/>
    <w:rsid w:val="00AF6F84"/>
    <w:rsid w:val="00AF6FF3"/>
    <w:rsid w:val="00AF73D8"/>
    <w:rsid w:val="00AF7C7D"/>
    <w:rsid w:val="00B0123D"/>
    <w:rsid w:val="00B02213"/>
    <w:rsid w:val="00B02771"/>
    <w:rsid w:val="00B02B05"/>
    <w:rsid w:val="00B02DCC"/>
    <w:rsid w:val="00B03BDB"/>
    <w:rsid w:val="00B0403C"/>
    <w:rsid w:val="00B0423F"/>
    <w:rsid w:val="00B04917"/>
    <w:rsid w:val="00B058CD"/>
    <w:rsid w:val="00B06005"/>
    <w:rsid w:val="00B06257"/>
    <w:rsid w:val="00B062E8"/>
    <w:rsid w:val="00B0686B"/>
    <w:rsid w:val="00B07559"/>
    <w:rsid w:val="00B1100B"/>
    <w:rsid w:val="00B11710"/>
    <w:rsid w:val="00B11AFF"/>
    <w:rsid w:val="00B11D69"/>
    <w:rsid w:val="00B123E9"/>
    <w:rsid w:val="00B12AF8"/>
    <w:rsid w:val="00B135BC"/>
    <w:rsid w:val="00B136CA"/>
    <w:rsid w:val="00B13FC1"/>
    <w:rsid w:val="00B14497"/>
    <w:rsid w:val="00B14A49"/>
    <w:rsid w:val="00B15958"/>
    <w:rsid w:val="00B17E86"/>
    <w:rsid w:val="00B217EA"/>
    <w:rsid w:val="00B2205D"/>
    <w:rsid w:val="00B23432"/>
    <w:rsid w:val="00B23B48"/>
    <w:rsid w:val="00B23DC3"/>
    <w:rsid w:val="00B23FD2"/>
    <w:rsid w:val="00B240D3"/>
    <w:rsid w:val="00B2410C"/>
    <w:rsid w:val="00B2438B"/>
    <w:rsid w:val="00B243A9"/>
    <w:rsid w:val="00B24439"/>
    <w:rsid w:val="00B24E82"/>
    <w:rsid w:val="00B2514A"/>
    <w:rsid w:val="00B25A23"/>
    <w:rsid w:val="00B25B25"/>
    <w:rsid w:val="00B25C7D"/>
    <w:rsid w:val="00B27629"/>
    <w:rsid w:val="00B27A75"/>
    <w:rsid w:val="00B27E54"/>
    <w:rsid w:val="00B307BB"/>
    <w:rsid w:val="00B30CB6"/>
    <w:rsid w:val="00B3157E"/>
    <w:rsid w:val="00B3205F"/>
    <w:rsid w:val="00B323AE"/>
    <w:rsid w:val="00B32416"/>
    <w:rsid w:val="00B32546"/>
    <w:rsid w:val="00B32BFA"/>
    <w:rsid w:val="00B33BCB"/>
    <w:rsid w:val="00B33C06"/>
    <w:rsid w:val="00B33E54"/>
    <w:rsid w:val="00B3410E"/>
    <w:rsid w:val="00B35B33"/>
    <w:rsid w:val="00B369BF"/>
    <w:rsid w:val="00B376C2"/>
    <w:rsid w:val="00B376EE"/>
    <w:rsid w:val="00B378AD"/>
    <w:rsid w:val="00B37C43"/>
    <w:rsid w:val="00B37C7B"/>
    <w:rsid w:val="00B37C83"/>
    <w:rsid w:val="00B40870"/>
    <w:rsid w:val="00B41334"/>
    <w:rsid w:val="00B41385"/>
    <w:rsid w:val="00B417E4"/>
    <w:rsid w:val="00B42280"/>
    <w:rsid w:val="00B4330B"/>
    <w:rsid w:val="00B4346E"/>
    <w:rsid w:val="00B43514"/>
    <w:rsid w:val="00B45172"/>
    <w:rsid w:val="00B45537"/>
    <w:rsid w:val="00B45B87"/>
    <w:rsid w:val="00B463BB"/>
    <w:rsid w:val="00B46984"/>
    <w:rsid w:val="00B46A28"/>
    <w:rsid w:val="00B476A5"/>
    <w:rsid w:val="00B47826"/>
    <w:rsid w:val="00B5002D"/>
    <w:rsid w:val="00B50540"/>
    <w:rsid w:val="00B505C2"/>
    <w:rsid w:val="00B50945"/>
    <w:rsid w:val="00B51042"/>
    <w:rsid w:val="00B5139E"/>
    <w:rsid w:val="00B51475"/>
    <w:rsid w:val="00B51ACE"/>
    <w:rsid w:val="00B54238"/>
    <w:rsid w:val="00B546AF"/>
    <w:rsid w:val="00B54752"/>
    <w:rsid w:val="00B54B1D"/>
    <w:rsid w:val="00B54FC7"/>
    <w:rsid w:val="00B55A2E"/>
    <w:rsid w:val="00B5603D"/>
    <w:rsid w:val="00B5636C"/>
    <w:rsid w:val="00B56450"/>
    <w:rsid w:val="00B569C9"/>
    <w:rsid w:val="00B572EC"/>
    <w:rsid w:val="00B57E15"/>
    <w:rsid w:val="00B602DF"/>
    <w:rsid w:val="00B60570"/>
    <w:rsid w:val="00B617CD"/>
    <w:rsid w:val="00B61E23"/>
    <w:rsid w:val="00B621AF"/>
    <w:rsid w:val="00B62814"/>
    <w:rsid w:val="00B6308A"/>
    <w:rsid w:val="00B6321C"/>
    <w:rsid w:val="00B6381F"/>
    <w:rsid w:val="00B648A0"/>
    <w:rsid w:val="00B6660E"/>
    <w:rsid w:val="00B6675F"/>
    <w:rsid w:val="00B6749D"/>
    <w:rsid w:val="00B67ACB"/>
    <w:rsid w:val="00B70A85"/>
    <w:rsid w:val="00B710D6"/>
    <w:rsid w:val="00B71F2B"/>
    <w:rsid w:val="00B7221B"/>
    <w:rsid w:val="00B724D9"/>
    <w:rsid w:val="00B72632"/>
    <w:rsid w:val="00B73C06"/>
    <w:rsid w:val="00B73C40"/>
    <w:rsid w:val="00B73F4A"/>
    <w:rsid w:val="00B73F53"/>
    <w:rsid w:val="00B74C7C"/>
    <w:rsid w:val="00B751EC"/>
    <w:rsid w:val="00B752A0"/>
    <w:rsid w:val="00B7536A"/>
    <w:rsid w:val="00B76392"/>
    <w:rsid w:val="00B76866"/>
    <w:rsid w:val="00B76D44"/>
    <w:rsid w:val="00B77B99"/>
    <w:rsid w:val="00B77FFE"/>
    <w:rsid w:val="00B803EA"/>
    <w:rsid w:val="00B819A2"/>
    <w:rsid w:val="00B846D5"/>
    <w:rsid w:val="00B84756"/>
    <w:rsid w:val="00B8500A"/>
    <w:rsid w:val="00B85348"/>
    <w:rsid w:val="00B8615F"/>
    <w:rsid w:val="00B86B17"/>
    <w:rsid w:val="00B87A0B"/>
    <w:rsid w:val="00B87FED"/>
    <w:rsid w:val="00B900E1"/>
    <w:rsid w:val="00B90C2D"/>
    <w:rsid w:val="00B91FE8"/>
    <w:rsid w:val="00B92A5C"/>
    <w:rsid w:val="00B92B47"/>
    <w:rsid w:val="00B937DA"/>
    <w:rsid w:val="00B939BB"/>
    <w:rsid w:val="00B940FA"/>
    <w:rsid w:val="00B94672"/>
    <w:rsid w:val="00B94718"/>
    <w:rsid w:val="00B94B83"/>
    <w:rsid w:val="00B9515D"/>
    <w:rsid w:val="00B9670D"/>
    <w:rsid w:val="00B97409"/>
    <w:rsid w:val="00BA0429"/>
    <w:rsid w:val="00BA0FF8"/>
    <w:rsid w:val="00BA18A5"/>
    <w:rsid w:val="00BA1B6C"/>
    <w:rsid w:val="00BA2E1B"/>
    <w:rsid w:val="00BA2EB8"/>
    <w:rsid w:val="00BA2ECF"/>
    <w:rsid w:val="00BA322C"/>
    <w:rsid w:val="00BA3406"/>
    <w:rsid w:val="00BA37FF"/>
    <w:rsid w:val="00BA3E46"/>
    <w:rsid w:val="00BA405B"/>
    <w:rsid w:val="00BA429D"/>
    <w:rsid w:val="00BA4CBD"/>
    <w:rsid w:val="00BA4CE4"/>
    <w:rsid w:val="00BA4E01"/>
    <w:rsid w:val="00BA562D"/>
    <w:rsid w:val="00BA5BB5"/>
    <w:rsid w:val="00BA5D8C"/>
    <w:rsid w:val="00BA5DDA"/>
    <w:rsid w:val="00BA6D40"/>
    <w:rsid w:val="00BA73AF"/>
    <w:rsid w:val="00BA755E"/>
    <w:rsid w:val="00BA7715"/>
    <w:rsid w:val="00BA792E"/>
    <w:rsid w:val="00BB04D8"/>
    <w:rsid w:val="00BB099E"/>
    <w:rsid w:val="00BB0BE1"/>
    <w:rsid w:val="00BB1311"/>
    <w:rsid w:val="00BB2943"/>
    <w:rsid w:val="00BB2E7E"/>
    <w:rsid w:val="00BB38ED"/>
    <w:rsid w:val="00BB3A5E"/>
    <w:rsid w:val="00BB3D31"/>
    <w:rsid w:val="00BB47CE"/>
    <w:rsid w:val="00BB4CF0"/>
    <w:rsid w:val="00BB5F8F"/>
    <w:rsid w:val="00BB6567"/>
    <w:rsid w:val="00BB7F0E"/>
    <w:rsid w:val="00BC065E"/>
    <w:rsid w:val="00BC0AC7"/>
    <w:rsid w:val="00BC0F5E"/>
    <w:rsid w:val="00BC1140"/>
    <w:rsid w:val="00BC1862"/>
    <w:rsid w:val="00BC1CF6"/>
    <w:rsid w:val="00BC25B3"/>
    <w:rsid w:val="00BC2B31"/>
    <w:rsid w:val="00BC3857"/>
    <w:rsid w:val="00BC3C4F"/>
    <w:rsid w:val="00BC421E"/>
    <w:rsid w:val="00BC465A"/>
    <w:rsid w:val="00BC57DF"/>
    <w:rsid w:val="00BC64D5"/>
    <w:rsid w:val="00BC6866"/>
    <w:rsid w:val="00BC68ED"/>
    <w:rsid w:val="00BC7006"/>
    <w:rsid w:val="00BC72F8"/>
    <w:rsid w:val="00BC77AA"/>
    <w:rsid w:val="00BC7BAA"/>
    <w:rsid w:val="00BD00EC"/>
    <w:rsid w:val="00BD07A1"/>
    <w:rsid w:val="00BD0DBC"/>
    <w:rsid w:val="00BD0F08"/>
    <w:rsid w:val="00BD0F9A"/>
    <w:rsid w:val="00BD20FE"/>
    <w:rsid w:val="00BD2255"/>
    <w:rsid w:val="00BD379E"/>
    <w:rsid w:val="00BD3FFF"/>
    <w:rsid w:val="00BD4085"/>
    <w:rsid w:val="00BD456E"/>
    <w:rsid w:val="00BD4994"/>
    <w:rsid w:val="00BD541A"/>
    <w:rsid w:val="00BD5440"/>
    <w:rsid w:val="00BD5B3D"/>
    <w:rsid w:val="00BD5BAB"/>
    <w:rsid w:val="00BD5D20"/>
    <w:rsid w:val="00BD67D9"/>
    <w:rsid w:val="00BD6B2E"/>
    <w:rsid w:val="00BD7216"/>
    <w:rsid w:val="00BE0357"/>
    <w:rsid w:val="00BE0407"/>
    <w:rsid w:val="00BE07C8"/>
    <w:rsid w:val="00BE16F2"/>
    <w:rsid w:val="00BE2090"/>
    <w:rsid w:val="00BE2189"/>
    <w:rsid w:val="00BE2BD3"/>
    <w:rsid w:val="00BE3937"/>
    <w:rsid w:val="00BE4DDA"/>
    <w:rsid w:val="00BE5710"/>
    <w:rsid w:val="00BE58FA"/>
    <w:rsid w:val="00BE624D"/>
    <w:rsid w:val="00BE68C2"/>
    <w:rsid w:val="00BE7BE0"/>
    <w:rsid w:val="00BF0C24"/>
    <w:rsid w:val="00BF0CE7"/>
    <w:rsid w:val="00BF1265"/>
    <w:rsid w:val="00BF1C2B"/>
    <w:rsid w:val="00BF1D82"/>
    <w:rsid w:val="00BF1FD4"/>
    <w:rsid w:val="00BF2365"/>
    <w:rsid w:val="00BF2550"/>
    <w:rsid w:val="00BF2741"/>
    <w:rsid w:val="00BF3318"/>
    <w:rsid w:val="00BF3D76"/>
    <w:rsid w:val="00BF44E3"/>
    <w:rsid w:val="00BF4573"/>
    <w:rsid w:val="00BF4C1A"/>
    <w:rsid w:val="00BF4C68"/>
    <w:rsid w:val="00BF4F3D"/>
    <w:rsid w:val="00BF5BCD"/>
    <w:rsid w:val="00BF5DA5"/>
    <w:rsid w:val="00BF5DF3"/>
    <w:rsid w:val="00BF65C3"/>
    <w:rsid w:val="00BF6838"/>
    <w:rsid w:val="00BF6BDE"/>
    <w:rsid w:val="00BF7217"/>
    <w:rsid w:val="00BF7468"/>
    <w:rsid w:val="00BF7D9A"/>
    <w:rsid w:val="00C002A7"/>
    <w:rsid w:val="00C003CD"/>
    <w:rsid w:val="00C00B0B"/>
    <w:rsid w:val="00C0206C"/>
    <w:rsid w:val="00C0287F"/>
    <w:rsid w:val="00C02C10"/>
    <w:rsid w:val="00C02DED"/>
    <w:rsid w:val="00C03037"/>
    <w:rsid w:val="00C03A13"/>
    <w:rsid w:val="00C04CED"/>
    <w:rsid w:val="00C04D6D"/>
    <w:rsid w:val="00C05C24"/>
    <w:rsid w:val="00C05E32"/>
    <w:rsid w:val="00C0604D"/>
    <w:rsid w:val="00C061BF"/>
    <w:rsid w:val="00C06205"/>
    <w:rsid w:val="00C063A6"/>
    <w:rsid w:val="00C11208"/>
    <w:rsid w:val="00C1121E"/>
    <w:rsid w:val="00C124DC"/>
    <w:rsid w:val="00C12942"/>
    <w:rsid w:val="00C129DB"/>
    <w:rsid w:val="00C12B77"/>
    <w:rsid w:val="00C14EF7"/>
    <w:rsid w:val="00C14F6F"/>
    <w:rsid w:val="00C15C53"/>
    <w:rsid w:val="00C15F9E"/>
    <w:rsid w:val="00C164D7"/>
    <w:rsid w:val="00C164FC"/>
    <w:rsid w:val="00C166AB"/>
    <w:rsid w:val="00C16830"/>
    <w:rsid w:val="00C17105"/>
    <w:rsid w:val="00C203D1"/>
    <w:rsid w:val="00C20682"/>
    <w:rsid w:val="00C20B9D"/>
    <w:rsid w:val="00C217C2"/>
    <w:rsid w:val="00C21F89"/>
    <w:rsid w:val="00C22055"/>
    <w:rsid w:val="00C226BD"/>
    <w:rsid w:val="00C229E7"/>
    <w:rsid w:val="00C23A6B"/>
    <w:rsid w:val="00C24ADD"/>
    <w:rsid w:val="00C24F32"/>
    <w:rsid w:val="00C26DE7"/>
    <w:rsid w:val="00C274E7"/>
    <w:rsid w:val="00C27525"/>
    <w:rsid w:val="00C27AEB"/>
    <w:rsid w:val="00C30B3C"/>
    <w:rsid w:val="00C30B8E"/>
    <w:rsid w:val="00C317C5"/>
    <w:rsid w:val="00C3477A"/>
    <w:rsid w:val="00C34881"/>
    <w:rsid w:val="00C34ACC"/>
    <w:rsid w:val="00C36078"/>
    <w:rsid w:val="00C36391"/>
    <w:rsid w:val="00C363CA"/>
    <w:rsid w:val="00C3692A"/>
    <w:rsid w:val="00C36F76"/>
    <w:rsid w:val="00C37120"/>
    <w:rsid w:val="00C372F0"/>
    <w:rsid w:val="00C378CD"/>
    <w:rsid w:val="00C37D7A"/>
    <w:rsid w:val="00C37EF1"/>
    <w:rsid w:val="00C37F37"/>
    <w:rsid w:val="00C417CA"/>
    <w:rsid w:val="00C41B26"/>
    <w:rsid w:val="00C4242C"/>
    <w:rsid w:val="00C42F55"/>
    <w:rsid w:val="00C432DE"/>
    <w:rsid w:val="00C43354"/>
    <w:rsid w:val="00C4369B"/>
    <w:rsid w:val="00C43B57"/>
    <w:rsid w:val="00C43B91"/>
    <w:rsid w:val="00C4416D"/>
    <w:rsid w:val="00C443A3"/>
    <w:rsid w:val="00C45110"/>
    <w:rsid w:val="00C45D85"/>
    <w:rsid w:val="00C461B3"/>
    <w:rsid w:val="00C467C3"/>
    <w:rsid w:val="00C46865"/>
    <w:rsid w:val="00C47096"/>
    <w:rsid w:val="00C470D6"/>
    <w:rsid w:val="00C47D1F"/>
    <w:rsid w:val="00C502F7"/>
    <w:rsid w:val="00C50B49"/>
    <w:rsid w:val="00C51463"/>
    <w:rsid w:val="00C5281C"/>
    <w:rsid w:val="00C53642"/>
    <w:rsid w:val="00C53C1A"/>
    <w:rsid w:val="00C544D0"/>
    <w:rsid w:val="00C5460D"/>
    <w:rsid w:val="00C54698"/>
    <w:rsid w:val="00C54998"/>
    <w:rsid w:val="00C54A7F"/>
    <w:rsid w:val="00C54E9B"/>
    <w:rsid w:val="00C54F73"/>
    <w:rsid w:val="00C55C3D"/>
    <w:rsid w:val="00C56BB9"/>
    <w:rsid w:val="00C57BE5"/>
    <w:rsid w:val="00C57F70"/>
    <w:rsid w:val="00C6197A"/>
    <w:rsid w:val="00C61E7A"/>
    <w:rsid w:val="00C6318C"/>
    <w:rsid w:val="00C632DA"/>
    <w:rsid w:val="00C63D3D"/>
    <w:rsid w:val="00C64200"/>
    <w:rsid w:val="00C64739"/>
    <w:rsid w:val="00C64DBA"/>
    <w:rsid w:val="00C658EA"/>
    <w:rsid w:val="00C65F15"/>
    <w:rsid w:val="00C6621B"/>
    <w:rsid w:val="00C66459"/>
    <w:rsid w:val="00C66A8D"/>
    <w:rsid w:val="00C67459"/>
    <w:rsid w:val="00C676D7"/>
    <w:rsid w:val="00C67A8C"/>
    <w:rsid w:val="00C67AF9"/>
    <w:rsid w:val="00C67D30"/>
    <w:rsid w:val="00C67FAB"/>
    <w:rsid w:val="00C71A67"/>
    <w:rsid w:val="00C72548"/>
    <w:rsid w:val="00C729DB"/>
    <w:rsid w:val="00C72D22"/>
    <w:rsid w:val="00C74003"/>
    <w:rsid w:val="00C7437F"/>
    <w:rsid w:val="00C74FD1"/>
    <w:rsid w:val="00C75551"/>
    <w:rsid w:val="00C756F8"/>
    <w:rsid w:val="00C76028"/>
    <w:rsid w:val="00C76976"/>
    <w:rsid w:val="00C76BB9"/>
    <w:rsid w:val="00C76FB3"/>
    <w:rsid w:val="00C8028E"/>
    <w:rsid w:val="00C8073F"/>
    <w:rsid w:val="00C8088D"/>
    <w:rsid w:val="00C8100C"/>
    <w:rsid w:val="00C810B1"/>
    <w:rsid w:val="00C812BB"/>
    <w:rsid w:val="00C81BD3"/>
    <w:rsid w:val="00C8269D"/>
    <w:rsid w:val="00C82CF5"/>
    <w:rsid w:val="00C833CC"/>
    <w:rsid w:val="00C83643"/>
    <w:rsid w:val="00C83908"/>
    <w:rsid w:val="00C84237"/>
    <w:rsid w:val="00C848DA"/>
    <w:rsid w:val="00C84A92"/>
    <w:rsid w:val="00C84AF2"/>
    <w:rsid w:val="00C85653"/>
    <w:rsid w:val="00C85AD3"/>
    <w:rsid w:val="00C86BAF"/>
    <w:rsid w:val="00C870B2"/>
    <w:rsid w:val="00C87345"/>
    <w:rsid w:val="00C90264"/>
    <w:rsid w:val="00C90BE7"/>
    <w:rsid w:val="00C910AC"/>
    <w:rsid w:val="00C926E0"/>
    <w:rsid w:val="00C92761"/>
    <w:rsid w:val="00C928F2"/>
    <w:rsid w:val="00C9325C"/>
    <w:rsid w:val="00C9466A"/>
    <w:rsid w:val="00C95A9B"/>
    <w:rsid w:val="00C9620B"/>
    <w:rsid w:val="00C962E4"/>
    <w:rsid w:val="00C96E89"/>
    <w:rsid w:val="00C96F6D"/>
    <w:rsid w:val="00C97BBE"/>
    <w:rsid w:val="00CA0114"/>
    <w:rsid w:val="00CA04F9"/>
    <w:rsid w:val="00CA10FE"/>
    <w:rsid w:val="00CA1149"/>
    <w:rsid w:val="00CA207B"/>
    <w:rsid w:val="00CA236F"/>
    <w:rsid w:val="00CA2E5D"/>
    <w:rsid w:val="00CA30B9"/>
    <w:rsid w:val="00CA3269"/>
    <w:rsid w:val="00CA475C"/>
    <w:rsid w:val="00CA5A6C"/>
    <w:rsid w:val="00CA6DDF"/>
    <w:rsid w:val="00CA6F1D"/>
    <w:rsid w:val="00CA7C1D"/>
    <w:rsid w:val="00CA7D0C"/>
    <w:rsid w:val="00CA7DA6"/>
    <w:rsid w:val="00CB0405"/>
    <w:rsid w:val="00CB085D"/>
    <w:rsid w:val="00CB0AE5"/>
    <w:rsid w:val="00CB0F2D"/>
    <w:rsid w:val="00CB14C1"/>
    <w:rsid w:val="00CB15B0"/>
    <w:rsid w:val="00CB21C8"/>
    <w:rsid w:val="00CB40FA"/>
    <w:rsid w:val="00CB49CE"/>
    <w:rsid w:val="00CB4F19"/>
    <w:rsid w:val="00CB4F58"/>
    <w:rsid w:val="00CB5477"/>
    <w:rsid w:val="00CB5674"/>
    <w:rsid w:val="00CB5B4B"/>
    <w:rsid w:val="00CB5DED"/>
    <w:rsid w:val="00CB6523"/>
    <w:rsid w:val="00CB6C6B"/>
    <w:rsid w:val="00CB6D3D"/>
    <w:rsid w:val="00CC0747"/>
    <w:rsid w:val="00CC0821"/>
    <w:rsid w:val="00CC1DD1"/>
    <w:rsid w:val="00CC275F"/>
    <w:rsid w:val="00CC3145"/>
    <w:rsid w:val="00CC37A1"/>
    <w:rsid w:val="00CC3A65"/>
    <w:rsid w:val="00CC4071"/>
    <w:rsid w:val="00CC5EA0"/>
    <w:rsid w:val="00CC626F"/>
    <w:rsid w:val="00CC6799"/>
    <w:rsid w:val="00CC723D"/>
    <w:rsid w:val="00CC7EF5"/>
    <w:rsid w:val="00CC7FC5"/>
    <w:rsid w:val="00CD006E"/>
    <w:rsid w:val="00CD1656"/>
    <w:rsid w:val="00CD232C"/>
    <w:rsid w:val="00CD23DF"/>
    <w:rsid w:val="00CD3AFB"/>
    <w:rsid w:val="00CD3B2B"/>
    <w:rsid w:val="00CD44F3"/>
    <w:rsid w:val="00CD4770"/>
    <w:rsid w:val="00CD512B"/>
    <w:rsid w:val="00CD56E1"/>
    <w:rsid w:val="00CD57F9"/>
    <w:rsid w:val="00CD604D"/>
    <w:rsid w:val="00CD6499"/>
    <w:rsid w:val="00CD6888"/>
    <w:rsid w:val="00CD69CE"/>
    <w:rsid w:val="00CD7602"/>
    <w:rsid w:val="00CD796A"/>
    <w:rsid w:val="00CD7C5F"/>
    <w:rsid w:val="00CD7E1D"/>
    <w:rsid w:val="00CE0053"/>
    <w:rsid w:val="00CE0111"/>
    <w:rsid w:val="00CE1D8A"/>
    <w:rsid w:val="00CE2E09"/>
    <w:rsid w:val="00CE2F2F"/>
    <w:rsid w:val="00CE3123"/>
    <w:rsid w:val="00CE3490"/>
    <w:rsid w:val="00CE3503"/>
    <w:rsid w:val="00CE35D9"/>
    <w:rsid w:val="00CE3D2E"/>
    <w:rsid w:val="00CE4048"/>
    <w:rsid w:val="00CE5B27"/>
    <w:rsid w:val="00CE62AF"/>
    <w:rsid w:val="00CE62E6"/>
    <w:rsid w:val="00CE6763"/>
    <w:rsid w:val="00CE7979"/>
    <w:rsid w:val="00CF04AF"/>
    <w:rsid w:val="00CF085E"/>
    <w:rsid w:val="00CF086A"/>
    <w:rsid w:val="00CF0981"/>
    <w:rsid w:val="00CF17DD"/>
    <w:rsid w:val="00CF1907"/>
    <w:rsid w:val="00CF27ED"/>
    <w:rsid w:val="00CF312E"/>
    <w:rsid w:val="00CF32C6"/>
    <w:rsid w:val="00CF35FA"/>
    <w:rsid w:val="00CF38F8"/>
    <w:rsid w:val="00CF4370"/>
    <w:rsid w:val="00CF68B2"/>
    <w:rsid w:val="00CF6B88"/>
    <w:rsid w:val="00CF6F42"/>
    <w:rsid w:val="00CF77C7"/>
    <w:rsid w:val="00D00B0E"/>
    <w:rsid w:val="00D01D69"/>
    <w:rsid w:val="00D01E9D"/>
    <w:rsid w:val="00D0251C"/>
    <w:rsid w:val="00D02EBC"/>
    <w:rsid w:val="00D03146"/>
    <w:rsid w:val="00D0323A"/>
    <w:rsid w:val="00D04451"/>
    <w:rsid w:val="00D046B6"/>
    <w:rsid w:val="00D0519F"/>
    <w:rsid w:val="00D06144"/>
    <w:rsid w:val="00D06980"/>
    <w:rsid w:val="00D06E35"/>
    <w:rsid w:val="00D07129"/>
    <w:rsid w:val="00D0791C"/>
    <w:rsid w:val="00D10097"/>
    <w:rsid w:val="00D10285"/>
    <w:rsid w:val="00D10352"/>
    <w:rsid w:val="00D103C5"/>
    <w:rsid w:val="00D10F84"/>
    <w:rsid w:val="00D11F25"/>
    <w:rsid w:val="00D12342"/>
    <w:rsid w:val="00D1234A"/>
    <w:rsid w:val="00D1256C"/>
    <w:rsid w:val="00D129C3"/>
    <w:rsid w:val="00D12FEE"/>
    <w:rsid w:val="00D13662"/>
    <w:rsid w:val="00D14A62"/>
    <w:rsid w:val="00D1540C"/>
    <w:rsid w:val="00D156BD"/>
    <w:rsid w:val="00D15B45"/>
    <w:rsid w:val="00D1665D"/>
    <w:rsid w:val="00D167F6"/>
    <w:rsid w:val="00D16A6D"/>
    <w:rsid w:val="00D179E5"/>
    <w:rsid w:val="00D20926"/>
    <w:rsid w:val="00D21A36"/>
    <w:rsid w:val="00D21E9D"/>
    <w:rsid w:val="00D220FE"/>
    <w:rsid w:val="00D22E0B"/>
    <w:rsid w:val="00D22EE4"/>
    <w:rsid w:val="00D22F7E"/>
    <w:rsid w:val="00D2432E"/>
    <w:rsid w:val="00D24615"/>
    <w:rsid w:val="00D25135"/>
    <w:rsid w:val="00D25D1D"/>
    <w:rsid w:val="00D27464"/>
    <w:rsid w:val="00D27AED"/>
    <w:rsid w:val="00D27F9F"/>
    <w:rsid w:val="00D30315"/>
    <w:rsid w:val="00D3107A"/>
    <w:rsid w:val="00D31CF0"/>
    <w:rsid w:val="00D3259F"/>
    <w:rsid w:val="00D34018"/>
    <w:rsid w:val="00D341C5"/>
    <w:rsid w:val="00D34564"/>
    <w:rsid w:val="00D34657"/>
    <w:rsid w:val="00D34765"/>
    <w:rsid w:val="00D34F84"/>
    <w:rsid w:val="00D3531F"/>
    <w:rsid w:val="00D35F07"/>
    <w:rsid w:val="00D35FCD"/>
    <w:rsid w:val="00D365B2"/>
    <w:rsid w:val="00D36A6E"/>
    <w:rsid w:val="00D36BCE"/>
    <w:rsid w:val="00D3704A"/>
    <w:rsid w:val="00D370BC"/>
    <w:rsid w:val="00D373A3"/>
    <w:rsid w:val="00D37724"/>
    <w:rsid w:val="00D37971"/>
    <w:rsid w:val="00D37A89"/>
    <w:rsid w:val="00D40724"/>
    <w:rsid w:val="00D40B8A"/>
    <w:rsid w:val="00D40F6B"/>
    <w:rsid w:val="00D41762"/>
    <w:rsid w:val="00D41D38"/>
    <w:rsid w:val="00D4228E"/>
    <w:rsid w:val="00D427DE"/>
    <w:rsid w:val="00D42E73"/>
    <w:rsid w:val="00D42F0E"/>
    <w:rsid w:val="00D4307B"/>
    <w:rsid w:val="00D43EC3"/>
    <w:rsid w:val="00D44004"/>
    <w:rsid w:val="00D44132"/>
    <w:rsid w:val="00D4456C"/>
    <w:rsid w:val="00D446BB"/>
    <w:rsid w:val="00D455C4"/>
    <w:rsid w:val="00D46884"/>
    <w:rsid w:val="00D46A4F"/>
    <w:rsid w:val="00D46D69"/>
    <w:rsid w:val="00D47020"/>
    <w:rsid w:val="00D47C45"/>
    <w:rsid w:val="00D52096"/>
    <w:rsid w:val="00D52BE9"/>
    <w:rsid w:val="00D531CC"/>
    <w:rsid w:val="00D535B1"/>
    <w:rsid w:val="00D53ABE"/>
    <w:rsid w:val="00D53D85"/>
    <w:rsid w:val="00D54825"/>
    <w:rsid w:val="00D54C0B"/>
    <w:rsid w:val="00D54D51"/>
    <w:rsid w:val="00D565D2"/>
    <w:rsid w:val="00D575EE"/>
    <w:rsid w:val="00D57FFA"/>
    <w:rsid w:val="00D61210"/>
    <w:rsid w:val="00D61D03"/>
    <w:rsid w:val="00D62293"/>
    <w:rsid w:val="00D62748"/>
    <w:rsid w:val="00D62A21"/>
    <w:rsid w:val="00D63CAF"/>
    <w:rsid w:val="00D63E9B"/>
    <w:rsid w:val="00D64915"/>
    <w:rsid w:val="00D64FEB"/>
    <w:rsid w:val="00D65F50"/>
    <w:rsid w:val="00D66619"/>
    <w:rsid w:val="00D66E44"/>
    <w:rsid w:val="00D676E9"/>
    <w:rsid w:val="00D70221"/>
    <w:rsid w:val="00D70469"/>
    <w:rsid w:val="00D7066C"/>
    <w:rsid w:val="00D70A98"/>
    <w:rsid w:val="00D70D1B"/>
    <w:rsid w:val="00D7155A"/>
    <w:rsid w:val="00D71EBC"/>
    <w:rsid w:val="00D72440"/>
    <w:rsid w:val="00D72A84"/>
    <w:rsid w:val="00D72CEE"/>
    <w:rsid w:val="00D72E28"/>
    <w:rsid w:val="00D731EC"/>
    <w:rsid w:val="00D731F5"/>
    <w:rsid w:val="00D73228"/>
    <w:rsid w:val="00D732F9"/>
    <w:rsid w:val="00D73A93"/>
    <w:rsid w:val="00D73DE2"/>
    <w:rsid w:val="00D74F6A"/>
    <w:rsid w:val="00D75246"/>
    <w:rsid w:val="00D75461"/>
    <w:rsid w:val="00D75636"/>
    <w:rsid w:val="00D75EE3"/>
    <w:rsid w:val="00D76044"/>
    <w:rsid w:val="00D76755"/>
    <w:rsid w:val="00D76848"/>
    <w:rsid w:val="00D77370"/>
    <w:rsid w:val="00D775D2"/>
    <w:rsid w:val="00D80B82"/>
    <w:rsid w:val="00D80C05"/>
    <w:rsid w:val="00D8229B"/>
    <w:rsid w:val="00D82C10"/>
    <w:rsid w:val="00D83127"/>
    <w:rsid w:val="00D837F3"/>
    <w:rsid w:val="00D8394C"/>
    <w:rsid w:val="00D8415F"/>
    <w:rsid w:val="00D8432E"/>
    <w:rsid w:val="00D843C2"/>
    <w:rsid w:val="00D845DB"/>
    <w:rsid w:val="00D8539A"/>
    <w:rsid w:val="00D853B2"/>
    <w:rsid w:val="00D85BD1"/>
    <w:rsid w:val="00D85C18"/>
    <w:rsid w:val="00D8638F"/>
    <w:rsid w:val="00D87BA0"/>
    <w:rsid w:val="00D90A5F"/>
    <w:rsid w:val="00D90D6B"/>
    <w:rsid w:val="00D91C2F"/>
    <w:rsid w:val="00D920AF"/>
    <w:rsid w:val="00D920EA"/>
    <w:rsid w:val="00D924E2"/>
    <w:rsid w:val="00D928D6"/>
    <w:rsid w:val="00D930ED"/>
    <w:rsid w:val="00D94ABA"/>
    <w:rsid w:val="00D955AE"/>
    <w:rsid w:val="00D956D8"/>
    <w:rsid w:val="00D95BC5"/>
    <w:rsid w:val="00D96FCE"/>
    <w:rsid w:val="00D97862"/>
    <w:rsid w:val="00D97C1F"/>
    <w:rsid w:val="00DA060D"/>
    <w:rsid w:val="00DA0C48"/>
    <w:rsid w:val="00DA19A0"/>
    <w:rsid w:val="00DA1B5B"/>
    <w:rsid w:val="00DA1C4F"/>
    <w:rsid w:val="00DA1F7A"/>
    <w:rsid w:val="00DA2932"/>
    <w:rsid w:val="00DA3266"/>
    <w:rsid w:val="00DA3981"/>
    <w:rsid w:val="00DA39DC"/>
    <w:rsid w:val="00DA584C"/>
    <w:rsid w:val="00DA5FB2"/>
    <w:rsid w:val="00DA712D"/>
    <w:rsid w:val="00DA7DC9"/>
    <w:rsid w:val="00DB104F"/>
    <w:rsid w:val="00DB1CAE"/>
    <w:rsid w:val="00DB23EF"/>
    <w:rsid w:val="00DB2D26"/>
    <w:rsid w:val="00DB2E03"/>
    <w:rsid w:val="00DB37EF"/>
    <w:rsid w:val="00DB4E1F"/>
    <w:rsid w:val="00DB539C"/>
    <w:rsid w:val="00DB65BC"/>
    <w:rsid w:val="00DB6696"/>
    <w:rsid w:val="00DB708F"/>
    <w:rsid w:val="00DB73E2"/>
    <w:rsid w:val="00DB748E"/>
    <w:rsid w:val="00DB74F6"/>
    <w:rsid w:val="00DC02E5"/>
    <w:rsid w:val="00DC0473"/>
    <w:rsid w:val="00DC0630"/>
    <w:rsid w:val="00DC070D"/>
    <w:rsid w:val="00DC07D7"/>
    <w:rsid w:val="00DC09D3"/>
    <w:rsid w:val="00DC0B11"/>
    <w:rsid w:val="00DC107B"/>
    <w:rsid w:val="00DC159C"/>
    <w:rsid w:val="00DC2070"/>
    <w:rsid w:val="00DC23A9"/>
    <w:rsid w:val="00DC250A"/>
    <w:rsid w:val="00DC2588"/>
    <w:rsid w:val="00DC267D"/>
    <w:rsid w:val="00DC274B"/>
    <w:rsid w:val="00DC2C01"/>
    <w:rsid w:val="00DC2D37"/>
    <w:rsid w:val="00DC30E8"/>
    <w:rsid w:val="00DC324B"/>
    <w:rsid w:val="00DC3275"/>
    <w:rsid w:val="00DC3305"/>
    <w:rsid w:val="00DC33DE"/>
    <w:rsid w:val="00DC3483"/>
    <w:rsid w:val="00DC36F5"/>
    <w:rsid w:val="00DC4B6F"/>
    <w:rsid w:val="00DC4DDE"/>
    <w:rsid w:val="00DC50A2"/>
    <w:rsid w:val="00DC537B"/>
    <w:rsid w:val="00DC5468"/>
    <w:rsid w:val="00DC56CB"/>
    <w:rsid w:val="00DC5C0F"/>
    <w:rsid w:val="00DC6491"/>
    <w:rsid w:val="00DC6BEF"/>
    <w:rsid w:val="00DC6D2B"/>
    <w:rsid w:val="00DC70AC"/>
    <w:rsid w:val="00DC768A"/>
    <w:rsid w:val="00DC7D74"/>
    <w:rsid w:val="00DD28CE"/>
    <w:rsid w:val="00DD2C51"/>
    <w:rsid w:val="00DD2F07"/>
    <w:rsid w:val="00DD30EB"/>
    <w:rsid w:val="00DD344D"/>
    <w:rsid w:val="00DD4800"/>
    <w:rsid w:val="00DD4909"/>
    <w:rsid w:val="00DD4A29"/>
    <w:rsid w:val="00DD4BF5"/>
    <w:rsid w:val="00DD4E7C"/>
    <w:rsid w:val="00DD54CB"/>
    <w:rsid w:val="00DD5E5D"/>
    <w:rsid w:val="00DD5ED2"/>
    <w:rsid w:val="00DD637C"/>
    <w:rsid w:val="00DD63AE"/>
    <w:rsid w:val="00DD63F8"/>
    <w:rsid w:val="00DD64FD"/>
    <w:rsid w:val="00DD6895"/>
    <w:rsid w:val="00DD6FAD"/>
    <w:rsid w:val="00DE01A1"/>
    <w:rsid w:val="00DE0848"/>
    <w:rsid w:val="00DE11D1"/>
    <w:rsid w:val="00DE17E4"/>
    <w:rsid w:val="00DE1D92"/>
    <w:rsid w:val="00DE1E75"/>
    <w:rsid w:val="00DE3037"/>
    <w:rsid w:val="00DE362F"/>
    <w:rsid w:val="00DE41A6"/>
    <w:rsid w:val="00DE46AB"/>
    <w:rsid w:val="00DE483B"/>
    <w:rsid w:val="00DE4F24"/>
    <w:rsid w:val="00DE4F38"/>
    <w:rsid w:val="00DE4FFA"/>
    <w:rsid w:val="00DE5918"/>
    <w:rsid w:val="00DE64F0"/>
    <w:rsid w:val="00DE66B9"/>
    <w:rsid w:val="00DF09DA"/>
    <w:rsid w:val="00DF18FE"/>
    <w:rsid w:val="00DF2454"/>
    <w:rsid w:val="00DF2DDD"/>
    <w:rsid w:val="00DF3337"/>
    <w:rsid w:val="00DF3843"/>
    <w:rsid w:val="00DF38F0"/>
    <w:rsid w:val="00DF39CC"/>
    <w:rsid w:val="00DF3D2D"/>
    <w:rsid w:val="00DF439A"/>
    <w:rsid w:val="00DF44EC"/>
    <w:rsid w:val="00DF49E9"/>
    <w:rsid w:val="00DF4B1C"/>
    <w:rsid w:val="00DF4EB3"/>
    <w:rsid w:val="00DF5AF4"/>
    <w:rsid w:val="00DF5B07"/>
    <w:rsid w:val="00DF7361"/>
    <w:rsid w:val="00E00189"/>
    <w:rsid w:val="00E001BF"/>
    <w:rsid w:val="00E002F5"/>
    <w:rsid w:val="00E00EB1"/>
    <w:rsid w:val="00E02722"/>
    <w:rsid w:val="00E03511"/>
    <w:rsid w:val="00E03707"/>
    <w:rsid w:val="00E03EF4"/>
    <w:rsid w:val="00E04266"/>
    <w:rsid w:val="00E046EC"/>
    <w:rsid w:val="00E069EE"/>
    <w:rsid w:val="00E06A58"/>
    <w:rsid w:val="00E075C2"/>
    <w:rsid w:val="00E07B73"/>
    <w:rsid w:val="00E104D1"/>
    <w:rsid w:val="00E105C2"/>
    <w:rsid w:val="00E11A25"/>
    <w:rsid w:val="00E126C6"/>
    <w:rsid w:val="00E13332"/>
    <w:rsid w:val="00E135BD"/>
    <w:rsid w:val="00E14590"/>
    <w:rsid w:val="00E145EE"/>
    <w:rsid w:val="00E14CAB"/>
    <w:rsid w:val="00E151D9"/>
    <w:rsid w:val="00E15CE6"/>
    <w:rsid w:val="00E168BF"/>
    <w:rsid w:val="00E16913"/>
    <w:rsid w:val="00E172C1"/>
    <w:rsid w:val="00E173A3"/>
    <w:rsid w:val="00E174F9"/>
    <w:rsid w:val="00E17F84"/>
    <w:rsid w:val="00E202C9"/>
    <w:rsid w:val="00E205AF"/>
    <w:rsid w:val="00E20978"/>
    <w:rsid w:val="00E2115C"/>
    <w:rsid w:val="00E21663"/>
    <w:rsid w:val="00E21DE3"/>
    <w:rsid w:val="00E21DF6"/>
    <w:rsid w:val="00E22462"/>
    <w:rsid w:val="00E2275A"/>
    <w:rsid w:val="00E2318B"/>
    <w:rsid w:val="00E23838"/>
    <w:rsid w:val="00E25355"/>
    <w:rsid w:val="00E2565D"/>
    <w:rsid w:val="00E26293"/>
    <w:rsid w:val="00E262F6"/>
    <w:rsid w:val="00E264A1"/>
    <w:rsid w:val="00E26AD9"/>
    <w:rsid w:val="00E27029"/>
    <w:rsid w:val="00E2716A"/>
    <w:rsid w:val="00E27847"/>
    <w:rsid w:val="00E27AD8"/>
    <w:rsid w:val="00E27FCD"/>
    <w:rsid w:val="00E30285"/>
    <w:rsid w:val="00E30483"/>
    <w:rsid w:val="00E30D1B"/>
    <w:rsid w:val="00E316A2"/>
    <w:rsid w:val="00E32B11"/>
    <w:rsid w:val="00E34477"/>
    <w:rsid w:val="00E347AF"/>
    <w:rsid w:val="00E34909"/>
    <w:rsid w:val="00E34D76"/>
    <w:rsid w:val="00E34FE2"/>
    <w:rsid w:val="00E35978"/>
    <w:rsid w:val="00E35D49"/>
    <w:rsid w:val="00E36996"/>
    <w:rsid w:val="00E369EA"/>
    <w:rsid w:val="00E37333"/>
    <w:rsid w:val="00E40DE6"/>
    <w:rsid w:val="00E41AD2"/>
    <w:rsid w:val="00E41CE6"/>
    <w:rsid w:val="00E42473"/>
    <w:rsid w:val="00E426EE"/>
    <w:rsid w:val="00E4275D"/>
    <w:rsid w:val="00E4290E"/>
    <w:rsid w:val="00E43197"/>
    <w:rsid w:val="00E4390B"/>
    <w:rsid w:val="00E45989"/>
    <w:rsid w:val="00E45FFC"/>
    <w:rsid w:val="00E468A4"/>
    <w:rsid w:val="00E46AC3"/>
    <w:rsid w:val="00E4769A"/>
    <w:rsid w:val="00E50029"/>
    <w:rsid w:val="00E50643"/>
    <w:rsid w:val="00E51079"/>
    <w:rsid w:val="00E51A05"/>
    <w:rsid w:val="00E5244D"/>
    <w:rsid w:val="00E530AD"/>
    <w:rsid w:val="00E530C2"/>
    <w:rsid w:val="00E541ED"/>
    <w:rsid w:val="00E54944"/>
    <w:rsid w:val="00E54D6B"/>
    <w:rsid w:val="00E54E3F"/>
    <w:rsid w:val="00E54F2F"/>
    <w:rsid w:val="00E55223"/>
    <w:rsid w:val="00E56A03"/>
    <w:rsid w:val="00E56B1D"/>
    <w:rsid w:val="00E56DFD"/>
    <w:rsid w:val="00E56F98"/>
    <w:rsid w:val="00E57404"/>
    <w:rsid w:val="00E60240"/>
    <w:rsid w:val="00E6155F"/>
    <w:rsid w:val="00E62D69"/>
    <w:rsid w:val="00E638DF"/>
    <w:rsid w:val="00E63A93"/>
    <w:rsid w:val="00E63F9F"/>
    <w:rsid w:val="00E64B94"/>
    <w:rsid w:val="00E654F3"/>
    <w:rsid w:val="00E660A2"/>
    <w:rsid w:val="00E66BC3"/>
    <w:rsid w:val="00E67071"/>
    <w:rsid w:val="00E672F4"/>
    <w:rsid w:val="00E676BB"/>
    <w:rsid w:val="00E678B7"/>
    <w:rsid w:val="00E679BE"/>
    <w:rsid w:val="00E71990"/>
    <w:rsid w:val="00E723BA"/>
    <w:rsid w:val="00E72455"/>
    <w:rsid w:val="00E7273C"/>
    <w:rsid w:val="00E74323"/>
    <w:rsid w:val="00E74E7A"/>
    <w:rsid w:val="00E74FA6"/>
    <w:rsid w:val="00E75481"/>
    <w:rsid w:val="00E75B49"/>
    <w:rsid w:val="00E77008"/>
    <w:rsid w:val="00E7714F"/>
    <w:rsid w:val="00E77C1B"/>
    <w:rsid w:val="00E77CA7"/>
    <w:rsid w:val="00E8100E"/>
    <w:rsid w:val="00E81B23"/>
    <w:rsid w:val="00E81BE6"/>
    <w:rsid w:val="00E826C7"/>
    <w:rsid w:val="00E82A2D"/>
    <w:rsid w:val="00E82A80"/>
    <w:rsid w:val="00E832D9"/>
    <w:rsid w:val="00E83AF9"/>
    <w:rsid w:val="00E83D10"/>
    <w:rsid w:val="00E83DC0"/>
    <w:rsid w:val="00E842E4"/>
    <w:rsid w:val="00E847C0"/>
    <w:rsid w:val="00E84A7F"/>
    <w:rsid w:val="00E84C7D"/>
    <w:rsid w:val="00E84CC6"/>
    <w:rsid w:val="00E855E0"/>
    <w:rsid w:val="00E85DB4"/>
    <w:rsid w:val="00E85EC1"/>
    <w:rsid w:val="00E86D24"/>
    <w:rsid w:val="00E871A8"/>
    <w:rsid w:val="00E872EF"/>
    <w:rsid w:val="00E873B8"/>
    <w:rsid w:val="00E87C28"/>
    <w:rsid w:val="00E901B0"/>
    <w:rsid w:val="00E91B12"/>
    <w:rsid w:val="00E92623"/>
    <w:rsid w:val="00E92779"/>
    <w:rsid w:val="00E933C0"/>
    <w:rsid w:val="00E9392B"/>
    <w:rsid w:val="00E94645"/>
    <w:rsid w:val="00E9513C"/>
    <w:rsid w:val="00E952CF"/>
    <w:rsid w:val="00E9639D"/>
    <w:rsid w:val="00E97086"/>
    <w:rsid w:val="00E97DDB"/>
    <w:rsid w:val="00EA0469"/>
    <w:rsid w:val="00EA0785"/>
    <w:rsid w:val="00EA0FC6"/>
    <w:rsid w:val="00EA1161"/>
    <w:rsid w:val="00EA122D"/>
    <w:rsid w:val="00EA1E21"/>
    <w:rsid w:val="00EA1E7C"/>
    <w:rsid w:val="00EA2254"/>
    <w:rsid w:val="00EA2992"/>
    <w:rsid w:val="00EA31ED"/>
    <w:rsid w:val="00EA4543"/>
    <w:rsid w:val="00EA4C50"/>
    <w:rsid w:val="00EA51D3"/>
    <w:rsid w:val="00EA5524"/>
    <w:rsid w:val="00EA6252"/>
    <w:rsid w:val="00EA642D"/>
    <w:rsid w:val="00EA6670"/>
    <w:rsid w:val="00EA72C0"/>
    <w:rsid w:val="00EA7516"/>
    <w:rsid w:val="00EA7770"/>
    <w:rsid w:val="00EA785A"/>
    <w:rsid w:val="00EA7DBD"/>
    <w:rsid w:val="00EB0284"/>
    <w:rsid w:val="00EB068A"/>
    <w:rsid w:val="00EB2214"/>
    <w:rsid w:val="00EB25AD"/>
    <w:rsid w:val="00EB2E7C"/>
    <w:rsid w:val="00EB3633"/>
    <w:rsid w:val="00EB419E"/>
    <w:rsid w:val="00EB55C8"/>
    <w:rsid w:val="00EB5631"/>
    <w:rsid w:val="00EB617B"/>
    <w:rsid w:val="00EB6628"/>
    <w:rsid w:val="00EB7020"/>
    <w:rsid w:val="00EB76C0"/>
    <w:rsid w:val="00EB76DB"/>
    <w:rsid w:val="00EC0500"/>
    <w:rsid w:val="00EC08DF"/>
    <w:rsid w:val="00EC1833"/>
    <w:rsid w:val="00EC18C9"/>
    <w:rsid w:val="00EC193E"/>
    <w:rsid w:val="00EC1989"/>
    <w:rsid w:val="00EC1C7D"/>
    <w:rsid w:val="00EC2605"/>
    <w:rsid w:val="00EC262B"/>
    <w:rsid w:val="00EC2750"/>
    <w:rsid w:val="00EC2D0A"/>
    <w:rsid w:val="00EC3A9D"/>
    <w:rsid w:val="00EC3B10"/>
    <w:rsid w:val="00EC3FE9"/>
    <w:rsid w:val="00EC45ED"/>
    <w:rsid w:val="00EC4C5A"/>
    <w:rsid w:val="00EC4FB1"/>
    <w:rsid w:val="00EC5A6E"/>
    <w:rsid w:val="00EC5C7D"/>
    <w:rsid w:val="00EC6095"/>
    <w:rsid w:val="00EC6313"/>
    <w:rsid w:val="00EC6346"/>
    <w:rsid w:val="00EC695C"/>
    <w:rsid w:val="00EC7B48"/>
    <w:rsid w:val="00EC7F8A"/>
    <w:rsid w:val="00ED0946"/>
    <w:rsid w:val="00ED130B"/>
    <w:rsid w:val="00ED1453"/>
    <w:rsid w:val="00ED2FD7"/>
    <w:rsid w:val="00ED33FC"/>
    <w:rsid w:val="00ED3826"/>
    <w:rsid w:val="00ED4013"/>
    <w:rsid w:val="00ED4C27"/>
    <w:rsid w:val="00ED5DAB"/>
    <w:rsid w:val="00ED65BE"/>
    <w:rsid w:val="00ED6A00"/>
    <w:rsid w:val="00ED7341"/>
    <w:rsid w:val="00ED7A97"/>
    <w:rsid w:val="00EE0633"/>
    <w:rsid w:val="00EE0B22"/>
    <w:rsid w:val="00EE100F"/>
    <w:rsid w:val="00EE162F"/>
    <w:rsid w:val="00EE1800"/>
    <w:rsid w:val="00EE2C8E"/>
    <w:rsid w:val="00EE37E6"/>
    <w:rsid w:val="00EE38CA"/>
    <w:rsid w:val="00EE3D20"/>
    <w:rsid w:val="00EE3E02"/>
    <w:rsid w:val="00EE3E28"/>
    <w:rsid w:val="00EE4841"/>
    <w:rsid w:val="00EE5AAE"/>
    <w:rsid w:val="00EE60BB"/>
    <w:rsid w:val="00EE6140"/>
    <w:rsid w:val="00EE76DA"/>
    <w:rsid w:val="00EE798C"/>
    <w:rsid w:val="00EE7BBB"/>
    <w:rsid w:val="00EF016D"/>
    <w:rsid w:val="00EF0F93"/>
    <w:rsid w:val="00EF1167"/>
    <w:rsid w:val="00EF13EA"/>
    <w:rsid w:val="00EF15D7"/>
    <w:rsid w:val="00EF16E9"/>
    <w:rsid w:val="00EF1F2A"/>
    <w:rsid w:val="00EF20E1"/>
    <w:rsid w:val="00EF27D4"/>
    <w:rsid w:val="00EF2B16"/>
    <w:rsid w:val="00EF2FD3"/>
    <w:rsid w:val="00EF32C7"/>
    <w:rsid w:val="00EF37E9"/>
    <w:rsid w:val="00EF3F0E"/>
    <w:rsid w:val="00EF5BEC"/>
    <w:rsid w:val="00EF5D99"/>
    <w:rsid w:val="00EF622D"/>
    <w:rsid w:val="00EF7780"/>
    <w:rsid w:val="00F00CBE"/>
    <w:rsid w:val="00F011C5"/>
    <w:rsid w:val="00F0156C"/>
    <w:rsid w:val="00F0189B"/>
    <w:rsid w:val="00F0205E"/>
    <w:rsid w:val="00F039F7"/>
    <w:rsid w:val="00F03DD0"/>
    <w:rsid w:val="00F04642"/>
    <w:rsid w:val="00F04C3B"/>
    <w:rsid w:val="00F0590C"/>
    <w:rsid w:val="00F05FEB"/>
    <w:rsid w:val="00F065F3"/>
    <w:rsid w:val="00F066D8"/>
    <w:rsid w:val="00F06A4D"/>
    <w:rsid w:val="00F0730E"/>
    <w:rsid w:val="00F0768B"/>
    <w:rsid w:val="00F07D38"/>
    <w:rsid w:val="00F102E6"/>
    <w:rsid w:val="00F10878"/>
    <w:rsid w:val="00F10A12"/>
    <w:rsid w:val="00F10C6A"/>
    <w:rsid w:val="00F1109B"/>
    <w:rsid w:val="00F12788"/>
    <w:rsid w:val="00F12944"/>
    <w:rsid w:val="00F12C87"/>
    <w:rsid w:val="00F12F8C"/>
    <w:rsid w:val="00F13D10"/>
    <w:rsid w:val="00F14B34"/>
    <w:rsid w:val="00F14CBB"/>
    <w:rsid w:val="00F14F45"/>
    <w:rsid w:val="00F1517B"/>
    <w:rsid w:val="00F1523B"/>
    <w:rsid w:val="00F1536B"/>
    <w:rsid w:val="00F15A0B"/>
    <w:rsid w:val="00F15CDE"/>
    <w:rsid w:val="00F1781B"/>
    <w:rsid w:val="00F202C0"/>
    <w:rsid w:val="00F21675"/>
    <w:rsid w:val="00F22F29"/>
    <w:rsid w:val="00F2349C"/>
    <w:rsid w:val="00F23EC6"/>
    <w:rsid w:val="00F24B97"/>
    <w:rsid w:val="00F24F0A"/>
    <w:rsid w:val="00F251FD"/>
    <w:rsid w:val="00F257B9"/>
    <w:rsid w:val="00F2593F"/>
    <w:rsid w:val="00F27C9E"/>
    <w:rsid w:val="00F27D15"/>
    <w:rsid w:val="00F27E9E"/>
    <w:rsid w:val="00F30576"/>
    <w:rsid w:val="00F30907"/>
    <w:rsid w:val="00F31B17"/>
    <w:rsid w:val="00F32C79"/>
    <w:rsid w:val="00F33B6F"/>
    <w:rsid w:val="00F33B89"/>
    <w:rsid w:val="00F34258"/>
    <w:rsid w:val="00F34289"/>
    <w:rsid w:val="00F3456A"/>
    <w:rsid w:val="00F3492E"/>
    <w:rsid w:val="00F3653C"/>
    <w:rsid w:val="00F36FF2"/>
    <w:rsid w:val="00F371E9"/>
    <w:rsid w:val="00F37925"/>
    <w:rsid w:val="00F40D39"/>
    <w:rsid w:val="00F41866"/>
    <w:rsid w:val="00F43F0C"/>
    <w:rsid w:val="00F43FB8"/>
    <w:rsid w:val="00F440DA"/>
    <w:rsid w:val="00F45286"/>
    <w:rsid w:val="00F46406"/>
    <w:rsid w:val="00F4683F"/>
    <w:rsid w:val="00F4777E"/>
    <w:rsid w:val="00F47D81"/>
    <w:rsid w:val="00F47F48"/>
    <w:rsid w:val="00F50129"/>
    <w:rsid w:val="00F50637"/>
    <w:rsid w:val="00F50D00"/>
    <w:rsid w:val="00F511A0"/>
    <w:rsid w:val="00F52254"/>
    <w:rsid w:val="00F531B0"/>
    <w:rsid w:val="00F53526"/>
    <w:rsid w:val="00F53A07"/>
    <w:rsid w:val="00F53C46"/>
    <w:rsid w:val="00F53E3E"/>
    <w:rsid w:val="00F5586A"/>
    <w:rsid w:val="00F55B3E"/>
    <w:rsid w:val="00F55C1D"/>
    <w:rsid w:val="00F55FF5"/>
    <w:rsid w:val="00F56326"/>
    <w:rsid w:val="00F56569"/>
    <w:rsid w:val="00F5683A"/>
    <w:rsid w:val="00F5741C"/>
    <w:rsid w:val="00F601F6"/>
    <w:rsid w:val="00F6021F"/>
    <w:rsid w:val="00F60267"/>
    <w:rsid w:val="00F60E9F"/>
    <w:rsid w:val="00F61099"/>
    <w:rsid w:val="00F616F4"/>
    <w:rsid w:val="00F61A06"/>
    <w:rsid w:val="00F61D67"/>
    <w:rsid w:val="00F62102"/>
    <w:rsid w:val="00F6218D"/>
    <w:rsid w:val="00F6293B"/>
    <w:rsid w:val="00F62C72"/>
    <w:rsid w:val="00F62ECF"/>
    <w:rsid w:val="00F6372E"/>
    <w:rsid w:val="00F64AC0"/>
    <w:rsid w:val="00F65A0E"/>
    <w:rsid w:val="00F65E5F"/>
    <w:rsid w:val="00F66CE0"/>
    <w:rsid w:val="00F676E5"/>
    <w:rsid w:val="00F67A7C"/>
    <w:rsid w:val="00F67DEB"/>
    <w:rsid w:val="00F7009A"/>
    <w:rsid w:val="00F70AB5"/>
    <w:rsid w:val="00F72269"/>
    <w:rsid w:val="00F724E0"/>
    <w:rsid w:val="00F72584"/>
    <w:rsid w:val="00F727BF"/>
    <w:rsid w:val="00F734A4"/>
    <w:rsid w:val="00F734AF"/>
    <w:rsid w:val="00F7384C"/>
    <w:rsid w:val="00F73B22"/>
    <w:rsid w:val="00F73C76"/>
    <w:rsid w:val="00F73D5E"/>
    <w:rsid w:val="00F742AE"/>
    <w:rsid w:val="00F74A96"/>
    <w:rsid w:val="00F75849"/>
    <w:rsid w:val="00F75EE9"/>
    <w:rsid w:val="00F76599"/>
    <w:rsid w:val="00F76935"/>
    <w:rsid w:val="00F77068"/>
    <w:rsid w:val="00F77131"/>
    <w:rsid w:val="00F772B9"/>
    <w:rsid w:val="00F77F1B"/>
    <w:rsid w:val="00F80003"/>
    <w:rsid w:val="00F81DBD"/>
    <w:rsid w:val="00F81FD0"/>
    <w:rsid w:val="00F82441"/>
    <w:rsid w:val="00F82D7E"/>
    <w:rsid w:val="00F82FC6"/>
    <w:rsid w:val="00F83155"/>
    <w:rsid w:val="00F83A78"/>
    <w:rsid w:val="00F83CF4"/>
    <w:rsid w:val="00F84EE6"/>
    <w:rsid w:val="00F85313"/>
    <w:rsid w:val="00F85AC4"/>
    <w:rsid w:val="00F85C8D"/>
    <w:rsid w:val="00F862A4"/>
    <w:rsid w:val="00F864E1"/>
    <w:rsid w:val="00F86882"/>
    <w:rsid w:val="00F872B1"/>
    <w:rsid w:val="00F87B70"/>
    <w:rsid w:val="00F87D4A"/>
    <w:rsid w:val="00F900BC"/>
    <w:rsid w:val="00F90223"/>
    <w:rsid w:val="00F9022E"/>
    <w:rsid w:val="00F90DDC"/>
    <w:rsid w:val="00F91AB7"/>
    <w:rsid w:val="00F91CE5"/>
    <w:rsid w:val="00F91F91"/>
    <w:rsid w:val="00F9244A"/>
    <w:rsid w:val="00F9285E"/>
    <w:rsid w:val="00F929ED"/>
    <w:rsid w:val="00F93522"/>
    <w:rsid w:val="00F93B20"/>
    <w:rsid w:val="00F93E0E"/>
    <w:rsid w:val="00F93EE8"/>
    <w:rsid w:val="00F94100"/>
    <w:rsid w:val="00F94358"/>
    <w:rsid w:val="00F946D5"/>
    <w:rsid w:val="00F94FC5"/>
    <w:rsid w:val="00F9531A"/>
    <w:rsid w:val="00F95BCC"/>
    <w:rsid w:val="00F9696A"/>
    <w:rsid w:val="00F96C59"/>
    <w:rsid w:val="00F97100"/>
    <w:rsid w:val="00F97BAC"/>
    <w:rsid w:val="00F97DFB"/>
    <w:rsid w:val="00FA0A5D"/>
    <w:rsid w:val="00FA0BB9"/>
    <w:rsid w:val="00FA0F3E"/>
    <w:rsid w:val="00FA125C"/>
    <w:rsid w:val="00FA1698"/>
    <w:rsid w:val="00FA1745"/>
    <w:rsid w:val="00FA18C0"/>
    <w:rsid w:val="00FA1A0C"/>
    <w:rsid w:val="00FA1B8E"/>
    <w:rsid w:val="00FA21BE"/>
    <w:rsid w:val="00FA28F2"/>
    <w:rsid w:val="00FA2B93"/>
    <w:rsid w:val="00FA2DB5"/>
    <w:rsid w:val="00FA3048"/>
    <w:rsid w:val="00FA3B2B"/>
    <w:rsid w:val="00FA47E5"/>
    <w:rsid w:val="00FA5896"/>
    <w:rsid w:val="00FA5CDA"/>
    <w:rsid w:val="00FA6073"/>
    <w:rsid w:val="00FA643C"/>
    <w:rsid w:val="00FA6C4D"/>
    <w:rsid w:val="00FA72C4"/>
    <w:rsid w:val="00FA7502"/>
    <w:rsid w:val="00FA7770"/>
    <w:rsid w:val="00FA7F2D"/>
    <w:rsid w:val="00FB032A"/>
    <w:rsid w:val="00FB0B71"/>
    <w:rsid w:val="00FB0E79"/>
    <w:rsid w:val="00FB1138"/>
    <w:rsid w:val="00FB1158"/>
    <w:rsid w:val="00FB133F"/>
    <w:rsid w:val="00FB176C"/>
    <w:rsid w:val="00FB1E86"/>
    <w:rsid w:val="00FB21A4"/>
    <w:rsid w:val="00FB260D"/>
    <w:rsid w:val="00FB3A20"/>
    <w:rsid w:val="00FB4D18"/>
    <w:rsid w:val="00FB5A04"/>
    <w:rsid w:val="00FB6DF8"/>
    <w:rsid w:val="00FB77E9"/>
    <w:rsid w:val="00FB79E1"/>
    <w:rsid w:val="00FB7B2A"/>
    <w:rsid w:val="00FC01D9"/>
    <w:rsid w:val="00FC0646"/>
    <w:rsid w:val="00FC0E34"/>
    <w:rsid w:val="00FC12CB"/>
    <w:rsid w:val="00FC1503"/>
    <w:rsid w:val="00FC1904"/>
    <w:rsid w:val="00FC1F30"/>
    <w:rsid w:val="00FC2189"/>
    <w:rsid w:val="00FC2672"/>
    <w:rsid w:val="00FC27CF"/>
    <w:rsid w:val="00FC43F4"/>
    <w:rsid w:val="00FC4407"/>
    <w:rsid w:val="00FC4459"/>
    <w:rsid w:val="00FC55A3"/>
    <w:rsid w:val="00FC5C46"/>
    <w:rsid w:val="00FC6BB9"/>
    <w:rsid w:val="00FC71A4"/>
    <w:rsid w:val="00FC74BD"/>
    <w:rsid w:val="00FC78AF"/>
    <w:rsid w:val="00FD01BA"/>
    <w:rsid w:val="00FD0680"/>
    <w:rsid w:val="00FD10E4"/>
    <w:rsid w:val="00FD1C0C"/>
    <w:rsid w:val="00FD1C92"/>
    <w:rsid w:val="00FD2412"/>
    <w:rsid w:val="00FD2759"/>
    <w:rsid w:val="00FD4151"/>
    <w:rsid w:val="00FD4472"/>
    <w:rsid w:val="00FD4B7E"/>
    <w:rsid w:val="00FD501F"/>
    <w:rsid w:val="00FD5911"/>
    <w:rsid w:val="00FD6187"/>
    <w:rsid w:val="00FD6943"/>
    <w:rsid w:val="00FD7CE6"/>
    <w:rsid w:val="00FE0310"/>
    <w:rsid w:val="00FE1612"/>
    <w:rsid w:val="00FE24ED"/>
    <w:rsid w:val="00FE2962"/>
    <w:rsid w:val="00FE2DFB"/>
    <w:rsid w:val="00FE2E69"/>
    <w:rsid w:val="00FE3010"/>
    <w:rsid w:val="00FE319C"/>
    <w:rsid w:val="00FE4814"/>
    <w:rsid w:val="00FE52EF"/>
    <w:rsid w:val="00FE53DA"/>
    <w:rsid w:val="00FE5622"/>
    <w:rsid w:val="00FE59BD"/>
    <w:rsid w:val="00FE5AE7"/>
    <w:rsid w:val="00FE5D60"/>
    <w:rsid w:val="00FE6365"/>
    <w:rsid w:val="00FE69EB"/>
    <w:rsid w:val="00FE6C70"/>
    <w:rsid w:val="00FE72A2"/>
    <w:rsid w:val="00FE7666"/>
    <w:rsid w:val="00FE78A5"/>
    <w:rsid w:val="00FE79FE"/>
    <w:rsid w:val="00FE7D75"/>
    <w:rsid w:val="00FE7F9C"/>
    <w:rsid w:val="00FF0A4C"/>
    <w:rsid w:val="00FF1391"/>
    <w:rsid w:val="00FF16D0"/>
    <w:rsid w:val="00FF19E5"/>
    <w:rsid w:val="00FF1F45"/>
    <w:rsid w:val="00FF1F5F"/>
    <w:rsid w:val="00FF2444"/>
    <w:rsid w:val="00FF2804"/>
    <w:rsid w:val="00FF2A97"/>
    <w:rsid w:val="00FF2BB9"/>
    <w:rsid w:val="00FF34E5"/>
    <w:rsid w:val="00FF3B87"/>
    <w:rsid w:val="00FF3B8E"/>
    <w:rsid w:val="00FF3EB9"/>
    <w:rsid w:val="00FF4007"/>
    <w:rsid w:val="00FF44D8"/>
    <w:rsid w:val="00FF49E9"/>
    <w:rsid w:val="00FF4A59"/>
    <w:rsid w:val="00FF4F3D"/>
    <w:rsid w:val="00FF560A"/>
    <w:rsid w:val="00FF612E"/>
    <w:rsid w:val="00FF68B4"/>
    <w:rsid w:val="00FF6F92"/>
    <w:rsid w:val="00FF73B8"/>
    <w:rsid w:val="02796E95"/>
    <w:rsid w:val="02A05F0C"/>
    <w:rsid w:val="04746650"/>
    <w:rsid w:val="0566089D"/>
    <w:rsid w:val="05A406F4"/>
    <w:rsid w:val="05C42A28"/>
    <w:rsid w:val="072E296D"/>
    <w:rsid w:val="085030A0"/>
    <w:rsid w:val="096704F0"/>
    <w:rsid w:val="0A643CDA"/>
    <w:rsid w:val="0AE37318"/>
    <w:rsid w:val="0BAD6DB5"/>
    <w:rsid w:val="0C093A5F"/>
    <w:rsid w:val="0D423522"/>
    <w:rsid w:val="0DC87032"/>
    <w:rsid w:val="0DF86C5A"/>
    <w:rsid w:val="0E5A5F65"/>
    <w:rsid w:val="0E8146CD"/>
    <w:rsid w:val="0F2868DE"/>
    <w:rsid w:val="0F7B6EAD"/>
    <w:rsid w:val="100C4722"/>
    <w:rsid w:val="11025D89"/>
    <w:rsid w:val="11AE5546"/>
    <w:rsid w:val="12352EED"/>
    <w:rsid w:val="123D730E"/>
    <w:rsid w:val="12B61F29"/>
    <w:rsid w:val="130453E1"/>
    <w:rsid w:val="1311579A"/>
    <w:rsid w:val="13A650DD"/>
    <w:rsid w:val="13CB5D7E"/>
    <w:rsid w:val="147C1681"/>
    <w:rsid w:val="14AE1EE3"/>
    <w:rsid w:val="15104A07"/>
    <w:rsid w:val="151633FD"/>
    <w:rsid w:val="158238AA"/>
    <w:rsid w:val="15986C01"/>
    <w:rsid w:val="15E83EDB"/>
    <w:rsid w:val="164E0C82"/>
    <w:rsid w:val="16686C72"/>
    <w:rsid w:val="16BC0007"/>
    <w:rsid w:val="177635D5"/>
    <w:rsid w:val="184A072B"/>
    <w:rsid w:val="18D71ACA"/>
    <w:rsid w:val="18F834E8"/>
    <w:rsid w:val="19C90757"/>
    <w:rsid w:val="1A10108F"/>
    <w:rsid w:val="1BF16BBE"/>
    <w:rsid w:val="1D2651F3"/>
    <w:rsid w:val="1D442CBC"/>
    <w:rsid w:val="1D964518"/>
    <w:rsid w:val="1D9A0DEA"/>
    <w:rsid w:val="1DEC75B0"/>
    <w:rsid w:val="1E654EDF"/>
    <w:rsid w:val="20940DBE"/>
    <w:rsid w:val="2174591B"/>
    <w:rsid w:val="23AF342E"/>
    <w:rsid w:val="24E26052"/>
    <w:rsid w:val="24E70199"/>
    <w:rsid w:val="253A63EE"/>
    <w:rsid w:val="25453BD7"/>
    <w:rsid w:val="25BC7BF5"/>
    <w:rsid w:val="25D73A8B"/>
    <w:rsid w:val="26230371"/>
    <w:rsid w:val="274F5042"/>
    <w:rsid w:val="27837A8D"/>
    <w:rsid w:val="2793263A"/>
    <w:rsid w:val="29323377"/>
    <w:rsid w:val="29B3120A"/>
    <w:rsid w:val="29E43F9B"/>
    <w:rsid w:val="2A6E626B"/>
    <w:rsid w:val="2AAA79A3"/>
    <w:rsid w:val="2B2D12AD"/>
    <w:rsid w:val="2C693154"/>
    <w:rsid w:val="2CA062E2"/>
    <w:rsid w:val="2D497C42"/>
    <w:rsid w:val="2DB247C5"/>
    <w:rsid w:val="2E032FE5"/>
    <w:rsid w:val="2E290C96"/>
    <w:rsid w:val="2EF51B4E"/>
    <w:rsid w:val="2F5C2E57"/>
    <w:rsid w:val="2F6C0937"/>
    <w:rsid w:val="30423345"/>
    <w:rsid w:val="30523D74"/>
    <w:rsid w:val="33365689"/>
    <w:rsid w:val="3392591B"/>
    <w:rsid w:val="33DB1402"/>
    <w:rsid w:val="33FE71A1"/>
    <w:rsid w:val="349E333C"/>
    <w:rsid w:val="34F56E50"/>
    <w:rsid w:val="3566670C"/>
    <w:rsid w:val="356B3789"/>
    <w:rsid w:val="360F72A6"/>
    <w:rsid w:val="372323A3"/>
    <w:rsid w:val="38DB1469"/>
    <w:rsid w:val="38F833DD"/>
    <w:rsid w:val="39F42ECC"/>
    <w:rsid w:val="3A937E8D"/>
    <w:rsid w:val="3CB91772"/>
    <w:rsid w:val="3CBD67AD"/>
    <w:rsid w:val="3D436545"/>
    <w:rsid w:val="3DBC563F"/>
    <w:rsid w:val="3E382BCB"/>
    <w:rsid w:val="412D1777"/>
    <w:rsid w:val="416F325F"/>
    <w:rsid w:val="42FF37F8"/>
    <w:rsid w:val="43AA6B56"/>
    <w:rsid w:val="44422AF8"/>
    <w:rsid w:val="444852E5"/>
    <w:rsid w:val="44B005A9"/>
    <w:rsid w:val="450D1BBA"/>
    <w:rsid w:val="45C955E8"/>
    <w:rsid w:val="46290948"/>
    <w:rsid w:val="46A70DA0"/>
    <w:rsid w:val="46CB016A"/>
    <w:rsid w:val="472F7E96"/>
    <w:rsid w:val="47A63AEF"/>
    <w:rsid w:val="47F71CEF"/>
    <w:rsid w:val="488D5B16"/>
    <w:rsid w:val="488F3825"/>
    <w:rsid w:val="488F5100"/>
    <w:rsid w:val="48DA711A"/>
    <w:rsid w:val="49160200"/>
    <w:rsid w:val="49B668D7"/>
    <w:rsid w:val="4B3E5154"/>
    <w:rsid w:val="4B4D12C1"/>
    <w:rsid w:val="4C10064B"/>
    <w:rsid w:val="4C9F3B5C"/>
    <w:rsid w:val="4EC47309"/>
    <w:rsid w:val="4EE35BBC"/>
    <w:rsid w:val="509E4487"/>
    <w:rsid w:val="50CA5EA1"/>
    <w:rsid w:val="51303ED5"/>
    <w:rsid w:val="519174EC"/>
    <w:rsid w:val="53373FB4"/>
    <w:rsid w:val="544D668F"/>
    <w:rsid w:val="554104DD"/>
    <w:rsid w:val="55D63427"/>
    <w:rsid w:val="564E64AE"/>
    <w:rsid w:val="57851063"/>
    <w:rsid w:val="593F1555"/>
    <w:rsid w:val="5AD472AD"/>
    <w:rsid w:val="5B2E6092"/>
    <w:rsid w:val="5BB8566E"/>
    <w:rsid w:val="5C443CCC"/>
    <w:rsid w:val="5C49658D"/>
    <w:rsid w:val="5CB76499"/>
    <w:rsid w:val="5D982C0B"/>
    <w:rsid w:val="5DFE5987"/>
    <w:rsid w:val="5E436ABD"/>
    <w:rsid w:val="5E5F5F24"/>
    <w:rsid w:val="5F7601A3"/>
    <w:rsid w:val="60387885"/>
    <w:rsid w:val="61911DAE"/>
    <w:rsid w:val="61F657CB"/>
    <w:rsid w:val="61FB4C4E"/>
    <w:rsid w:val="62A82D70"/>
    <w:rsid w:val="637E6350"/>
    <w:rsid w:val="640E1732"/>
    <w:rsid w:val="64B009B4"/>
    <w:rsid w:val="656A65EA"/>
    <w:rsid w:val="65E24BA7"/>
    <w:rsid w:val="66A43E3E"/>
    <w:rsid w:val="696F69E5"/>
    <w:rsid w:val="69E5025F"/>
    <w:rsid w:val="6A080C36"/>
    <w:rsid w:val="6AB85171"/>
    <w:rsid w:val="6B0064F1"/>
    <w:rsid w:val="6C017D7E"/>
    <w:rsid w:val="6C9818DC"/>
    <w:rsid w:val="6CD46E1C"/>
    <w:rsid w:val="6CDE0F00"/>
    <w:rsid w:val="6D913F23"/>
    <w:rsid w:val="6DE37AB7"/>
    <w:rsid w:val="6EDF4A53"/>
    <w:rsid w:val="6FE64991"/>
    <w:rsid w:val="70257A51"/>
    <w:rsid w:val="71A96B77"/>
    <w:rsid w:val="722E35E6"/>
    <w:rsid w:val="7234739A"/>
    <w:rsid w:val="72BA1FB8"/>
    <w:rsid w:val="72C401EB"/>
    <w:rsid w:val="72F63C2D"/>
    <w:rsid w:val="73834C0E"/>
    <w:rsid w:val="73BA6B7C"/>
    <w:rsid w:val="74B13EE9"/>
    <w:rsid w:val="74F53236"/>
    <w:rsid w:val="75386CBB"/>
    <w:rsid w:val="75A25FEE"/>
    <w:rsid w:val="75F00BAA"/>
    <w:rsid w:val="760D394F"/>
    <w:rsid w:val="76763726"/>
    <w:rsid w:val="76940580"/>
    <w:rsid w:val="76EC20A9"/>
    <w:rsid w:val="770B4B5C"/>
    <w:rsid w:val="771F1D9C"/>
    <w:rsid w:val="772F0252"/>
    <w:rsid w:val="786B0D25"/>
    <w:rsid w:val="78A51CA1"/>
    <w:rsid w:val="79520926"/>
    <w:rsid w:val="795E20CA"/>
    <w:rsid w:val="7AC21415"/>
    <w:rsid w:val="7B1A17F1"/>
    <w:rsid w:val="7BAA6167"/>
    <w:rsid w:val="7C564DA5"/>
    <w:rsid w:val="7CB87699"/>
    <w:rsid w:val="7CEA7F5A"/>
    <w:rsid w:val="7E4501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qFormat="1" w:unhideWhenUsed="0" w:uiPriority="99"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99"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iPriority="99"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500" w:lineRule="exact"/>
      <w:ind w:firstLine="200" w:firstLineChars="200"/>
    </w:pPr>
    <w:rPr>
      <w:rFonts w:ascii="Times New Roman" w:hAnsi="Times New Roman" w:eastAsia="仿宋" w:cs="Times New Roman"/>
      <w:kern w:val="2"/>
      <w:sz w:val="28"/>
      <w:lang w:val="en-US" w:eastAsia="zh-CN" w:bidi="ar-SA"/>
    </w:rPr>
  </w:style>
  <w:style w:type="paragraph" w:styleId="2">
    <w:name w:val="heading 1"/>
    <w:basedOn w:val="1"/>
    <w:next w:val="1"/>
    <w:link w:val="36"/>
    <w:qFormat/>
    <w:uiPriority w:val="0"/>
    <w:pPr>
      <w:keepNext/>
      <w:keepLines/>
      <w:numPr>
        <w:ilvl w:val="0"/>
        <w:numId w:val="1"/>
      </w:numPr>
      <w:adjustRightInd w:val="0"/>
      <w:snapToGrid w:val="0"/>
      <w:spacing w:after="100" w:afterLines="100" w:line="560" w:lineRule="exact"/>
      <w:ind w:firstLineChars="0"/>
      <w:jc w:val="center"/>
      <w:outlineLvl w:val="0"/>
    </w:pPr>
    <w:rPr>
      <w:rFonts w:eastAsia="黑体"/>
      <w:kern w:val="44"/>
      <w:sz w:val="32"/>
    </w:rPr>
  </w:style>
  <w:style w:type="paragraph" w:styleId="3">
    <w:name w:val="heading 2"/>
    <w:basedOn w:val="1"/>
    <w:next w:val="1"/>
    <w:link w:val="37"/>
    <w:qFormat/>
    <w:uiPriority w:val="0"/>
    <w:pPr>
      <w:keepNext/>
      <w:keepLines/>
      <w:spacing w:before="260" w:after="260" w:line="415" w:lineRule="auto"/>
      <w:ind w:firstLine="0" w:firstLineChars="0"/>
      <w:outlineLvl w:val="1"/>
    </w:pPr>
    <w:rPr>
      <w:rFonts w:ascii="Arial" w:hAnsi="Arial" w:eastAsia="黑体"/>
      <w:b/>
      <w:bCs/>
      <w:sz w:val="32"/>
      <w:szCs w:val="32"/>
    </w:rPr>
  </w:style>
  <w:style w:type="paragraph" w:styleId="4">
    <w:name w:val="heading 3"/>
    <w:basedOn w:val="1"/>
    <w:next w:val="1"/>
    <w:link w:val="38"/>
    <w:unhideWhenUsed/>
    <w:qFormat/>
    <w:uiPriority w:val="0"/>
    <w:pPr>
      <w:keepNext/>
      <w:keepLines/>
      <w:spacing w:before="260" w:after="260" w:line="416" w:lineRule="atLeast"/>
      <w:outlineLvl w:val="2"/>
    </w:pPr>
    <w:rPr>
      <w:b/>
      <w:bCs/>
      <w:sz w:val="32"/>
      <w:szCs w:val="32"/>
    </w:rPr>
  </w:style>
  <w:style w:type="paragraph" w:styleId="5">
    <w:name w:val="heading 4"/>
    <w:basedOn w:val="1"/>
    <w:next w:val="1"/>
    <w:link w:val="39"/>
    <w:qFormat/>
    <w:uiPriority w:val="0"/>
    <w:pPr>
      <w:keepNext/>
      <w:keepLines/>
      <w:spacing w:before="280" w:after="290" w:line="376" w:lineRule="atLeast"/>
      <w:outlineLvl w:val="3"/>
    </w:pPr>
    <w:rPr>
      <w:rFonts w:ascii="等线 Light" w:hAnsi="等线 Light" w:eastAsia="等线 Light"/>
      <w:b/>
      <w:bCs/>
      <w:szCs w:val="28"/>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widowControl w:val="0"/>
      <w:spacing w:line="240" w:lineRule="auto"/>
      <w:ind w:left="2520" w:leftChars="1200" w:firstLine="0" w:firstLineChars="0"/>
      <w:jc w:val="both"/>
    </w:pPr>
    <w:rPr>
      <w:rFonts w:asciiTheme="minorHAnsi" w:hAnsiTheme="minorHAnsi" w:eastAsiaTheme="minorEastAsia" w:cstheme="minorBidi"/>
      <w:sz w:val="21"/>
      <w:szCs w:val="22"/>
    </w:rPr>
  </w:style>
  <w:style w:type="paragraph" w:styleId="7">
    <w:name w:val="caption"/>
    <w:basedOn w:val="1"/>
    <w:next w:val="8"/>
    <w:link w:val="40"/>
    <w:qFormat/>
    <w:uiPriority w:val="35"/>
    <w:pPr>
      <w:widowControl w:val="0"/>
      <w:snapToGrid w:val="0"/>
      <w:spacing w:line="360" w:lineRule="auto"/>
      <w:ind w:firstLine="0" w:firstLineChars="0"/>
      <w:jc w:val="center"/>
    </w:pPr>
    <w:rPr>
      <w:rFonts w:eastAsia="宋体" w:cs="Arial"/>
      <w:b/>
      <w:sz w:val="21"/>
    </w:rPr>
  </w:style>
  <w:style w:type="paragraph" w:customStyle="1" w:styleId="8">
    <w:name w:val="正文-论文"/>
    <w:basedOn w:val="1"/>
    <w:qFormat/>
    <w:uiPriority w:val="99"/>
    <w:pPr>
      <w:widowControl w:val="0"/>
      <w:spacing w:line="360" w:lineRule="auto"/>
      <w:jc w:val="both"/>
    </w:pPr>
    <w:rPr>
      <w:rFonts w:eastAsia="宋体"/>
      <w:color w:val="000000"/>
      <w:sz w:val="24"/>
      <w:szCs w:val="24"/>
    </w:rPr>
  </w:style>
  <w:style w:type="paragraph" w:styleId="9">
    <w:name w:val="Document Map"/>
    <w:basedOn w:val="1"/>
    <w:link w:val="41"/>
    <w:qFormat/>
    <w:uiPriority w:val="0"/>
    <w:rPr>
      <w:rFonts w:ascii="宋体"/>
      <w:sz w:val="18"/>
      <w:szCs w:val="18"/>
    </w:rPr>
  </w:style>
  <w:style w:type="paragraph" w:styleId="10">
    <w:name w:val="annotation text"/>
    <w:basedOn w:val="1"/>
    <w:link w:val="42"/>
    <w:qFormat/>
    <w:uiPriority w:val="0"/>
  </w:style>
  <w:style w:type="paragraph" w:styleId="11">
    <w:name w:val="Body Text"/>
    <w:basedOn w:val="1"/>
    <w:qFormat/>
    <w:uiPriority w:val="0"/>
  </w:style>
  <w:style w:type="paragraph" w:styleId="12">
    <w:name w:val="toc 5"/>
    <w:basedOn w:val="1"/>
    <w:next w:val="1"/>
    <w:unhideWhenUsed/>
    <w:qFormat/>
    <w:uiPriority w:val="39"/>
    <w:pPr>
      <w:widowControl w:val="0"/>
      <w:spacing w:line="240" w:lineRule="auto"/>
      <w:ind w:left="1680" w:leftChars="800" w:firstLine="0" w:firstLineChars="0"/>
      <w:jc w:val="both"/>
    </w:pPr>
    <w:rPr>
      <w:rFonts w:asciiTheme="minorHAnsi" w:hAnsiTheme="minorHAnsi" w:eastAsiaTheme="minorEastAsia" w:cstheme="minorBidi"/>
      <w:sz w:val="21"/>
      <w:szCs w:val="22"/>
    </w:rPr>
  </w:style>
  <w:style w:type="paragraph" w:styleId="13">
    <w:name w:val="toc 3"/>
    <w:basedOn w:val="1"/>
    <w:next w:val="1"/>
    <w:qFormat/>
    <w:uiPriority w:val="39"/>
    <w:pPr>
      <w:ind w:left="840" w:leftChars="400"/>
    </w:pPr>
  </w:style>
  <w:style w:type="paragraph" w:styleId="14">
    <w:name w:val="Plain Text"/>
    <w:basedOn w:val="1"/>
    <w:link w:val="43"/>
    <w:unhideWhenUsed/>
    <w:qFormat/>
    <w:uiPriority w:val="99"/>
    <w:pPr>
      <w:widowControl w:val="0"/>
      <w:spacing w:line="240" w:lineRule="auto"/>
      <w:ind w:firstLine="0" w:firstLineChars="0"/>
      <w:jc w:val="both"/>
    </w:pPr>
    <w:rPr>
      <w:rFonts w:ascii="宋体" w:hAnsi="Courier New" w:eastAsia="宋体" w:cs="Courier New"/>
      <w:sz w:val="21"/>
      <w:szCs w:val="21"/>
    </w:rPr>
  </w:style>
  <w:style w:type="paragraph" w:styleId="15">
    <w:name w:val="toc 8"/>
    <w:basedOn w:val="1"/>
    <w:next w:val="1"/>
    <w:unhideWhenUsed/>
    <w:qFormat/>
    <w:uiPriority w:val="39"/>
    <w:pPr>
      <w:widowControl w:val="0"/>
      <w:spacing w:line="240" w:lineRule="auto"/>
      <w:ind w:left="2940" w:leftChars="1400" w:firstLine="0" w:firstLineChars="0"/>
      <w:jc w:val="both"/>
    </w:pPr>
    <w:rPr>
      <w:rFonts w:asciiTheme="minorHAnsi" w:hAnsiTheme="minorHAnsi" w:eastAsiaTheme="minorEastAsia" w:cstheme="minorBidi"/>
      <w:sz w:val="21"/>
      <w:szCs w:val="22"/>
    </w:rPr>
  </w:style>
  <w:style w:type="paragraph" w:styleId="16">
    <w:name w:val="Balloon Text"/>
    <w:basedOn w:val="1"/>
    <w:link w:val="44"/>
    <w:qFormat/>
    <w:uiPriority w:val="0"/>
    <w:pPr>
      <w:spacing w:line="240" w:lineRule="auto"/>
    </w:pPr>
    <w:rPr>
      <w:sz w:val="18"/>
      <w:szCs w:val="18"/>
    </w:rPr>
  </w:style>
  <w:style w:type="paragraph" w:styleId="17">
    <w:name w:val="footer"/>
    <w:basedOn w:val="1"/>
    <w:link w:val="45"/>
    <w:qFormat/>
    <w:uiPriority w:val="99"/>
    <w:pPr>
      <w:tabs>
        <w:tab w:val="center" w:pos="4153"/>
        <w:tab w:val="right" w:pos="8306"/>
      </w:tabs>
      <w:snapToGrid w:val="0"/>
    </w:pPr>
    <w:rPr>
      <w:sz w:val="18"/>
    </w:rPr>
  </w:style>
  <w:style w:type="paragraph" w:styleId="18">
    <w:name w:val="header"/>
    <w:basedOn w:val="1"/>
    <w:link w:val="46"/>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19">
    <w:name w:val="toc 1"/>
    <w:basedOn w:val="1"/>
    <w:next w:val="1"/>
    <w:qFormat/>
    <w:uiPriority w:val="39"/>
    <w:pPr>
      <w:spacing w:line="360" w:lineRule="auto"/>
      <w:ind w:firstLine="0" w:firstLineChars="0"/>
    </w:pPr>
    <w:rPr>
      <w:rFonts w:eastAsia="黑体"/>
      <w:sz w:val="32"/>
    </w:rPr>
  </w:style>
  <w:style w:type="paragraph" w:styleId="20">
    <w:name w:val="toc 4"/>
    <w:basedOn w:val="1"/>
    <w:next w:val="1"/>
    <w:unhideWhenUsed/>
    <w:qFormat/>
    <w:uiPriority w:val="39"/>
    <w:pPr>
      <w:widowControl w:val="0"/>
      <w:spacing w:line="240" w:lineRule="auto"/>
      <w:ind w:left="1260" w:leftChars="600" w:firstLine="0" w:firstLineChars="0"/>
      <w:jc w:val="both"/>
    </w:pPr>
    <w:rPr>
      <w:rFonts w:asciiTheme="minorHAnsi" w:hAnsiTheme="minorHAnsi" w:eastAsiaTheme="minorEastAsia" w:cstheme="minorBidi"/>
      <w:sz w:val="21"/>
      <w:szCs w:val="22"/>
    </w:rPr>
  </w:style>
  <w:style w:type="paragraph" w:styleId="21">
    <w:name w:val="Subtitle"/>
    <w:basedOn w:val="1"/>
    <w:next w:val="1"/>
    <w:link w:val="47"/>
    <w:qFormat/>
    <w:uiPriority w:val="0"/>
    <w:pPr>
      <w:spacing w:before="240" w:after="60" w:line="312" w:lineRule="atLeast"/>
      <w:ind w:left="280" w:leftChars="100" w:right="280" w:rightChars="100" w:firstLine="0" w:firstLineChars="0"/>
      <w:outlineLvl w:val="1"/>
    </w:pPr>
    <w:rPr>
      <w:rFonts w:ascii="Cambria" w:hAnsi="Cambria" w:eastAsia="黑体"/>
      <w:bCs/>
      <w:kern w:val="28"/>
      <w:sz w:val="32"/>
      <w:szCs w:val="32"/>
    </w:rPr>
  </w:style>
  <w:style w:type="paragraph" w:styleId="22">
    <w:name w:val="footnote text"/>
    <w:basedOn w:val="1"/>
    <w:link w:val="48"/>
    <w:qFormat/>
    <w:uiPriority w:val="99"/>
    <w:pPr>
      <w:snapToGrid w:val="0"/>
      <w:spacing w:line="360" w:lineRule="auto"/>
      <w:ind w:firstLine="0" w:firstLineChars="0"/>
    </w:pPr>
    <w:rPr>
      <w:rFonts w:eastAsia="宋体"/>
      <w:sz w:val="18"/>
      <w:szCs w:val="18"/>
    </w:rPr>
  </w:style>
  <w:style w:type="paragraph" w:styleId="23">
    <w:name w:val="toc 6"/>
    <w:basedOn w:val="1"/>
    <w:next w:val="1"/>
    <w:unhideWhenUsed/>
    <w:qFormat/>
    <w:uiPriority w:val="39"/>
    <w:pPr>
      <w:widowControl w:val="0"/>
      <w:spacing w:line="240" w:lineRule="auto"/>
      <w:ind w:left="2100" w:leftChars="1000" w:firstLine="0" w:firstLineChars="0"/>
      <w:jc w:val="both"/>
    </w:pPr>
    <w:rPr>
      <w:rFonts w:asciiTheme="minorHAnsi" w:hAnsiTheme="minorHAnsi" w:eastAsiaTheme="minorEastAsia" w:cstheme="minorBidi"/>
      <w:sz w:val="21"/>
      <w:szCs w:val="22"/>
    </w:rPr>
  </w:style>
  <w:style w:type="paragraph" w:styleId="24">
    <w:name w:val="toc 2"/>
    <w:basedOn w:val="1"/>
    <w:next w:val="1"/>
    <w:qFormat/>
    <w:uiPriority w:val="39"/>
    <w:pPr>
      <w:spacing w:line="360" w:lineRule="auto"/>
      <w:ind w:firstLine="100" w:firstLineChars="100"/>
    </w:pPr>
    <w:rPr>
      <w:rFonts w:ascii="楷体" w:hAnsi="楷体" w:eastAsia="楷体"/>
      <w:sz w:val="32"/>
    </w:rPr>
  </w:style>
  <w:style w:type="paragraph" w:styleId="25">
    <w:name w:val="toc 9"/>
    <w:basedOn w:val="1"/>
    <w:next w:val="1"/>
    <w:unhideWhenUsed/>
    <w:qFormat/>
    <w:uiPriority w:val="39"/>
    <w:pPr>
      <w:widowControl w:val="0"/>
      <w:spacing w:line="240" w:lineRule="auto"/>
      <w:ind w:left="3360" w:leftChars="1600" w:firstLine="0" w:firstLineChars="0"/>
      <w:jc w:val="both"/>
    </w:pPr>
    <w:rPr>
      <w:rFonts w:asciiTheme="minorHAnsi" w:hAnsiTheme="minorHAnsi" w:eastAsiaTheme="minorEastAsia" w:cstheme="minorBidi"/>
      <w:sz w:val="21"/>
      <w:szCs w:val="22"/>
    </w:rPr>
  </w:style>
  <w:style w:type="paragraph" w:styleId="26">
    <w:name w:val="Normal (Web)"/>
    <w:basedOn w:val="1"/>
    <w:unhideWhenUsed/>
    <w:qFormat/>
    <w:uiPriority w:val="99"/>
    <w:pPr>
      <w:spacing w:before="100" w:beforeAutospacing="1" w:after="100" w:afterAutospacing="1" w:line="240" w:lineRule="auto"/>
      <w:ind w:firstLine="0" w:firstLineChars="0"/>
    </w:pPr>
    <w:rPr>
      <w:rFonts w:ascii="宋体" w:hAnsi="宋体" w:eastAsia="宋体" w:cs="宋体"/>
      <w:kern w:val="0"/>
      <w:sz w:val="24"/>
      <w:szCs w:val="24"/>
    </w:rPr>
  </w:style>
  <w:style w:type="paragraph" w:styleId="27">
    <w:name w:val="annotation subject"/>
    <w:basedOn w:val="10"/>
    <w:next w:val="10"/>
    <w:link w:val="49"/>
    <w:unhideWhenUsed/>
    <w:qFormat/>
    <w:uiPriority w:val="0"/>
    <w:rPr>
      <w:b/>
      <w:bCs/>
    </w:rPr>
  </w:style>
  <w:style w:type="table" w:styleId="29">
    <w:name w:val="Table Grid"/>
    <w:basedOn w:val="28"/>
    <w:qFormat/>
    <w:uiPriority w:val="9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qFormat/>
    <w:uiPriority w:val="0"/>
    <w:rPr>
      <w:b/>
      <w:bCs/>
    </w:rPr>
  </w:style>
  <w:style w:type="character" w:styleId="32">
    <w:name w:val="FollowedHyperlink"/>
    <w:basedOn w:val="30"/>
    <w:unhideWhenUsed/>
    <w:qFormat/>
    <w:uiPriority w:val="99"/>
    <w:rPr>
      <w:color w:val="954F72"/>
      <w:u w:val="single"/>
    </w:rPr>
  </w:style>
  <w:style w:type="character" w:styleId="33">
    <w:name w:val="Hyperlink"/>
    <w:unhideWhenUsed/>
    <w:qFormat/>
    <w:uiPriority w:val="99"/>
    <w:rPr>
      <w:color w:val="0000FF"/>
      <w:u w:val="single"/>
    </w:rPr>
  </w:style>
  <w:style w:type="character" w:styleId="34">
    <w:name w:val="annotation reference"/>
    <w:qFormat/>
    <w:uiPriority w:val="0"/>
    <w:rPr>
      <w:sz w:val="21"/>
      <w:szCs w:val="21"/>
    </w:rPr>
  </w:style>
  <w:style w:type="character" w:styleId="35">
    <w:name w:val="footnote reference"/>
    <w:qFormat/>
    <w:uiPriority w:val="99"/>
    <w:rPr>
      <w:vertAlign w:val="superscript"/>
    </w:rPr>
  </w:style>
  <w:style w:type="character" w:customStyle="1" w:styleId="36">
    <w:name w:val="标题 1 字符"/>
    <w:basedOn w:val="30"/>
    <w:link w:val="2"/>
    <w:qFormat/>
    <w:uiPriority w:val="0"/>
    <w:rPr>
      <w:rFonts w:eastAsia="黑体"/>
      <w:kern w:val="44"/>
      <w:sz w:val="32"/>
    </w:rPr>
  </w:style>
  <w:style w:type="character" w:customStyle="1" w:styleId="37">
    <w:name w:val="标题 2 字符"/>
    <w:link w:val="3"/>
    <w:qFormat/>
    <w:uiPriority w:val="0"/>
    <w:rPr>
      <w:rFonts w:ascii="Arial" w:hAnsi="Arial" w:eastAsia="黑体"/>
      <w:b/>
      <w:bCs/>
      <w:kern w:val="2"/>
      <w:sz w:val="32"/>
      <w:szCs w:val="32"/>
    </w:rPr>
  </w:style>
  <w:style w:type="character" w:customStyle="1" w:styleId="38">
    <w:name w:val="标题 3 字符"/>
    <w:basedOn w:val="30"/>
    <w:link w:val="4"/>
    <w:qFormat/>
    <w:uiPriority w:val="0"/>
    <w:rPr>
      <w:rFonts w:eastAsia="仿宋"/>
      <w:b/>
      <w:bCs/>
      <w:kern w:val="2"/>
      <w:sz w:val="32"/>
      <w:szCs w:val="32"/>
    </w:rPr>
  </w:style>
  <w:style w:type="character" w:customStyle="1" w:styleId="39">
    <w:name w:val="标题 4 字符"/>
    <w:link w:val="5"/>
    <w:qFormat/>
    <w:uiPriority w:val="0"/>
    <w:rPr>
      <w:rFonts w:ascii="等线 Light" w:hAnsi="等线 Light" w:eastAsia="等线 Light" w:cs="Times New Roman"/>
      <w:b/>
      <w:bCs/>
      <w:kern w:val="2"/>
      <w:sz w:val="28"/>
      <w:szCs w:val="28"/>
    </w:rPr>
  </w:style>
  <w:style w:type="character" w:customStyle="1" w:styleId="40">
    <w:name w:val="题注 字符"/>
    <w:link w:val="7"/>
    <w:qFormat/>
    <w:locked/>
    <w:uiPriority w:val="35"/>
    <w:rPr>
      <w:rFonts w:ascii="Times New Roman" w:hAnsi="Times New Roman" w:eastAsia="宋体" w:cs="Arial"/>
      <w:b/>
      <w:kern w:val="2"/>
      <w:sz w:val="21"/>
    </w:rPr>
  </w:style>
  <w:style w:type="character" w:customStyle="1" w:styleId="41">
    <w:name w:val="文档结构图 字符"/>
    <w:link w:val="9"/>
    <w:qFormat/>
    <w:uiPriority w:val="0"/>
    <w:rPr>
      <w:rFonts w:ascii="宋体" w:hAnsi="Times New Roman" w:eastAsia="宋体"/>
      <w:kern w:val="2"/>
      <w:sz w:val="18"/>
      <w:szCs w:val="18"/>
    </w:rPr>
  </w:style>
  <w:style w:type="character" w:customStyle="1" w:styleId="42">
    <w:name w:val="批注文字 字符"/>
    <w:link w:val="10"/>
    <w:qFormat/>
    <w:uiPriority w:val="0"/>
    <w:rPr>
      <w:rFonts w:ascii="Times New Roman" w:hAnsi="Times New Roman" w:eastAsia="仿宋" w:cs="Times New Roman"/>
      <w:kern w:val="2"/>
      <w:sz w:val="28"/>
    </w:rPr>
  </w:style>
  <w:style w:type="character" w:customStyle="1" w:styleId="43">
    <w:name w:val="纯文本 字符"/>
    <w:link w:val="14"/>
    <w:qFormat/>
    <w:uiPriority w:val="99"/>
    <w:rPr>
      <w:rFonts w:ascii="宋体" w:hAnsi="Courier New" w:eastAsia="宋体" w:cs="Courier New"/>
      <w:kern w:val="2"/>
      <w:sz w:val="21"/>
      <w:szCs w:val="21"/>
    </w:rPr>
  </w:style>
  <w:style w:type="character" w:customStyle="1" w:styleId="44">
    <w:name w:val="批注框文本 字符"/>
    <w:link w:val="16"/>
    <w:qFormat/>
    <w:uiPriority w:val="0"/>
    <w:rPr>
      <w:rFonts w:ascii="Times New Roman" w:hAnsi="Times New Roman" w:eastAsia="仿宋"/>
      <w:kern w:val="2"/>
      <w:sz w:val="18"/>
      <w:szCs w:val="18"/>
    </w:rPr>
  </w:style>
  <w:style w:type="character" w:customStyle="1" w:styleId="45">
    <w:name w:val="页脚 字符"/>
    <w:link w:val="17"/>
    <w:qFormat/>
    <w:uiPriority w:val="99"/>
    <w:rPr>
      <w:rFonts w:ascii="Times New Roman" w:hAnsi="Times New Roman" w:eastAsia="仿宋"/>
      <w:kern w:val="2"/>
      <w:sz w:val="18"/>
    </w:rPr>
  </w:style>
  <w:style w:type="character" w:customStyle="1" w:styleId="46">
    <w:name w:val="页眉 字符"/>
    <w:link w:val="18"/>
    <w:qFormat/>
    <w:uiPriority w:val="99"/>
    <w:rPr>
      <w:rFonts w:ascii="Times New Roman" w:hAnsi="Times New Roman" w:eastAsia="仿宋"/>
      <w:kern w:val="2"/>
      <w:sz w:val="18"/>
    </w:rPr>
  </w:style>
  <w:style w:type="character" w:customStyle="1" w:styleId="47">
    <w:name w:val="副标题 字符"/>
    <w:link w:val="21"/>
    <w:qFormat/>
    <w:uiPriority w:val="0"/>
    <w:rPr>
      <w:rFonts w:ascii="Cambria" w:hAnsi="Cambria" w:eastAsia="黑体"/>
      <w:bCs/>
      <w:kern w:val="28"/>
      <w:sz w:val="32"/>
      <w:szCs w:val="32"/>
    </w:rPr>
  </w:style>
  <w:style w:type="character" w:customStyle="1" w:styleId="48">
    <w:name w:val="脚注文本 字符"/>
    <w:link w:val="22"/>
    <w:qFormat/>
    <w:uiPriority w:val="99"/>
    <w:rPr>
      <w:rFonts w:ascii="Times New Roman" w:hAnsi="Times New Roman" w:eastAsia="宋体"/>
      <w:kern w:val="2"/>
      <w:sz w:val="18"/>
      <w:szCs w:val="18"/>
    </w:rPr>
  </w:style>
  <w:style w:type="character" w:customStyle="1" w:styleId="49">
    <w:name w:val="批注主题 字符"/>
    <w:link w:val="27"/>
    <w:semiHidden/>
    <w:qFormat/>
    <w:uiPriority w:val="0"/>
    <w:rPr>
      <w:rFonts w:ascii="Times New Roman" w:hAnsi="Times New Roman" w:eastAsia="仿宋" w:cs="Times New Roman"/>
      <w:b/>
      <w:bCs/>
      <w:kern w:val="2"/>
      <w:sz w:val="28"/>
    </w:rPr>
  </w:style>
  <w:style w:type="paragraph" w:customStyle="1" w:styleId="50">
    <w:name w:val="正文首行缩进1"/>
    <w:basedOn w:val="11"/>
    <w:semiHidden/>
    <w:qFormat/>
    <w:uiPriority w:val="0"/>
    <w:pPr>
      <w:widowControl w:val="0"/>
      <w:spacing w:line="360" w:lineRule="auto"/>
      <w:ind w:firstLine="420" w:firstLineChars="100"/>
      <w:jc w:val="both"/>
    </w:pPr>
    <w:rPr>
      <w:rFonts w:ascii="宋体" w:hAnsi="宋体"/>
      <w:szCs w:val="28"/>
    </w:rPr>
  </w:style>
  <w:style w:type="paragraph" w:customStyle="1" w:styleId="51">
    <w:name w:val="列表段落1"/>
    <w:basedOn w:val="1"/>
    <w:qFormat/>
    <w:uiPriority w:val="34"/>
    <w:pPr>
      <w:ind w:firstLine="420"/>
    </w:pPr>
    <w:rPr>
      <w:rFonts w:eastAsia="宋体"/>
      <w:szCs w:val="24"/>
    </w:rPr>
  </w:style>
  <w:style w:type="paragraph" w:customStyle="1" w:styleId="52">
    <w:name w:val="列表段落2"/>
    <w:basedOn w:val="1"/>
    <w:qFormat/>
    <w:uiPriority w:val="34"/>
    <w:pPr>
      <w:ind w:firstLine="420"/>
    </w:pPr>
  </w:style>
  <w:style w:type="paragraph" w:customStyle="1" w:styleId="53">
    <w:name w:val="TOC 标题1"/>
    <w:basedOn w:val="2"/>
    <w:next w:val="1"/>
    <w:unhideWhenUsed/>
    <w:qFormat/>
    <w:uiPriority w:val="39"/>
    <w:pPr>
      <w:spacing w:before="480" w:after="0" w:line="276" w:lineRule="auto"/>
      <w:outlineLvl w:val="9"/>
    </w:pPr>
    <w:rPr>
      <w:rFonts w:ascii="Cambria" w:hAnsi="Cambria" w:eastAsia="宋体"/>
      <w:bCs/>
      <w:color w:val="365F91"/>
      <w:kern w:val="0"/>
      <w:sz w:val="28"/>
      <w:szCs w:val="28"/>
    </w:rPr>
  </w:style>
  <w:style w:type="paragraph" w:customStyle="1" w:styleId="54">
    <w:name w:val="表标题 Char"/>
    <w:qFormat/>
    <w:uiPriority w:val="0"/>
    <w:pPr>
      <w:tabs>
        <w:tab w:val="left" w:pos="5278"/>
      </w:tabs>
      <w:snapToGrid w:val="0"/>
      <w:spacing w:after="120" w:line="520" w:lineRule="exact"/>
      <w:jc w:val="center"/>
    </w:pPr>
    <w:rPr>
      <w:rFonts w:ascii="宋体" w:hAnsi="宋体" w:eastAsia="黑体" w:cs="Times New Roman"/>
      <w:szCs w:val="24"/>
      <w:lang w:val="en-US" w:eastAsia="zh-CN" w:bidi="ar-SA"/>
    </w:rPr>
  </w:style>
  <w:style w:type="paragraph" w:customStyle="1" w:styleId="55">
    <w:name w:val="列出段落1"/>
    <w:basedOn w:val="1"/>
    <w:qFormat/>
    <w:uiPriority w:val="0"/>
    <w:pPr>
      <w:widowControl w:val="0"/>
      <w:spacing w:line="240" w:lineRule="auto"/>
      <w:ind w:firstLine="420"/>
      <w:jc w:val="both"/>
    </w:pPr>
    <w:rPr>
      <w:rFonts w:ascii="Calibri" w:hAnsi="Calibri" w:eastAsia="宋体"/>
      <w:sz w:val="21"/>
      <w:szCs w:val="22"/>
    </w:rPr>
  </w:style>
  <w:style w:type="paragraph" w:customStyle="1" w:styleId="56">
    <w:name w:val="修订2"/>
    <w:semiHidden/>
    <w:qFormat/>
    <w:uiPriority w:val="99"/>
    <w:rPr>
      <w:rFonts w:ascii="Times New Roman" w:hAnsi="Times New Roman" w:eastAsia="仿宋" w:cs="Times New Roman"/>
      <w:kern w:val="2"/>
      <w:sz w:val="28"/>
      <w:lang w:val="en-US" w:eastAsia="zh-CN" w:bidi="ar-SA"/>
    </w:rPr>
  </w:style>
  <w:style w:type="paragraph" w:customStyle="1" w:styleId="57">
    <w:name w:val="列表段落3"/>
    <w:basedOn w:val="1"/>
    <w:qFormat/>
    <w:uiPriority w:val="99"/>
    <w:pPr>
      <w:ind w:firstLine="420"/>
    </w:pPr>
  </w:style>
  <w:style w:type="paragraph" w:customStyle="1" w:styleId="58">
    <w:name w:val="_Style 1"/>
    <w:basedOn w:val="1"/>
    <w:qFormat/>
    <w:uiPriority w:val="34"/>
    <w:pPr>
      <w:ind w:firstLine="420"/>
    </w:pPr>
  </w:style>
  <w:style w:type="paragraph" w:customStyle="1" w:styleId="59">
    <w:name w:val="列表段落4"/>
    <w:basedOn w:val="1"/>
    <w:qFormat/>
    <w:uiPriority w:val="99"/>
    <w:pPr>
      <w:ind w:firstLine="420"/>
    </w:pPr>
  </w:style>
  <w:style w:type="paragraph" w:customStyle="1" w:styleId="60">
    <w:name w:val="修订3"/>
    <w:semiHidden/>
    <w:qFormat/>
    <w:uiPriority w:val="99"/>
    <w:rPr>
      <w:rFonts w:ascii="Times New Roman" w:hAnsi="Times New Roman" w:eastAsia="仿宋" w:cs="Times New Roman"/>
      <w:kern w:val="2"/>
      <w:sz w:val="28"/>
      <w:lang w:val="en-US" w:eastAsia="zh-CN" w:bidi="ar-SA"/>
    </w:rPr>
  </w:style>
  <w:style w:type="paragraph" w:customStyle="1" w:styleId="61">
    <w:name w:val="目录 21"/>
    <w:basedOn w:val="1"/>
    <w:next w:val="1"/>
    <w:qFormat/>
    <w:uiPriority w:val="39"/>
    <w:pPr>
      <w:ind w:left="420" w:leftChars="200"/>
    </w:pPr>
  </w:style>
  <w:style w:type="paragraph" w:customStyle="1" w:styleId="62">
    <w:name w:val="Table Paragraph"/>
    <w:basedOn w:val="1"/>
    <w:qFormat/>
    <w:uiPriority w:val="1"/>
    <w:pPr>
      <w:widowControl w:val="0"/>
      <w:autoSpaceDE w:val="0"/>
      <w:autoSpaceDN w:val="0"/>
      <w:adjustRightInd w:val="0"/>
      <w:spacing w:line="240" w:lineRule="auto"/>
      <w:ind w:firstLine="0" w:firstLineChars="0"/>
    </w:pPr>
    <w:rPr>
      <w:rFonts w:ascii="宋体" w:eastAsia="宋体" w:cs="宋体"/>
      <w:kern w:val="0"/>
      <w:sz w:val="24"/>
      <w:szCs w:val="24"/>
    </w:rPr>
  </w:style>
  <w:style w:type="paragraph" w:customStyle="1" w:styleId="63">
    <w:name w:val="_Style 2"/>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64">
    <w:name w:val="目录 31"/>
    <w:basedOn w:val="1"/>
    <w:next w:val="1"/>
    <w:qFormat/>
    <w:uiPriority w:val="39"/>
    <w:pPr>
      <w:ind w:left="840" w:leftChars="400"/>
    </w:pPr>
  </w:style>
  <w:style w:type="paragraph" w:customStyle="1" w:styleId="65">
    <w:name w:val="PlainText"/>
    <w:basedOn w:val="1"/>
    <w:qFormat/>
    <w:uiPriority w:val="0"/>
    <w:rPr>
      <w:rFonts w:ascii="宋体" w:hAnsi="Courier New"/>
    </w:rPr>
  </w:style>
  <w:style w:type="paragraph" w:customStyle="1" w:styleId="66">
    <w:name w:val="修订1"/>
    <w:semiHidden/>
    <w:qFormat/>
    <w:uiPriority w:val="99"/>
    <w:rPr>
      <w:rFonts w:ascii="Times New Roman" w:hAnsi="Times New Roman" w:eastAsia="仿宋" w:cs="Times New Roman"/>
      <w:kern w:val="2"/>
      <w:sz w:val="28"/>
      <w:lang w:val="en-US" w:eastAsia="zh-CN" w:bidi="ar-SA"/>
    </w:rPr>
  </w:style>
  <w:style w:type="paragraph" w:customStyle="1" w:styleId="67">
    <w:name w:val="Normal New New"/>
    <w:qFormat/>
    <w:uiPriority w:val="0"/>
    <w:pPr>
      <w:widowControl w:val="0"/>
      <w:ind w:firstLine="200" w:firstLineChars="200"/>
      <w:jc w:val="both"/>
    </w:pPr>
    <w:rPr>
      <w:rFonts w:hint="eastAsia" w:ascii="Times New Roman" w:hAnsi="Times New Roman" w:eastAsia="宋体" w:cs="Times New Roman"/>
      <w:kern w:val="2"/>
      <w:sz w:val="28"/>
      <w:lang w:val="en-US" w:eastAsia="zh-CN" w:bidi="ar-SA"/>
    </w:rPr>
  </w:style>
  <w:style w:type="character" w:customStyle="1" w:styleId="68">
    <w:name w:val="bjh-p"/>
    <w:basedOn w:val="30"/>
    <w:qFormat/>
    <w:uiPriority w:val="0"/>
  </w:style>
  <w:style w:type="character" w:customStyle="1" w:styleId="69">
    <w:name w:val="bjh-strong"/>
    <w:basedOn w:val="30"/>
    <w:qFormat/>
    <w:uiPriority w:val="0"/>
  </w:style>
  <w:style w:type="table" w:customStyle="1" w:styleId="70">
    <w:name w:val="网格型1"/>
    <w:basedOn w:val="28"/>
    <w:qFormat/>
    <w:uiPriority w:val="9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1">
    <w:name w:val="样式1"/>
    <w:basedOn w:val="1"/>
    <w:link w:val="72"/>
    <w:qFormat/>
    <w:uiPriority w:val="0"/>
    <w:pPr>
      <w:widowControl w:val="0"/>
      <w:spacing w:line="560" w:lineRule="exact"/>
      <w:ind w:firstLine="600"/>
      <w:jc w:val="both"/>
    </w:pPr>
    <w:rPr>
      <w:rFonts w:hAnsi="方正仿宋简体" w:eastAsia="方正仿宋简体"/>
      <w:sz w:val="30"/>
      <w:szCs w:val="30"/>
    </w:rPr>
  </w:style>
  <w:style w:type="character" w:customStyle="1" w:styleId="72">
    <w:name w:val="样式1 字符"/>
    <w:basedOn w:val="30"/>
    <w:link w:val="71"/>
    <w:qFormat/>
    <w:uiPriority w:val="0"/>
    <w:rPr>
      <w:rFonts w:hAnsi="方正仿宋简体" w:eastAsia="方正仿宋简体"/>
      <w:kern w:val="2"/>
      <w:sz w:val="30"/>
      <w:szCs w:val="30"/>
    </w:rPr>
  </w:style>
  <w:style w:type="paragraph" w:styleId="73">
    <w:name w:val="List Paragraph"/>
    <w:basedOn w:val="1"/>
    <w:qFormat/>
    <w:uiPriority w:val="99"/>
    <w:pPr>
      <w:ind w:firstLine="420"/>
    </w:pPr>
  </w:style>
  <w:style w:type="character" w:customStyle="1" w:styleId="74">
    <w:name w:val="文字主体 Char Char"/>
    <w:link w:val="75"/>
    <w:qFormat/>
    <w:uiPriority w:val="0"/>
    <w:rPr>
      <w:rFonts w:ascii="宋体" w:hAnsi="宋体"/>
      <w:kern w:val="2"/>
      <w:sz w:val="28"/>
      <w:szCs w:val="28"/>
    </w:rPr>
  </w:style>
  <w:style w:type="paragraph" w:customStyle="1" w:styleId="75">
    <w:name w:val="文字主体"/>
    <w:link w:val="74"/>
    <w:qFormat/>
    <w:uiPriority w:val="0"/>
    <w:pPr>
      <w:spacing w:line="360" w:lineRule="auto"/>
      <w:ind w:firstLine="560" w:firstLineChars="200"/>
    </w:pPr>
    <w:rPr>
      <w:rFonts w:ascii="宋体" w:hAnsi="宋体" w:eastAsia="宋体" w:cs="Times New Roman"/>
      <w:kern w:val="2"/>
      <w:sz w:val="28"/>
      <w:szCs w:val="28"/>
      <w:lang w:val="en-US" w:eastAsia="zh-CN" w:bidi="ar-SA"/>
    </w:rPr>
  </w:style>
  <w:style w:type="paragraph" w:customStyle="1" w:styleId="76">
    <w:name w:val="msonormal"/>
    <w:basedOn w:val="1"/>
    <w:qFormat/>
    <w:uiPriority w:val="0"/>
    <w:pPr>
      <w:spacing w:before="100" w:beforeAutospacing="1" w:after="100" w:afterAutospacing="1" w:line="240" w:lineRule="auto"/>
      <w:ind w:firstLine="0" w:firstLineChars="0"/>
    </w:pPr>
    <w:rPr>
      <w:rFonts w:ascii="宋体" w:hAnsi="宋体" w:eastAsia="宋体" w:cs="宋体"/>
      <w:kern w:val="0"/>
      <w:sz w:val="24"/>
      <w:szCs w:val="24"/>
    </w:rPr>
  </w:style>
  <w:style w:type="paragraph" w:customStyle="1" w:styleId="77">
    <w:name w:val="font5"/>
    <w:basedOn w:val="1"/>
    <w:qFormat/>
    <w:uiPriority w:val="0"/>
    <w:pPr>
      <w:spacing w:before="100" w:beforeAutospacing="1" w:after="100" w:afterAutospacing="1" w:line="240" w:lineRule="auto"/>
      <w:ind w:firstLine="0" w:firstLineChars="0"/>
    </w:pPr>
    <w:rPr>
      <w:rFonts w:ascii="宋体" w:hAnsi="宋体" w:eastAsia="宋体" w:cs="宋体"/>
      <w:kern w:val="0"/>
      <w:sz w:val="18"/>
      <w:szCs w:val="18"/>
    </w:rPr>
  </w:style>
  <w:style w:type="paragraph" w:customStyle="1" w:styleId="78">
    <w:name w:val="font6"/>
    <w:basedOn w:val="1"/>
    <w:qFormat/>
    <w:uiPriority w:val="0"/>
    <w:pPr>
      <w:spacing w:before="100" w:beforeAutospacing="1" w:after="100" w:afterAutospacing="1" w:line="240" w:lineRule="auto"/>
      <w:ind w:firstLine="0" w:firstLineChars="0"/>
    </w:pPr>
    <w:rPr>
      <w:rFonts w:ascii="宋体" w:hAnsi="宋体" w:eastAsia="宋体" w:cs="宋体"/>
      <w:b/>
      <w:bCs/>
      <w:color w:val="000000"/>
      <w:kern w:val="0"/>
      <w:sz w:val="20"/>
    </w:rPr>
  </w:style>
  <w:style w:type="paragraph" w:customStyle="1" w:styleId="79">
    <w:name w:val="font7"/>
    <w:basedOn w:val="1"/>
    <w:qFormat/>
    <w:uiPriority w:val="0"/>
    <w:pPr>
      <w:spacing w:before="100" w:beforeAutospacing="1" w:after="100" w:afterAutospacing="1" w:line="240" w:lineRule="auto"/>
      <w:ind w:firstLine="0" w:firstLineChars="0"/>
    </w:pPr>
    <w:rPr>
      <w:rFonts w:ascii="宋体" w:hAnsi="宋体" w:eastAsia="宋体" w:cs="宋体"/>
      <w:b/>
      <w:bCs/>
      <w:color w:val="000000"/>
      <w:kern w:val="0"/>
      <w:sz w:val="21"/>
      <w:szCs w:val="21"/>
    </w:rPr>
  </w:style>
  <w:style w:type="paragraph" w:customStyle="1" w:styleId="80">
    <w:name w:val="font8"/>
    <w:basedOn w:val="1"/>
    <w:qFormat/>
    <w:uiPriority w:val="0"/>
    <w:pPr>
      <w:spacing w:before="100" w:beforeAutospacing="1" w:after="100" w:afterAutospacing="1" w:line="240" w:lineRule="auto"/>
      <w:ind w:firstLine="0" w:firstLineChars="0"/>
    </w:pPr>
    <w:rPr>
      <w:rFonts w:eastAsia="宋体"/>
      <w:b/>
      <w:bCs/>
      <w:color w:val="000000"/>
      <w:kern w:val="0"/>
      <w:sz w:val="21"/>
      <w:szCs w:val="21"/>
    </w:rPr>
  </w:style>
  <w:style w:type="paragraph" w:customStyle="1" w:styleId="81">
    <w:name w:val="font9"/>
    <w:basedOn w:val="1"/>
    <w:qFormat/>
    <w:uiPriority w:val="0"/>
    <w:pPr>
      <w:spacing w:before="100" w:beforeAutospacing="1" w:after="100" w:afterAutospacing="1" w:line="240" w:lineRule="auto"/>
      <w:ind w:firstLine="0" w:firstLineChars="0"/>
    </w:pPr>
    <w:rPr>
      <w:rFonts w:eastAsia="宋体"/>
      <w:b/>
      <w:bCs/>
      <w:color w:val="000000"/>
      <w:kern w:val="0"/>
      <w:sz w:val="20"/>
    </w:rPr>
  </w:style>
  <w:style w:type="paragraph" w:customStyle="1" w:styleId="82">
    <w:name w:val="font10"/>
    <w:basedOn w:val="1"/>
    <w:qFormat/>
    <w:uiPriority w:val="0"/>
    <w:pPr>
      <w:spacing w:before="100" w:beforeAutospacing="1" w:after="100" w:afterAutospacing="1" w:line="240" w:lineRule="auto"/>
      <w:ind w:firstLine="0" w:firstLineChars="0"/>
    </w:pPr>
    <w:rPr>
      <w:rFonts w:eastAsia="宋体"/>
      <w:color w:val="000000"/>
      <w:kern w:val="0"/>
      <w:sz w:val="20"/>
    </w:rPr>
  </w:style>
  <w:style w:type="paragraph" w:customStyle="1" w:styleId="83">
    <w:name w:val="font11"/>
    <w:basedOn w:val="1"/>
    <w:qFormat/>
    <w:uiPriority w:val="0"/>
    <w:pPr>
      <w:spacing w:before="100" w:beforeAutospacing="1" w:after="100" w:afterAutospacing="1" w:line="240" w:lineRule="auto"/>
      <w:ind w:firstLine="0" w:firstLineChars="0"/>
    </w:pPr>
    <w:rPr>
      <w:rFonts w:ascii="宋体" w:hAnsi="宋体" w:eastAsia="宋体" w:cs="宋体"/>
      <w:color w:val="000000"/>
      <w:kern w:val="0"/>
      <w:sz w:val="20"/>
    </w:rPr>
  </w:style>
  <w:style w:type="paragraph" w:customStyle="1" w:styleId="84">
    <w:name w:val="font12"/>
    <w:basedOn w:val="1"/>
    <w:qFormat/>
    <w:uiPriority w:val="0"/>
    <w:pPr>
      <w:spacing w:before="100" w:beforeAutospacing="1" w:after="100" w:afterAutospacing="1" w:line="240" w:lineRule="auto"/>
      <w:ind w:firstLine="0" w:firstLineChars="0"/>
    </w:pPr>
    <w:rPr>
      <w:rFonts w:eastAsia="宋体"/>
      <w:b/>
      <w:bCs/>
      <w:color w:val="000000"/>
      <w:kern w:val="0"/>
      <w:sz w:val="20"/>
    </w:rPr>
  </w:style>
  <w:style w:type="paragraph" w:customStyle="1" w:styleId="85">
    <w:name w:val="font13"/>
    <w:basedOn w:val="1"/>
    <w:qFormat/>
    <w:uiPriority w:val="0"/>
    <w:pPr>
      <w:spacing w:before="100" w:beforeAutospacing="1" w:after="100" w:afterAutospacing="1" w:line="240" w:lineRule="auto"/>
      <w:ind w:firstLine="0" w:firstLineChars="0"/>
    </w:pPr>
    <w:rPr>
      <w:rFonts w:eastAsia="宋体"/>
      <w:color w:val="000000"/>
      <w:kern w:val="0"/>
      <w:sz w:val="20"/>
    </w:rPr>
  </w:style>
  <w:style w:type="paragraph" w:customStyle="1" w:styleId="86">
    <w:name w:val="font14"/>
    <w:basedOn w:val="1"/>
    <w:qFormat/>
    <w:uiPriority w:val="0"/>
    <w:pPr>
      <w:spacing w:before="100" w:beforeAutospacing="1" w:after="100" w:afterAutospacing="1" w:line="240" w:lineRule="auto"/>
      <w:ind w:firstLine="0" w:firstLineChars="0"/>
    </w:pPr>
    <w:rPr>
      <w:rFonts w:ascii="宋体" w:hAnsi="宋体" w:eastAsia="宋体" w:cs="宋体"/>
      <w:color w:val="000000"/>
      <w:kern w:val="0"/>
      <w:sz w:val="20"/>
    </w:rPr>
  </w:style>
  <w:style w:type="paragraph" w:customStyle="1" w:styleId="87">
    <w:name w:val="xl6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b/>
      <w:bCs/>
      <w:color w:val="000000"/>
      <w:kern w:val="0"/>
      <w:sz w:val="20"/>
    </w:rPr>
  </w:style>
  <w:style w:type="paragraph" w:customStyle="1" w:styleId="88">
    <w:name w:val="xl66"/>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jc w:val="center"/>
    </w:pPr>
    <w:rPr>
      <w:rFonts w:eastAsia="宋体"/>
      <w:b/>
      <w:bCs/>
      <w:color w:val="000000"/>
      <w:kern w:val="0"/>
      <w:sz w:val="21"/>
      <w:szCs w:val="21"/>
    </w:rPr>
  </w:style>
  <w:style w:type="paragraph" w:customStyle="1" w:styleId="89">
    <w:name w:val="xl67"/>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pPr>
    <w:rPr>
      <w:rFonts w:ascii="宋体" w:hAnsi="宋体" w:eastAsia="宋体" w:cs="宋体"/>
      <w:color w:val="000000"/>
      <w:kern w:val="0"/>
      <w:sz w:val="21"/>
      <w:szCs w:val="21"/>
    </w:rPr>
  </w:style>
  <w:style w:type="paragraph" w:customStyle="1" w:styleId="90">
    <w:name w:val="xl68"/>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jc w:val="both"/>
    </w:pPr>
    <w:rPr>
      <w:rFonts w:ascii="宋体" w:hAnsi="宋体" w:eastAsia="宋体" w:cs="宋体"/>
      <w:color w:val="000000"/>
      <w:kern w:val="0"/>
      <w:sz w:val="21"/>
      <w:szCs w:val="21"/>
    </w:rPr>
  </w:style>
  <w:style w:type="paragraph" w:customStyle="1" w:styleId="91">
    <w:name w:val="xl69"/>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jc w:val="center"/>
    </w:pPr>
    <w:rPr>
      <w:rFonts w:eastAsia="宋体"/>
      <w:b/>
      <w:bCs/>
      <w:color w:val="000000"/>
      <w:kern w:val="0"/>
      <w:sz w:val="20"/>
    </w:rPr>
  </w:style>
  <w:style w:type="paragraph" w:customStyle="1" w:styleId="92">
    <w:name w:val="xl7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b/>
      <w:bCs/>
      <w:color w:val="000000"/>
      <w:kern w:val="0"/>
      <w:sz w:val="20"/>
    </w:rPr>
  </w:style>
  <w:style w:type="paragraph" w:customStyle="1" w:styleId="93">
    <w:name w:val="xl7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olor w:val="000000"/>
      <w:kern w:val="0"/>
      <w:sz w:val="20"/>
    </w:rPr>
  </w:style>
  <w:style w:type="paragraph" w:customStyle="1" w:styleId="94">
    <w:name w:val="xl7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color w:val="000000"/>
      <w:kern w:val="0"/>
      <w:sz w:val="20"/>
    </w:rPr>
  </w:style>
  <w:style w:type="paragraph" w:customStyle="1" w:styleId="95">
    <w:name w:val="xl7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pPr>
    <w:rPr>
      <w:rFonts w:eastAsia="宋体"/>
      <w:color w:val="000000"/>
      <w:kern w:val="0"/>
      <w:sz w:val="21"/>
      <w:szCs w:val="21"/>
    </w:rPr>
  </w:style>
  <w:style w:type="paragraph" w:customStyle="1" w:styleId="96">
    <w:name w:val="xl7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both"/>
    </w:pPr>
    <w:rPr>
      <w:rFonts w:eastAsia="宋体"/>
      <w:color w:val="000000"/>
      <w:kern w:val="0"/>
      <w:sz w:val="21"/>
      <w:szCs w:val="21"/>
    </w:rPr>
  </w:style>
  <w:style w:type="paragraph" w:customStyle="1" w:styleId="97">
    <w:name w:val="xl7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olor w:val="000000"/>
      <w:kern w:val="0"/>
      <w:sz w:val="20"/>
    </w:rPr>
  </w:style>
  <w:style w:type="paragraph" w:customStyle="1" w:styleId="98">
    <w:name w:val="xl76"/>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jc w:val="center"/>
    </w:pPr>
    <w:rPr>
      <w:rFonts w:ascii="宋体" w:hAnsi="宋体" w:eastAsia="宋体" w:cs="宋体"/>
      <w:b/>
      <w:bCs/>
      <w:color w:val="000000"/>
      <w:kern w:val="0"/>
      <w:sz w:val="20"/>
    </w:rPr>
  </w:style>
  <w:style w:type="paragraph" w:customStyle="1" w:styleId="99">
    <w:name w:val="xl77"/>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jc w:val="center"/>
    </w:pPr>
    <w:rPr>
      <w:rFonts w:ascii="宋体" w:hAnsi="宋体" w:eastAsia="宋体" w:cs="宋体"/>
      <w:b/>
      <w:bCs/>
      <w:color w:val="000000"/>
      <w:kern w:val="0"/>
      <w:sz w:val="21"/>
      <w:szCs w:val="21"/>
    </w:rPr>
  </w:style>
  <w:style w:type="paragraph" w:customStyle="1" w:styleId="100">
    <w:name w:val="xl7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olor w:val="000000"/>
      <w:kern w:val="0"/>
      <w:sz w:val="20"/>
    </w:rPr>
  </w:style>
  <w:style w:type="paragraph" w:customStyle="1" w:styleId="101">
    <w:name w:val="xl7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olor w:val="000000"/>
      <w:kern w:val="0"/>
      <w:sz w:val="20"/>
    </w:rPr>
  </w:style>
  <w:style w:type="character" w:customStyle="1" w:styleId="102">
    <w:name w:val="文字主体 Char"/>
    <w:qFormat/>
    <w:uiPriority w:val="0"/>
    <w:rPr>
      <w:rFonts w:ascii="Arial" w:hAnsi="Arial" w:eastAsia="仿宋_GB2312" w:cs="Arial"/>
      <w:kern w:val="2"/>
      <w:sz w:val="28"/>
      <w:szCs w:val="28"/>
      <w:lang w:val="en-US" w:eastAsia="zh-CN" w:bidi="ar-SA"/>
    </w:rPr>
  </w:style>
  <w:style w:type="paragraph" w:customStyle="1" w:styleId="103">
    <w:name w:val="修订4"/>
    <w:hidden/>
    <w:semiHidden/>
    <w:qFormat/>
    <w:uiPriority w:val="99"/>
    <w:rPr>
      <w:rFonts w:ascii="Times New Roman" w:hAnsi="Times New Roman" w:eastAsia="仿宋" w:cs="Times New Roman"/>
      <w:kern w:val="2"/>
      <w:sz w:val="28"/>
      <w:lang w:val="en-US" w:eastAsia="zh-CN" w:bidi="ar-SA"/>
    </w:rPr>
  </w:style>
  <w:style w:type="paragraph" w:customStyle="1" w:styleId="104">
    <w:name w:val="xl12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05">
    <w:name w:val="xl12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pPr>
    <w:rPr>
      <w:rFonts w:ascii="宋体" w:hAnsi="宋体" w:eastAsia="宋体" w:cs="宋体"/>
      <w:kern w:val="0"/>
      <w:sz w:val="24"/>
      <w:szCs w:val="24"/>
    </w:rPr>
  </w:style>
  <w:style w:type="paragraph" w:customStyle="1" w:styleId="106">
    <w:name w:val="xl12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107">
    <w:name w:val="xl12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8"/>
    </w:rPr>
  </w:style>
  <w:style w:type="paragraph" w:customStyle="1" w:styleId="108">
    <w:name w:val="xl12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Cs w:val="28"/>
    </w:rPr>
  </w:style>
  <w:style w:type="paragraph" w:customStyle="1" w:styleId="109">
    <w:name w:val="xl12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textAlignment w:val="center"/>
    </w:pPr>
    <w:rPr>
      <w:rFonts w:ascii="宋体" w:hAnsi="宋体" w:eastAsia="宋体" w:cs="宋体"/>
      <w:kern w:val="0"/>
      <w:sz w:val="24"/>
      <w:szCs w:val="24"/>
    </w:rPr>
  </w:style>
  <w:style w:type="paragraph" w:customStyle="1" w:styleId="110">
    <w:name w:val="xl12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11">
    <w:name w:val="xl12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1"/>
      <w:szCs w:val="21"/>
    </w:rPr>
  </w:style>
  <w:style w:type="paragraph" w:customStyle="1" w:styleId="112">
    <w:name w:val="xl12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textAlignment w:val="center"/>
    </w:pPr>
    <w:rPr>
      <w:rFonts w:ascii="仿宋_GB2312" w:hAnsi="宋体" w:eastAsia="仿宋_GB2312" w:cs="宋体"/>
      <w:color w:val="000000"/>
      <w:kern w:val="0"/>
      <w:sz w:val="21"/>
      <w:szCs w:val="21"/>
    </w:rPr>
  </w:style>
  <w:style w:type="paragraph" w:customStyle="1" w:styleId="113">
    <w:name w:val="xl13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14">
    <w:name w:val="xl131"/>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textAlignment w:val="center"/>
    </w:pPr>
    <w:rPr>
      <w:rFonts w:ascii="仿宋_GB2312" w:hAnsi="宋体" w:eastAsia="仿宋_GB2312" w:cs="宋体"/>
      <w:color w:val="000000"/>
      <w:kern w:val="0"/>
      <w:sz w:val="21"/>
      <w:szCs w:val="21"/>
    </w:rPr>
  </w:style>
  <w:style w:type="paragraph" w:customStyle="1" w:styleId="115">
    <w:name w:val="xl132"/>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1"/>
      <w:szCs w:val="21"/>
    </w:rPr>
  </w:style>
  <w:style w:type="paragraph" w:customStyle="1" w:styleId="116">
    <w:name w:val="xl133"/>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117">
    <w:name w:val="xl13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textAlignment w:val="center"/>
    </w:pPr>
    <w:rPr>
      <w:rFonts w:ascii="宋体" w:hAnsi="宋体" w:eastAsia="宋体" w:cs="宋体"/>
      <w:kern w:val="0"/>
      <w:sz w:val="24"/>
      <w:szCs w:val="24"/>
    </w:rPr>
  </w:style>
  <w:style w:type="paragraph" w:customStyle="1" w:styleId="118">
    <w:name w:val="xl135"/>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1"/>
      <w:szCs w:val="21"/>
    </w:rPr>
  </w:style>
  <w:style w:type="paragraph" w:customStyle="1" w:styleId="119">
    <w:name w:val="xl13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color w:val="000000"/>
      <w:kern w:val="0"/>
      <w:sz w:val="20"/>
    </w:rPr>
  </w:style>
  <w:style w:type="paragraph" w:customStyle="1" w:styleId="120">
    <w:name w:val="xl13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4"/>
      <w:szCs w:val="24"/>
    </w:rPr>
  </w:style>
  <w:style w:type="paragraph" w:customStyle="1" w:styleId="121">
    <w:name w:val="xl138"/>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4"/>
      <w:szCs w:val="24"/>
    </w:rPr>
  </w:style>
  <w:style w:type="paragraph" w:customStyle="1" w:styleId="122">
    <w:name w:val="xl13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color w:val="000000"/>
      <w:kern w:val="0"/>
      <w:sz w:val="24"/>
      <w:szCs w:val="24"/>
    </w:rPr>
  </w:style>
  <w:style w:type="paragraph" w:customStyle="1" w:styleId="123">
    <w:name w:val="xl14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4"/>
      <w:szCs w:val="24"/>
    </w:rPr>
  </w:style>
  <w:style w:type="paragraph" w:customStyle="1" w:styleId="124">
    <w:name w:val="xl14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仿宋_GB2312" w:hAnsi="宋体" w:eastAsia="仿宋_GB2312" w:cs="宋体"/>
      <w:b/>
      <w:bCs/>
      <w:color w:val="000000"/>
      <w:kern w:val="0"/>
      <w:sz w:val="24"/>
      <w:szCs w:val="24"/>
    </w:rPr>
  </w:style>
  <w:style w:type="paragraph" w:customStyle="1" w:styleId="125">
    <w:name w:val="xl14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4"/>
      <w:szCs w:val="24"/>
    </w:rPr>
  </w:style>
  <w:style w:type="paragraph" w:customStyle="1" w:styleId="126">
    <w:name w:val="xl14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仿宋_GB2312" w:hAnsi="宋体" w:eastAsia="仿宋_GB2312" w:cs="宋体"/>
      <w:b/>
      <w:bCs/>
      <w:color w:val="000000"/>
      <w:kern w:val="0"/>
      <w:sz w:val="24"/>
      <w:szCs w:val="24"/>
    </w:rPr>
  </w:style>
  <w:style w:type="paragraph" w:customStyle="1" w:styleId="127">
    <w:name w:val="xl144"/>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textAlignment w:val="center"/>
    </w:pPr>
    <w:rPr>
      <w:rFonts w:ascii="仿宋_GB2312" w:hAnsi="宋体" w:eastAsia="仿宋_GB2312" w:cs="宋体"/>
      <w:color w:val="000000"/>
      <w:kern w:val="0"/>
      <w:sz w:val="21"/>
      <w:szCs w:val="21"/>
    </w:rPr>
  </w:style>
  <w:style w:type="paragraph" w:customStyle="1" w:styleId="128">
    <w:name w:val="xl145"/>
    <w:basedOn w:val="1"/>
    <w:qFormat/>
    <w:uiPriority w:val="0"/>
    <w:pPr>
      <w:pBdr>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36"/>
      <w:szCs w:val="36"/>
    </w:rPr>
  </w:style>
  <w:style w:type="paragraph" w:customStyle="1" w:styleId="129">
    <w:name w:val="xl146"/>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36"/>
      <w:szCs w:val="36"/>
    </w:rPr>
  </w:style>
  <w:style w:type="paragraph" w:customStyle="1" w:styleId="130">
    <w:name w:val="xl147"/>
    <w:basedOn w:val="1"/>
    <w:qFormat/>
    <w:uiPriority w:val="0"/>
    <w:pPr>
      <w:pBdr>
        <w:top w:val="single" w:color="auto" w:sz="4" w:space="0"/>
        <w:left w:val="single" w:color="auto" w:sz="4" w:space="0"/>
        <w:bottom w:val="single" w:color="auto" w:sz="4" w:space="0"/>
      </w:pBdr>
      <w:spacing w:before="100" w:beforeAutospacing="1" w:after="100" w:afterAutospacing="1" w:line="240" w:lineRule="auto"/>
      <w:ind w:firstLine="0" w:firstLineChars="0"/>
      <w:textAlignment w:val="center"/>
    </w:pPr>
    <w:rPr>
      <w:rFonts w:ascii="宋体" w:hAnsi="宋体" w:eastAsia="宋体" w:cs="宋体"/>
      <w:b/>
      <w:bCs/>
      <w:kern w:val="0"/>
      <w:sz w:val="24"/>
      <w:szCs w:val="24"/>
    </w:rPr>
  </w:style>
  <w:style w:type="paragraph" w:customStyle="1" w:styleId="131">
    <w:name w:val="xl148"/>
    <w:basedOn w:val="1"/>
    <w:qFormat/>
    <w:uiPriority w:val="0"/>
    <w:pPr>
      <w:pBdr>
        <w:top w:val="single" w:color="auto" w:sz="4" w:space="0"/>
        <w:bottom w:val="single" w:color="auto" w:sz="4" w:space="0"/>
      </w:pBdr>
      <w:spacing w:before="100" w:beforeAutospacing="1" w:after="100" w:afterAutospacing="1" w:line="240" w:lineRule="auto"/>
      <w:ind w:firstLine="0" w:firstLineChars="0"/>
      <w:textAlignment w:val="center"/>
    </w:pPr>
    <w:rPr>
      <w:rFonts w:ascii="宋体" w:hAnsi="宋体" w:eastAsia="宋体" w:cs="宋体"/>
      <w:b/>
      <w:bCs/>
      <w:kern w:val="0"/>
      <w:sz w:val="24"/>
      <w:szCs w:val="24"/>
    </w:rPr>
  </w:style>
  <w:style w:type="paragraph" w:customStyle="1" w:styleId="132">
    <w:name w:val="xl149"/>
    <w:basedOn w:val="1"/>
    <w:qFormat/>
    <w:uiPriority w:val="0"/>
    <w:pPr>
      <w:pBdr>
        <w:top w:val="single" w:color="auto" w:sz="4" w:space="0"/>
        <w:bottom w:val="single" w:color="auto" w:sz="4" w:space="0"/>
        <w:right w:val="single" w:color="auto" w:sz="4" w:space="0"/>
      </w:pBdr>
      <w:spacing w:before="100" w:beforeAutospacing="1" w:after="100" w:afterAutospacing="1" w:line="240" w:lineRule="auto"/>
      <w:ind w:firstLine="0" w:firstLineChars="0"/>
      <w:textAlignment w:val="center"/>
    </w:pPr>
    <w:rPr>
      <w:rFonts w:ascii="宋体" w:hAnsi="宋体" w:eastAsia="宋体" w:cs="宋体"/>
      <w:b/>
      <w:bCs/>
      <w:kern w:val="0"/>
      <w:sz w:val="24"/>
      <w:szCs w:val="24"/>
    </w:rPr>
  </w:style>
  <w:style w:type="paragraph" w:customStyle="1" w:styleId="133">
    <w:name w:val="xl150"/>
    <w:basedOn w:val="1"/>
    <w:qFormat/>
    <w:uiPriority w:val="0"/>
    <w:pPr>
      <w:pBdr>
        <w:top w:val="single" w:color="auto" w:sz="4" w:space="0"/>
        <w:left w:val="single" w:color="auto" w:sz="4" w:space="0"/>
        <w:bottom w:val="single" w:color="auto" w:sz="4" w:space="0"/>
      </w:pBdr>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34">
    <w:name w:val="xl151"/>
    <w:basedOn w:val="1"/>
    <w:qFormat/>
    <w:uiPriority w:val="0"/>
    <w:pPr>
      <w:pBdr>
        <w:top w:val="single" w:color="auto" w:sz="4" w:space="0"/>
        <w:bottom w:val="single" w:color="auto" w:sz="4" w:space="0"/>
      </w:pBdr>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35">
    <w:name w:val="xl152"/>
    <w:basedOn w:val="1"/>
    <w:qFormat/>
    <w:uiPriority w:val="0"/>
    <w:pPr>
      <w:pBdr>
        <w:top w:val="single" w:color="auto" w:sz="4" w:space="0"/>
        <w:bottom w:val="single" w:color="auto" w:sz="4" w:space="0"/>
        <w:right w:val="single" w:color="auto" w:sz="4" w:space="0"/>
      </w:pBdr>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36">
    <w:name w:val="xl153"/>
    <w:basedOn w:val="1"/>
    <w:qFormat/>
    <w:uiPriority w:val="0"/>
    <w:pPr>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37">
    <w:name w:val="xl154"/>
    <w:basedOn w:val="1"/>
    <w:qFormat/>
    <w:uiPriority w:val="0"/>
    <w:pPr>
      <w:pBdr>
        <w:top w:val="single" w:color="auto" w:sz="4" w:space="0"/>
        <w:bottom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38">
    <w:name w:val="xl155"/>
    <w:basedOn w:val="1"/>
    <w:qFormat/>
    <w:uiPriority w:val="0"/>
    <w:pPr>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39">
    <w:name w:val="xl156"/>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40">
    <w:name w:val="xl157"/>
    <w:basedOn w:val="1"/>
    <w:qFormat/>
    <w:uiPriority w:val="0"/>
    <w:pPr>
      <w:pBdr>
        <w:top w:val="single" w:color="auto" w:sz="4" w:space="0"/>
        <w:bottom w:val="single" w:color="auto" w:sz="4" w:space="0"/>
      </w:pBdr>
      <w:shd w:val="clear" w:color="000000" w:fill="FFFFFF"/>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41">
    <w:name w:val="xl158"/>
    <w:basedOn w:val="1"/>
    <w:qFormat/>
    <w:uiPriority w:val="0"/>
    <w:pPr>
      <w:pBdr>
        <w:top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42">
    <w:name w:val="xl159"/>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仿宋_GB2312" w:hAnsi="宋体" w:eastAsia="仿宋_GB2312" w:cs="宋体"/>
      <w:b/>
      <w:bCs/>
      <w:color w:val="000000"/>
      <w:kern w:val="0"/>
      <w:sz w:val="24"/>
      <w:szCs w:val="24"/>
    </w:rPr>
  </w:style>
  <w:style w:type="paragraph" w:customStyle="1" w:styleId="143">
    <w:name w:val="二级标题"/>
    <w:basedOn w:val="1"/>
    <w:link w:val="145"/>
    <w:qFormat/>
    <w:uiPriority w:val="0"/>
    <w:pPr>
      <w:keepNext/>
      <w:keepLines/>
      <w:widowControl w:val="0"/>
      <w:numPr>
        <w:ilvl w:val="1"/>
        <w:numId w:val="1"/>
      </w:numPr>
      <w:adjustRightInd w:val="0"/>
      <w:snapToGrid w:val="0"/>
      <w:spacing w:line="560" w:lineRule="exact"/>
      <w:ind w:firstLineChars="0"/>
      <w:outlineLvl w:val="1"/>
    </w:pPr>
    <w:rPr>
      <w:rFonts w:ascii="黑体" w:hAnsi="黑体" w:eastAsia="楷体" w:cs="华文中宋"/>
      <w:bCs/>
      <w:sz w:val="32"/>
      <w:szCs w:val="30"/>
      <w:lang w:val="zh-CN"/>
    </w:rPr>
  </w:style>
  <w:style w:type="paragraph" w:customStyle="1" w:styleId="144">
    <w:name w:val="三级标题"/>
    <w:basedOn w:val="143"/>
    <w:link w:val="147"/>
    <w:qFormat/>
    <w:uiPriority w:val="0"/>
    <w:pPr>
      <w:numPr>
        <w:ilvl w:val="2"/>
      </w:numPr>
      <w:outlineLvl w:val="2"/>
    </w:pPr>
    <w:rPr>
      <w:rFonts w:ascii="仿宋" w:hAnsi="仿宋" w:eastAsia="仿宋"/>
    </w:rPr>
  </w:style>
  <w:style w:type="character" w:customStyle="1" w:styleId="145">
    <w:name w:val="二级标题 字符"/>
    <w:basedOn w:val="30"/>
    <w:link w:val="143"/>
    <w:qFormat/>
    <w:uiPriority w:val="0"/>
    <w:rPr>
      <w:rFonts w:ascii="黑体" w:hAnsi="黑体" w:eastAsia="楷体" w:cs="华文中宋"/>
      <w:bCs/>
      <w:kern w:val="2"/>
      <w:sz w:val="32"/>
      <w:szCs w:val="30"/>
      <w:lang w:val="zh-CN"/>
    </w:rPr>
  </w:style>
  <w:style w:type="paragraph" w:customStyle="1" w:styleId="146">
    <w:name w:val="表号"/>
    <w:basedOn w:val="7"/>
    <w:link w:val="149"/>
    <w:qFormat/>
    <w:uiPriority w:val="0"/>
    <w:pPr>
      <w:keepNext/>
      <w:adjustRightInd w:val="0"/>
      <w:spacing w:line="240" w:lineRule="auto"/>
      <w:outlineLvl w:val="3"/>
    </w:pPr>
    <w:rPr>
      <w:rFonts w:ascii="黑体" w:hAnsi="黑体" w:eastAsia="黑体"/>
      <w:b w:val="0"/>
      <w:sz w:val="32"/>
    </w:rPr>
  </w:style>
  <w:style w:type="character" w:customStyle="1" w:styleId="147">
    <w:name w:val="三级标题 字符"/>
    <w:basedOn w:val="145"/>
    <w:link w:val="144"/>
    <w:qFormat/>
    <w:uiPriority w:val="0"/>
    <w:rPr>
      <w:rFonts w:ascii="仿宋" w:hAnsi="仿宋" w:eastAsia="仿宋" w:cs="华文中宋"/>
      <w:kern w:val="2"/>
      <w:sz w:val="32"/>
      <w:szCs w:val="30"/>
      <w:lang w:val="zh-CN"/>
    </w:rPr>
  </w:style>
  <w:style w:type="paragraph" w:customStyle="1" w:styleId="148">
    <w:name w:val="图号"/>
    <w:basedOn w:val="1"/>
    <w:link w:val="150"/>
    <w:qFormat/>
    <w:uiPriority w:val="0"/>
    <w:pPr>
      <w:widowControl w:val="0"/>
      <w:adjustRightInd w:val="0"/>
      <w:snapToGrid w:val="0"/>
      <w:spacing w:line="240" w:lineRule="auto"/>
      <w:ind w:firstLine="0" w:firstLineChars="0"/>
      <w:jc w:val="center"/>
      <w:outlineLvl w:val="3"/>
    </w:pPr>
    <w:rPr>
      <w:rFonts w:ascii="黑体" w:hAnsi="黑体" w:eastAsia="黑体"/>
      <w:sz w:val="32"/>
      <w:szCs w:val="32"/>
    </w:rPr>
  </w:style>
  <w:style w:type="character" w:customStyle="1" w:styleId="149">
    <w:name w:val="表号 字符"/>
    <w:basedOn w:val="40"/>
    <w:link w:val="146"/>
    <w:qFormat/>
    <w:uiPriority w:val="0"/>
    <w:rPr>
      <w:rFonts w:ascii="黑体" w:hAnsi="黑体" w:eastAsia="黑体" w:cs="Arial"/>
      <w:b w:val="0"/>
      <w:kern w:val="2"/>
      <w:sz w:val="32"/>
    </w:rPr>
  </w:style>
  <w:style w:type="character" w:customStyle="1" w:styleId="150">
    <w:name w:val="图号 字符"/>
    <w:basedOn w:val="30"/>
    <w:link w:val="148"/>
    <w:qFormat/>
    <w:uiPriority w:val="0"/>
    <w:rPr>
      <w:rFonts w:ascii="黑体" w:hAnsi="黑体" w:eastAsia="黑体"/>
      <w:kern w:val="2"/>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numbering" Target="numbering.xml"/><Relationship Id="rId31" Type="http://schemas.openxmlformats.org/officeDocument/2006/relationships/image" Target="media/image15.jpeg"/><Relationship Id="rId30" Type="http://schemas.openxmlformats.org/officeDocument/2006/relationships/image" Target="media/image14.jpeg"/><Relationship Id="rId3" Type="http://schemas.openxmlformats.org/officeDocument/2006/relationships/footnotes" Target="footnotes.xml"/><Relationship Id="rId29" Type="http://schemas.openxmlformats.org/officeDocument/2006/relationships/image" Target="media/image13.jpeg"/><Relationship Id="rId28" Type="http://schemas.openxmlformats.org/officeDocument/2006/relationships/image" Target="media/image12.jpeg"/><Relationship Id="rId27" Type="http://schemas.openxmlformats.org/officeDocument/2006/relationships/image" Target="media/image11.jpeg"/><Relationship Id="rId26" Type="http://schemas.openxmlformats.org/officeDocument/2006/relationships/image" Target="media/image10.jpeg"/><Relationship Id="rId25" Type="http://schemas.openxmlformats.org/officeDocument/2006/relationships/image" Target="media/image9.jpeg"/><Relationship Id="rId24" Type="http://schemas.openxmlformats.org/officeDocument/2006/relationships/image" Target="media/image8.jpeg"/><Relationship Id="rId23" Type="http://schemas.openxmlformats.org/officeDocument/2006/relationships/image" Target="media/image7.jpeg"/><Relationship Id="rId22" Type="http://schemas.openxmlformats.org/officeDocument/2006/relationships/image" Target="media/image6.jpeg"/><Relationship Id="rId21" Type="http://schemas.openxmlformats.org/officeDocument/2006/relationships/image" Target="media/image5.jpeg"/><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9C088E-3C3B-4944-A73F-E29B89AE9FB3}">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70</Pages>
  <Words>4619</Words>
  <Characters>26329</Characters>
  <Lines>219</Lines>
  <Paragraphs>61</Paragraphs>
  <TotalTime>41</TotalTime>
  <ScaleCrop>false</ScaleCrop>
  <LinksUpToDate>false</LinksUpToDate>
  <CharactersWithSpaces>30887</CharactersWithSpaces>
  <Application>WPS Office_11.8.2.11716_F1E327BC-269C-435d-A152-05C5408002CA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2023-05-17T08:00:00Z</dcterms:created>
  <dc:creator>xtzj</dc:creator>
  <cp:lastModifiedBy>杨蕊</cp:lastModifiedBy>
  <cp:lastPrinted>2023-06-26T06:31:00Z</cp:lastPrinted>
  <dcterms:modified xsi:type="dcterms:W3CDTF">2024-06-06T03:31:51Z</dcterms:modified>
  <cp:revision>73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2052-11.8.2.11716</vt:lpwstr>
  </property>
  <property fmtid="{D5CDD505-2E9C-101B-9397-08002B2CF9AE}" pid="3" name="ICV">
    <vt:lpwstr>8D12128A37294677AA6CE547B5E6D233</vt:lpwstr>
  </property>
</Properties>
</file>