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outlineLvl w:val="9"/>
        <w:rPr>
          <w:rFonts w:hint="eastAsia" w:ascii="仿宋_GB2312" w:hAnsi="仿宋_GB2312" w:eastAsia="黑体" w:cs="仿宋_GB2312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lang w:val="en-US" w:eastAsia="zh-CN"/>
        </w:rPr>
        <w:t>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个人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  <w:t>综合能力赛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  <w:lang w:val="en-US" w:eastAsia="zh-CN"/>
        </w:rPr>
        <w:t>精品课展示</w:t>
      </w: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highlight w:val="none"/>
        </w:rPr>
        <w:t>评分标准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48" w:firstLineChars="192"/>
        <w:textAlignment w:val="auto"/>
        <w:outlineLvl w:val="9"/>
        <w:rPr>
          <w:rFonts w:hint="default" w:ascii="Times New Roman" w:hAnsi="Times New Roman" w:cs="Times New Roman"/>
          <w:b/>
          <w:bCs/>
          <w:color w:val="000000"/>
          <w:sz w:val="44"/>
          <w:szCs w:val="44"/>
          <w:highlight w:val="none"/>
        </w:rPr>
      </w:pPr>
    </w:p>
    <w:tbl>
      <w:tblPr>
        <w:tblStyle w:val="5"/>
        <w:tblW w:w="95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7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firstLine="131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评分模块</w:t>
            </w:r>
          </w:p>
        </w:tc>
        <w:tc>
          <w:tcPr>
            <w:tcW w:w="7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firstLine="131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sz w:val="28"/>
                <w:szCs w:val="28"/>
                <w:highlight w:val="none"/>
                <w:lang w:val="en-US" w:eastAsia="zh-CN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1" w:hRule="atLeast"/>
        </w:trPr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课程设计（70分）</w:t>
            </w:r>
          </w:p>
        </w:tc>
        <w:tc>
          <w:tcPr>
            <w:tcW w:w="7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课题对应的课程内容理解准确（7分）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教学目标准确明晰，内容要点完整全面（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理论知识阐述准确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内容拓展合理恰当（10分）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关注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授课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知识与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实践/网创实操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能力与时俱进（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结构完整，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逻辑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清晰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教学重点难点突出（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有效回顾、强化，关注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教材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关联性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(SYB十步/网创八步）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教学中的案例使用恰当（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教学方法技巧选择合理，运用自如（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视觉教具使用规范，契合教学设计（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设计有创新（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15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现场展现（30分）</w:t>
            </w:r>
          </w:p>
        </w:tc>
        <w:tc>
          <w:tcPr>
            <w:tcW w:w="7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语言表达流畅、准确（5分）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语调语速停顿恰当（5分）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非语言表达运用恰当（5分）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仪表端庄、教态自然、举止得体（5分）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具备授课感染力，课堂气氛活跃（5分）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  <w:t>教学时间分配合理，控制精准（5分）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5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firstLine="13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分值合计</w:t>
            </w:r>
          </w:p>
        </w:tc>
        <w:tc>
          <w:tcPr>
            <w:tcW w:w="79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80" w:lineRule="exact"/>
              <w:ind w:firstLine="13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/>
                <w:sz w:val="28"/>
                <w:szCs w:val="28"/>
                <w:highlight w:val="none"/>
              </w:rPr>
              <w:t>100分</w:t>
            </w:r>
          </w:p>
        </w:tc>
      </w:tr>
    </w:tbl>
    <w:p>
      <w:pPr>
        <w:ind w:left="843" w:hanging="843" w:hangingChars="300"/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说明：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各评分模块分数应保留至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  <w:t>少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有效小数点后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位，评委平均分保留至有效小数点后两位。</w:t>
      </w: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2C1A3752"/>
    <w:rsid w:val="2C1A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60" w:lineRule="exact"/>
      <w:ind w:firstLine="721" w:firstLineChars="200"/>
    </w:pPr>
    <w:rPr>
      <w:rFonts w:eastAsia="仿宋_GB2312"/>
      <w:sz w:val="32"/>
    </w:rPr>
  </w:style>
  <w:style w:type="paragraph" w:styleId="3">
    <w:name w:val="Body Text"/>
    <w:basedOn w:val="1"/>
    <w:next w:val="4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2024-05-09T01:07:00Z</dcterms:created>
  <dc:creator>邓奔戈</dc:creator>
  <cp:lastModifiedBy>邓奔戈</cp:lastModifiedBy>
  <dcterms:modified xsi:type="dcterms:W3CDTF">2024-05-09T01:07:50Z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17838C67E61F4AECA3AA5223D761CC13_11</vt:lpwstr>
  </property>
</Properties>
</file>