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ind w:left="0" w:leftChars="0" w:firstLine="0" w:firstLineChars="0"/>
        <w:rPr>
          <w:rFonts w:hint="default"/>
          <w:lang w:val="en-US" w:eastAsia="zh-CN"/>
        </w:rPr>
      </w:pPr>
      <w:bookmarkStart w:id="0" w:name="_GoBack"/>
      <w:bookmarkEnd w:id="0"/>
      <w:r>
        <w:rPr>
          <w:rFonts w:hint="eastAsia"/>
          <w:lang w:val="en-US" w:eastAsia="zh-CN"/>
        </w:rPr>
        <w:t>附件1</w:t>
      </w:r>
    </w:p>
    <w:p>
      <w:pPr>
        <w:pStyle w:val="10"/>
        <w:bidi w:val="0"/>
        <w:ind w:firstLine="640" w:firstLineChars="200"/>
        <w:rPr>
          <w:rFonts w:hint="eastAsia"/>
          <w:lang w:eastAsia="zh-CN"/>
        </w:rPr>
      </w:pPr>
    </w:p>
    <w:p>
      <w:pPr>
        <w:pStyle w:val="4"/>
        <w:bidi w:val="0"/>
        <w:rPr>
          <w:rFonts w:hint="eastAsia"/>
        </w:rPr>
      </w:pPr>
      <w:r>
        <w:rPr>
          <w:rFonts w:hint="eastAsia"/>
          <w:lang w:eastAsia="zh-CN"/>
        </w:rPr>
        <w:t>关于做好</w:t>
      </w:r>
      <w:r>
        <w:rPr>
          <w:rFonts w:hint="eastAsia"/>
        </w:rPr>
        <w:t>义务教育阶段</w:t>
      </w:r>
      <w:r>
        <w:rPr>
          <w:rFonts w:hint="eastAsia"/>
          <w:lang w:eastAsia="zh-CN"/>
        </w:rPr>
        <w:t>校内</w:t>
      </w:r>
      <w:r>
        <w:rPr>
          <w:rFonts w:hint="eastAsia"/>
        </w:rPr>
        <w:t>课后服务</w:t>
      </w:r>
    </w:p>
    <w:p>
      <w:pPr>
        <w:pStyle w:val="4"/>
        <w:bidi w:val="0"/>
        <w:rPr>
          <w:rFonts w:hint="eastAsia"/>
          <w:lang w:eastAsia="zh-CN"/>
        </w:rPr>
      </w:pPr>
      <w:r>
        <w:rPr>
          <w:rFonts w:hint="eastAsia"/>
          <w:lang w:eastAsia="zh-CN"/>
        </w:rPr>
        <w:t>收费及</w:t>
      </w:r>
      <w:r>
        <w:rPr>
          <w:rFonts w:hint="eastAsia"/>
        </w:rPr>
        <w:t>经费保障工作</w:t>
      </w:r>
      <w:r>
        <w:rPr>
          <w:rFonts w:hint="eastAsia"/>
          <w:lang w:eastAsia="zh-CN"/>
        </w:rPr>
        <w:t>的通知</w:t>
      </w:r>
    </w:p>
    <w:p>
      <w:pPr>
        <w:pStyle w:val="8"/>
        <w:bidi w:val="0"/>
        <w:rPr>
          <w:rFonts w:hint="eastAsia" w:ascii="楷体_GB2312" w:hAnsi="楷体_GB2312" w:eastAsia="楷体_GB2312" w:cs="楷体_GB2312"/>
          <w:lang w:eastAsia="zh-CN"/>
        </w:rPr>
      </w:pPr>
      <w:r>
        <w:rPr>
          <w:rFonts w:hint="eastAsia" w:ascii="楷体_GB2312" w:hAnsi="楷体_GB2312" w:eastAsia="楷体_GB2312" w:cs="楷体_GB2312"/>
          <w:lang w:eastAsia="zh-CN"/>
        </w:rPr>
        <w:t>（征求意见稿）</w:t>
      </w:r>
    </w:p>
    <w:p>
      <w:pPr>
        <w:pStyle w:val="10"/>
        <w:bidi w:val="0"/>
        <w:ind w:firstLine="640" w:firstLineChars="200"/>
        <w:rPr>
          <w:rFonts w:hint="eastAsia"/>
          <w:lang w:val="en-US" w:eastAsia="zh-CN"/>
        </w:rPr>
      </w:pPr>
    </w:p>
    <w:p>
      <w:pPr>
        <w:pStyle w:val="10"/>
        <w:bidi w:val="0"/>
        <w:ind w:left="0" w:leftChars="0" w:firstLine="0" w:firstLineChars="0"/>
        <w:rPr>
          <w:rFonts w:hint="default"/>
          <w:lang w:val="en-US" w:eastAsia="zh-CN"/>
        </w:rPr>
      </w:pPr>
      <w:r>
        <w:rPr>
          <w:rFonts w:hint="eastAsia"/>
          <w:lang w:val="en-US" w:eastAsia="zh-CN"/>
        </w:rPr>
        <w:t>各县（市、区）发改局、教育局、财政局、人社局</w:t>
      </w:r>
      <w:r>
        <w:rPr>
          <w:rFonts w:hint="eastAsia"/>
          <w:lang w:val="en-GB" w:eastAsia="zh-CN"/>
        </w:rPr>
        <w:t>，</w:t>
      </w:r>
      <w:r>
        <w:rPr>
          <w:rFonts w:hint="eastAsia"/>
          <w:lang w:val="en-US" w:eastAsia="zh-CN"/>
        </w:rPr>
        <w:t>市直属有关学校：</w:t>
      </w:r>
    </w:p>
    <w:p>
      <w:pPr>
        <w:pStyle w:val="10"/>
        <w:bidi w:val="0"/>
        <w:ind w:firstLine="640" w:firstLineChars="200"/>
        <w:rPr>
          <w:rFonts w:hint="eastAsia"/>
          <w:lang w:val="en-US" w:eastAsia="zh-CN"/>
        </w:rPr>
      </w:pPr>
      <w:r>
        <w:rPr>
          <w:rFonts w:hint="eastAsia"/>
          <w:lang w:val="en-US" w:eastAsia="zh-CN"/>
        </w:rPr>
        <w:t>为全面提升义务教育学校课后服务水平，</w:t>
      </w:r>
      <w:r>
        <w:rPr>
          <w:rFonts w:hint="eastAsia"/>
          <w:lang w:eastAsia="zh-CN"/>
        </w:rPr>
        <w:t>建立</w:t>
      </w:r>
      <w:r>
        <w:rPr>
          <w:rFonts w:hint="eastAsia"/>
          <w:lang w:val="en-US" w:eastAsia="zh-CN"/>
        </w:rPr>
        <w:t>和</w:t>
      </w:r>
      <w:r>
        <w:rPr>
          <w:rFonts w:hint="eastAsia"/>
          <w:lang w:eastAsia="zh-CN"/>
        </w:rPr>
        <w:t>完善课后服务收费</w:t>
      </w:r>
      <w:r>
        <w:rPr>
          <w:rFonts w:hint="eastAsia"/>
          <w:lang w:val="en-US" w:eastAsia="zh-CN"/>
        </w:rPr>
        <w:t>及</w:t>
      </w:r>
      <w:r>
        <w:rPr>
          <w:rFonts w:hint="eastAsia"/>
          <w:lang w:eastAsia="zh-CN"/>
        </w:rPr>
        <w:t>经费保障机制，</w:t>
      </w:r>
      <w:r>
        <w:rPr>
          <w:rFonts w:hint="eastAsia"/>
          <w:lang w:val="en-US" w:eastAsia="zh-CN"/>
        </w:rPr>
        <w:t>规范校内</w:t>
      </w:r>
      <w:r>
        <w:rPr>
          <w:rFonts w:hint="eastAsia"/>
          <w:lang w:eastAsia="zh-CN"/>
        </w:rPr>
        <w:t>课后服务收费</w:t>
      </w:r>
      <w:r>
        <w:rPr>
          <w:rFonts w:hint="eastAsia"/>
          <w:lang w:val="en-US" w:eastAsia="zh-CN"/>
        </w:rPr>
        <w:t>管理，</w:t>
      </w:r>
      <w:r>
        <w:rPr>
          <w:rFonts w:hint="eastAsia"/>
          <w:lang w:eastAsia="zh-CN"/>
        </w:rPr>
        <w:t>根据中共中央办公厅、国务院办公厅《关于进一步减轻义务教育阶段学生作业负担和校外培训负担的意见》、广东省教育厅</w:t>
      </w:r>
      <w:r>
        <w:rPr>
          <w:rFonts w:hint="eastAsia"/>
          <w:lang w:val="en-US" w:eastAsia="zh-CN"/>
        </w:rPr>
        <w:t>等</w:t>
      </w:r>
      <w:r>
        <w:rPr>
          <w:rFonts w:hint="eastAsia"/>
          <w:lang w:eastAsia="zh-CN"/>
        </w:rPr>
        <w:t>四部门《关于做好义务教育阶段课后服务收费及经费保障工作的通知 》（粤教基〔2022〕18号）、《广东省教育厅 广东省发展改革委关于进一步规范义务教育校内课后服务管理工作的通知》（粤教基函〔2023〕30号）等精神，</w:t>
      </w:r>
      <w:r>
        <w:rPr>
          <w:rFonts w:hint="eastAsia"/>
          <w:lang w:val="en-US" w:eastAsia="zh-CN"/>
        </w:rPr>
        <w:t>经市人民政府同意</w:t>
      </w:r>
      <w:r>
        <w:rPr>
          <w:rFonts w:hint="eastAsia"/>
          <w:lang w:eastAsia="zh-CN"/>
        </w:rPr>
        <w:t>，</w:t>
      </w:r>
      <w:r>
        <w:rPr>
          <w:rFonts w:hint="eastAsia"/>
          <w:lang w:val="en-US" w:eastAsia="zh-CN"/>
        </w:rPr>
        <w:t>现就我市义务教育阶段校内课后服务收费和经费保障有关事项通知如下：</w:t>
      </w:r>
    </w:p>
    <w:p>
      <w:pPr>
        <w:pStyle w:val="5"/>
        <w:bidi w:val="0"/>
        <w:rPr>
          <w:rFonts w:hint="eastAsia"/>
          <w:lang w:val="en-US" w:eastAsia="zh-CN"/>
        </w:rPr>
      </w:pPr>
      <w:r>
        <w:rPr>
          <w:rFonts w:hint="eastAsia"/>
          <w:lang w:val="en-US" w:eastAsia="zh-CN"/>
        </w:rPr>
        <w:t>一、基本原则</w:t>
      </w:r>
    </w:p>
    <w:p>
      <w:pPr>
        <w:pStyle w:val="10"/>
        <w:bidi w:val="0"/>
        <w:ind w:firstLine="640" w:firstLineChars="200"/>
        <w:rPr>
          <w:rFonts w:hint="default"/>
          <w:lang w:val="en-US" w:eastAsia="zh-CN"/>
        </w:rPr>
      </w:pPr>
      <w:r>
        <w:rPr>
          <w:rFonts w:hint="eastAsia"/>
          <w:lang w:val="en-US" w:eastAsia="zh-CN"/>
        </w:rPr>
        <w:t>坚持以人民为中心，强化学校育人主阵地，进一步发挥学校主渠道作用，坚持政府主导、学校主体、内外协同、因地制宜，全面规范校内课后服务管理工作，确保校内课后服务有序保质开展。</w:t>
      </w:r>
    </w:p>
    <w:p>
      <w:pPr>
        <w:pStyle w:val="10"/>
        <w:bidi w:val="0"/>
        <w:ind w:firstLine="640" w:firstLineChars="200"/>
        <w:rPr>
          <w:rFonts w:hint="eastAsia"/>
          <w:lang w:val="en-US" w:eastAsia="zh-CN"/>
        </w:rPr>
      </w:pPr>
      <w:r>
        <w:rPr>
          <w:rStyle w:val="17"/>
          <w:rFonts w:hint="eastAsia"/>
          <w:lang w:val="en-US" w:eastAsia="zh-CN"/>
        </w:rPr>
        <w:t>（一）属地管理原则。</w:t>
      </w:r>
      <w:r>
        <w:rPr>
          <w:rFonts w:hint="eastAsia"/>
          <w:lang w:val="en-US" w:eastAsia="zh-CN"/>
        </w:rPr>
        <w:t>市、县（市、区）政府是本行政区域内所辖义务教育学校课后服务工作的责任主体，统筹管理本区域所属学校课后服务收费和经费保障工作。其中，市属辖区（浈江区、武江区）校内课后服务收费政策由市级制定；各县（市、区）在不高于市定标准上限范围内，结合实际制定本地校内课后服务收费政策。属地教育主管部门承担课后服务的管理职责，负责与有关部门沟通协调，共同做好课后服务经费保障工作。</w:t>
      </w:r>
    </w:p>
    <w:p>
      <w:pPr>
        <w:pStyle w:val="10"/>
        <w:bidi w:val="0"/>
        <w:ind w:firstLine="640" w:firstLineChars="200"/>
        <w:rPr>
          <w:rFonts w:hint="eastAsia"/>
          <w:lang w:val="en-US" w:eastAsia="zh-CN"/>
        </w:rPr>
      </w:pPr>
      <w:r>
        <w:rPr>
          <w:rStyle w:val="17"/>
          <w:rFonts w:hint="eastAsia"/>
          <w:lang w:val="en-US" w:eastAsia="zh-CN"/>
        </w:rPr>
        <w:t>（二）公益非营利原则。</w:t>
      </w:r>
      <w:r>
        <w:rPr>
          <w:rFonts w:hint="eastAsia"/>
          <w:lang w:val="en-US" w:eastAsia="zh-CN"/>
        </w:rPr>
        <w:t>学校课后服务坚持公益非营利原则，所需经费通过财政补贴和收取服务性收费、代收费相结合的方式解决。对经济困难家庭学生参加课后服务，应参照学生资助政策给予减免。</w:t>
      </w:r>
    </w:p>
    <w:p>
      <w:pPr>
        <w:pStyle w:val="10"/>
        <w:bidi w:val="0"/>
        <w:ind w:firstLine="640" w:firstLineChars="200"/>
        <w:rPr>
          <w:rFonts w:hint="eastAsia"/>
          <w:lang w:val="en-US" w:eastAsia="zh-CN"/>
        </w:rPr>
      </w:pPr>
      <w:r>
        <w:rPr>
          <w:rStyle w:val="17"/>
          <w:rFonts w:hint="eastAsia"/>
          <w:lang w:val="en-US" w:eastAsia="zh-CN"/>
        </w:rPr>
        <w:t>（三）自愿参与原则。</w:t>
      </w:r>
      <w:r>
        <w:rPr>
          <w:rFonts w:hint="eastAsia"/>
          <w:lang w:val="en-US" w:eastAsia="zh-CN"/>
        </w:rPr>
        <w:t>学校在提供课后服务时，应提前公示服务内容、时间、收费标准，由学生家长自愿选择服务项目。严禁以任何形式诱导、强制或变相强制学生参加课后服务。</w:t>
      </w:r>
    </w:p>
    <w:p>
      <w:pPr>
        <w:pStyle w:val="10"/>
        <w:bidi w:val="0"/>
        <w:ind w:firstLine="640" w:firstLineChars="200"/>
        <w:rPr>
          <w:rFonts w:hint="default"/>
          <w:lang w:eastAsia="zh-CN"/>
        </w:rPr>
      </w:pPr>
      <w:r>
        <w:rPr>
          <w:rStyle w:val="17"/>
          <w:rFonts w:hint="default"/>
          <w:lang w:val="en-US" w:eastAsia="zh-CN"/>
        </w:rPr>
        <w:t>（四）合理补偿原则。</w:t>
      </w:r>
      <w:r>
        <w:rPr>
          <w:rFonts w:hint="default"/>
          <w:lang w:val="en-US" w:eastAsia="zh-CN"/>
        </w:rPr>
        <w:t>为</w:t>
      </w:r>
      <w:r>
        <w:rPr>
          <w:rFonts w:hint="default"/>
          <w:lang w:eastAsia="zh-CN"/>
        </w:rPr>
        <w:t>充分调动教师参与</w:t>
      </w:r>
      <w:r>
        <w:rPr>
          <w:rFonts w:hint="eastAsia"/>
          <w:lang w:eastAsia="zh-CN"/>
        </w:rPr>
        <w:t>校内</w:t>
      </w:r>
      <w:r>
        <w:rPr>
          <w:rFonts w:hint="default"/>
          <w:lang w:eastAsia="zh-CN"/>
        </w:rPr>
        <w:t>课后服务</w:t>
      </w:r>
      <w:r>
        <w:rPr>
          <w:rFonts w:hint="default"/>
          <w:lang w:val="en-US" w:eastAsia="zh-CN"/>
        </w:rPr>
        <w:t>工作</w:t>
      </w:r>
      <w:r>
        <w:rPr>
          <w:rFonts w:hint="default"/>
          <w:lang w:eastAsia="zh-CN"/>
        </w:rPr>
        <w:t>的积极性，体现教师的劳动价值，</w:t>
      </w:r>
      <w:r>
        <w:rPr>
          <w:rFonts w:hint="default"/>
          <w:lang w:val="en-US" w:eastAsia="zh-CN"/>
        </w:rPr>
        <w:t>允许</w:t>
      </w:r>
      <w:r>
        <w:rPr>
          <w:rFonts w:hint="default"/>
          <w:lang w:eastAsia="zh-CN"/>
        </w:rPr>
        <w:t>参与校内课后服务的教师按服务项目予以一定的经济补偿。</w:t>
      </w:r>
    </w:p>
    <w:p>
      <w:pPr>
        <w:pStyle w:val="5"/>
        <w:bidi w:val="0"/>
        <w:rPr>
          <w:rFonts w:hint="eastAsia"/>
          <w:lang w:val="en-US" w:eastAsia="zh-CN"/>
        </w:rPr>
      </w:pPr>
      <w:r>
        <w:rPr>
          <w:rFonts w:hint="eastAsia"/>
          <w:lang w:val="en-US" w:eastAsia="zh-CN"/>
        </w:rPr>
        <w:t>二、服务时间和内容</w:t>
      </w:r>
    </w:p>
    <w:p>
      <w:pPr>
        <w:pStyle w:val="10"/>
        <w:bidi w:val="0"/>
        <w:ind w:firstLine="640" w:firstLineChars="200"/>
        <w:rPr>
          <w:rFonts w:hint="eastAsia"/>
          <w:lang w:val="en-US" w:eastAsia="zh-CN"/>
        </w:rPr>
      </w:pPr>
      <w:r>
        <w:rPr>
          <w:rStyle w:val="17"/>
          <w:rFonts w:hint="eastAsia"/>
          <w:lang w:val="en-US" w:eastAsia="zh-CN"/>
        </w:rPr>
        <w:t>（一）服务时间。</w:t>
      </w:r>
      <w:r>
        <w:rPr>
          <w:rFonts w:hint="eastAsia"/>
          <w:lang w:val="en-US" w:eastAsia="zh-CN"/>
        </w:rPr>
        <w:t>推行课后服务“5+2”模式，即学校每周5天都要开展课后服务，下午课后服务每天至少开展2个课时，课后服务结束时间原则上不早于当地正常下班时间。对有特殊需要的学生，学校应提供延时托管服务。</w:t>
      </w:r>
    </w:p>
    <w:p>
      <w:pPr>
        <w:pStyle w:val="10"/>
        <w:bidi w:val="0"/>
        <w:ind w:firstLine="640" w:firstLineChars="200"/>
        <w:rPr>
          <w:rFonts w:hint="eastAsia"/>
          <w:lang w:val="en-US" w:eastAsia="zh-CN"/>
        </w:rPr>
      </w:pPr>
      <w:r>
        <w:rPr>
          <w:rStyle w:val="17"/>
          <w:rFonts w:hint="eastAsia"/>
          <w:lang w:val="en-US" w:eastAsia="zh-CN"/>
        </w:rPr>
        <w:t>（二）服务内容。</w:t>
      </w:r>
      <w:r>
        <w:rPr>
          <w:rFonts w:hint="eastAsia"/>
          <w:lang w:val="en-US" w:eastAsia="zh-CN"/>
        </w:rPr>
        <w:t>各校要积极承担学生课后服务的主体责任，坚持以基本托管为主，课后兴趣类拓展课程为补充。基本托管服务包括学生自主作业、自主学习、自主阅读、教师答疑等学习活动，每天不少于1个课时，由学校提供为主；课后兴趣类拓展课程以学校提供为主，主要包括体育、文艺、劳动、科普等活动，确实无法提供的，可通过引进第三方机构补充。学校应努力满足学生的不同需求，切实增强课后服务的吸引力和有效性，严禁将课后服务变相为集体补课或教学。</w:t>
      </w:r>
    </w:p>
    <w:p>
      <w:pPr>
        <w:pStyle w:val="10"/>
        <w:bidi w:val="0"/>
        <w:ind w:firstLine="640" w:firstLineChars="200"/>
        <w:rPr>
          <w:rFonts w:hint="default"/>
          <w:lang w:val="en-US" w:eastAsia="zh-CN"/>
        </w:rPr>
      </w:pPr>
      <w:r>
        <w:rPr>
          <w:rFonts w:hint="eastAsia"/>
          <w:lang w:val="en-US" w:eastAsia="zh-CN"/>
        </w:rPr>
        <w:t>校内课后服务的课程原则上以本校教职工为主要力量开展，也可聘请退休教师、具备资质的社会专业人员或志愿者参与，严禁不符合条件的人员进入学校提供课后服务。本校教师可承担的课程，原则上不得引进第三方机构代为提供师资服务。本校开展的活动不能满足部分学生发展兴趣特长等特殊需要的，可引进非学科类校外培训机构参与。非学科类校外培训机构提供的课后服务时间，按周计算，原则上不能超过本周课后服务总长的三分之一。</w:t>
      </w:r>
    </w:p>
    <w:p>
      <w:pPr>
        <w:pStyle w:val="5"/>
        <w:bidi w:val="0"/>
        <w:rPr>
          <w:rFonts w:hint="default"/>
          <w:lang w:val="en-US" w:eastAsia="zh-CN"/>
        </w:rPr>
      </w:pPr>
      <w:r>
        <w:rPr>
          <w:rFonts w:hint="eastAsia"/>
          <w:lang w:val="en-US" w:eastAsia="zh-CN"/>
        </w:rPr>
        <w:t>三、经费保障及收费管理</w:t>
      </w:r>
    </w:p>
    <w:p>
      <w:pPr>
        <w:pStyle w:val="10"/>
        <w:bidi w:val="0"/>
        <w:ind w:firstLine="640" w:firstLineChars="200"/>
        <w:rPr>
          <w:rFonts w:hint="eastAsia"/>
          <w:lang w:val="en-US" w:eastAsia="zh-CN"/>
        </w:rPr>
      </w:pPr>
      <w:r>
        <w:rPr>
          <w:rStyle w:val="17"/>
          <w:rFonts w:hint="eastAsia"/>
          <w:lang w:val="en-US" w:eastAsia="zh-CN"/>
        </w:rPr>
        <w:t>（一）经费保障。</w:t>
      </w:r>
      <w:r>
        <w:rPr>
          <w:rFonts w:hint="eastAsia"/>
          <w:lang w:val="en-US" w:eastAsia="zh-CN"/>
        </w:rPr>
        <w:t>各地可通过采取财政补贴、服务性收费或代收费等方式筹措经费。各地教育行政部门要结合当地实际，主动与财政部门联系，落实学校课后服务财政补助，并建立动态调整机制。各地要优先将农村地区纳入财政保障范围。</w:t>
      </w:r>
    </w:p>
    <w:p>
      <w:pPr>
        <w:pStyle w:val="10"/>
        <w:bidi w:val="0"/>
        <w:ind w:firstLine="640" w:firstLineChars="200"/>
        <w:rPr>
          <w:rFonts w:hint="eastAsia"/>
          <w:lang w:val="en-US" w:eastAsia="zh-CN"/>
        </w:rPr>
      </w:pPr>
      <w:r>
        <w:rPr>
          <w:rStyle w:val="17"/>
          <w:rFonts w:hint="eastAsia"/>
          <w:lang w:val="en-US" w:eastAsia="zh-CN"/>
        </w:rPr>
        <w:t>（二）收费方式。</w:t>
      </w:r>
      <w:r>
        <w:rPr>
          <w:rFonts w:hint="eastAsia"/>
          <w:lang w:val="en-US" w:eastAsia="zh-CN"/>
        </w:rPr>
        <w:t>由学校提供的课后服务，可作为服务性收费项目收取课后服务费；通过引进非学科类校外培训机构提供的课后服务，可作为代收费项目收取费用。</w:t>
      </w:r>
    </w:p>
    <w:p>
      <w:pPr>
        <w:pStyle w:val="10"/>
        <w:bidi w:val="0"/>
        <w:ind w:firstLine="640" w:firstLineChars="200"/>
        <w:rPr>
          <w:rFonts w:hint="eastAsia"/>
          <w:lang w:val="en-US" w:eastAsia="zh-CN"/>
        </w:rPr>
      </w:pPr>
      <w:r>
        <w:rPr>
          <w:rStyle w:val="17"/>
          <w:rFonts w:hint="eastAsia"/>
          <w:lang w:val="en-US" w:eastAsia="zh-CN"/>
        </w:rPr>
        <w:t>（三）收费标准。</w:t>
      </w:r>
      <w:r>
        <w:rPr>
          <w:rFonts w:hint="eastAsia"/>
          <w:lang w:val="en-US" w:eastAsia="zh-CN"/>
        </w:rPr>
        <w:t>根据</w:t>
      </w:r>
      <w:r>
        <w:rPr>
          <w:rFonts w:hint="eastAsia"/>
          <w:lang w:eastAsia="zh-CN"/>
        </w:rPr>
        <w:t>粤教基〔2022〕18号</w:t>
      </w:r>
      <w:r>
        <w:rPr>
          <w:rFonts w:hint="eastAsia"/>
          <w:lang w:val="en-US" w:eastAsia="zh-CN"/>
        </w:rPr>
        <w:t>文等规定，学校组织的校内课后服务活动，由各地按照成本补偿和非营利的原则，以课后服务成本扣除财政补贴后的差额为基础，统筹考虑本地经济发展水平、学生家庭承受能力、周边同类收费水平等因素，在原则上不高于市级标准上限范围内制定。经成本测算及履行相关定价程序，韶关市区（浈江区、武江区）义务教育阶段校内课后服务收费为基本托管和兴趣类拓展两项，实行政府指导价管理。具体收费标准如下：</w:t>
      </w:r>
    </w:p>
    <w:p>
      <w:pPr>
        <w:pStyle w:val="8"/>
        <w:bidi w:val="0"/>
        <w:rPr>
          <w:rFonts w:hint="eastAsia" w:ascii="黑体" w:hAnsi="黑体" w:eastAsia="黑体" w:cs="黑体"/>
          <w:lang w:val="en-US" w:eastAsia="zh-CN"/>
        </w:rPr>
      </w:pPr>
      <w:r>
        <w:rPr>
          <w:rFonts w:hint="eastAsia" w:ascii="黑体" w:hAnsi="黑体" w:eastAsia="黑体" w:cs="黑体"/>
          <w:lang w:val="en-US" w:eastAsia="zh-CN"/>
        </w:rPr>
        <w:t>韶关市区义务教育阶段校内课后服务收费标准</w:t>
      </w:r>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98"/>
        <w:gridCol w:w="2878"/>
        <w:gridCol w:w="2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2898" w:type="dxa"/>
            <w:tcBorders>
              <w:top w:val="single" w:color="000000" w:sz="4" w:space="0"/>
              <w:left w:val="single" w:color="000000" w:sz="4" w:space="0"/>
              <w:bottom w:val="single" w:color="000000" w:sz="4" w:space="0"/>
              <w:right w:val="single" w:color="000000" w:sz="4" w:space="0"/>
            </w:tcBorders>
            <w:noWrap w:val="0"/>
            <w:vAlign w:val="center"/>
          </w:tcPr>
          <w:p>
            <w:pPr>
              <w:pStyle w:val="9"/>
              <w:bidi w:val="0"/>
              <w:rPr>
                <w:rFonts w:hint="eastAsia"/>
                <w:b/>
                <w:bCs/>
              </w:rPr>
            </w:pPr>
            <w:r>
              <w:rPr>
                <w:rFonts w:hint="eastAsia"/>
                <w:b/>
                <w:bCs/>
                <w:lang w:val="en-US" w:eastAsia="zh-CN"/>
              </w:rPr>
              <w:t>服务内容</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pStyle w:val="9"/>
              <w:bidi w:val="0"/>
              <w:rPr>
                <w:rFonts w:hint="eastAsia"/>
                <w:b/>
                <w:bCs/>
              </w:rPr>
            </w:pPr>
            <w:r>
              <w:rPr>
                <w:rFonts w:hint="eastAsia"/>
                <w:b/>
                <w:bCs/>
                <w:lang w:val="en-US" w:eastAsia="zh-CN"/>
              </w:rPr>
              <w:t>计算单位</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pStyle w:val="9"/>
              <w:bidi w:val="0"/>
              <w:rPr>
                <w:rFonts w:hint="eastAsia"/>
                <w:b/>
                <w:bCs/>
              </w:rPr>
            </w:pPr>
            <w:r>
              <w:rPr>
                <w:rFonts w:hint="eastAsia"/>
                <w:b/>
                <w:bCs/>
                <w:lang w:val="en-US" w:eastAsia="zh-CN"/>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898" w:type="dxa"/>
            <w:tcBorders>
              <w:top w:val="single" w:color="000000" w:sz="4" w:space="0"/>
              <w:left w:val="single" w:color="000000" w:sz="4" w:space="0"/>
              <w:bottom w:val="single" w:color="000000" w:sz="4" w:space="0"/>
              <w:right w:val="single" w:color="000000" w:sz="4" w:space="0"/>
            </w:tcBorders>
            <w:noWrap w:val="0"/>
            <w:vAlign w:val="center"/>
          </w:tcPr>
          <w:p>
            <w:pPr>
              <w:pStyle w:val="9"/>
              <w:bidi w:val="0"/>
              <w:rPr>
                <w:rFonts w:hint="eastAsia"/>
              </w:rPr>
            </w:pPr>
            <w:r>
              <w:rPr>
                <w:rFonts w:hint="eastAsia"/>
                <w:lang w:val="en-US" w:eastAsia="zh-CN"/>
              </w:rPr>
              <w:t>基本托管</w:t>
            </w:r>
          </w:p>
        </w:tc>
        <w:tc>
          <w:tcPr>
            <w:tcW w:w="287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
              <w:bidi w:val="0"/>
              <w:rPr>
                <w:rFonts w:hint="eastAsia"/>
              </w:rPr>
            </w:pPr>
            <w:r>
              <w:rPr>
                <w:rFonts w:hint="eastAsia"/>
                <w:lang w:val="en-US" w:eastAsia="zh-CN"/>
              </w:rPr>
              <w:t>元/课时·人次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pStyle w:val="9"/>
              <w:bidi w:val="0"/>
              <w:rPr>
                <w:rFonts w:hint="eastAsia"/>
              </w:rPr>
            </w:pPr>
            <w:r>
              <w:rPr>
                <w:rFonts w:hint="eastAsia"/>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898" w:type="dxa"/>
            <w:tcBorders>
              <w:top w:val="single" w:color="000000" w:sz="4" w:space="0"/>
              <w:left w:val="single" w:color="000000" w:sz="4" w:space="0"/>
              <w:bottom w:val="single" w:color="000000" w:sz="4" w:space="0"/>
              <w:right w:val="single" w:color="000000" w:sz="4" w:space="0"/>
            </w:tcBorders>
            <w:noWrap w:val="0"/>
            <w:vAlign w:val="center"/>
          </w:tcPr>
          <w:p>
            <w:pPr>
              <w:pStyle w:val="9"/>
              <w:bidi w:val="0"/>
              <w:rPr>
                <w:rFonts w:hint="eastAsia"/>
              </w:rPr>
            </w:pPr>
            <w:r>
              <w:rPr>
                <w:rFonts w:hint="eastAsia"/>
                <w:lang w:val="en-US" w:eastAsia="zh-CN"/>
              </w:rPr>
              <w:t>兴趣类拓展</w:t>
            </w:r>
          </w:p>
        </w:tc>
        <w:tc>
          <w:tcPr>
            <w:tcW w:w="287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9"/>
              <w:bidi w:val="0"/>
              <w:rPr>
                <w:rFonts w:hint="eastAsia"/>
              </w:rPr>
            </w:pP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pStyle w:val="9"/>
              <w:bidi w:val="0"/>
              <w:rPr>
                <w:rFonts w:hint="default"/>
                <w:lang w:val="en-US"/>
              </w:rPr>
            </w:pPr>
            <w:r>
              <w:rPr>
                <w:rFonts w:hint="eastAsia"/>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876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9"/>
              <w:bidi w:val="0"/>
              <w:jc w:val="left"/>
              <w:rPr>
                <w:rFonts w:hint="eastAsia"/>
              </w:rPr>
            </w:pPr>
            <w:r>
              <w:rPr>
                <w:rFonts w:hint="eastAsia"/>
                <w:lang w:val="en-US" w:eastAsia="zh-CN"/>
              </w:rPr>
              <w:t>备注：1.本收费标准为最高限价，学校组织的校内课后服务活动可在本限价内自主确定。2.课时时长以教育部门相关规定为准；3.学校提供课后服务，坚持自愿参与原则，由学生家长自愿选择服务项目；4.对经济困难家庭学生参加课后服务，应参照学生资助政策给予减免。</w:t>
            </w:r>
          </w:p>
        </w:tc>
      </w:tr>
    </w:tbl>
    <w:p>
      <w:pPr>
        <w:pStyle w:val="10"/>
        <w:bidi w:val="0"/>
        <w:ind w:firstLine="640" w:firstLineChars="200"/>
        <w:rPr>
          <w:rFonts w:hint="eastAsia"/>
          <w:lang w:val="en-US" w:eastAsia="zh-CN"/>
        </w:rPr>
      </w:pPr>
      <w:r>
        <w:rPr>
          <w:rFonts w:hint="eastAsia"/>
          <w:lang w:val="en-US" w:eastAsia="zh-CN"/>
        </w:rPr>
        <w:t>向学生收取课后服务费时，如市、县两级财政对课后服务经费有补贴，应扣除财政经费补贴部分后据实收取。</w:t>
      </w:r>
    </w:p>
    <w:p>
      <w:pPr>
        <w:pStyle w:val="10"/>
        <w:bidi w:val="0"/>
        <w:ind w:firstLine="640" w:firstLineChars="200"/>
        <w:rPr>
          <w:rFonts w:hint="default"/>
          <w:lang w:val="en-US" w:eastAsia="zh-CN"/>
        </w:rPr>
      </w:pPr>
      <w:r>
        <w:rPr>
          <w:rFonts w:hint="eastAsia"/>
          <w:lang w:val="en-US" w:eastAsia="zh-CN"/>
        </w:rPr>
        <w:t>依据有关规定，各学校引进的非学科类校外培训机构应当取得《中华人民共和国民办学校办学许可证》。各地教育部门要坚持公益性原则，通过招标等竞争方式确定课后服务费标准，收费标准不高于当地公办青少年宫同类型课程平均课时收费标准，且要明显低于非学科培训机构在校外提供同类型课程收费标准，原则上同一区域同类项目收费标准应保持相对一致。</w:t>
      </w:r>
    </w:p>
    <w:p>
      <w:pPr>
        <w:pStyle w:val="10"/>
        <w:bidi w:val="0"/>
        <w:ind w:firstLine="640" w:firstLineChars="200"/>
        <w:rPr>
          <w:rFonts w:hint="eastAsia"/>
          <w:lang w:val="en-US" w:eastAsia="zh-CN"/>
        </w:rPr>
      </w:pPr>
      <w:r>
        <w:rPr>
          <w:rStyle w:val="17"/>
          <w:rFonts w:hint="eastAsia"/>
          <w:lang w:val="en-US" w:eastAsia="zh-CN"/>
        </w:rPr>
        <w:t>（四）收费管理。</w:t>
      </w:r>
      <w:r>
        <w:rPr>
          <w:rFonts w:hint="eastAsia"/>
          <w:lang w:val="en-US" w:eastAsia="zh-CN"/>
        </w:rPr>
        <w:t>寄宿制学校可为有需求的学生提供课后服务，但不得变相收取寄宿学生除兴趣拓展类课程外的课后服务费用，不得将寄宿制管理学校常规管理服务纳入服务收费内容，不得违背学生家长意愿强制收费或捆绑收费。</w:t>
      </w:r>
    </w:p>
    <w:p>
      <w:pPr>
        <w:pStyle w:val="10"/>
        <w:bidi w:val="0"/>
        <w:ind w:firstLine="640" w:firstLineChars="200"/>
        <w:rPr>
          <w:rFonts w:hint="eastAsia"/>
          <w:lang w:val="en-US" w:eastAsia="zh-CN"/>
        </w:rPr>
      </w:pPr>
      <w:r>
        <w:rPr>
          <w:rFonts w:hint="eastAsia"/>
          <w:lang w:val="en-US" w:eastAsia="zh-CN"/>
        </w:rPr>
        <w:t>校内课后服务费用按月或按学期据实收取，不得跨学期预收。学校应当提前公示收费标准，事先征求家长和学生意见，由家长自愿选择课后服务内容和时间，严禁以任何形式诱导、强制或变相强制学生参加课后服务。校内课后服务收费实行“一期一结”，原则上每学期期末放假前全部清算，不得跨学期结余、结转。学生入学后因故休学、请假、转学的，应按实际参加课后服务天数据实结算退还相应费用。</w:t>
      </w:r>
    </w:p>
    <w:p>
      <w:pPr>
        <w:pStyle w:val="10"/>
        <w:bidi w:val="0"/>
        <w:ind w:firstLine="640" w:firstLineChars="200"/>
        <w:rPr>
          <w:rFonts w:hint="eastAsia"/>
          <w:lang w:val="en-US" w:eastAsia="zh-CN"/>
        </w:rPr>
      </w:pPr>
      <w:r>
        <w:rPr>
          <w:rFonts w:hint="eastAsia"/>
          <w:lang w:val="en-US" w:eastAsia="zh-CN"/>
        </w:rPr>
        <w:t>学校开展课后服务期间，向学生提供用餐服务收取的伙食费，按照服务性收费和代收费有关管理规定执行。</w:t>
      </w:r>
    </w:p>
    <w:p>
      <w:pPr>
        <w:pStyle w:val="5"/>
        <w:bidi w:val="0"/>
        <w:rPr>
          <w:rFonts w:hint="eastAsia"/>
          <w:lang w:val="en-US" w:eastAsia="zh-CN"/>
        </w:rPr>
      </w:pPr>
      <w:r>
        <w:rPr>
          <w:rFonts w:hint="eastAsia"/>
          <w:lang w:val="en-US" w:eastAsia="zh-CN"/>
        </w:rPr>
        <w:t>四、经费使用</w:t>
      </w:r>
    </w:p>
    <w:p>
      <w:pPr>
        <w:pStyle w:val="10"/>
        <w:bidi w:val="0"/>
        <w:ind w:firstLine="640" w:firstLineChars="200"/>
        <w:rPr>
          <w:rFonts w:hint="eastAsia"/>
          <w:lang w:val="en-US" w:eastAsia="zh-CN"/>
        </w:rPr>
      </w:pPr>
      <w:r>
        <w:rPr>
          <w:rStyle w:val="17"/>
          <w:rFonts w:hint="eastAsia"/>
          <w:lang w:val="en-US" w:eastAsia="zh-CN"/>
        </w:rPr>
        <w:t>（一）使用范围。</w:t>
      </w:r>
      <w:r>
        <w:rPr>
          <w:rFonts w:hint="eastAsia"/>
          <w:lang w:eastAsia="zh-CN"/>
        </w:rPr>
        <w:t>校内</w:t>
      </w:r>
      <w:r>
        <w:rPr>
          <w:rFonts w:hint="eastAsia"/>
          <w:lang w:val="en-US" w:eastAsia="zh-CN"/>
        </w:rPr>
        <w:t>课后服务经费主要用于参与课后服务教师课时补助、绩效工资分配、聘请的校外人员和社会志愿者的劳务费补助、为参与</w:t>
      </w:r>
      <w:r>
        <w:rPr>
          <w:rFonts w:hint="eastAsia"/>
          <w:lang w:eastAsia="zh-CN"/>
        </w:rPr>
        <w:t>校内</w:t>
      </w:r>
      <w:r>
        <w:rPr>
          <w:rFonts w:hint="eastAsia"/>
          <w:lang w:val="en-US" w:eastAsia="zh-CN"/>
        </w:rPr>
        <w:t>课后服务人员购买人身意外保险等，以及用于购买第三方机构服务、与开展</w:t>
      </w:r>
      <w:r>
        <w:rPr>
          <w:rFonts w:hint="eastAsia"/>
          <w:lang w:eastAsia="zh-CN"/>
        </w:rPr>
        <w:t>校内</w:t>
      </w:r>
      <w:r>
        <w:rPr>
          <w:rFonts w:hint="eastAsia"/>
          <w:lang w:val="en-US" w:eastAsia="zh-CN"/>
        </w:rPr>
        <w:t>课后服务工作相关的消耗品购置、设备设施维护、弥补相关运行经费等支出。</w:t>
      </w:r>
    </w:p>
    <w:p>
      <w:pPr>
        <w:pStyle w:val="10"/>
        <w:bidi w:val="0"/>
        <w:ind w:firstLine="640" w:firstLineChars="200"/>
        <w:rPr>
          <w:rFonts w:hint="eastAsia"/>
          <w:lang w:val="en-US" w:eastAsia="zh-CN"/>
        </w:rPr>
      </w:pPr>
      <w:r>
        <w:rPr>
          <w:rStyle w:val="17"/>
          <w:rFonts w:hint="eastAsia"/>
          <w:lang w:val="en-US" w:eastAsia="zh-CN"/>
        </w:rPr>
        <w:t>（二）补助办法。</w:t>
      </w:r>
      <w:r>
        <w:rPr>
          <w:rFonts w:hint="eastAsia"/>
          <w:lang w:val="en-US" w:eastAsia="zh-CN"/>
        </w:rPr>
        <w:t>鼓励和支持中小学教职工在保证按质按量完成正常职责工作任务前提下,参与校内课后服务管理工作并取得相应的劳务报酬。本校在职在编教职工参与校内课后服务工作取得的收入在学校绩效工资总量外单列管理，由教育部门报人社、财政部门备案。聘请校外人员参与由中小学举办的校内课后服务项目，</w:t>
      </w:r>
      <w:r>
        <w:rPr>
          <w:rFonts w:hint="eastAsia"/>
          <w:lang w:eastAsia="zh-CN"/>
        </w:rPr>
        <w:t>校内</w:t>
      </w:r>
      <w:r>
        <w:rPr>
          <w:rFonts w:hint="eastAsia"/>
          <w:lang w:val="en-US" w:eastAsia="zh-CN"/>
        </w:rPr>
        <w:t>课后服务补助可按劳务费有关规定发放，劳务报酬从活动相应的经费渠道中列支。</w:t>
      </w:r>
    </w:p>
    <w:p>
      <w:pPr>
        <w:pStyle w:val="10"/>
        <w:bidi w:val="0"/>
        <w:ind w:firstLine="640" w:firstLineChars="200"/>
        <w:rPr>
          <w:rFonts w:hint="eastAsia"/>
          <w:lang w:val="en-US" w:eastAsia="zh-CN"/>
        </w:rPr>
      </w:pPr>
      <w:r>
        <w:rPr>
          <w:rFonts w:hint="eastAsia"/>
          <w:lang w:val="en-US" w:eastAsia="zh-CN"/>
        </w:rPr>
        <w:t>学校教职工参与校内课后服务的工作量和服务内容确定教职工取酬标准，可根据</w:t>
      </w:r>
      <w:r>
        <w:rPr>
          <w:rFonts w:hint="eastAsia"/>
          <w:lang w:eastAsia="zh-CN"/>
        </w:rPr>
        <w:t>粤教基〔2022〕18号等有关规定，</w:t>
      </w:r>
      <w:r>
        <w:rPr>
          <w:rFonts w:hint="eastAsia"/>
          <w:lang w:val="en-US" w:eastAsia="zh-CN"/>
        </w:rPr>
        <w:t>或参考本校校内奖励性绩效分配方案标准制定。具体由各地教育行政部门牵头研究确定，所需经费由财政补贴或纳入服务性收费解决。</w:t>
      </w:r>
    </w:p>
    <w:p>
      <w:pPr>
        <w:pStyle w:val="5"/>
        <w:bidi w:val="0"/>
        <w:rPr>
          <w:rFonts w:hint="eastAsia"/>
          <w:lang w:val="en-US" w:eastAsia="zh-CN"/>
        </w:rPr>
      </w:pPr>
      <w:r>
        <w:rPr>
          <w:rFonts w:hint="eastAsia"/>
          <w:lang w:val="en-US" w:eastAsia="zh-CN"/>
        </w:rPr>
        <w:t>五、规范经费管理</w:t>
      </w:r>
    </w:p>
    <w:p>
      <w:pPr>
        <w:pStyle w:val="10"/>
        <w:bidi w:val="0"/>
        <w:ind w:firstLine="640" w:firstLineChars="200"/>
        <w:rPr>
          <w:rFonts w:hint="eastAsia"/>
          <w:lang w:val="en-US" w:eastAsia="zh-CN"/>
        </w:rPr>
      </w:pPr>
      <w:r>
        <w:rPr>
          <w:rStyle w:val="17"/>
          <w:rFonts w:hint="eastAsia"/>
          <w:lang w:val="en-US" w:eastAsia="zh-CN"/>
        </w:rPr>
        <w:t>（一）</w:t>
      </w:r>
      <w:r>
        <w:rPr>
          <w:rFonts w:hint="eastAsia"/>
          <w:lang w:val="en-US" w:eastAsia="zh-CN"/>
        </w:rPr>
        <w:t>课后服务收费以学校为单位收取，按有关规定开具税务发票，由学校纳入预算据实列支，严格执行“以收量支”，全部纳入学校账户统一管理、独立核算、专款专用。严禁将收取的课后服务费存入个人账户，严禁设立“小金库”，严禁截留、挪用、挤占。</w:t>
      </w:r>
    </w:p>
    <w:p>
      <w:pPr>
        <w:pStyle w:val="10"/>
        <w:bidi w:val="0"/>
        <w:ind w:firstLine="640" w:firstLineChars="200"/>
        <w:rPr>
          <w:rFonts w:hint="default"/>
          <w:lang w:val="en-US" w:eastAsia="zh-CN"/>
        </w:rPr>
      </w:pPr>
      <w:r>
        <w:rPr>
          <w:rStyle w:val="17"/>
          <w:rFonts w:hint="eastAsia"/>
          <w:lang w:val="en-US" w:eastAsia="zh-CN"/>
        </w:rPr>
        <w:t>（二）</w:t>
      </w:r>
      <w:r>
        <w:rPr>
          <w:rFonts w:hint="eastAsia"/>
          <w:lang w:val="en-US" w:eastAsia="zh-CN"/>
        </w:rPr>
        <w:t>代收费往来资金由提供服务的单位直接收取或由学校开具结算票据代为收取，不得计入学校收入。</w:t>
      </w:r>
    </w:p>
    <w:p>
      <w:pPr>
        <w:pStyle w:val="5"/>
        <w:bidi w:val="0"/>
        <w:rPr>
          <w:rFonts w:hint="eastAsia"/>
          <w:lang w:val="en-US" w:eastAsia="zh-CN"/>
        </w:rPr>
      </w:pPr>
      <w:r>
        <w:rPr>
          <w:rFonts w:hint="eastAsia"/>
          <w:lang w:val="en-US" w:eastAsia="zh-CN"/>
        </w:rPr>
        <w:t>六、加强服务监管</w:t>
      </w:r>
    </w:p>
    <w:p>
      <w:pPr>
        <w:pStyle w:val="10"/>
        <w:bidi w:val="0"/>
        <w:ind w:firstLine="640" w:firstLineChars="200"/>
        <w:rPr>
          <w:rFonts w:hint="eastAsia"/>
          <w:lang w:val="en-US" w:eastAsia="zh-CN"/>
        </w:rPr>
      </w:pPr>
      <w:r>
        <w:rPr>
          <w:rStyle w:val="17"/>
          <w:rFonts w:hint="eastAsia"/>
          <w:lang w:val="en-US" w:eastAsia="zh-CN"/>
        </w:rPr>
        <w:t>（一）</w:t>
      </w:r>
      <w:r>
        <w:rPr>
          <w:rFonts w:hint="eastAsia"/>
          <w:lang w:val="en-US" w:eastAsia="zh-CN"/>
        </w:rPr>
        <w:t>各地要加强校内课后服务监管，坚持学生自主自愿选择，不得强制或暗示学生及家长参加课后服务，不得通过强制托管变相违规补课或要求学生留校自习，严禁以课后服务名义乱收费（含学生、涉第三方机构乱收费）。</w:t>
      </w:r>
    </w:p>
    <w:p>
      <w:pPr>
        <w:pStyle w:val="10"/>
        <w:bidi w:val="0"/>
        <w:ind w:firstLine="640" w:firstLineChars="200"/>
        <w:rPr>
          <w:rFonts w:hint="eastAsia"/>
          <w:lang w:val="en-US" w:eastAsia="zh-CN"/>
        </w:rPr>
      </w:pPr>
      <w:r>
        <w:rPr>
          <w:rStyle w:val="17"/>
          <w:rFonts w:hint="eastAsia"/>
          <w:lang w:val="en-US" w:eastAsia="zh-CN"/>
        </w:rPr>
        <w:t>（二）</w:t>
      </w:r>
      <w:r>
        <w:rPr>
          <w:rFonts w:hint="eastAsia"/>
          <w:lang w:val="en-US" w:eastAsia="zh-CN"/>
        </w:rPr>
        <w:t>要加强教职工参与课后服务的取酬保障，明确取酬来源与标准，学校教职工不得参与提供服务的非学科类校外培训机构授课及取酬。</w:t>
      </w:r>
    </w:p>
    <w:p>
      <w:pPr>
        <w:pStyle w:val="10"/>
        <w:bidi w:val="0"/>
        <w:ind w:firstLine="640" w:firstLineChars="200"/>
        <w:rPr>
          <w:rFonts w:hint="eastAsia"/>
          <w:lang w:val="en-US" w:eastAsia="zh-CN"/>
        </w:rPr>
      </w:pPr>
      <w:r>
        <w:rPr>
          <w:rStyle w:val="17"/>
          <w:rFonts w:hint="eastAsia"/>
          <w:lang w:val="en-US" w:eastAsia="zh-CN"/>
        </w:rPr>
        <w:t>（三）</w:t>
      </w:r>
      <w:r>
        <w:rPr>
          <w:rFonts w:hint="default"/>
          <w:lang w:val="en-US" w:eastAsia="zh-CN"/>
        </w:rPr>
        <w:t>各县（市、区）教育</w:t>
      </w:r>
      <w:r>
        <w:rPr>
          <w:rFonts w:hint="eastAsia"/>
          <w:lang w:val="en-US" w:eastAsia="zh-CN"/>
        </w:rPr>
        <w:t>部门要参照韶市教〔2023〕23号文等规定，加强引进非学科类校外培训机构的日常监管并建立动态调整机制，定期评估的实施情况，对服务水平低下、恶意在校招揽生源、不按规定提供服务、扰乱学校教育教学和招生秩序等问题的培训机构，要坚决予以退出，并按有关文件规定取消培训资质。</w:t>
      </w:r>
    </w:p>
    <w:p>
      <w:pPr>
        <w:pStyle w:val="10"/>
        <w:bidi w:val="0"/>
        <w:ind w:firstLine="640" w:firstLineChars="200"/>
        <w:rPr>
          <w:rFonts w:hint="default"/>
          <w:lang w:val="en-US" w:eastAsia="zh-CN"/>
        </w:rPr>
      </w:pPr>
      <w:r>
        <w:rPr>
          <w:rStyle w:val="17"/>
          <w:rFonts w:hint="eastAsia"/>
          <w:lang w:val="en-US" w:eastAsia="zh-CN"/>
        </w:rPr>
        <w:t>（四）</w:t>
      </w:r>
      <w:r>
        <w:rPr>
          <w:rFonts w:hint="eastAsia"/>
          <w:lang w:val="en-US" w:eastAsia="zh-CN"/>
        </w:rPr>
        <w:t>各地发展改革、教育、财政和人力资源社会保障部门要按照职责分工加强对学校课后服务工作的指导管理，依据相关法律和规定对课后服务经费的管理使用情况进行监督检查，发现问题及时纠正。</w:t>
      </w:r>
    </w:p>
    <w:p>
      <w:pPr>
        <w:pStyle w:val="5"/>
        <w:bidi w:val="0"/>
        <w:rPr>
          <w:rFonts w:hint="eastAsia"/>
          <w:lang w:val="en-US" w:eastAsia="zh-CN"/>
        </w:rPr>
      </w:pPr>
      <w:r>
        <w:rPr>
          <w:rFonts w:hint="eastAsia"/>
          <w:lang w:val="en-US" w:eastAsia="zh-CN"/>
        </w:rPr>
        <w:t>七、有关工作要求</w:t>
      </w:r>
    </w:p>
    <w:p>
      <w:pPr>
        <w:pStyle w:val="10"/>
        <w:bidi w:val="0"/>
        <w:ind w:firstLine="640" w:firstLineChars="200"/>
        <w:rPr>
          <w:rFonts w:hint="default"/>
          <w:lang w:val="en-US" w:eastAsia="zh-CN"/>
        </w:rPr>
      </w:pPr>
      <w:r>
        <w:rPr>
          <w:rStyle w:val="17"/>
          <w:rFonts w:hint="eastAsia"/>
          <w:lang w:val="en-US" w:eastAsia="zh-CN"/>
        </w:rPr>
        <w:t>（一）</w:t>
      </w:r>
      <w:r>
        <w:rPr>
          <w:rFonts w:hint="eastAsia"/>
          <w:lang w:val="en-US" w:eastAsia="zh-CN"/>
        </w:rPr>
        <w:t>各县（市、区）要按照成本补偿和非营利的原则，结合实际在不高于市级标准上限范围内，规范和制定本地校内课后服务收费政策。</w:t>
      </w:r>
    </w:p>
    <w:p>
      <w:pPr>
        <w:pStyle w:val="10"/>
        <w:bidi w:val="0"/>
        <w:ind w:firstLine="640" w:firstLineChars="200"/>
        <w:rPr>
          <w:rFonts w:hint="default"/>
          <w:lang w:val="en-US" w:eastAsia="zh-CN"/>
        </w:rPr>
      </w:pPr>
      <w:r>
        <w:rPr>
          <w:rStyle w:val="17"/>
          <w:rFonts w:hint="eastAsia"/>
          <w:lang w:val="en-US" w:eastAsia="zh-CN"/>
        </w:rPr>
        <w:t>（二）</w:t>
      </w:r>
      <w:r>
        <w:rPr>
          <w:rFonts w:hint="eastAsia"/>
          <w:lang w:val="en-US" w:eastAsia="zh-CN"/>
        </w:rPr>
        <w:t>学校应通过官网、官微和信息公示栏等多种方式向学生、家长公示课后服务内容、服务方式、服务时间、收费项目、收费标准、政策文件和费用收支、投诉电话等，主动接受学生、家长和社会监督。</w:t>
      </w:r>
    </w:p>
    <w:p>
      <w:pPr>
        <w:pStyle w:val="10"/>
        <w:bidi w:val="0"/>
        <w:ind w:firstLine="640" w:firstLineChars="200"/>
        <w:rPr>
          <w:rFonts w:hint="default"/>
          <w:lang w:val="en-US" w:eastAsia="zh-CN"/>
        </w:rPr>
      </w:pPr>
      <w:r>
        <w:rPr>
          <w:rStyle w:val="17"/>
          <w:rFonts w:hint="default"/>
          <w:lang w:val="en-US" w:eastAsia="zh-CN"/>
        </w:rPr>
        <w:t>（</w:t>
      </w:r>
      <w:r>
        <w:rPr>
          <w:rStyle w:val="17"/>
          <w:rFonts w:hint="eastAsia"/>
          <w:lang w:val="en-US" w:eastAsia="zh-CN"/>
        </w:rPr>
        <w:t>三</w:t>
      </w:r>
      <w:r>
        <w:rPr>
          <w:rStyle w:val="17"/>
          <w:rFonts w:hint="default"/>
          <w:lang w:val="en-US" w:eastAsia="zh-CN"/>
        </w:rPr>
        <w:t>）</w:t>
      </w:r>
      <w:r>
        <w:rPr>
          <w:rFonts w:hint="default"/>
          <w:lang w:val="en-US" w:eastAsia="zh-CN"/>
        </w:rPr>
        <w:t>各地</w:t>
      </w:r>
      <w:r>
        <w:rPr>
          <w:rFonts w:hint="eastAsia"/>
          <w:lang w:val="en-US" w:eastAsia="zh-CN"/>
        </w:rPr>
        <w:t>、</w:t>
      </w:r>
      <w:r>
        <w:rPr>
          <w:rFonts w:hint="default"/>
          <w:lang w:val="en-US" w:eastAsia="zh-CN"/>
        </w:rPr>
        <w:t>各学校要严格对照本通知要求，对已制定出台的相关政策文件、管理办法、实施细则等开展对照检查，与本通知要求有出入的，要及时进行调整，确保</w:t>
      </w:r>
      <w:r>
        <w:rPr>
          <w:rFonts w:hint="eastAsia"/>
          <w:lang w:eastAsia="zh-CN"/>
        </w:rPr>
        <w:t>校内</w:t>
      </w:r>
      <w:r>
        <w:rPr>
          <w:rFonts w:hint="default"/>
          <w:lang w:val="en-US" w:eastAsia="zh-CN"/>
        </w:rPr>
        <w:t>课后服务工作规范有序开展。</w:t>
      </w:r>
    </w:p>
    <w:p>
      <w:pPr>
        <w:pStyle w:val="10"/>
        <w:bidi w:val="0"/>
        <w:ind w:firstLine="640" w:firstLineChars="200"/>
        <w:rPr>
          <w:rFonts w:hint="eastAsia"/>
          <w:lang w:val="en-US" w:eastAsia="zh-CN"/>
        </w:rPr>
      </w:pPr>
      <w:r>
        <w:rPr>
          <w:rFonts w:hint="eastAsia"/>
          <w:lang w:val="en-US" w:eastAsia="zh-CN"/>
        </w:rPr>
        <w:t>本通知从2024年  月  日起执行。本通知未明确的其他事项，按国家和省、市有关规定执行，执行期间如遇政策调整，从其规定。</w:t>
      </w:r>
    </w:p>
    <w:p>
      <w:pPr>
        <w:pStyle w:val="10"/>
        <w:bidi w:val="0"/>
        <w:ind w:firstLine="640" w:firstLineChars="200"/>
        <w:rPr>
          <w:rFonts w:hint="eastAsia"/>
          <w:lang w:val="en-US" w:eastAsia="zh-CN"/>
        </w:rPr>
      </w:pPr>
    </w:p>
    <w:p>
      <w:pPr>
        <w:pStyle w:val="10"/>
        <w:bidi w:val="0"/>
        <w:ind w:firstLine="640" w:firstLineChars="200"/>
        <w:rPr>
          <w:rFonts w:hint="eastAsia"/>
          <w:lang w:val="en-US" w:eastAsia="zh-CN"/>
        </w:rPr>
      </w:pPr>
    </w:p>
    <w:p>
      <w:pPr>
        <w:pStyle w:val="10"/>
        <w:bidi w:val="0"/>
        <w:ind w:firstLine="640" w:firstLineChars="200"/>
        <w:rPr>
          <w:rFonts w:hint="eastAsia"/>
          <w:lang w:val="en-US" w:eastAsia="zh-CN"/>
        </w:rPr>
      </w:pPr>
    </w:p>
    <w:p>
      <w:pPr>
        <w:pStyle w:val="10"/>
        <w:bidi w:val="0"/>
        <w:ind w:firstLine="640" w:firstLineChars="200"/>
        <w:rPr>
          <w:rFonts w:hint="eastAsia"/>
          <w:lang w:val="en-US" w:eastAsia="zh-CN"/>
        </w:rPr>
      </w:pPr>
    </w:p>
    <w:p>
      <w:pPr>
        <w:pStyle w:val="10"/>
        <w:bidi w:val="0"/>
        <w:rPr>
          <w:rFonts w:hint="eastAsia"/>
          <w:lang w:val="en-US" w:eastAsia="zh-CN"/>
        </w:rPr>
      </w:pPr>
      <w:r>
        <w:rPr>
          <w:rFonts w:hint="eastAsia"/>
          <w:lang w:val="en-US" w:eastAsia="zh-CN"/>
        </w:rPr>
        <w:t xml:space="preserve">韶关市发展和改革局        韶关市教育局 </w:t>
      </w:r>
    </w:p>
    <w:p>
      <w:pPr>
        <w:pStyle w:val="10"/>
        <w:bidi w:val="0"/>
        <w:ind w:firstLine="640" w:firstLineChars="200"/>
        <w:rPr>
          <w:rFonts w:hint="eastAsia"/>
          <w:lang w:val="en-US" w:eastAsia="zh-CN"/>
        </w:rPr>
      </w:pPr>
    </w:p>
    <w:p>
      <w:pPr>
        <w:pStyle w:val="10"/>
        <w:bidi w:val="0"/>
        <w:ind w:firstLine="640" w:firstLineChars="200"/>
        <w:rPr>
          <w:rFonts w:hint="eastAsia"/>
          <w:lang w:val="en-US" w:eastAsia="zh-CN"/>
        </w:rPr>
      </w:pPr>
    </w:p>
    <w:p>
      <w:pPr>
        <w:pStyle w:val="10"/>
        <w:bidi w:val="0"/>
        <w:ind w:firstLine="640" w:firstLineChars="200"/>
        <w:rPr>
          <w:rFonts w:hint="eastAsia"/>
          <w:lang w:val="en-US" w:eastAsia="zh-CN"/>
        </w:rPr>
      </w:pPr>
    </w:p>
    <w:p>
      <w:pPr>
        <w:pStyle w:val="10"/>
        <w:bidi w:val="0"/>
        <w:ind w:firstLine="640" w:firstLineChars="200"/>
        <w:rPr>
          <w:rFonts w:hint="eastAsia"/>
          <w:lang w:val="en-US" w:eastAsia="zh-CN"/>
        </w:rPr>
      </w:pPr>
    </w:p>
    <w:p>
      <w:pPr>
        <w:pStyle w:val="10"/>
        <w:bidi w:val="0"/>
        <w:ind w:firstLine="1280" w:firstLineChars="400"/>
        <w:rPr>
          <w:rFonts w:hint="default"/>
          <w:lang w:val="en-US" w:eastAsia="zh-CN"/>
        </w:rPr>
      </w:pPr>
      <w:r>
        <w:rPr>
          <w:rFonts w:hint="eastAsia"/>
          <w:lang w:val="en-US" w:eastAsia="zh-CN"/>
        </w:rPr>
        <w:t>韶关市财政局      韶关市人力资源和社会保障局</w:t>
      </w:r>
    </w:p>
    <w:p>
      <w:pPr>
        <w:pStyle w:val="10"/>
        <w:bidi w:val="0"/>
        <w:ind w:firstLine="5120" w:firstLineChars="1600"/>
        <w:rPr>
          <w:rFonts w:hint="eastAsia"/>
          <w:lang w:val="en-US" w:eastAsia="zh-CN"/>
        </w:rPr>
      </w:pPr>
      <w:r>
        <w:rPr>
          <w:rFonts w:hint="eastAsia"/>
          <w:lang w:val="en-US" w:eastAsia="zh-CN"/>
        </w:rPr>
        <w:t>2024年  月  日</w:t>
      </w:r>
    </w:p>
    <w:p>
      <w:pPr>
        <w:pStyle w:val="10"/>
        <w:bidi w:val="0"/>
        <w:ind w:firstLine="640" w:firstLineChars="200"/>
        <w:rPr>
          <w:rFonts w:hint="eastAsia"/>
          <w:lang w:val="en-US" w:eastAsia="zh-CN"/>
        </w:rPr>
      </w:pPr>
    </w:p>
    <w:p>
      <w:pPr>
        <w:pStyle w:val="10"/>
        <w:bidi w:val="0"/>
        <w:ind w:firstLine="640" w:firstLineChars="200"/>
        <w:rPr>
          <w:rFonts w:hint="eastAsia"/>
          <w:lang w:val="en-US" w:eastAsia="zh-CN"/>
        </w:rPr>
      </w:pPr>
    </w:p>
    <w:p>
      <w:pPr>
        <w:pStyle w:val="10"/>
        <w:bidi w:val="0"/>
        <w:ind w:firstLine="640" w:firstLineChars="200"/>
        <w:rPr>
          <w:rFonts w:hint="eastAsia"/>
          <w:lang w:val="en-US" w:eastAsia="zh-CN"/>
        </w:rPr>
      </w:pPr>
    </w:p>
    <w:p>
      <w:pPr>
        <w:pStyle w:val="5"/>
        <w:bidi w:val="0"/>
        <w:ind w:left="0" w:leftChars="0" w:firstLine="0" w:firstLineChars="0"/>
        <w:rPr>
          <w:rFonts w:hint="eastAsia"/>
          <w:lang w:val="en-US" w:eastAsia="zh-CN"/>
        </w:rPr>
      </w:pPr>
      <w:r>
        <w:rPr>
          <w:rFonts w:hint="eastAsia"/>
          <w:lang w:val="en-US" w:eastAsia="zh-CN"/>
        </w:rPr>
        <w:t>公开方式：主动公开</w:t>
      </w:r>
    </w:p>
    <w:p>
      <w:pPr>
        <w:pStyle w:val="7"/>
        <w:bidi w:val="0"/>
        <w:rPr>
          <w:rFonts w:hint="eastAsia"/>
          <w:lang w:val="en-US" w:eastAsia="zh-CN"/>
        </w:rPr>
      </w:pPr>
      <w:r>
        <w:rPr>
          <w:rFonts w:hint="eastAsia"/>
          <w:lang w:val="en-US" w:eastAsia="zh-CN"/>
        </w:rPr>
        <w:t>抄送：市政府办公室，各县（市、区）人民政府，市市场监督管理局。</w:t>
      </w:r>
    </w:p>
    <w:sectPr>
      <w:footerReference r:id="rId3" w:type="default"/>
      <w:pgSz w:w="11906" w:h="16838"/>
      <w:pgMar w:top="1701" w:right="1417" w:bottom="1417" w:left="1587" w:header="850" w:footer="992" w:gutter="0"/>
      <w:pgNumType w:fmt="numberInDash"/>
      <w:cols w:space="720" w:num="1"/>
      <w:rtlGutter w:val="0"/>
      <w:docGrid w:type="lines" w:linePitch="6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BatangChe">
    <w:altName w:val="汉仪叶叶相思体简"/>
    <w:panose1 w:val="02030609000101010101"/>
    <w:charset w:val="00"/>
    <w:family w:val="auto"/>
    <w:pitch w:val="default"/>
    <w:sig w:usb0="B00002AF" w:usb1="69D77CFB" w:usb2="00000030" w:usb3="00000000" w:csb0="4008009F" w:csb1="DFD70000"/>
  </w:font>
  <w:font w:name="Arial">
    <w:altName w:val="Times New Roman"/>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87114"/>
    <w:rsid w:val="004802FF"/>
    <w:rsid w:val="005F4C23"/>
    <w:rsid w:val="011A7905"/>
    <w:rsid w:val="012A041E"/>
    <w:rsid w:val="02476003"/>
    <w:rsid w:val="02C5680D"/>
    <w:rsid w:val="03942456"/>
    <w:rsid w:val="04DC37B9"/>
    <w:rsid w:val="06CE662E"/>
    <w:rsid w:val="077C13F0"/>
    <w:rsid w:val="099A15DE"/>
    <w:rsid w:val="0B194C36"/>
    <w:rsid w:val="102232FD"/>
    <w:rsid w:val="136F538F"/>
    <w:rsid w:val="13C70C3E"/>
    <w:rsid w:val="147F3EB9"/>
    <w:rsid w:val="14BA62A8"/>
    <w:rsid w:val="163D38BC"/>
    <w:rsid w:val="18D13BD6"/>
    <w:rsid w:val="19576AFA"/>
    <w:rsid w:val="19AD6BE0"/>
    <w:rsid w:val="1B391073"/>
    <w:rsid w:val="1BBC76C8"/>
    <w:rsid w:val="1C0839F2"/>
    <w:rsid w:val="1D2D64AF"/>
    <w:rsid w:val="1DB80314"/>
    <w:rsid w:val="20BF4D11"/>
    <w:rsid w:val="255D6AED"/>
    <w:rsid w:val="286911AE"/>
    <w:rsid w:val="29181DAF"/>
    <w:rsid w:val="2C2D0418"/>
    <w:rsid w:val="2CAC75AF"/>
    <w:rsid w:val="2D731EE1"/>
    <w:rsid w:val="2E502E88"/>
    <w:rsid w:val="2F3E4D95"/>
    <w:rsid w:val="31313D82"/>
    <w:rsid w:val="31516C81"/>
    <w:rsid w:val="32A87114"/>
    <w:rsid w:val="33226CD2"/>
    <w:rsid w:val="347278D0"/>
    <w:rsid w:val="37B47FDF"/>
    <w:rsid w:val="393A7F6A"/>
    <w:rsid w:val="3AD0169E"/>
    <w:rsid w:val="3ADE108F"/>
    <w:rsid w:val="3F072F21"/>
    <w:rsid w:val="44F0311B"/>
    <w:rsid w:val="476F0C2B"/>
    <w:rsid w:val="478C0FD7"/>
    <w:rsid w:val="4A440FC8"/>
    <w:rsid w:val="4E725D4E"/>
    <w:rsid w:val="4ED404B6"/>
    <w:rsid w:val="51B651C2"/>
    <w:rsid w:val="51E4004C"/>
    <w:rsid w:val="52EF6912"/>
    <w:rsid w:val="532B0D73"/>
    <w:rsid w:val="53812E98"/>
    <w:rsid w:val="58365E0E"/>
    <w:rsid w:val="586B505D"/>
    <w:rsid w:val="5B6A5CEA"/>
    <w:rsid w:val="5C922AB4"/>
    <w:rsid w:val="5D843B78"/>
    <w:rsid w:val="5ED31A37"/>
    <w:rsid w:val="5FA765E8"/>
    <w:rsid w:val="61A570C7"/>
    <w:rsid w:val="635837FC"/>
    <w:rsid w:val="649972EE"/>
    <w:rsid w:val="660507F4"/>
    <w:rsid w:val="686E67DE"/>
    <w:rsid w:val="68D77CBC"/>
    <w:rsid w:val="700A63A4"/>
    <w:rsid w:val="709161E6"/>
    <w:rsid w:val="70DD7B24"/>
    <w:rsid w:val="70F161BC"/>
    <w:rsid w:val="72BD0D00"/>
    <w:rsid w:val="73055589"/>
    <w:rsid w:val="734249AD"/>
    <w:rsid w:val="73C13D20"/>
    <w:rsid w:val="79F956F6"/>
    <w:rsid w:val="7BF1013A"/>
    <w:rsid w:val="7E527CCF"/>
    <w:rsid w:val="7FF00732"/>
    <w:rsid w:val="DB3FAC13"/>
    <w:rsid w:val="EFFF88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val="0"/>
      <w:keepLines w:val="0"/>
      <w:spacing w:beforeLines="0" w:beforeAutospacing="0" w:afterLines="0" w:afterAutospacing="0" w:line="660" w:lineRule="exact"/>
      <w:ind w:firstLine="0" w:firstLineChars="0"/>
      <w:jc w:val="center"/>
      <w:outlineLvl w:val="0"/>
    </w:pPr>
    <w:rPr>
      <w:rFonts w:ascii="Times New Roman" w:hAnsi="Times New Roman" w:eastAsia="方正小标宋_GBK" w:cs="Times New Roman"/>
      <w:kern w:val="44"/>
      <w:sz w:val="44"/>
      <w:szCs w:val="22"/>
    </w:rPr>
  </w:style>
  <w:style w:type="paragraph" w:styleId="5">
    <w:name w:val="heading 2"/>
    <w:basedOn w:val="1"/>
    <w:next w:val="1"/>
    <w:unhideWhenUsed/>
    <w:qFormat/>
    <w:uiPriority w:val="0"/>
    <w:pPr>
      <w:keepNext w:val="0"/>
      <w:keepLines w:val="0"/>
      <w:widowControl w:val="0"/>
      <w:spacing w:beforeLines="0" w:beforeAutospacing="0" w:afterLines="0" w:afterAutospacing="0" w:line="600" w:lineRule="exact"/>
      <w:ind w:firstLine="684" w:firstLineChars="200"/>
      <w:outlineLvl w:val="1"/>
    </w:pPr>
    <w:rPr>
      <w:rFonts w:ascii="Times New Roman" w:hAnsi="Times New Roman" w:eastAsia="黑体" w:cs="Times New Roman"/>
      <w:sz w:val="32"/>
    </w:rPr>
  </w:style>
  <w:style w:type="paragraph" w:styleId="6">
    <w:name w:val="heading 3"/>
    <w:basedOn w:val="1"/>
    <w:next w:val="1"/>
    <w:link w:val="17"/>
    <w:unhideWhenUsed/>
    <w:qFormat/>
    <w:uiPriority w:val="0"/>
    <w:pPr>
      <w:keepNext w:val="0"/>
      <w:keepLines w:val="0"/>
      <w:spacing w:beforeLines="0" w:beforeAutospacing="0" w:afterLines="0" w:afterAutospacing="0" w:line="600" w:lineRule="exact"/>
      <w:ind w:firstLine="684" w:firstLineChars="200"/>
      <w:outlineLvl w:val="2"/>
    </w:pPr>
    <w:rPr>
      <w:rFonts w:ascii="Times New Roman" w:hAnsi="Times New Roman" w:eastAsia="楷体_GB2312" w:cs="Times New Roman"/>
      <w:sz w:val="32"/>
    </w:rPr>
  </w:style>
  <w:style w:type="paragraph" w:styleId="7">
    <w:name w:val="heading 4"/>
    <w:basedOn w:val="1"/>
    <w:next w:val="1"/>
    <w:unhideWhenUsed/>
    <w:qFormat/>
    <w:uiPriority w:val="0"/>
    <w:pPr>
      <w:keepNext w:val="0"/>
      <w:keepLines w:val="0"/>
      <w:spacing w:beforeLines="0" w:beforeAutospacing="0" w:afterLines="0" w:afterAutospacing="0" w:line="440" w:lineRule="exact"/>
      <w:ind w:firstLine="342" w:firstLineChars="100"/>
      <w:outlineLvl w:val="3"/>
    </w:pPr>
    <w:rPr>
      <w:rFonts w:ascii="Times New Roman" w:hAnsi="Times New Roman" w:eastAsia="仿宋_GB2312"/>
      <w:sz w:val="28"/>
    </w:rPr>
  </w:style>
  <w:style w:type="paragraph" w:styleId="8">
    <w:name w:val="heading 5"/>
    <w:basedOn w:val="1"/>
    <w:next w:val="1"/>
    <w:unhideWhenUsed/>
    <w:qFormat/>
    <w:uiPriority w:val="0"/>
    <w:pPr>
      <w:keepNext w:val="0"/>
      <w:keepLines w:val="0"/>
      <w:spacing w:beforeLines="0" w:beforeAutospacing="0" w:afterLines="0" w:afterAutospacing="0" w:line="240" w:lineRule="auto"/>
      <w:jc w:val="center"/>
      <w:outlineLvl w:val="4"/>
    </w:pPr>
    <w:rPr>
      <w:rFonts w:ascii="Times New Roman" w:hAnsi="Times New Roman" w:eastAsia="仿宋_GB2312" w:cs="Times New Roman"/>
      <w:sz w:val="32"/>
      <w:szCs w:val="24"/>
    </w:rPr>
  </w:style>
  <w:style w:type="paragraph" w:styleId="9">
    <w:name w:val="heading 6"/>
    <w:basedOn w:val="1"/>
    <w:next w:val="1"/>
    <w:unhideWhenUsed/>
    <w:qFormat/>
    <w:uiPriority w:val="0"/>
    <w:pPr>
      <w:keepNext w:val="0"/>
      <w:keepLines w:val="0"/>
      <w:spacing w:beforeLines="0" w:beforeAutospacing="0" w:afterLines="0" w:afterAutospacing="0" w:line="400" w:lineRule="exact"/>
      <w:ind w:firstLine="0" w:firstLineChars="0"/>
      <w:jc w:val="center"/>
      <w:outlineLvl w:val="5"/>
    </w:pPr>
    <w:rPr>
      <w:rFonts w:ascii="Times New Roman" w:hAnsi="Times New Roman" w:eastAsia="宋体"/>
      <w:sz w:val="24"/>
    </w:rPr>
  </w:style>
  <w:style w:type="paragraph" w:styleId="10">
    <w:name w:val="heading 7"/>
    <w:basedOn w:val="1"/>
    <w:next w:val="1"/>
    <w:unhideWhenUsed/>
    <w:qFormat/>
    <w:uiPriority w:val="0"/>
    <w:pPr>
      <w:keepNext w:val="0"/>
      <w:keepLines w:val="0"/>
      <w:overflowPunct w:val="0"/>
      <w:spacing w:beforeLines="0" w:beforeAutospacing="0" w:afterLines="0" w:afterAutospacing="0" w:line="600" w:lineRule="exact"/>
      <w:ind w:firstLine="640" w:firstLineChars="200"/>
      <w:jc w:val="both"/>
      <w:outlineLvl w:val="6"/>
    </w:pPr>
    <w:rPr>
      <w:rFonts w:ascii="Times New Roman" w:hAnsi="Times New Roman" w:eastAsia="仿宋_GB2312" w:cs="BatangChe"/>
      <w:sz w:val="32"/>
      <w:szCs w:val="32"/>
    </w:rPr>
  </w:style>
  <w:style w:type="paragraph" w:styleId="11">
    <w:name w:val="heading 8"/>
    <w:basedOn w:val="1"/>
    <w:next w:val="1"/>
    <w:unhideWhenUsed/>
    <w:qFormat/>
    <w:uiPriority w:val="0"/>
    <w:pPr>
      <w:keepNext w:val="0"/>
      <w:keepLines w:val="0"/>
      <w:overflowPunct w:val="0"/>
      <w:spacing w:beforeLines="0" w:beforeAutospacing="0" w:afterLines="0" w:afterAutospacing="0" w:line="600" w:lineRule="exact"/>
      <w:ind w:right="630" w:rightChars="300"/>
      <w:jc w:val="right"/>
      <w:outlineLvl w:val="7"/>
    </w:pPr>
    <w:rPr>
      <w:rFonts w:ascii="Times New Roman" w:hAnsi="Times New Roman" w:eastAsia="仿宋_GB2312" w:cs="Times New Roman"/>
      <w:sz w:val="32"/>
    </w:rPr>
  </w:style>
  <w:style w:type="character" w:default="1" w:styleId="16">
    <w:name w:val="Default Paragraph Font"/>
    <w:semiHidden/>
    <w:qFormat/>
    <w:uiPriority w:val="0"/>
  </w:style>
  <w:style w:type="table" w:default="1" w:styleId="15">
    <w:name w:val="Normal Table"/>
    <w:semiHidden/>
    <w:qFormat/>
    <w:uiPriority w:val="0"/>
    <w:tblPr>
      <w:tblStyle w:val="15"/>
      <w:tblCellMar>
        <w:top w:w="0" w:type="dxa"/>
        <w:left w:w="108" w:type="dxa"/>
        <w:bottom w:w="0" w:type="dxa"/>
        <w:right w:w="108" w:type="dxa"/>
      </w:tblCellMar>
    </w:tblPr>
  </w:style>
  <w:style w:type="paragraph" w:styleId="2">
    <w:name w:val="Body Text"/>
    <w:basedOn w:val="1"/>
    <w:next w:val="3"/>
    <w:qFormat/>
    <w:uiPriority w:val="0"/>
    <w:pPr>
      <w:spacing w:afterLines="0" w:afterAutospacing="0"/>
    </w:pPr>
    <w:rPr>
      <w:rFonts w:ascii="Times New Roman" w:hAnsi="Times New Roman"/>
    </w:rPr>
  </w:style>
  <w:style w:type="paragraph" w:styleId="3">
    <w:name w:val="Title"/>
    <w:basedOn w:val="1"/>
    <w:next w:val="1"/>
    <w:qFormat/>
    <w:uiPriority w:val="0"/>
    <w:pPr>
      <w:widowControl/>
      <w:spacing w:before="240" w:after="60" w:line="560" w:lineRule="exact"/>
      <w:outlineLvl w:val="0"/>
    </w:pPr>
    <w:rPr>
      <w:rFonts w:ascii="Arial" w:hAnsi="Arial" w:eastAsia="华文中宋" w:cs="Arial"/>
      <w:b/>
      <w:bCs/>
      <w:color w:val="FF0000"/>
      <w:kern w:val="0"/>
      <w:sz w:val="84"/>
      <w:szCs w:val="32"/>
    </w:rPr>
  </w:style>
  <w:style w:type="paragraph" w:styleId="12">
    <w:name w:val="footer"/>
    <w:basedOn w:val="1"/>
    <w:qFormat/>
    <w:uiPriority w:val="0"/>
    <w:pPr>
      <w:tabs>
        <w:tab w:val="center" w:pos="4153"/>
        <w:tab w:val="right" w:pos="8306"/>
      </w:tabs>
      <w:snapToGrid w:val="0"/>
      <w:spacing w:line="240" w:lineRule="auto"/>
      <w:ind w:left="342" w:leftChars="100" w:right="342" w:rightChars="100" w:firstLine="0" w:firstLineChars="0"/>
      <w:jc w:val="center"/>
    </w:pPr>
    <w:rPr>
      <w:rFonts w:ascii="BatangChe" w:hAnsi="BatangChe" w:cs="Times New Roman"/>
      <w:sz w:val="24"/>
      <w:szCs w:val="32"/>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left="160" w:leftChars="50" w:right="160" w:rightChars="50"/>
      <w:jc w:val="both"/>
      <w:outlineLvl w:val="9"/>
    </w:pPr>
    <w:rPr>
      <w:rFonts w:ascii="Times New Roman" w:hAnsi="Times New Roman"/>
      <w:sz w:val="32"/>
    </w:rPr>
  </w:style>
  <w:style w:type="paragraph" w:styleId="14">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customStyle="1" w:styleId="17">
    <w:name w:val="标题 3 Char"/>
    <w:link w:val="6"/>
    <w:qFormat/>
    <w:uiPriority w:val="0"/>
    <w:rPr>
      <w:rFonts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4.33333333333333</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2024-04-18T17:35:00Z</dcterms:created>
  <dc:creator>蔡海霞</dc:creator>
  <cp:lastModifiedBy>admin123</cp:lastModifiedBy>
  <dcterms:modified xsi:type="dcterms:W3CDTF">2024-04-24T16:16:06Z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71B931FBCBC347EB888246BB8A39BF42</vt:lpwstr>
  </property>
</Properties>
</file>